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3.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5.xml" ContentType="application/vnd.openxmlformats-officedocument.wordprocessingml.head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3.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43EFA" w14:textId="492661AF" w:rsidR="00AE4D9C" w:rsidRDefault="00AE4D9C" w:rsidP="00AE4D9C">
      <w:pPr>
        <w:sectPr w:rsidR="00AE4D9C" w:rsidSect="0024182B">
          <w:headerReference w:type="default" r:id="rId11"/>
          <w:pgSz w:w="11906" w:h="16838" w:code="9"/>
          <w:pgMar w:top="2722" w:right="1247" w:bottom="1440" w:left="1440" w:header="680" w:footer="425" w:gutter="0"/>
          <w:pgNumType w:fmt="lowerRoman"/>
          <w:cols w:space="284"/>
          <w:noEndnote/>
          <w:titlePg/>
          <w:docGrid w:linePitch="360"/>
        </w:sectPr>
      </w:pPr>
      <w:bookmarkStart w:id="0" w:name="BIT_CoverPage"/>
      <w:r>
        <w:rPr>
          <w:noProof/>
          <w:lang w:eastAsia="en-AU"/>
        </w:rPr>
        <w:drawing>
          <wp:inline distT="0" distB="0" distL="0" distR="0" wp14:anchorId="090FA514" wp14:editId="383CA4B7">
            <wp:extent cx="5731510" cy="5986953"/>
            <wp:effectExtent l="0" t="0" r="2540" b="0"/>
            <wp:docPr id="622109522" name="Picture 622109522" descr=" " title="Deloitte Logo"/>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1510" cy="5986953"/>
                    </a:xfrm>
                    <a:prstGeom prst="rect">
                      <a:avLst/>
                    </a:prstGeom>
                    <a:ln>
                      <a:noFill/>
                    </a:ln>
                    <a:extLst>
                      <a:ext uri="{53640926-AAD7-44D8-BBD7-CCE9431645EC}">
                        <a14:shadowObscured xmlns:a14="http://schemas.microsoft.com/office/drawing/2010/main"/>
                      </a:ext>
                    </a:extLst>
                  </pic:spPr>
                </pic:pic>
              </a:graphicData>
            </a:graphic>
          </wp:inline>
        </w:drawing>
      </w:r>
      <w:r w:rsidR="000C0347" w:rsidRPr="00820C89">
        <w:rPr>
          <w:rFonts w:asciiTheme="majorHAnsi" w:hAnsiTheme="majorHAnsi"/>
          <w:noProof/>
          <w:lang w:eastAsia="en-AU"/>
        </w:rPr>
        <w:drawing>
          <wp:anchor distT="0" distB="0" distL="114300" distR="114300" simplePos="0" relativeHeight="251658267" behindDoc="0" locked="0" layoutInCell="1" allowOverlap="1" wp14:anchorId="33015C47" wp14:editId="62005CE2">
            <wp:simplePos x="0" y="0"/>
            <wp:positionH relativeFrom="margin">
              <wp:align>left</wp:align>
            </wp:positionH>
            <wp:positionV relativeFrom="topMargin">
              <wp:align>bottom</wp:align>
            </wp:positionV>
            <wp:extent cx="2084070" cy="914400"/>
            <wp:effectExtent l="0" t="0" r="0" b="0"/>
            <wp:wrapNone/>
            <wp:docPr id="454" name="Frontpage_Logo_Positiv" descr=" " title="Deloitte"/>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3"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bookmarkStart w:id="1" w:name="start"/>
      <w:bookmarkEnd w:id="0"/>
    </w:p>
    <w:p w14:paraId="222BA1EB" w14:textId="12EEA247" w:rsidR="00AE4D9C" w:rsidRPr="00A96769" w:rsidRDefault="00AE4D9C" w:rsidP="00AE4D9C">
      <w:pPr>
        <w:spacing w:before="1680"/>
      </w:pPr>
      <w:r>
        <w:t>National Indigenous Australians Agency</w:t>
      </w:r>
      <w:bookmarkEnd w:id="1"/>
    </w:p>
    <w:p w14:paraId="7EEF7661" w14:textId="49C9DE8B" w:rsidR="00AE4D9C" w:rsidRDefault="00AE4D9C" w:rsidP="00AE4D9C">
      <w:pPr>
        <w:pStyle w:val="Documentsubtitle"/>
        <w:spacing w:after="0"/>
        <w:ind w:right="-1156"/>
      </w:pPr>
      <w:r w:rsidRPr="002444A3">
        <w:t xml:space="preserve">Indigenous Employment Program Evaluation – </w:t>
      </w:r>
      <w:r>
        <w:t>Final</w:t>
      </w:r>
      <w:r w:rsidRPr="002444A3">
        <w:t xml:space="preserve"> Report</w:t>
      </w:r>
    </w:p>
    <w:p w14:paraId="7AA30C3E" w14:textId="0B84B6AB" w:rsidR="005B3A30" w:rsidRPr="00820C89" w:rsidRDefault="00AE4D9C" w:rsidP="00AE4D9C">
      <w:pPr>
        <w:spacing w:after="1560"/>
        <w:rPr>
          <w:rFonts w:asciiTheme="majorHAnsi" w:hAnsiTheme="majorHAnsi"/>
        </w:rPr>
      </w:pPr>
      <w:r>
        <w:t>September 2021</w:t>
      </w:r>
    </w:p>
    <w:p w14:paraId="5E6327CC" w14:textId="6B055F44" w:rsidR="00D96296" w:rsidRPr="00820C89" w:rsidRDefault="007F15C9" w:rsidP="00AE4D9C">
      <w:pPr>
        <w:rPr>
          <w:rFonts w:asciiTheme="majorHAnsi" w:hAnsiTheme="majorHAnsi"/>
        </w:rPr>
        <w:sectPr w:rsidR="00D96296" w:rsidRPr="00820C89" w:rsidSect="00AE4D9C">
          <w:type w:val="continuous"/>
          <w:pgSz w:w="11906" w:h="16838" w:code="9"/>
          <w:pgMar w:top="2722" w:right="5385" w:bottom="1440" w:left="1440" w:header="680" w:footer="425" w:gutter="0"/>
          <w:pgNumType w:fmt="lowerRoman"/>
          <w:cols w:space="284"/>
          <w:noEndnote/>
          <w:titlePg/>
          <w:docGrid w:linePitch="360"/>
        </w:sectPr>
      </w:pPr>
      <w:r w:rsidRPr="00820C89">
        <w:rPr>
          <w:rFonts w:asciiTheme="majorHAnsi" w:hAnsiTheme="majorHAnsi"/>
          <w:noProof/>
          <w:lang w:eastAsia="en-AU"/>
        </w:rPr>
        <w:drawing>
          <wp:anchor distT="0" distB="0" distL="114300" distR="114300" simplePos="0" relativeHeight="251658268" behindDoc="0" locked="0" layoutInCell="1" allowOverlap="1" wp14:anchorId="4520E71E" wp14:editId="36574D15">
            <wp:simplePos x="0" y="0"/>
            <wp:positionH relativeFrom="margin">
              <wp:posOffset>4197350</wp:posOffset>
            </wp:positionH>
            <wp:positionV relativeFrom="bottomMargin">
              <wp:align>top</wp:align>
            </wp:positionV>
            <wp:extent cx="2004695" cy="528955"/>
            <wp:effectExtent l="0" t="0" r="0" b="0"/>
            <wp:wrapNone/>
            <wp:docPr id="475882791" name="Frontpage_Logo_Positiv" descr=" " title="Front Page Logo"/>
            <wp:cNvGraphicFramePr/>
            <a:graphic xmlns:a="http://schemas.openxmlformats.org/drawingml/2006/main">
              <a:graphicData uri="http://schemas.openxmlformats.org/drawingml/2006/picture">
                <pic:pic xmlns:pic="http://schemas.openxmlformats.org/drawingml/2006/picture">
                  <pic:nvPicPr>
                    <pic:cNvPr id="475882791" name="Frontpage_Logo_Positiv"/>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4695" cy="528955"/>
                    </a:xfrm>
                    <a:prstGeom prst="rect">
                      <a:avLst/>
                    </a:prstGeom>
                  </pic:spPr>
                </pic:pic>
              </a:graphicData>
            </a:graphic>
            <wp14:sizeRelH relativeFrom="margin">
              <wp14:pctWidth>0</wp14:pctWidth>
            </wp14:sizeRelH>
            <wp14:sizeRelV relativeFrom="margin">
              <wp14:pctHeight>0</wp14:pctHeight>
            </wp14:sizeRelV>
          </wp:anchor>
        </w:drawing>
      </w:r>
    </w:p>
    <w:p w14:paraId="1CFAA3C3" w14:textId="77777777" w:rsidR="00763088" w:rsidRPr="00820C89" w:rsidRDefault="00763088" w:rsidP="001E6DAC">
      <w:pPr>
        <w:pStyle w:val="TOCHeading"/>
        <w:pageBreakBefore/>
        <w:rPr>
          <w:rFonts w:asciiTheme="majorHAnsi" w:hAnsiTheme="majorHAnsi"/>
        </w:rPr>
      </w:pPr>
      <w:bookmarkStart w:id="2" w:name="_Toc45206316"/>
      <w:bookmarkStart w:id="3" w:name="_Toc54966920"/>
      <w:bookmarkStart w:id="4" w:name="LAN_ContentsRP"/>
      <w:r w:rsidRPr="00820C89">
        <w:rPr>
          <w:rFonts w:asciiTheme="majorHAnsi" w:hAnsiTheme="majorHAnsi"/>
        </w:rPr>
        <w:lastRenderedPageBreak/>
        <w:t>Acknowledgement</w:t>
      </w:r>
      <w:bookmarkEnd w:id="2"/>
      <w:bookmarkEnd w:id="3"/>
      <w:r w:rsidRPr="00820C89">
        <w:rPr>
          <w:rFonts w:asciiTheme="majorHAnsi" w:hAnsiTheme="majorHAnsi"/>
        </w:rPr>
        <w:t xml:space="preserve"> </w:t>
      </w:r>
    </w:p>
    <w:p w14:paraId="566943D5" w14:textId="327D12DD" w:rsidR="00763088" w:rsidRPr="00820C89" w:rsidRDefault="00763088" w:rsidP="00763088">
      <w:pPr>
        <w:rPr>
          <w:rFonts w:asciiTheme="majorHAnsi" w:hAnsiTheme="majorHAnsi"/>
        </w:rPr>
      </w:pPr>
      <w:r w:rsidRPr="00820C89">
        <w:rPr>
          <w:rFonts w:asciiTheme="majorHAnsi" w:hAnsiTheme="majorHAnsi"/>
        </w:rPr>
        <w:t xml:space="preserve">Deloitte acknowledges the Traditional Owners of country throughout Australia and their continuing connection to land, sea and community. </w:t>
      </w:r>
      <w:r w:rsidR="00866F89" w:rsidRPr="00820C89">
        <w:rPr>
          <w:rFonts w:asciiTheme="majorHAnsi" w:hAnsiTheme="majorHAnsi"/>
        </w:rPr>
        <w:t xml:space="preserve">The country we live, work and travel on has been loved, celebrated and cared for over many millennia </w:t>
      </w:r>
      <w:r w:rsidR="00DD3A2C" w:rsidRPr="00820C89">
        <w:rPr>
          <w:rFonts w:asciiTheme="majorHAnsi" w:hAnsiTheme="majorHAnsi"/>
        </w:rPr>
        <w:t>by the</w:t>
      </w:r>
      <w:r w:rsidR="009B59C1" w:rsidRPr="00820C89">
        <w:rPr>
          <w:rFonts w:asciiTheme="majorHAnsi" w:hAnsiTheme="majorHAnsi"/>
        </w:rPr>
        <w:t>ir</w:t>
      </w:r>
      <w:r w:rsidR="00DD3A2C" w:rsidRPr="00820C89">
        <w:rPr>
          <w:rFonts w:asciiTheme="majorHAnsi" w:hAnsiTheme="majorHAnsi"/>
        </w:rPr>
        <w:t xml:space="preserve"> people </w:t>
      </w:r>
      <w:r w:rsidR="00866F89" w:rsidRPr="00820C89">
        <w:rPr>
          <w:rFonts w:asciiTheme="majorHAnsi" w:hAnsiTheme="majorHAnsi"/>
        </w:rPr>
        <w:t xml:space="preserve">and </w:t>
      </w:r>
      <w:r w:rsidR="00F409ED" w:rsidRPr="00820C89">
        <w:rPr>
          <w:rFonts w:asciiTheme="majorHAnsi" w:hAnsiTheme="majorHAnsi"/>
        </w:rPr>
        <w:t xml:space="preserve">their spiritual and physical ownership </w:t>
      </w:r>
      <w:r w:rsidR="009B59C1" w:rsidRPr="00820C89">
        <w:rPr>
          <w:rFonts w:asciiTheme="majorHAnsi" w:hAnsiTheme="majorHAnsi"/>
        </w:rPr>
        <w:t xml:space="preserve">has never been ceded. </w:t>
      </w:r>
      <w:r w:rsidRPr="00820C89">
        <w:rPr>
          <w:rFonts w:asciiTheme="majorHAnsi" w:hAnsiTheme="majorHAnsi"/>
        </w:rPr>
        <w:t xml:space="preserve">We </w:t>
      </w:r>
      <w:r w:rsidR="00B8207F" w:rsidRPr="00820C89">
        <w:rPr>
          <w:rFonts w:asciiTheme="majorHAnsi" w:hAnsiTheme="majorHAnsi"/>
        </w:rPr>
        <w:t xml:space="preserve">thank them and </w:t>
      </w:r>
      <w:r w:rsidRPr="00820C89">
        <w:rPr>
          <w:rFonts w:asciiTheme="majorHAnsi" w:hAnsiTheme="majorHAnsi"/>
        </w:rPr>
        <w:t>pay our respects to them</w:t>
      </w:r>
      <w:r w:rsidR="00B8207F" w:rsidRPr="00820C89">
        <w:rPr>
          <w:rFonts w:asciiTheme="majorHAnsi" w:hAnsiTheme="majorHAnsi"/>
        </w:rPr>
        <w:t>, to</w:t>
      </w:r>
      <w:r w:rsidR="00327393" w:rsidRPr="00820C89">
        <w:rPr>
          <w:rFonts w:asciiTheme="majorHAnsi" w:hAnsiTheme="majorHAnsi"/>
        </w:rPr>
        <w:t xml:space="preserve"> </w:t>
      </w:r>
      <w:r w:rsidRPr="00820C89">
        <w:rPr>
          <w:rFonts w:asciiTheme="majorHAnsi" w:hAnsiTheme="majorHAnsi"/>
        </w:rPr>
        <w:t xml:space="preserve">their cultures, and to the Elders both past and present. </w:t>
      </w:r>
    </w:p>
    <w:p w14:paraId="1F5C33F9" w14:textId="2C36B2ED" w:rsidR="00763088" w:rsidRPr="00820C89" w:rsidRDefault="00763088" w:rsidP="00763088">
      <w:pPr>
        <w:pStyle w:val="TOCHeading"/>
        <w:pageBreakBefore/>
        <w:rPr>
          <w:rFonts w:asciiTheme="majorHAnsi" w:hAnsiTheme="majorHAnsi"/>
        </w:rPr>
      </w:pPr>
      <w:r w:rsidRPr="00820C89">
        <w:rPr>
          <w:rFonts w:asciiTheme="majorHAnsi" w:hAnsiTheme="majorHAnsi"/>
        </w:rPr>
        <w:lastRenderedPageBreak/>
        <w:t>Contents</w:t>
      </w:r>
      <w:bookmarkEnd w:id="4"/>
    </w:p>
    <w:p w14:paraId="2F429905" w14:textId="77777777" w:rsidR="00763088" w:rsidRPr="00820C89" w:rsidRDefault="00763088" w:rsidP="00763088">
      <w:pPr>
        <w:rPr>
          <w:rFonts w:asciiTheme="majorHAnsi" w:hAnsiTheme="majorHAnsi"/>
        </w:rPr>
      </w:pPr>
    </w:p>
    <w:p w14:paraId="0010F6FC" w14:textId="6458CEAB" w:rsidR="004837A8" w:rsidRDefault="0048306A">
      <w:pPr>
        <w:pStyle w:val="TOC1"/>
        <w:rPr>
          <w:rFonts w:asciiTheme="minorHAnsi" w:eastAsiaTheme="minorEastAsia" w:hAnsiTheme="minorHAnsi"/>
          <w:noProof/>
          <w:sz w:val="22"/>
          <w:szCs w:val="22"/>
          <w:lang w:eastAsia="en-AU"/>
        </w:rPr>
      </w:pPr>
      <w:r w:rsidRPr="00820C89">
        <w:rPr>
          <w:rFonts w:asciiTheme="majorHAnsi" w:hAnsiTheme="majorHAnsi"/>
        </w:rPr>
        <w:fldChar w:fldCharType="begin"/>
      </w:r>
      <w:r w:rsidRPr="00820C89">
        <w:rPr>
          <w:rFonts w:asciiTheme="majorHAnsi" w:hAnsiTheme="majorHAnsi"/>
        </w:rPr>
        <w:instrText xml:space="preserve"> TOC \o "1-2" \h \z \u </w:instrText>
      </w:r>
      <w:r w:rsidRPr="00820C89">
        <w:rPr>
          <w:rFonts w:asciiTheme="majorHAnsi" w:hAnsiTheme="majorHAnsi"/>
        </w:rPr>
        <w:fldChar w:fldCharType="separate"/>
      </w:r>
      <w:hyperlink w:anchor="_Toc101343273" w:history="1">
        <w:r w:rsidR="004837A8" w:rsidRPr="000A0244">
          <w:rPr>
            <w:rStyle w:val="Hyperlink"/>
            <w:rFonts w:asciiTheme="majorHAnsi" w:hAnsiTheme="majorHAnsi"/>
            <w:noProof/>
          </w:rPr>
          <w:t>Acronyms</w:t>
        </w:r>
        <w:r w:rsidR="004837A8">
          <w:rPr>
            <w:noProof/>
            <w:webHidden/>
          </w:rPr>
          <w:tab/>
        </w:r>
        <w:r w:rsidR="004837A8">
          <w:rPr>
            <w:noProof/>
            <w:webHidden/>
          </w:rPr>
          <w:fldChar w:fldCharType="begin"/>
        </w:r>
        <w:r w:rsidR="004837A8">
          <w:rPr>
            <w:noProof/>
            <w:webHidden/>
          </w:rPr>
          <w:instrText xml:space="preserve"> PAGEREF _Toc101343273 \h </w:instrText>
        </w:r>
        <w:r w:rsidR="004837A8">
          <w:rPr>
            <w:noProof/>
            <w:webHidden/>
          </w:rPr>
        </w:r>
        <w:r w:rsidR="004837A8">
          <w:rPr>
            <w:noProof/>
            <w:webHidden/>
          </w:rPr>
          <w:fldChar w:fldCharType="separate"/>
        </w:r>
        <w:r w:rsidR="004837A8">
          <w:rPr>
            <w:noProof/>
            <w:webHidden/>
          </w:rPr>
          <w:t>vi</w:t>
        </w:r>
        <w:r w:rsidR="004837A8">
          <w:rPr>
            <w:noProof/>
            <w:webHidden/>
          </w:rPr>
          <w:fldChar w:fldCharType="end"/>
        </w:r>
      </w:hyperlink>
    </w:p>
    <w:p w14:paraId="25DFDBFE" w14:textId="0FEB4F03" w:rsidR="004837A8" w:rsidRDefault="00F1362E">
      <w:pPr>
        <w:pStyle w:val="TOC1"/>
        <w:rPr>
          <w:rFonts w:asciiTheme="minorHAnsi" w:eastAsiaTheme="minorEastAsia" w:hAnsiTheme="minorHAnsi"/>
          <w:noProof/>
          <w:sz w:val="22"/>
          <w:szCs w:val="22"/>
          <w:lang w:eastAsia="en-AU"/>
        </w:rPr>
      </w:pPr>
      <w:hyperlink w:anchor="_Toc101343274" w:history="1">
        <w:r w:rsidR="004837A8" w:rsidRPr="000A0244">
          <w:rPr>
            <w:rStyle w:val="Hyperlink"/>
            <w:rFonts w:asciiTheme="majorHAnsi" w:hAnsiTheme="majorHAnsi"/>
            <w:noProof/>
          </w:rPr>
          <w:t>Executive Summary</w:t>
        </w:r>
        <w:r w:rsidR="004837A8">
          <w:rPr>
            <w:noProof/>
            <w:webHidden/>
          </w:rPr>
          <w:tab/>
        </w:r>
        <w:r w:rsidR="004837A8">
          <w:rPr>
            <w:noProof/>
            <w:webHidden/>
          </w:rPr>
          <w:fldChar w:fldCharType="begin"/>
        </w:r>
        <w:r w:rsidR="004837A8">
          <w:rPr>
            <w:noProof/>
            <w:webHidden/>
          </w:rPr>
          <w:instrText xml:space="preserve"> PAGEREF _Toc101343274 \h </w:instrText>
        </w:r>
        <w:r w:rsidR="004837A8">
          <w:rPr>
            <w:noProof/>
            <w:webHidden/>
          </w:rPr>
        </w:r>
        <w:r w:rsidR="004837A8">
          <w:rPr>
            <w:noProof/>
            <w:webHidden/>
          </w:rPr>
          <w:fldChar w:fldCharType="separate"/>
        </w:r>
        <w:r w:rsidR="004837A8">
          <w:rPr>
            <w:noProof/>
            <w:webHidden/>
          </w:rPr>
          <w:t>vii</w:t>
        </w:r>
        <w:r w:rsidR="004837A8">
          <w:rPr>
            <w:noProof/>
            <w:webHidden/>
          </w:rPr>
          <w:fldChar w:fldCharType="end"/>
        </w:r>
      </w:hyperlink>
    </w:p>
    <w:p w14:paraId="18076CD4" w14:textId="06E565FB" w:rsidR="004837A8" w:rsidRDefault="00F1362E">
      <w:pPr>
        <w:pStyle w:val="TOC2"/>
        <w:rPr>
          <w:rFonts w:asciiTheme="minorHAnsi" w:eastAsiaTheme="minorEastAsia" w:hAnsiTheme="minorHAnsi"/>
          <w:noProof/>
          <w:sz w:val="22"/>
          <w:szCs w:val="22"/>
          <w:lang w:eastAsia="en-AU"/>
        </w:rPr>
      </w:pPr>
      <w:hyperlink w:anchor="_Toc101343275" w:history="1">
        <w:r w:rsidR="004837A8" w:rsidRPr="000A0244">
          <w:rPr>
            <w:rStyle w:val="Hyperlink"/>
            <w:noProof/>
          </w:rPr>
          <w:t>The context</w:t>
        </w:r>
        <w:r w:rsidR="004837A8">
          <w:rPr>
            <w:noProof/>
            <w:webHidden/>
          </w:rPr>
          <w:tab/>
        </w:r>
        <w:r w:rsidR="004837A8">
          <w:rPr>
            <w:noProof/>
            <w:webHidden/>
          </w:rPr>
          <w:fldChar w:fldCharType="begin"/>
        </w:r>
        <w:r w:rsidR="004837A8">
          <w:rPr>
            <w:noProof/>
            <w:webHidden/>
          </w:rPr>
          <w:instrText xml:space="preserve"> PAGEREF _Toc101343275 \h </w:instrText>
        </w:r>
        <w:r w:rsidR="004837A8">
          <w:rPr>
            <w:noProof/>
            <w:webHidden/>
          </w:rPr>
        </w:r>
        <w:r w:rsidR="004837A8">
          <w:rPr>
            <w:noProof/>
            <w:webHidden/>
          </w:rPr>
          <w:fldChar w:fldCharType="separate"/>
        </w:r>
        <w:r w:rsidR="004837A8">
          <w:rPr>
            <w:noProof/>
            <w:webHidden/>
          </w:rPr>
          <w:t>vii</w:t>
        </w:r>
        <w:r w:rsidR="004837A8">
          <w:rPr>
            <w:noProof/>
            <w:webHidden/>
          </w:rPr>
          <w:fldChar w:fldCharType="end"/>
        </w:r>
      </w:hyperlink>
    </w:p>
    <w:p w14:paraId="6FE6C20D" w14:textId="5DC78817" w:rsidR="004837A8" w:rsidRDefault="00F1362E">
      <w:pPr>
        <w:pStyle w:val="TOC2"/>
        <w:rPr>
          <w:rFonts w:asciiTheme="minorHAnsi" w:eastAsiaTheme="minorEastAsia" w:hAnsiTheme="minorHAnsi"/>
          <w:noProof/>
          <w:sz w:val="22"/>
          <w:szCs w:val="22"/>
          <w:lang w:eastAsia="en-AU"/>
        </w:rPr>
      </w:pPr>
      <w:hyperlink w:anchor="_Toc101343276" w:history="1">
        <w:r w:rsidR="004837A8" w:rsidRPr="000A0244">
          <w:rPr>
            <w:rStyle w:val="Hyperlink"/>
            <w:noProof/>
          </w:rPr>
          <w:t>Key findings and recommendations</w:t>
        </w:r>
        <w:r w:rsidR="004837A8">
          <w:rPr>
            <w:noProof/>
            <w:webHidden/>
          </w:rPr>
          <w:tab/>
        </w:r>
        <w:r w:rsidR="004837A8">
          <w:rPr>
            <w:noProof/>
            <w:webHidden/>
          </w:rPr>
          <w:fldChar w:fldCharType="begin"/>
        </w:r>
        <w:r w:rsidR="004837A8">
          <w:rPr>
            <w:noProof/>
            <w:webHidden/>
          </w:rPr>
          <w:instrText xml:space="preserve"> PAGEREF _Toc101343276 \h </w:instrText>
        </w:r>
        <w:r w:rsidR="004837A8">
          <w:rPr>
            <w:noProof/>
            <w:webHidden/>
          </w:rPr>
        </w:r>
        <w:r w:rsidR="004837A8">
          <w:rPr>
            <w:noProof/>
            <w:webHidden/>
          </w:rPr>
          <w:fldChar w:fldCharType="separate"/>
        </w:r>
        <w:r w:rsidR="004837A8">
          <w:rPr>
            <w:noProof/>
            <w:webHidden/>
          </w:rPr>
          <w:t>ix</w:t>
        </w:r>
        <w:r w:rsidR="004837A8">
          <w:rPr>
            <w:noProof/>
            <w:webHidden/>
          </w:rPr>
          <w:fldChar w:fldCharType="end"/>
        </w:r>
      </w:hyperlink>
    </w:p>
    <w:p w14:paraId="02AF600B" w14:textId="112E3184" w:rsidR="004837A8" w:rsidRDefault="00F1362E">
      <w:pPr>
        <w:pStyle w:val="TOC2"/>
        <w:rPr>
          <w:rFonts w:asciiTheme="minorHAnsi" w:eastAsiaTheme="minorEastAsia" w:hAnsiTheme="minorHAnsi"/>
          <w:noProof/>
          <w:sz w:val="22"/>
          <w:szCs w:val="22"/>
          <w:lang w:eastAsia="en-AU"/>
        </w:rPr>
      </w:pPr>
      <w:hyperlink w:anchor="_Toc101343277" w:history="1">
        <w:r w:rsidR="004837A8" w:rsidRPr="000A0244">
          <w:rPr>
            <w:rStyle w:val="Hyperlink"/>
            <w:noProof/>
          </w:rPr>
          <w:t>Final thoughts</w:t>
        </w:r>
        <w:r w:rsidR="004837A8">
          <w:rPr>
            <w:noProof/>
            <w:webHidden/>
          </w:rPr>
          <w:tab/>
        </w:r>
        <w:r w:rsidR="004837A8">
          <w:rPr>
            <w:noProof/>
            <w:webHidden/>
          </w:rPr>
          <w:fldChar w:fldCharType="begin"/>
        </w:r>
        <w:r w:rsidR="004837A8">
          <w:rPr>
            <w:noProof/>
            <w:webHidden/>
          </w:rPr>
          <w:instrText xml:space="preserve"> PAGEREF _Toc101343277 \h </w:instrText>
        </w:r>
        <w:r w:rsidR="004837A8">
          <w:rPr>
            <w:noProof/>
            <w:webHidden/>
          </w:rPr>
        </w:r>
        <w:r w:rsidR="004837A8">
          <w:rPr>
            <w:noProof/>
            <w:webHidden/>
          </w:rPr>
          <w:fldChar w:fldCharType="separate"/>
        </w:r>
        <w:r w:rsidR="004837A8">
          <w:rPr>
            <w:noProof/>
            <w:webHidden/>
          </w:rPr>
          <w:t>xvii</w:t>
        </w:r>
        <w:r w:rsidR="004837A8">
          <w:rPr>
            <w:noProof/>
            <w:webHidden/>
          </w:rPr>
          <w:fldChar w:fldCharType="end"/>
        </w:r>
      </w:hyperlink>
    </w:p>
    <w:p w14:paraId="1D042817" w14:textId="76B56DBA" w:rsidR="004837A8" w:rsidRDefault="00F1362E">
      <w:pPr>
        <w:pStyle w:val="TOC1"/>
        <w:rPr>
          <w:rFonts w:asciiTheme="minorHAnsi" w:eastAsiaTheme="minorEastAsia" w:hAnsiTheme="minorHAnsi"/>
          <w:noProof/>
          <w:sz w:val="22"/>
          <w:szCs w:val="22"/>
          <w:lang w:eastAsia="en-AU"/>
        </w:rPr>
      </w:pPr>
      <w:hyperlink w:anchor="_Toc101343278" w:history="1">
        <w:r w:rsidR="004837A8" w:rsidRPr="000A0244">
          <w:rPr>
            <w:rStyle w:val="Hyperlink"/>
            <w:rFonts w:asciiTheme="majorHAnsi" w:hAnsiTheme="majorHAnsi"/>
            <w:noProof/>
          </w:rPr>
          <w:t>Preamble</w:t>
        </w:r>
        <w:r w:rsidR="004837A8">
          <w:rPr>
            <w:noProof/>
            <w:webHidden/>
          </w:rPr>
          <w:tab/>
        </w:r>
        <w:r w:rsidR="004837A8">
          <w:rPr>
            <w:noProof/>
            <w:webHidden/>
          </w:rPr>
          <w:fldChar w:fldCharType="begin"/>
        </w:r>
        <w:r w:rsidR="004837A8">
          <w:rPr>
            <w:noProof/>
            <w:webHidden/>
          </w:rPr>
          <w:instrText xml:space="preserve"> PAGEREF _Toc101343278 \h </w:instrText>
        </w:r>
        <w:r w:rsidR="004837A8">
          <w:rPr>
            <w:noProof/>
            <w:webHidden/>
          </w:rPr>
        </w:r>
        <w:r w:rsidR="004837A8">
          <w:rPr>
            <w:noProof/>
            <w:webHidden/>
          </w:rPr>
          <w:fldChar w:fldCharType="separate"/>
        </w:r>
        <w:r w:rsidR="004837A8">
          <w:rPr>
            <w:noProof/>
            <w:webHidden/>
          </w:rPr>
          <w:t>1</w:t>
        </w:r>
        <w:r w:rsidR="004837A8">
          <w:rPr>
            <w:noProof/>
            <w:webHidden/>
          </w:rPr>
          <w:fldChar w:fldCharType="end"/>
        </w:r>
      </w:hyperlink>
    </w:p>
    <w:p w14:paraId="4382C6A3" w14:textId="09DFB244" w:rsidR="004837A8" w:rsidRDefault="00F1362E">
      <w:pPr>
        <w:pStyle w:val="TOC1"/>
        <w:rPr>
          <w:rFonts w:asciiTheme="minorHAnsi" w:eastAsiaTheme="minorEastAsia" w:hAnsiTheme="minorHAnsi"/>
          <w:noProof/>
          <w:sz w:val="22"/>
          <w:szCs w:val="22"/>
          <w:lang w:eastAsia="en-AU"/>
        </w:rPr>
      </w:pPr>
      <w:hyperlink w:anchor="_Toc101343279" w:history="1">
        <w:r w:rsidR="004837A8" w:rsidRPr="000A0244">
          <w:rPr>
            <w:rStyle w:val="Hyperlink"/>
            <w:rFonts w:asciiTheme="majorHAnsi" w:hAnsiTheme="majorHAnsi"/>
            <w:noProof/>
          </w:rPr>
          <w:t>1</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Context to the evaluation</w:t>
        </w:r>
        <w:r w:rsidR="004837A8">
          <w:rPr>
            <w:noProof/>
            <w:webHidden/>
          </w:rPr>
          <w:tab/>
        </w:r>
        <w:r w:rsidR="004837A8">
          <w:rPr>
            <w:noProof/>
            <w:webHidden/>
          </w:rPr>
          <w:fldChar w:fldCharType="begin"/>
        </w:r>
        <w:r w:rsidR="004837A8">
          <w:rPr>
            <w:noProof/>
            <w:webHidden/>
          </w:rPr>
          <w:instrText xml:space="preserve"> PAGEREF _Toc101343279 \h </w:instrText>
        </w:r>
        <w:r w:rsidR="004837A8">
          <w:rPr>
            <w:noProof/>
            <w:webHidden/>
          </w:rPr>
        </w:r>
        <w:r w:rsidR="004837A8">
          <w:rPr>
            <w:noProof/>
            <w:webHidden/>
          </w:rPr>
          <w:fldChar w:fldCharType="separate"/>
        </w:r>
        <w:r w:rsidR="004837A8">
          <w:rPr>
            <w:noProof/>
            <w:webHidden/>
          </w:rPr>
          <w:t>4</w:t>
        </w:r>
        <w:r w:rsidR="004837A8">
          <w:rPr>
            <w:noProof/>
            <w:webHidden/>
          </w:rPr>
          <w:fldChar w:fldCharType="end"/>
        </w:r>
      </w:hyperlink>
    </w:p>
    <w:p w14:paraId="0B0B2240" w14:textId="072A7E8E" w:rsidR="004837A8" w:rsidRDefault="00F1362E">
      <w:pPr>
        <w:pStyle w:val="TOC2"/>
        <w:tabs>
          <w:tab w:val="left" w:pos="1134"/>
        </w:tabs>
        <w:rPr>
          <w:rFonts w:asciiTheme="minorHAnsi" w:eastAsiaTheme="minorEastAsia" w:hAnsiTheme="minorHAnsi"/>
          <w:noProof/>
          <w:sz w:val="22"/>
          <w:szCs w:val="22"/>
          <w:lang w:eastAsia="en-AU"/>
        </w:rPr>
      </w:pPr>
      <w:hyperlink w:anchor="_Toc101343280" w:history="1">
        <w:r w:rsidR="004837A8" w:rsidRPr="000A0244">
          <w:rPr>
            <w:rStyle w:val="Hyperlink"/>
            <w:rFonts w:asciiTheme="majorHAnsi" w:hAnsiTheme="majorHAnsi"/>
            <w:noProof/>
          </w:rPr>
          <w:t>1.1</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Indigenous employment outcomes in Australia</w:t>
        </w:r>
        <w:r w:rsidR="004837A8">
          <w:rPr>
            <w:noProof/>
            <w:webHidden/>
          </w:rPr>
          <w:tab/>
        </w:r>
        <w:r w:rsidR="004837A8">
          <w:rPr>
            <w:noProof/>
            <w:webHidden/>
          </w:rPr>
          <w:fldChar w:fldCharType="begin"/>
        </w:r>
        <w:r w:rsidR="004837A8">
          <w:rPr>
            <w:noProof/>
            <w:webHidden/>
          </w:rPr>
          <w:instrText xml:space="preserve"> PAGEREF _Toc101343280 \h </w:instrText>
        </w:r>
        <w:r w:rsidR="004837A8">
          <w:rPr>
            <w:noProof/>
            <w:webHidden/>
          </w:rPr>
        </w:r>
        <w:r w:rsidR="004837A8">
          <w:rPr>
            <w:noProof/>
            <w:webHidden/>
          </w:rPr>
          <w:fldChar w:fldCharType="separate"/>
        </w:r>
        <w:r w:rsidR="004837A8">
          <w:rPr>
            <w:noProof/>
            <w:webHidden/>
          </w:rPr>
          <w:t>4</w:t>
        </w:r>
        <w:r w:rsidR="004837A8">
          <w:rPr>
            <w:noProof/>
            <w:webHidden/>
          </w:rPr>
          <w:fldChar w:fldCharType="end"/>
        </w:r>
      </w:hyperlink>
    </w:p>
    <w:p w14:paraId="452DAC38" w14:textId="3110E780" w:rsidR="004837A8" w:rsidRDefault="00F1362E">
      <w:pPr>
        <w:pStyle w:val="TOC2"/>
        <w:tabs>
          <w:tab w:val="left" w:pos="1134"/>
        </w:tabs>
        <w:rPr>
          <w:rFonts w:asciiTheme="minorHAnsi" w:eastAsiaTheme="minorEastAsia" w:hAnsiTheme="minorHAnsi"/>
          <w:noProof/>
          <w:sz w:val="22"/>
          <w:szCs w:val="22"/>
          <w:lang w:eastAsia="en-AU"/>
        </w:rPr>
      </w:pPr>
      <w:hyperlink w:anchor="_Toc101343281" w:history="1">
        <w:r w:rsidR="004837A8" w:rsidRPr="000A0244">
          <w:rPr>
            <w:rStyle w:val="Hyperlink"/>
            <w:rFonts w:asciiTheme="majorHAnsi" w:hAnsiTheme="majorHAnsi"/>
            <w:noProof/>
          </w:rPr>
          <w:t>1.2</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Overview of the IEP</w:t>
        </w:r>
        <w:r w:rsidR="004837A8">
          <w:rPr>
            <w:noProof/>
            <w:webHidden/>
          </w:rPr>
          <w:tab/>
        </w:r>
        <w:r w:rsidR="004837A8">
          <w:rPr>
            <w:noProof/>
            <w:webHidden/>
          </w:rPr>
          <w:fldChar w:fldCharType="begin"/>
        </w:r>
        <w:r w:rsidR="004837A8">
          <w:rPr>
            <w:noProof/>
            <w:webHidden/>
          </w:rPr>
          <w:instrText xml:space="preserve"> PAGEREF _Toc101343281 \h </w:instrText>
        </w:r>
        <w:r w:rsidR="004837A8">
          <w:rPr>
            <w:noProof/>
            <w:webHidden/>
          </w:rPr>
        </w:r>
        <w:r w:rsidR="004837A8">
          <w:rPr>
            <w:noProof/>
            <w:webHidden/>
          </w:rPr>
          <w:fldChar w:fldCharType="separate"/>
        </w:r>
        <w:r w:rsidR="004837A8">
          <w:rPr>
            <w:noProof/>
            <w:webHidden/>
          </w:rPr>
          <w:t>7</w:t>
        </w:r>
        <w:r w:rsidR="004837A8">
          <w:rPr>
            <w:noProof/>
            <w:webHidden/>
          </w:rPr>
          <w:fldChar w:fldCharType="end"/>
        </w:r>
      </w:hyperlink>
    </w:p>
    <w:p w14:paraId="0434B850" w14:textId="3E03E57D" w:rsidR="004837A8" w:rsidRDefault="00F1362E">
      <w:pPr>
        <w:pStyle w:val="TOC2"/>
        <w:tabs>
          <w:tab w:val="left" w:pos="1134"/>
        </w:tabs>
        <w:rPr>
          <w:rFonts w:asciiTheme="minorHAnsi" w:eastAsiaTheme="minorEastAsia" w:hAnsiTheme="minorHAnsi"/>
          <w:noProof/>
          <w:sz w:val="22"/>
          <w:szCs w:val="22"/>
          <w:lang w:eastAsia="en-AU"/>
        </w:rPr>
      </w:pPr>
      <w:hyperlink w:anchor="_Toc101343282" w:history="1">
        <w:r w:rsidR="004837A8" w:rsidRPr="000A0244">
          <w:rPr>
            <w:rStyle w:val="Hyperlink"/>
            <w:rFonts w:asciiTheme="majorHAnsi" w:hAnsiTheme="majorHAnsi"/>
            <w:noProof/>
          </w:rPr>
          <w:t>1.3</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This evaluation</w:t>
        </w:r>
        <w:r w:rsidR="004837A8">
          <w:rPr>
            <w:noProof/>
            <w:webHidden/>
          </w:rPr>
          <w:tab/>
        </w:r>
        <w:r w:rsidR="004837A8">
          <w:rPr>
            <w:noProof/>
            <w:webHidden/>
          </w:rPr>
          <w:fldChar w:fldCharType="begin"/>
        </w:r>
        <w:r w:rsidR="004837A8">
          <w:rPr>
            <w:noProof/>
            <w:webHidden/>
          </w:rPr>
          <w:instrText xml:space="preserve"> PAGEREF _Toc101343282 \h </w:instrText>
        </w:r>
        <w:r w:rsidR="004837A8">
          <w:rPr>
            <w:noProof/>
            <w:webHidden/>
          </w:rPr>
        </w:r>
        <w:r w:rsidR="004837A8">
          <w:rPr>
            <w:noProof/>
            <w:webHidden/>
          </w:rPr>
          <w:fldChar w:fldCharType="separate"/>
        </w:r>
        <w:r w:rsidR="004837A8">
          <w:rPr>
            <w:noProof/>
            <w:webHidden/>
          </w:rPr>
          <w:t>9</w:t>
        </w:r>
        <w:r w:rsidR="004837A8">
          <w:rPr>
            <w:noProof/>
            <w:webHidden/>
          </w:rPr>
          <w:fldChar w:fldCharType="end"/>
        </w:r>
      </w:hyperlink>
    </w:p>
    <w:p w14:paraId="758F91FA" w14:textId="4DC2BB96" w:rsidR="004837A8" w:rsidRDefault="00F1362E">
      <w:pPr>
        <w:pStyle w:val="TOC2"/>
        <w:tabs>
          <w:tab w:val="left" w:pos="1134"/>
        </w:tabs>
        <w:rPr>
          <w:rFonts w:asciiTheme="minorHAnsi" w:eastAsiaTheme="minorEastAsia" w:hAnsiTheme="minorHAnsi"/>
          <w:noProof/>
          <w:sz w:val="22"/>
          <w:szCs w:val="22"/>
          <w:lang w:eastAsia="en-AU"/>
        </w:rPr>
      </w:pPr>
      <w:hyperlink w:anchor="_Toc101343283" w:history="1">
        <w:r w:rsidR="004837A8" w:rsidRPr="000A0244">
          <w:rPr>
            <w:rStyle w:val="Hyperlink"/>
            <w:rFonts w:asciiTheme="majorHAnsi" w:hAnsiTheme="majorHAnsi"/>
            <w:noProof/>
          </w:rPr>
          <w:t>1.4</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This report</w:t>
        </w:r>
        <w:r w:rsidR="004837A8">
          <w:rPr>
            <w:noProof/>
            <w:webHidden/>
          </w:rPr>
          <w:tab/>
        </w:r>
        <w:r w:rsidR="004837A8">
          <w:rPr>
            <w:noProof/>
            <w:webHidden/>
          </w:rPr>
          <w:fldChar w:fldCharType="begin"/>
        </w:r>
        <w:r w:rsidR="004837A8">
          <w:rPr>
            <w:noProof/>
            <w:webHidden/>
          </w:rPr>
          <w:instrText xml:space="preserve"> PAGEREF _Toc101343283 \h </w:instrText>
        </w:r>
        <w:r w:rsidR="004837A8">
          <w:rPr>
            <w:noProof/>
            <w:webHidden/>
          </w:rPr>
        </w:r>
        <w:r w:rsidR="004837A8">
          <w:rPr>
            <w:noProof/>
            <w:webHidden/>
          </w:rPr>
          <w:fldChar w:fldCharType="separate"/>
        </w:r>
        <w:r w:rsidR="004837A8">
          <w:rPr>
            <w:noProof/>
            <w:webHidden/>
          </w:rPr>
          <w:t>13</w:t>
        </w:r>
        <w:r w:rsidR="004837A8">
          <w:rPr>
            <w:noProof/>
            <w:webHidden/>
          </w:rPr>
          <w:fldChar w:fldCharType="end"/>
        </w:r>
      </w:hyperlink>
    </w:p>
    <w:p w14:paraId="1FE01783" w14:textId="34C62595" w:rsidR="004837A8" w:rsidRDefault="00F1362E">
      <w:pPr>
        <w:pStyle w:val="TOC1"/>
        <w:rPr>
          <w:rFonts w:asciiTheme="minorHAnsi" w:eastAsiaTheme="minorEastAsia" w:hAnsiTheme="minorHAnsi"/>
          <w:noProof/>
          <w:sz w:val="22"/>
          <w:szCs w:val="22"/>
          <w:lang w:eastAsia="en-AU"/>
        </w:rPr>
      </w:pPr>
      <w:hyperlink w:anchor="_Toc101343284" w:history="1">
        <w:r w:rsidR="004837A8" w:rsidRPr="000A0244">
          <w:rPr>
            <w:rStyle w:val="Hyperlink"/>
            <w:rFonts w:asciiTheme="majorHAnsi" w:hAnsiTheme="majorHAnsi"/>
            <w:noProof/>
          </w:rPr>
          <w:t>2</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Program design</w:t>
        </w:r>
        <w:r w:rsidR="004837A8">
          <w:rPr>
            <w:noProof/>
            <w:webHidden/>
          </w:rPr>
          <w:tab/>
        </w:r>
        <w:r w:rsidR="004837A8">
          <w:rPr>
            <w:noProof/>
            <w:webHidden/>
          </w:rPr>
          <w:fldChar w:fldCharType="begin"/>
        </w:r>
        <w:r w:rsidR="004837A8">
          <w:rPr>
            <w:noProof/>
            <w:webHidden/>
          </w:rPr>
          <w:instrText xml:space="preserve"> PAGEREF _Toc101343284 \h </w:instrText>
        </w:r>
        <w:r w:rsidR="004837A8">
          <w:rPr>
            <w:noProof/>
            <w:webHidden/>
          </w:rPr>
        </w:r>
        <w:r w:rsidR="004837A8">
          <w:rPr>
            <w:noProof/>
            <w:webHidden/>
          </w:rPr>
          <w:fldChar w:fldCharType="separate"/>
        </w:r>
        <w:r w:rsidR="004837A8">
          <w:rPr>
            <w:noProof/>
            <w:webHidden/>
          </w:rPr>
          <w:t>15</w:t>
        </w:r>
        <w:r w:rsidR="004837A8">
          <w:rPr>
            <w:noProof/>
            <w:webHidden/>
          </w:rPr>
          <w:fldChar w:fldCharType="end"/>
        </w:r>
      </w:hyperlink>
    </w:p>
    <w:p w14:paraId="72F2C172" w14:textId="63858004" w:rsidR="004837A8" w:rsidRDefault="00F1362E">
      <w:pPr>
        <w:pStyle w:val="TOC2"/>
        <w:tabs>
          <w:tab w:val="left" w:pos="1134"/>
        </w:tabs>
        <w:rPr>
          <w:rFonts w:asciiTheme="minorHAnsi" w:eastAsiaTheme="minorEastAsia" w:hAnsiTheme="minorHAnsi"/>
          <w:noProof/>
          <w:sz w:val="22"/>
          <w:szCs w:val="22"/>
          <w:lang w:eastAsia="en-AU"/>
        </w:rPr>
      </w:pPr>
      <w:hyperlink w:anchor="_Toc101343285" w:history="1">
        <w:r w:rsidR="004837A8" w:rsidRPr="000A0244">
          <w:rPr>
            <w:rStyle w:val="Hyperlink"/>
            <w:noProof/>
          </w:rPr>
          <w:t>2.1</w:t>
        </w:r>
        <w:r w:rsidR="004837A8">
          <w:rPr>
            <w:rFonts w:asciiTheme="minorHAnsi" w:eastAsiaTheme="minorEastAsia" w:hAnsiTheme="minorHAnsi"/>
            <w:noProof/>
            <w:sz w:val="22"/>
            <w:szCs w:val="22"/>
            <w:lang w:eastAsia="en-AU"/>
          </w:rPr>
          <w:tab/>
        </w:r>
        <w:r w:rsidR="004837A8" w:rsidRPr="000A0244">
          <w:rPr>
            <w:rStyle w:val="Hyperlink"/>
            <w:noProof/>
          </w:rPr>
          <w:t>Best Practice Guidelines for program design and evaluation</w:t>
        </w:r>
        <w:r w:rsidR="004837A8">
          <w:rPr>
            <w:noProof/>
            <w:webHidden/>
          </w:rPr>
          <w:tab/>
        </w:r>
        <w:r w:rsidR="004837A8">
          <w:rPr>
            <w:noProof/>
            <w:webHidden/>
          </w:rPr>
          <w:fldChar w:fldCharType="begin"/>
        </w:r>
        <w:r w:rsidR="004837A8">
          <w:rPr>
            <w:noProof/>
            <w:webHidden/>
          </w:rPr>
          <w:instrText xml:space="preserve"> PAGEREF _Toc101343285 \h </w:instrText>
        </w:r>
        <w:r w:rsidR="004837A8">
          <w:rPr>
            <w:noProof/>
            <w:webHidden/>
          </w:rPr>
        </w:r>
        <w:r w:rsidR="004837A8">
          <w:rPr>
            <w:noProof/>
            <w:webHidden/>
          </w:rPr>
          <w:fldChar w:fldCharType="separate"/>
        </w:r>
        <w:r w:rsidR="004837A8">
          <w:rPr>
            <w:noProof/>
            <w:webHidden/>
          </w:rPr>
          <w:t>17</w:t>
        </w:r>
        <w:r w:rsidR="004837A8">
          <w:rPr>
            <w:noProof/>
            <w:webHidden/>
          </w:rPr>
          <w:fldChar w:fldCharType="end"/>
        </w:r>
      </w:hyperlink>
    </w:p>
    <w:p w14:paraId="65F42FD8" w14:textId="7171567D" w:rsidR="004837A8" w:rsidRDefault="00F1362E">
      <w:pPr>
        <w:pStyle w:val="TOC2"/>
        <w:tabs>
          <w:tab w:val="left" w:pos="1134"/>
        </w:tabs>
        <w:rPr>
          <w:rFonts w:asciiTheme="minorHAnsi" w:eastAsiaTheme="minorEastAsia" w:hAnsiTheme="minorHAnsi"/>
          <w:noProof/>
          <w:sz w:val="22"/>
          <w:szCs w:val="22"/>
          <w:lang w:eastAsia="en-AU"/>
        </w:rPr>
      </w:pPr>
      <w:hyperlink w:anchor="_Toc101343286" w:history="1">
        <w:r w:rsidR="004837A8" w:rsidRPr="000A0244">
          <w:rPr>
            <w:rStyle w:val="Hyperlink"/>
            <w:noProof/>
          </w:rPr>
          <w:t>2.2</w:t>
        </w:r>
        <w:r w:rsidR="004837A8">
          <w:rPr>
            <w:rFonts w:asciiTheme="minorHAnsi" w:eastAsiaTheme="minorEastAsia" w:hAnsiTheme="minorHAnsi"/>
            <w:noProof/>
            <w:sz w:val="22"/>
            <w:szCs w:val="22"/>
            <w:lang w:eastAsia="en-AU"/>
          </w:rPr>
          <w:tab/>
        </w:r>
        <w:r w:rsidR="004837A8" w:rsidRPr="000A0244">
          <w:rPr>
            <w:rStyle w:val="Hyperlink"/>
            <w:noProof/>
          </w:rPr>
          <w:t>Evidence-based program design</w:t>
        </w:r>
        <w:r w:rsidR="004837A8">
          <w:rPr>
            <w:noProof/>
            <w:webHidden/>
          </w:rPr>
          <w:tab/>
        </w:r>
        <w:r w:rsidR="004837A8">
          <w:rPr>
            <w:noProof/>
            <w:webHidden/>
          </w:rPr>
          <w:fldChar w:fldCharType="begin"/>
        </w:r>
        <w:r w:rsidR="004837A8">
          <w:rPr>
            <w:noProof/>
            <w:webHidden/>
          </w:rPr>
          <w:instrText xml:space="preserve"> PAGEREF _Toc101343286 \h </w:instrText>
        </w:r>
        <w:r w:rsidR="004837A8">
          <w:rPr>
            <w:noProof/>
            <w:webHidden/>
          </w:rPr>
        </w:r>
        <w:r w:rsidR="004837A8">
          <w:rPr>
            <w:noProof/>
            <w:webHidden/>
          </w:rPr>
          <w:fldChar w:fldCharType="separate"/>
        </w:r>
        <w:r w:rsidR="004837A8">
          <w:rPr>
            <w:noProof/>
            <w:webHidden/>
          </w:rPr>
          <w:t>17</w:t>
        </w:r>
        <w:r w:rsidR="004837A8">
          <w:rPr>
            <w:noProof/>
            <w:webHidden/>
          </w:rPr>
          <w:fldChar w:fldCharType="end"/>
        </w:r>
      </w:hyperlink>
    </w:p>
    <w:p w14:paraId="63DC4E01" w14:textId="5CC90780" w:rsidR="004837A8" w:rsidRDefault="00F1362E">
      <w:pPr>
        <w:pStyle w:val="TOC2"/>
        <w:tabs>
          <w:tab w:val="left" w:pos="1134"/>
        </w:tabs>
        <w:rPr>
          <w:rFonts w:asciiTheme="minorHAnsi" w:eastAsiaTheme="minorEastAsia" w:hAnsiTheme="minorHAnsi"/>
          <w:noProof/>
          <w:sz w:val="22"/>
          <w:szCs w:val="22"/>
          <w:lang w:eastAsia="en-AU"/>
        </w:rPr>
      </w:pPr>
      <w:hyperlink w:anchor="_Toc101343287" w:history="1">
        <w:r w:rsidR="004837A8" w:rsidRPr="000A0244">
          <w:rPr>
            <w:rStyle w:val="Hyperlink"/>
            <w:noProof/>
          </w:rPr>
          <w:t>2.3</w:t>
        </w:r>
        <w:r w:rsidR="004837A8">
          <w:rPr>
            <w:rFonts w:asciiTheme="minorHAnsi" w:eastAsiaTheme="minorEastAsia" w:hAnsiTheme="minorHAnsi"/>
            <w:noProof/>
            <w:sz w:val="22"/>
            <w:szCs w:val="22"/>
            <w:lang w:eastAsia="en-AU"/>
          </w:rPr>
          <w:tab/>
        </w:r>
        <w:r w:rsidR="004837A8" w:rsidRPr="000A0244">
          <w:rPr>
            <w:rStyle w:val="Hyperlink"/>
            <w:noProof/>
          </w:rPr>
          <w:t>Changes to the design of the programs</w:t>
        </w:r>
        <w:r w:rsidR="004837A8">
          <w:rPr>
            <w:noProof/>
            <w:webHidden/>
          </w:rPr>
          <w:tab/>
        </w:r>
        <w:r w:rsidR="004837A8">
          <w:rPr>
            <w:noProof/>
            <w:webHidden/>
          </w:rPr>
          <w:fldChar w:fldCharType="begin"/>
        </w:r>
        <w:r w:rsidR="004837A8">
          <w:rPr>
            <w:noProof/>
            <w:webHidden/>
          </w:rPr>
          <w:instrText xml:space="preserve"> PAGEREF _Toc101343287 \h </w:instrText>
        </w:r>
        <w:r w:rsidR="004837A8">
          <w:rPr>
            <w:noProof/>
            <w:webHidden/>
          </w:rPr>
        </w:r>
        <w:r w:rsidR="004837A8">
          <w:rPr>
            <w:noProof/>
            <w:webHidden/>
          </w:rPr>
          <w:fldChar w:fldCharType="separate"/>
        </w:r>
        <w:r w:rsidR="004837A8">
          <w:rPr>
            <w:noProof/>
            <w:webHidden/>
          </w:rPr>
          <w:t>22</w:t>
        </w:r>
        <w:r w:rsidR="004837A8">
          <w:rPr>
            <w:noProof/>
            <w:webHidden/>
          </w:rPr>
          <w:fldChar w:fldCharType="end"/>
        </w:r>
      </w:hyperlink>
    </w:p>
    <w:p w14:paraId="15A962B8" w14:textId="0E2D300A" w:rsidR="004837A8" w:rsidRDefault="00F1362E">
      <w:pPr>
        <w:pStyle w:val="TOC2"/>
        <w:tabs>
          <w:tab w:val="left" w:pos="1134"/>
        </w:tabs>
        <w:rPr>
          <w:rFonts w:asciiTheme="minorHAnsi" w:eastAsiaTheme="minorEastAsia" w:hAnsiTheme="minorHAnsi"/>
          <w:noProof/>
          <w:sz w:val="22"/>
          <w:szCs w:val="22"/>
          <w:lang w:eastAsia="en-AU"/>
        </w:rPr>
      </w:pPr>
      <w:hyperlink w:anchor="_Toc101343288" w:history="1">
        <w:r w:rsidR="004837A8" w:rsidRPr="000A0244">
          <w:rPr>
            <w:rStyle w:val="Hyperlink"/>
            <w:noProof/>
          </w:rPr>
          <w:t>2.4</w:t>
        </w:r>
        <w:r w:rsidR="004837A8">
          <w:rPr>
            <w:rFonts w:asciiTheme="minorHAnsi" w:eastAsiaTheme="minorEastAsia" w:hAnsiTheme="minorHAnsi"/>
            <w:noProof/>
            <w:sz w:val="22"/>
            <w:szCs w:val="22"/>
            <w:lang w:eastAsia="en-AU"/>
          </w:rPr>
          <w:tab/>
        </w:r>
        <w:r w:rsidR="004837A8" w:rsidRPr="000A0244">
          <w:rPr>
            <w:rStyle w:val="Hyperlink"/>
            <w:noProof/>
          </w:rPr>
          <w:t>Consultation and collaboration with Indigenous people</w:t>
        </w:r>
        <w:r w:rsidR="004837A8">
          <w:rPr>
            <w:noProof/>
            <w:webHidden/>
          </w:rPr>
          <w:tab/>
        </w:r>
        <w:r w:rsidR="004837A8">
          <w:rPr>
            <w:noProof/>
            <w:webHidden/>
          </w:rPr>
          <w:fldChar w:fldCharType="begin"/>
        </w:r>
        <w:r w:rsidR="004837A8">
          <w:rPr>
            <w:noProof/>
            <w:webHidden/>
          </w:rPr>
          <w:instrText xml:space="preserve"> PAGEREF _Toc101343288 \h </w:instrText>
        </w:r>
        <w:r w:rsidR="004837A8">
          <w:rPr>
            <w:noProof/>
            <w:webHidden/>
          </w:rPr>
        </w:r>
        <w:r w:rsidR="004837A8">
          <w:rPr>
            <w:noProof/>
            <w:webHidden/>
          </w:rPr>
          <w:fldChar w:fldCharType="separate"/>
        </w:r>
        <w:r w:rsidR="004837A8">
          <w:rPr>
            <w:noProof/>
            <w:webHidden/>
          </w:rPr>
          <w:t>25</w:t>
        </w:r>
        <w:r w:rsidR="004837A8">
          <w:rPr>
            <w:noProof/>
            <w:webHidden/>
          </w:rPr>
          <w:fldChar w:fldCharType="end"/>
        </w:r>
      </w:hyperlink>
    </w:p>
    <w:p w14:paraId="1E3CE4F8" w14:textId="7D7C5B4A" w:rsidR="004837A8" w:rsidRDefault="00F1362E">
      <w:pPr>
        <w:pStyle w:val="TOC1"/>
        <w:rPr>
          <w:rFonts w:asciiTheme="minorHAnsi" w:eastAsiaTheme="minorEastAsia" w:hAnsiTheme="minorHAnsi"/>
          <w:noProof/>
          <w:sz w:val="22"/>
          <w:szCs w:val="22"/>
          <w:lang w:eastAsia="en-AU"/>
        </w:rPr>
      </w:pPr>
      <w:hyperlink w:anchor="_Toc101343289" w:history="1">
        <w:r w:rsidR="004837A8" w:rsidRPr="000A0244">
          <w:rPr>
            <w:rStyle w:val="Hyperlink"/>
            <w:noProof/>
          </w:rPr>
          <w:t>3</w:t>
        </w:r>
        <w:r w:rsidR="004837A8">
          <w:rPr>
            <w:rFonts w:asciiTheme="minorHAnsi" w:eastAsiaTheme="minorEastAsia" w:hAnsiTheme="minorHAnsi"/>
            <w:noProof/>
            <w:sz w:val="22"/>
            <w:szCs w:val="22"/>
            <w:lang w:eastAsia="en-AU"/>
          </w:rPr>
          <w:tab/>
        </w:r>
        <w:r w:rsidR="004837A8" w:rsidRPr="000A0244">
          <w:rPr>
            <w:rStyle w:val="Hyperlink"/>
            <w:noProof/>
          </w:rPr>
          <w:t>Program implementation</w:t>
        </w:r>
        <w:r w:rsidR="004837A8">
          <w:rPr>
            <w:noProof/>
            <w:webHidden/>
          </w:rPr>
          <w:tab/>
        </w:r>
        <w:r w:rsidR="004837A8">
          <w:rPr>
            <w:noProof/>
            <w:webHidden/>
          </w:rPr>
          <w:fldChar w:fldCharType="begin"/>
        </w:r>
        <w:r w:rsidR="004837A8">
          <w:rPr>
            <w:noProof/>
            <w:webHidden/>
          </w:rPr>
          <w:instrText xml:space="preserve"> PAGEREF _Toc101343289 \h </w:instrText>
        </w:r>
        <w:r w:rsidR="004837A8">
          <w:rPr>
            <w:noProof/>
            <w:webHidden/>
          </w:rPr>
        </w:r>
        <w:r w:rsidR="004837A8">
          <w:rPr>
            <w:noProof/>
            <w:webHidden/>
          </w:rPr>
          <w:fldChar w:fldCharType="separate"/>
        </w:r>
        <w:r w:rsidR="004837A8">
          <w:rPr>
            <w:noProof/>
            <w:webHidden/>
          </w:rPr>
          <w:t>28</w:t>
        </w:r>
        <w:r w:rsidR="004837A8">
          <w:rPr>
            <w:noProof/>
            <w:webHidden/>
          </w:rPr>
          <w:fldChar w:fldCharType="end"/>
        </w:r>
      </w:hyperlink>
    </w:p>
    <w:p w14:paraId="2128B372" w14:textId="490D44B9" w:rsidR="004837A8" w:rsidRDefault="00F1362E">
      <w:pPr>
        <w:pStyle w:val="TOC2"/>
        <w:tabs>
          <w:tab w:val="left" w:pos="1134"/>
        </w:tabs>
        <w:rPr>
          <w:rFonts w:asciiTheme="minorHAnsi" w:eastAsiaTheme="minorEastAsia" w:hAnsiTheme="minorHAnsi"/>
          <w:noProof/>
          <w:sz w:val="22"/>
          <w:szCs w:val="22"/>
          <w:lang w:eastAsia="en-AU"/>
        </w:rPr>
      </w:pPr>
      <w:hyperlink w:anchor="_Toc101343290" w:history="1">
        <w:r w:rsidR="004837A8" w:rsidRPr="000A0244">
          <w:rPr>
            <w:rStyle w:val="Hyperlink"/>
            <w:noProof/>
          </w:rPr>
          <w:t>3.1</w:t>
        </w:r>
        <w:r w:rsidR="004837A8">
          <w:rPr>
            <w:rFonts w:asciiTheme="minorHAnsi" w:eastAsiaTheme="minorEastAsia" w:hAnsiTheme="minorHAnsi"/>
            <w:noProof/>
            <w:sz w:val="22"/>
            <w:szCs w:val="22"/>
            <w:lang w:eastAsia="en-AU"/>
          </w:rPr>
          <w:tab/>
        </w:r>
        <w:r w:rsidR="004837A8" w:rsidRPr="000A0244">
          <w:rPr>
            <w:rStyle w:val="Hyperlink"/>
            <w:noProof/>
          </w:rPr>
          <w:t>Analytical approach</w:t>
        </w:r>
        <w:r w:rsidR="004837A8">
          <w:rPr>
            <w:noProof/>
            <w:webHidden/>
          </w:rPr>
          <w:tab/>
        </w:r>
        <w:r w:rsidR="004837A8">
          <w:rPr>
            <w:noProof/>
            <w:webHidden/>
          </w:rPr>
          <w:fldChar w:fldCharType="begin"/>
        </w:r>
        <w:r w:rsidR="004837A8">
          <w:rPr>
            <w:noProof/>
            <w:webHidden/>
          </w:rPr>
          <w:instrText xml:space="preserve"> PAGEREF _Toc101343290 \h </w:instrText>
        </w:r>
        <w:r w:rsidR="004837A8">
          <w:rPr>
            <w:noProof/>
            <w:webHidden/>
          </w:rPr>
        </w:r>
        <w:r w:rsidR="004837A8">
          <w:rPr>
            <w:noProof/>
            <w:webHidden/>
          </w:rPr>
          <w:fldChar w:fldCharType="separate"/>
        </w:r>
        <w:r w:rsidR="004837A8">
          <w:rPr>
            <w:noProof/>
            <w:webHidden/>
          </w:rPr>
          <w:t>28</w:t>
        </w:r>
        <w:r w:rsidR="004837A8">
          <w:rPr>
            <w:noProof/>
            <w:webHidden/>
          </w:rPr>
          <w:fldChar w:fldCharType="end"/>
        </w:r>
      </w:hyperlink>
    </w:p>
    <w:p w14:paraId="3178DC7B" w14:textId="1481135F" w:rsidR="004837A8" w:rsidRDefault="00F1362E">
      <w:pPr>
        <w:pStyle w:val="TOC2"/>
        <w:tabs>
          <w:tab w:val="left" w:pos="1134"/>
        </w:tabs>
        <w:rPr>
          <w:rFonts w:asciiTheme="minorHAnsi" w:eastAsiaTheme="minorEastAsia" w:hAnsiTheme="minorHAnsi"/>
          <w:noProof/>
          <w:sz w:val="22"/>
          <w:szCs w:val="22"/>
          <w:lang w:eastAsia="en-AU"/>
        </w:rPr>
      </w:pPr>
      <w:hyperlink w:anchor="_Toc101343291" w:history="1">
        <w:r w:rsidR="004837A8" w:rsidRPr="000A0244">
          <w:rPr>
            <w:rStyle w:val="Hyperlink"/>
            <w:noProof/>
          </w:rPr>
          <w:t>3.1</w:t>
        </w:r>
        <w:r w:rsidR="004837A8">
          <w:rPr>
            <w:rFonts w:asciiTheme="minorHAnsi" w:eastAsiaTheme="minorEastAsia" w:hAnsiTheme="minorHAnsi"/>
            <w:noProof/>
            <w:sz w:val="22"/>
            <w:szCs w:val="22"/>
            <w:lang w:eastAsia="en-AU"/>
          </w:rPr>
          <w:tab/>
        </w:r>
        <w:r w:rsidR="004837A8" w:rsidRPr="000A0244">
          <w:rPr>
            <w:rStyle w:val="Hyperlink"/>
            <w:noProof/>
          </w:rPr>
          <w:t>Program delivery</w:t>
        </w:r>
        <w:r w:rsidR="004837A8">
          <w:rPr>
            <w:noProof/>
            <w:webHidden/>
          </w:rPr>
          <w:tab/>
        </w:r>
        <w:r w:rsidR="004837A8">
          <w:rPr>
            <w:noProof/>
            <w:webHidden/>
          </w:rPr>
          <w:fldChar w:fldCharType="begin"/>
        </w:r>
        <w:r w:rsidR="004837A8">
          <w:rPr>
            <w:noProof/>
            <w:webHidden/>
          </w:rPr>
          <w:instrText xml:space="preserve"> PAGEREF _Toc101343291 \h </w:instrText>
        </w:r>
        <w:r w:rsidR="004837A8">
          <w:rPr>
            <w:noProof/>
            <w:webHidden/>
          </w:rPr>
        </w:r>
        <w:r w:rsidR="004837A8">
          <w:rPr>
            <w:noProof/>
            <w:webHidden/>
          </w:rPr>
          <w:fldChar w:fldCharType="separate"/>
        </w:r>
        <w:r w:rsidR="004837A8">
          <w:rPr>
            <w:noProof/>
            <w:webHidden/>
          </w:rPr>
          <w:t>30</w:t>
        </w:r>
        <w:r w:rsidR="004837A8">
          <w:rPr>
            <w:noProof/>
            <w:webHidden/>
          </w:rPr>
          <w:fldChar w:fldCharType="end"/>
        </w:r>
      </w:hyperlink>
    </w:p>
    <w:p w14:paraId="04AF19C7" w14:textId="5DEEA1FD" w:rsidR="004837A8" w:rsidRDefault="00F1362E">
      <w:pPr>
        <w:pStyle w:val="TOC2"/>
        <w:tabs>
          <w:tab w:val="left" w:pos="1134"/>
        </w:tabs>
        <w:rPr>
          <w:rFonts w:asciiTheme="minorHAnsi" w:eastAsiaTheme="minorEastAsia" w:hAnsiTheme="minorHAnsi"/>
          <w:noProof/>
          <w:sz w:val="22"/>
          <w:szCs w:val="22"/>
          <w:lang w:eastAsia="en-AU"/>
        </w:rPr>
      </w:pPr>
      <w:hyperlink w:anchor="_Toc101343292" w:history="1">
        <w:r w:rsidR="004837A8" w:rsidRPr="000A0244">
          <w:rPr>
            <w:rStyle w:val="Hyperlink"/>
            <w:noProof/>
          </w:rPr>
          <w:t>3.2</w:t>
        </w:r>
        <w:r w:rsidR="004837A8">
          <w:rPr>
            <w:rFonts w:asciiTheme="minorHAnsi" w:eastAsiaTheme="minorEastAsia" w:hAnsiTheme="minorHAnsi"/>
            <w:noProof/>
            <w:sz w:val="22"/>
            <w:szCs w:val="22"/>
            <w:lang w:eastAsia="en-AU"/>
          </w:rPr>
          <w:tab/>
        </w:r>
        <w:r w:rsidR="004837A8" w:rsidRPr="000A0244">
          <w:rPr>
            <w:rStyle w:val="Hyperlink"/>
            <w:noProof/>
          </w:rPr>
          <w:t>Participant profile</w:t>
        </w:r>
        <w:r w:rsidR="004837A8">
          <w:rPr>
            <w:noProof/>
            <w:webHidden/>
          </w:rPr>
          <w:tab/>
        </w:r>
        <w:r w:rsidR="004837A8">
          <w:rPr>
            <w:noProof/>
            <w:webHidden/>
          </w:rPr>
          <w:fldChar w:fldCharType="begin"/>
        </w:r>
        <w:r w:rsidR="004837A8">
          <w:rPr>
            <w:noProof/>
            <w:webHidden/>
          </w:rPr>
          <w:instrText xml:space="preserve"> PAGEREF _Toc101343292 \h </w:instrText>
        </w:r>
        <w:r w:rsidR="004837A8">
          <w:rPr>
            <w:noProof/>
            <w:webHidden/>
          </w:rPr>
        </w:r>
        <w:r w:rsidR="004837A8">
          <w:rPr>
            <w:noProof/>
            <w:webHidden/>
          </w:rPr>
          <w:fldChar w:fldCharType="separate"/>
        </w:r>
        <w:r w:rsidR="004837A8">
          <w:rPr>
            <w:noProof/>
            <w:webHidden/>
          </w:rPr>
          <w:t>36</w:t>
        </w:r>
        <w:r w:rsidR="004837A8">
          <w:rPr>
            <w:noProof/>
            <w:webHidden/>
          </w:rPr>
          <w:fldChar w:fldCharType="end"/>
        </w:r>
      </w:hyperlink>
    </w:p>
    <w:p w14:paraId="4C7C9885" w14:textId="44F5073A" w:rsidR="004837A8" w:rsidRDefault="00F1362E">
      <w:pPr>
        <w:pStyle w:val="TOC2"/>
        <w:tabs>
          <w:tab w:val="left" w:pos="1134"/>
        </w:tabs>
        <w:rPr>
          <w:rFonts w:asciiTheme="minorHAnsi" w:eastAsiaTheme="minorEastAsia" w:hAnsiTheme="minorHAnsi"/>
          <w:noProof/>
          <w:sz w:val="22"/>
          <w:szCs w:val="22"/>
          <w:lang w:eastAsia="en-AU"/>
        </w:rPr>
      </w:pPr>
      <w:hyperlink w:anchor="_Toc101343293" w:history="1">
        <w:r w:rsidR="004837A8" w:rsidRPr="000A0244">
          <w:rPr>
            <w:rStyle w:val="Hyperlink"/>
            <w:noProof/>
          </w:rPr>
          <w:t>3.3</w:t>
        </w:r>
        <w:r w:rsidR="004837A8">
          <w:rPr>
            <w:rFonts w:asciiTheme="minorHAnsi" w:eastAsiaTheme="minorEastAsia" w:hAnsiTheme="minorHAnsi"/>
            <w:noProof/>
            <w:sz w:val="22"/>
            <w:szCs w:val="22"/>
            <w:lang w:eastAsia="en-AU"/>
          </w:rPr>
          <w:tab/>
        </w:r>
        <w:r w:rsidR="004837A8" w:rsidRPr="000A0244">
          <w:rPr>
            <w:rStyle w:val="Hyperlink"/>
            <w:noProof/>
          </w:rPr>
          <w:t>Provider and EPI partner profile</w:t>
        </w:r>
        <w:r w:rsidR="004837A8">
          <w:rPr>
            <w:noProof/>
            <w:webHidden/>
          </w:rPr>
          <w:tab/>
        </w:r>
        <w:r w:rsidR="004837A8">
          <w:rPr>
            <w:noProof/>
            <w:webHidden/>
          </w:rPr>
          <w:fldChar w:fldCharType="begin"/>
        </w:r>
        <w:r w:rsidR="004837A8">
          <w:rPr>
            <w:noProof/>
            <w:webHidden/>
          </w:rPr>
          <w:instrText xml:space="preserve"> PAGEREF _Toc101343293 \h </w:instrText>
        </w:r>
        <w:r w:rsidR="004837A8">
          <w:rPr>
            <w:noProof/>
            <w:webHidden/>
          </w:rPr>
        </w:r>
        <w:r w:rsidR="004837A8">
          <w:rPr>
            <w:noProof/>
            <w:webHidden/>
          </w:rPr>
          <w:fldChar w:fldCharType="separate"/>
        </w:r>
        <w:r w:rsidR="004837A8">
          <w:rPr>
            <w:noProof/>
            <w:webHidden/>
          </w:rPr>
          <w:t>38</w:t>
        </w:r>
        <w:r w:rsidR="004837A8">
          <w:rPr>
            <w:noProof/>
            <w:webHidden/>
          </w:rPr>
          <w:fldChar w:fldCharType="end"/>
        </w:r>
      </w:hyperlink>
    </w:p>
    <w:p w14:paraId="62F40D1E" w14:textId="17BAB459" w:rsidR="004837A8" w:rsidRDefault="00F1362E">
      <w:pPr>
        <w:pStyle w:val="TOC2"/>
        <w:tabs>
          <w:tab w:val="left" w:pos="1134"/>
        </w:tabs>
        <w:rPr>
          <w:rFonts w:asciiTheme="minorHAnsi" w:eastAsiaTheme="minorEastAsia" w:hAnsiTheme="minorHAnsi"/>
          <w:noProof/>
          <w:sz w:val="22"/>
          <w:szCs w:val="22"/>
          <w:lang w:eastAsia="en-AU"/>
        </w:rPr>
      </w:pPr>
      <w:hyperlink w:anchor="_Toc101343294" w:history="1">
        <w:r w:rsidR="004837A8" w:rsidRPr="000A0244">
          <w:rPr>
            <w:rStyle w:val="Hyperlink"/>
            <w:noProof/>
          </w:rPr>
          <w:t>3.4</w:t>
        </w:r>
        <w:r w:rsidR="004837A8">
          <w:rPr>
            <w:rFonts w:asciiTheme="minorHAnsi" w:eastAsiaTheme="minorEastAsia" w:hAnsiTheme="minorHAnsi"/>
            <w:noProof/>
            <w:sz w:val="22"/>
            <w:szCs w:val="22"/>
            <w:lang w:eastAsia="en-AU"/>
          </w:rPr>
          <w:tab/>
        </w:r>
        <w:r w:rsidR="004837A8" w:rsidRPr="000A0244">
          <w:rPr>
            <w:rStyle w:val="Hyperlink"/>
            <w:noProof/>
          </w:rPr>
          <w:t>Challenges in delivering the program</w:t>
        </w:r>
        <w:r w:rsidR="004837A8">
          <w:rPr>
            <w:noProof/>
            <w:webHidden/>
          </w:rPr>
          <w:tab/>
        </w:r>
        <w:r w:rsidR="004837A8">
          <w:rPr>
            <w:noProof/>
            <w:webHidden/>
          </w:rPr>
          <w:fldChar w:fldCharType="begin"/>
        </w:r>
        <w:r w:rsidR="004837A8">
          <w:rPr>
            <w:noProof/>
            <w:webHidden/>
          </w:rPr>
          <w:instrText xml:space="preserve"> PAGEREF _Toc101343294 \h </w:instrText>
        </w:r>
        <w:r w:rsidR="004837A8">
          <w:rPr>
            <w:noProof/>
            <w:webHidden/>
          </w:rPr>
        </w:r>
        <w:r w:rsidR="004837A8">
          <w:rPr>
            <w:noProof/>
            <w:webHidden/>
          </w:rPr>
          <w:fldChar w:fldCharType="separate"/>
        </w:r>
        <w:r w:rsidR="004837A8">
          <w:rPr>
            <w:noProof/>
            <w:webHidden/>
          </w:rPr>
          <w:t>39</w:t>
        </w:r>
        <w:r w:rsidR="004837A8">
          <w:rPr>
            <w:noProof/>
            <w:webHidden/>
          </w:rPr>
          <w:fldChar w:fldCharType="end"/>
        </w:r>
      </w:hyperlink>
    </w:p>
    <w:p w14:paraId="47A819D4" w14:textId="20B876FA" w:rsidR="004837A8" w:rsidRDefault="00F1362E">
      <w:pPr>
        <w:pStyle w:val="TOC2"/>
        <w:tabs>
          <w:tab w:val="left" w:pos="1134"/>
        </w:tabs>
        <w:rPr>
          <w:rFonts w:asciiTheme="minorHAnsi" w:eastAsiaTheme="minorEastAsia" w:hAnsiTheme="minorHAnsi"/>
          <w:noProof/>
          <w:sz w:val="22"/>
          <w:szCs w:val="22"/>
          <w:lang w:eastAsia="en-AU"/>
        </w:rPr>
      </w:pPr>
      <w:hyperlink w:anchor="_Toc101343295" w:history="1">
        <w:r w:rsidR="004837A8" w:rsidRPr="000A0244">
          <w:rPr>
            <w:rStyle w:val="Hyperlink"/>
            <w:rFonts w:asciiTheme="majorHAnsi" w:hAnsiTheme="majorHAnsi"/>
            <w:noProof/>
          </w:rPr>
          <w:t>3.5</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Governance structure</w:t>
        </w:r>
        <w:r w:rsidR="004837A8">
          <w:rPr>
            <w:noProof/>
            <w:webHidden/>
          </w:rPr>
          <w:tab/>
        </w:r>
        <w:r w:rsidR="004837A8">
          <w:rPr>
            <w:noProof/>
            <w:webHidden/>
          </w:rPr>
          <w:fldChar w:fldCharType="begin"/>
        </w:r>
        <w:r w:rsidR="004837A8">
          <w:rPr>
            <w:noProof/>
            <w:webHidden/>
          </w:rPr>
          <w:instrText xml:space="preserve"> PAGEREF _Toc101343295 \h </w:instrText>
        </w:r>
        <w:r w:rsidR="004837A8">
          <w:rPr>
            <w:noProof/>
            <w:webHidden/>
          </w:rPr>
        </w:r>
        <w:r w:rsidR="004837A8">
          <w:rPr>
            <w:noProof/>
            <w:webHidden/>
          </w:rPr>
          <w:fldChar w:fldCharType="separate"/>
        </w:r>
        <w:r w:rsidR="004837A8">
          <w:rPr>
            <w:noProof/>
            <w:webHidden/>
          </w:rPr>
          <w:t>45</w:t>
        </w:r>
        <w:r w:rsidR="004837A8">
          <w:rPr>
            <w:noProof/>
            <w:webHidden/>
          </w:rPr>
          <w:fldChar w:fldCharType="end"/>
        </w:r>
      </w:hyperlink>
    </w:p>
    <w:p w14:paraId="16F3C35E" w14:textId="5A698595" w:rsidR="004837A8" w:rsidRDefault="00F1362E">
      <w:pPr>
        <w:pStyle w:val="TOC2"/>
        <w:tabs>
          <w:tab w:val="left" w:pos="1134"/>
        </w:tabs>
        <w:rPr>
          <w:rFonts w:asciiTheme="minorHAnsi" w:eastAsiaTheme="minorEastAsia" w:hAnsiTheme="minorHAnsi"/>
          <w:noProof/>
          <w:sz w:val="22"/>
          <w:szCs w:val="22"/>
          <w:lang w:eastAsia="en-AU"/>
        </w:rPr>
      </w:pPr>
      <w:hyperlink w:anchor="_Toc101343296" w:history="1">
        <w:r w:rsidR="004837A8" w:rsidRPr="000A0244">
          <w:rPr>
            <w:rStyle w:val="Hyperlink"/>
            <w:rFonts w:asciiTheme="majorHAnsi" w:hAnsiTheme="majorHAnsi"/>
            <w:noProof/>
          </w:rPr>
          <w:t>3.6</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Accountability and continual improvement</w:t>
        </w:r>
        <w:r w:rsidR="004837A8">
          <w:rPr>
            <w:noProof/>
            <w:webHidden/>
          </w:rPr>
          <w:tab/>
        </w:r>
        <w:r w:rsidR="004837A8">
          <w:rPr>
            <w:noProof/>
            <w:webHidden/>
          </w:rPr>
          <w:fldChar w:fldCharType="begin"/>
        </w:r>
        <w:r w:rsidR="004837A8">
          <w:rPr>
            <w:noProof/>
            <w:webHidden/>
          </w:rPr>
          <w:instrText xml:space="preserve"> PAGEREF _Toc101343296 \h </w:instrText>
        </w:r>
        <w:r w:rsidR="004837A8">
          <w:rPr>
            <w:noProof/>
            <w:webHidden/>
          </w:rPr>
        </w:r>
        <w:r w:rsidR="004837A8">
          <w:rPr>
            <w:noProof/>
            <w:webHidden/>
          </w:rPr>
          <w:fldChar w:fldCharType="separate"/>
        </w:r>
        <w:r w:rsidR="004837A8">
          <w:rPr>
            <w:noProof/>
            <w:webHidden/>
          </w:rPr>
          <w:t>52</w:t>
        </w:r>
        <w:r w:rsidR="004837A8">
          <w:rPr>
            <w:noProof/>
            <w:webHidden/>
          </w:rPr>
          <w:fldChar w:fldCharType="end"/>
        </w:r>
      </w:hyperlink>
    </w:p>
    <w:p w14:paraId="209AAF76" w14:textId="35C00CEF" w:rsidR="004837A8" w:rsidRDefault="00F1362E">
      <w:pPr>
        <w:pStyle w:val="TOC1"/>
        <w:rPr>
          <w:rFonts w:asciiTheme="minorHAnsi" w:eastAsiaTheme="minorEastAsia" w:hAnsiTheme="minorHAnsi"/>
          <w:noProof/>
          <w:sz w:val="22"/>
          <w:szCs w:val="22"/>
          <w:lang w:eastAsia="en-AU"/>
        </w:rPr>
      </w:pPr>
      <w:hyperlink w:anchor="_Toc101343297" w:history="1">
        <w:r w:rsidR="004837A8" w:rsidRPr="000A0244">
          <w:rPr>
            <w:rStyle w:val="Hyperlink"/>
            <w:noProof/>
          </w:rPr>
          <w:t>4</w:t>
        </w:r>
        <w:r w:rsidR="004837A8">
          <w:rPr>
            <w:rFonts w:asciiTheme="minorHAnsi" w:eastAsiaTheme="minorEastAsia" w:hAnsiTheme="minorHAnsi"/>
            <w:noProof/>
            <w:sz w:val="22"/>
            <w:szCs w:val="22"/>
            <w:lang w:eastAsia="en-AU"/>
          </w:rPr>
          <w:tab/>
        </w:r>
        <w:r w:rsidR="004837A8" w:rsidRPr="000A0244">
          <w:rPr>
            <w:rStyle w:val="Hyperlink"/>
            <w:noProof/>
          </w:rPr>
          <w:t>Program effectiveness</w:t>
        </w:r>
        <w:r w:rsidR="004837A8">
          <w:rPr>
            <w:noProof/>
            <w:webHidden/>
          </w:rPr>
          <w:tab/>
        </w:r>
        <w:r w:rsidR="004837A8">
          <w:rPr>
            <w:noProof/>
            <w:webHidden/>
          </w:rPr>
          <w:fldChar w:fldCharType="begin"/>
        </w:r>
        <w:r w:rsidR="004837A8">
          <w:rPr>
            <w:noProof/>
            <w:webHidden/>
          </w:rPr>
          <w:instrText xml:space="preserve"> PAGEREF _Toc101343297 \h </w:instrText>
        </w:r>
        <w:r w:rsidR="004837A8">
          <w:rPr>
            <w:noProof/>
            <w:webHidden/>
          </w:rPr>
        </w:r>
        <w:r w:rsidR="004837A8">
          <w:rPr>
            <w:noProof/>
            <w:webHidden/>
          </w:rPr>
          <w:fldChar w:fldCharType="separate"/>
        </w:r>
        <w:r w:rsidR="004837A8">
          <w:rPr>
            <w:noProof/>
            <w:webHidden/>
          </w:rPr>
          <w:t>55</w:t>
        </w:r>
        <w:r w:rsidR="004837A8">
          <w:rPr>
            <w:noProof/>
            <w:webHidden/>
          </w:rPr>
          <w:fldChar w:fldCharType="end"/>
        </w:r>
      </w:hyperlink>
    </w:p>
    <w:p w14:paraId="694A1230" w14:textId="3B8CCBC1" w:rsidR="004837A8" w:rsidRDefault="00F1362E">
      <w:pPr>
        <w:pStyle w:val="TOC2"/>
        <w:tabs>
          <w:tab w:val="left" w:pos="1134"/>
        </w:tabs>
        <w:rPr>
          <w:rFonts w:asciiTheme="minorHAnsi" w:eastAsiaTheme="minorEastAsia" w:hAnsiTheme="minorHAnsi"/>
          <w:noProof/>
          <w:sz w:val="22"/>
          <w:szCs w:val="22"/>
          <w:lang w:eastAsia="en-AU"/>
        </w:rPr>
      </w:pPr>
      <w:hyperlink w:anchor="_Toc101343298" w:history="1">
        <w:r w:rsidR="004837A8" w:rsidRPr="000A0244">
          <w:rPr>
            <w:rStyle w:val="Hyperlink"/>
            <w:rFonts w:asciiTheme="majorHAnsi" w:eastAsiaTheme="majorEastAsia" w:hAnsiTheme="majorHAnsi" w:cstheme="majorBidi"/>
            <w:b/>
            <w:noProof/>
          </w:rPr>
          <w:t>4.1</w:t>
        </w:r>
        <w:r w:rsidR="004837A8">
          <w:rPr>
            <w:rFonts w:asciiTheme="minorHAnsi" w:eastAsiaTheme="minorEastAsia" w:hAnsiTheme="minorHAnsi"/>
            <w:noProof/>
            <w:sz w:val="22"/>
            <w:szCs w:val="22"/>
            <w:lang w:eastAsia="en-AU"/>
          </w:rPr>
          <w:tab/>
        </w:r>
        <w:r w:rsidR="004837A8" w:rsidRPr="000A0244">
          <w:rPr>
            <w:rStyle w:val="Hyperlink"/>
            <w:rFonts w:asciiTheme="majorHAnsi" w:eastAsiaTheme="majorEastAsia" w:hAnsiTheme="majorHAnsi" w:cstheme="majorBidi"/>
            <w:b/>
            <w:noProof/>
          </w:rPr>
          <w:t>Analytical approach</w:t>
        </w:r>
        <w:r w:rsidR="004837A8">
          <w:rPr>
            <w:noProof/>
            <w:webHidden/>
          </w:rPr>
          <w:tab/>
        </w:r>
        <w:r w:rsidR="004837A8">
          <w:rPr>
            <w:noProof/>
            <w:webHidden/>
          </w:rPr>
          <w:fldChar w:fldCharType="begin"/>
        </w:r>
        <w:r w:rsidR="004837A8">
          <w:rPr>
            <w:noProof/>
            <w:webHidden/>
          </w:rPr>
          <w:instrText xml:space="preserve"> PAGEREF _Toc101343298 \h </w:instrText>
        </w:r>
        <w:r w:rsidR="004837A8">
          <w:rPr>
            <w:noProof/>
            <w:webHidden/>
          </w:rPr>
        </w:r>
        <w:r w:rsidR="004837A8">
          <w:rPr>
            <w:noProof/>
            <w:webHidden/>
          </w:rPr>
          <w:fldChar w:fldCharType="separate"/>
        </w:r>
        <w:r w:rsidR="004837A8">
          <w:rPr>
            <w:noProof/>
            <w:webHidden/>
          </w:rPr>
          <w:t>55</w:t>
        </w:r>
        <w:r w:rsidR="004837A8">
          <w:rPr>
            <w:noProof/>
            <w:webHidden/>
          </w:rPr>
          <w:fldChar w:fldCharType="end"/>
        </w:r>
      </w:hyperlink>
    </w:p>
    <w:p w14:paraId="59A8B0D9" w14:textId="7456D4DF" w:rsidR="004837A8" w:rsidRDefault="00F1362E">
      <w:pPr>
        <w:pStyle w:val="TOC2"/>
        <w:tabs>
          <w:tab w:val="left" w:pos="1134"/>
        </w:tabs>
        <w:rPr>
          <w:rFonts w:asciiTheme="minorHAnsi" w:eastAsiaTheme="minorEastAsia" w:hAnsiTheme="minorHAnsi"/>
          <w:noProof/>
          <w:sz w:val="22"/>
          <w:szCs w:val="22"/>
          <w:lang w:eastAsia="en-AU"/>
        </w:rPr>
      </w:pPr>
      <w:hyperlink w:anchor="_Toc101343299" w:history="1">
        <w:r w:rsidR="004837A8" w:rsidRPr="000A0244">
          <w:rPr>
            <w:rStyle w:val="Hyperlink"/>
            <w:rFonts w:asciiTheme="majorHAnsi" w:eastAsiaTheme="majorEastAsia" w:hAnsiTheme="majorHAnsi" w:cstheme="majorBidi"/>
            <w:b/>
            <w:noProof/>
          </w:rPr>
          <w:t>4.2</w:t>
        </w:r>
        <w:r w:rsidR="004837A8">
          <w:rPr>
            <w:rFonts w:asciiTheme="minorHAnsi" w:eastAsiaTheme="minorEastAsia" w:hAnsiTheme="minorHAnsi"/>
            <w:noProof/>
            <w:sz w:val="22"/>
            <w:szCs w:val="22"/>
            <w:lang w:eastAsia="en-AU"/>
          </w:rPr>
          <w:tab/>
        </w:r>
        <w:r w:rsidR="004837A8" w:rsidRPr="000A0244">
          <w:rPr>
            <w:rStyle w:val="Hyperlink"/>
            <w:rFonts w:asciiTheme="majorHAnsi" w:eastAsiaTheme="majorEastAsia" w:hAnsiTheme="majorHAnsi" w:cstheme="majorBidi"/>
            <w:b/>
            <w:noProof/>
          </w:rPr>
          <w:t>Short-term outcomes</w:t>
        </w:r>
        <w:r w:rsidR="004837A8">
          <w:rPr>
            <w:noProof/>
            <w:webHidden/>
          </w:rPr>
          <w:tab/>
        </w:r>
        <w:r w:rsidR="004837A8">
          <w:rPr>
            <w:noProof/>
            <w:webHidden/>
          </w:rPr>
          <w:fldChar w:fldCharType="begin"/>
        </w:r>
        <w:r w:rsidR="004837A8">
          <w:rPr>
            <w:noProof/>
            <w:webHidden/>
          </w:rPr>
          <w:instrText xml:space="preserve"> PAGEREF _Toc101343299 \h </w:instrText>
        </w:r>
        <w:r w:rsidR="004837A8">
          <w:rPr>
            <w:noProof/>
            <w:webHidden/>
          </w:rPr>
        </w:r>
        <w:r w:rsidR="004837A8">
          <w:rPr>
            <w:noProof/>
            <w:webHidden/>
          </w:rPr>
          <w:fldChar w:fldCharType="separate"/>
        </w:r>
        <w:r w:rsidR="004837A8">
          <w:rPr>
            <w:noProof/>
            <w:webHidden/>
          </w:rPr>
          <w:t>59</w:t>
        </w:r>
        <w:r w:rsidR="004837A8">
          <w:rPr>
            <w:noProof/>
            <w:webHidden/>
          </w:rPr>
          <w:fldChar w:fldCharType="end"/>
        </w:r>
      </w:hyperlink>
    </w:p>
    <w:p w14:paraId="379566E0" w14:textId="3DB2A51B" w:rsidR="004837A8" w:rsidRDefault="00F1362E">
      <w:pPr>
        <w:pStyle w:val="TOC2"/>
        <w:tabs>
          <w:tab w:val="left" w:pos="1134"/>
        </w:tabs>
        <w:rPr>
          <w:rFonts w:asciiTheme="minorHAnsi" w:eastAsiaTheme="minorEastAsia" w:hAnsiTheme="minorHAnsi"/>
          <w:noProof/>
          <w:sz w:val="22"/>
          <w:szCs w:val="22"/>
          <w:lang w:eastAsia="en-AU"/>
        </w:rPr>
      </w:pPr>
      <w:hyperlink w:anchor="_Toc101343300" w:history="1">
        <w:r w:rsidR="004837A8" w:rsidRPr="000A0244">
          <w:rPr>
            <w:rStyle w:val="Hyperlink"/>
            <w:rFonts w:asciiTheme="majorHAnsi" w:eastAsiaTheme="majorEastAsia" w:hAnsiTheme="majorHAnsi" w:cstheme="majorBidi"/>
            <w:b/>
            <w:noProof/>
          </w:rPr>
          <w:t>4.3</w:t>
        </w:r>
        <w:r w:rsidR="004837A8">
          <w:rPr>
            <w:rFonts w:asciiTheme="minorHAnsi" w:eastAsiaTheme="minorEastAsia" w:hAnsiTheme="minorHAnsi"/>
            <w:noProof/>
            <w:sz w:val="22"/>
            <w:szCs w:val="22"/>
            <w:lang w:eastAsia="en-AU"/>
          </w:rPr>
          <w:tab/>
        </w:r>
        <w:r w:rsidR="004837A8" w:rsidRPr="000A0244">
          <w:rPr>
            <w:rStyle w:val="Hyperlink"/>
            <w:rFonts w:asciiTheme="majorHAnsi" w:eastAsiaTheme="majorEastAsia" w:hAnsiTheme="majorHAnsi" w:cstheme="majorBidi"/>
            <w:b/>
            <w:noProof/>
          </w:rPr>
          <w:t>Medium-term outcomes</w:t>
        </w:r>
        <w:r w:rsidR="004837A8">
          <w:rPr>
            <w:noProof/>
            <w:webHidden/>
          </w:rPr>
          <w:tab/>
        </w:r>
        <w:r w:rsidR="004837A8">
          <w:rPr>
            <w:noProof/>
            <w:webHidden/>
          </w:rPr>
          <w:fldChar w:fldCharType="begin"/>
        </w:r>
        <w:r w:rsidR="004837A8">
          <w:rPr>
            <w:noProof/>
            <w:webHidden/>
          </w:rPr>
          <w:instrText xml:space="preserve"> PAGEREF _Toc101343300 \h </w:instrText>
        </w:r>
        <w:r w:rsidR="004837A8">
          <w:rPr>
            <w:noProof/>
            <w:webHidden/>
          </w:rPr>
        </w:r>
        <w:r w:rsidR="004837A8">
          <w:rPr>
            <w:noProof/>
            <w:webHidden/>
          </w:rPr>
          <w:fldChar w:fldCharType="separate"/>
        </w:r>
        <w:r w:rsidR="004837A8">
          <w:rPr>
            <w:noProof/>
            <w:webHidden/>
          </w:rPr>
          <w:t>69</w:t>
        </w:r>
        <w:r w:rsidR="004837A8">
          <w:rPr>
            <w:noProof/>
            <w:webHidden/>
          </w:rPr>
          <w:fldChar w:fldCharType="end"/>
        </w:r>
      </w:hyperlink>
    </w:p>
    <w:p w14:paraId="79986461" w14:textId="64BB4905" w:rsidR="004837A8" w:rsidRDefault="00F1362E">
      <w:pPr>
        <w:pStyle w:val="TOC2"/>
        <w:tabs>
          <w:tab w:val="left" w:pos="1134"/>
        </w:tabs>
        <w:rPr>
          <w:rFonts w:asciiTheme="minorHAnsi" w:eastAsiaTheme="minorEastAsia" w:hAnsiTheme="minorHAnsi"/>
          <w:noProof/>
          <w:sz w:val="22"/>
          <w:szCs w:val="22"/>
          <w:lang w:eastAsia="en-AU"/>
        </w:rPr>
      </w:pPr>
      <w:hyperlink w:anchor="_Toc101343301" w:history="1">
        <w:r w:rsidR="004837A8" w:rsidRPr="000A0244">
          <w:rPr>
            <w:rStyle w:val="Hyperlink"/>
            <w:rFonts w:asciiTheme="majorHAnsi" w:eastAsiaTheme="majorEastAsia" w:hAnsiTheme="majorHAnsi" w:cstheme="majorBidi"/>
            <w:b/>
            <w:noProof/>
          </w:rPr>
          <w:t>4.4</w:t>
        </w:r>
        <w:r w:rsidR="004837A8">
          <w:rPr>
            <w:rFonts w:asciiTheme="minorHAnsi" w:eastAsiaTheme="minorEastAsia" w:hAnsiTheme="minorHAnsi"/>
            <w:noProof/>
            <w:sz w:val="22"/>
            <w:szCs w:val="22"/>
            <w:lang w:eastAsia="en-AU"/>
          </w:rPr>
          <w:tab/>
        </w:r>
        <w:r w:rsidR="004837A8" w:rsidRPr="000A0244">
          <w:rPr>
            <w:rStyle w:val="Hyperlink"/>
            <w:rFonts w:asciiTheme="majorHAnsi" w:eastAsiaTheme="majorEastAsia" w:hAnsiTheme="majorHAnsi" w:cstheme="majorBidi"/>
            <w:b/>
            <w:noProof/>
          </w:rPr>
          <w:t>Long-term outcomes</w:t>
        </w:r>
        <w:r w:rsidR="004837A8">
          <w:rPr>
            <w:noProof/>
            <w:webHidden/>
          </w:rPr>
          <w:tab/>
        </w:r>
        <w:r w:rsidR="004837A8">
          <w:rPr>
            <w:noProof/>
            <w:webHidden/>
          </w:rPr>
          <w:fldChar w:fldCharType="begin"/>
        </w:r>
        <w:r w:rsidR="004837A8">
          <w:rPr>
            <w:noProof/>
            <w:webHidden/>
          </w:rPr>
          <w:instrText xml:space="preserve"> PAGEREF _Toc101343301 \h </w:instrText>
        </w:r>
        <w:r w:rsidR="004837A8">
          <w:rPr>
            <w:noProof/>
            <w:webHidden/>
          </w:rPr>
        </w:r>
        <w:r w:rsidR="004837A8">
          <w:rPr>
            <w:noProof/>
            <w:webHidden/>
          </w:rPr>
          <w:fldChar w:fldCharType="separate"/>
        </w:r>
        <w:r w:rsidR="004837A8">
          <w:rPr>
            <w:noProof/>
            <w:webHidden/>
          </w:rPr>
          <w:t>75</w:t>
        </w:r>
        <w:r w:rsidR="004837A8">
          <w:rPr>
            <w:noProof/>
            <w:webHidden/>
          </w:rPr>
          <w:fldChar w:fldCharType="end"/>
        </w:r>
      </w:hyperlink>
    </w:p>
    <w:p w14:paraId="664FE89A" w14:textId="22020B1E" w:rsidR="004837A8" w:rsidRDefault="00F1362E">
      <w:pPr>
        <w:pStyle w:val="TOC2"/>
        <w:tabs>
          <w:tab w:val="left" w:pos="1134"/>
        </w:tabs>
        <w:rPr>
          <w:rFonts w:asciiTheme="minorHAnsi" w:eastAsiaTheme="minorEastAsia" w:hAnsiTheme="minorHAnsi"/>
          <w:noProof/>
          <w:sz w:val="22"/>
          <w:szCs w:val="22"/>
          <w:lang w:eastAsia="en-AU"/>
        </w:rPr>
      </w:pPr>
      <w:hyperlink w:anchor="_Toc101343302" w:history="1">
        <w:r w:rsidR="004837A8" w:rsidRPr="000A0244">
          <w:rPr>
            <w:rStyle w:val="Hyperlink"/>
            <w:noProof/>
          </w:rPr>
          <w:t>4.5</w:t>
        </w:r>
        <w:r w:rsidR="004837A8">
          <w:rPr>
            <w:rFonts w:asciiTheme="minorHAnsi" w:eastAsiaTheme="minorEastAsia" w:hAnsiTheme="minorHAnsi"/>
            <w:noProof/>
            <w:sz w:val="22"/>
            <w:szCs w:val="22"/>
            <w:lang w:eastAsia="en-AU"/>
          </w:rPr>
          <w:tab/>
        </w:r>
        <w:r w:rsidR="004837A8" w:rsidRPr="000A0244">
          <w:rPr>
            <w:rStyle w:val="Hyperlink"/>
            <w:noProof/>
          </w:rPr>
          <w:t>Effective investment</w:t>
        </w:r>
        <w:r w:rsidR="004837A8">
          <w:rPr>
            <w:noProof/>
            <w:webHidden/>
          </w:rPr>
          <w:tab/>
        </w:r>
        <w:r w:rsidR="004837A8">
          <w:rPr>
            <w:noProof/>
            <w:webHidden/>
          </w:rPr>
          <w:fldChar w:fldCharType="begin"/>
        </w:r>
        <w:r w:rsidR="004837A8">
          <w:rPr>
            <w:noProof/>
            <w:webHidden/>
          </w:rPr>
          <w:instrText xml:space="preserve"> PAGEREF _Toc101343302 \h </w:instrText>
        </w:r>
        <w:r w:rsidR="004837A8">
          <w:rPr>
            <w:noProof/>
            <w:webHidden/>
          </w:rPr>
        </w:r>
        <w:r w:rsidR="004837A8">
          <w:rPr>
            <w:noProof/>
            <w:webHidden/>
          </w:rPr>
          <w:fldChar w:fldCharType="separate"/>
        </w:r>
        <w:r w:rsidR="004837A8">
          <w:rPr>
            <w:noProof/>
            <w:webHidden/>
          </w:rPr>
          <w:t>88</w:t>
        </w:r>
        <w:r w:rsidR="004837A8">
          <w:rPr>
            <w:noProof/>
            <w:webHidden/>
          </w:rPr>
          <w:fldChar w:fldCharType="end"/>
        </w:r>
      </w:hyperlink>
    </w:p>
    <w:p w14:paraId="229B5675" w14:textId="46C44F43" w:rsidR="004837A8" w:rsidRDefault="00F1362E">
      <w:pPr>
        <w:pStyle w:val="TOC1"/>
        <w:rPr>
          <w:rFonts w:asciiTheme="minorHAnsi" w:eastAsiaTheme="minorEastAsia" w:hAnsiTheme="minorHAnsi"/>
          <w:noProof/>
          <w:sz w:val="22"/>
          <w:szCs w:val="22"/>
          <w:lang w:eastAsia="en-AU"/>
        </w:rPr>
      </w:pPr>
      <w:hyperlink w:anchor="_Toc101343303" w:history="1">
        <w:r w:rsidR="004837A8" w:rsidRPr="000A0244">
          <w:rPr>
            <w:rStyle w:val="Hyperlink"/>
            <w:rFonts w:asciiTheme="majorHAnsi" w:hAnsiTheme="majorHAnsi"/>
            <w:noProof/>
          </w:rPr>
          <w:t>5</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Impact</w:t>
        </w:r>
        <w:r w:rsidR="004837A8">
          <w:rPr>
            <w:noProof/>
            <w:webHidden/>
          </w:rPr>
          <w:tab/>
        </w:r>
        <w:r w:rsidR="004837A8">
          <w:rPr>
            <w:noProof/>
            <w:webHidden/>
          </w:rPr>
          <w:fldChar w:fldCharType="begin"/>
        </w:r>
        <w:r w:rsidR="004837A8">
          <w:rPr>
            <w:noProof/>
            <w:webHidden/>
          </w:rPr>
          <w:instrText xml:space="preserve"> PAGEREF _Toc101343303 \h </w:instrText>
        </w:r>
        <w:r w:rsidR="004837A8">
          <w:rPr>
            <w:noProof/>
            <w:webHidden/>
          </w:rPr>
        </w:r>
        <w:r w:rsidR="004837A8">
          <w:rPr>
            <w:noProof/>
            <w:webHidden/>
          </w:rPr>
          <w:fldChar w:fldCharType="separate"/>
        </w:r>
        <w:r w:rsidR="004837A8">
          <w:rPr>
            <w:noProof/>
            <w:webHidden/>
          </w:rPr>
          <w:t>96</w:t>
        </w:r>
        <w:r w:rsidR="004837A8">
          <w:rPr>
            <w:noProof/>
            <w:webHidden/>
          </w:rPr>
          <w:fldChar w:fldCharType="end"/>
        </w:r>
      </w:hyperlink>
    </w:p>
    <w:p w14:paraId="3C50794E" w14:textId="53085653" w:rsidR="004837A8" w:rsidRDefault="00F1362E">
      <w:pPr>
        <w:pStyle w:val="TOC2"/>
        <w:tabs>
          <w:tab w:val="left" w:pos="1134"/>
        </w:tabs>
        <w:rPr>
          <w:rFonts w:asciiTheme="minorHAnsi" w:eastAsiaTheme="minorEastAsia" w:hAnsiTheme="minorHAnsi"/>
          <w:noProof/>
          <w:sz w:val="22"/>
          <w:szCs w:val="22"/>
          <w:lang w:eastAsia="en-AU"/>
        </w:rPr>
      </w:pPr>
      <w:hyperlink w:anchor="_Toc101343304" w:history="1">
        <w:r w:rsidR="004837A8" w:rsidRPr="000A0244">
          <w:rPr>
            <w:rStyle w:val="Hyperlink"/>
            <w:rFonts w:asciiTheme="majorHAnsi" w:hAnsiTheme="majorHAnsi"/>
            <w:noProof/>
          </w:rPr>
          <w:t>5.1</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Analytical approach</w:t>
        </w:r>
        <w:r w:rsidR="004837A8">
          <w:rPr>
            <w:noProof/>
            <w:webHidden/>
          </w:rPr>
          <w:tab/>
        </w:r>
        <w:r w:rsidR="004837A8">
          <w:rPr>
            <w:noProof/>
            <w:webHidden/>
          </w:rPr>
          <w:fldChar w:fldCharType="begin"/>
        </w:r>
        <w:r w:rsidR="004837A8">
          <w:rPr>
            <w:noProof/>
            <w:webHidden/>
          </w:rPr>
          <w:instrText xml:space="preserve"> PAGEREF _Toc101343304 \h </w:instrText>
        </w:r>
        <w:r w:rsidR="004837A8">
          <w:rPr>
            <w:noProof/>
            <w:webHidden/>
          </w:rPr>
        </w:r>
        <w:r w:rsidR="004837A8">
          <w:rPr>
            <w:noProof/>
            <w:webHidden/>
          </w:rPr>
          <w:fldChar w:fldCharType="separate"/>
        </w:r>
        <w:r w:rsidR="004837A8">
          <w:rPr>
            <w:noProof/>
            <w:webHidden/>
          </w:rPr>
          <w:t>96</w:t>
        </w:r>
        <w:r w:rsidR="004837A8">
          <w:rPr>
            <w:noProof/>
            <w:webHidden/>
          </w:rPr>
          <w:fldChar w:fldCharType="end"/>
        </w:r>
      </w:hyperlink>
    </w:p>
    <w:p w14:paraId="764A8504" w14:textId="5C7DADDA" w:rsidR="004837A8" w:rsidRDefault="00F1362E">
      <w:pPr>
        <w:pStyle w:val="TOC2"/>
        <w:tabs>
          <w:tab w:val="left" w:pos="1134"/>
        </w:tabs>
        <w:rPr>
          <w:rFonts w:asciiTheme="minorHAnsi" w:eastAsiaTheme="minorEastAsia" w:hAnsiTheme="minorHAnsi"/>
          <w:noProof/>
          <w:sz w:val="22"/>
          <w:szCs w:val="22"/>
          <w:lang w:eastAsia="en-AU"/>
        </w:rPr>
      </w:pPr>
      <w:hyperlink w:anchor="_Toc101343305" w:history="1">
        <w:r w:rsidR="004837A8" w:rsidRPr="000A0244">
          <w:rPr>
            <w:rStyle w:val="Hyperlink"/>
            <w:rFonts w:asciiTheme="majorHAnsi" w:hAnsiTheme="majorHAnsi"/>
            <w:noProof/>
          </w:rPr>
          <w:t>5.2</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Moving towards a counterfactual</w:t>
        </w:r>
        <w:r w:rsidR="004837A8">
          <w:rPr>
            <w:noProof/>
            <w:webHidden/>
          </w:rPr>
          <w:tab/>
        </w:r>
        <w:r w:rsidR="004837A8">
          <w:rPr>
            <w:noProof/>
            <w:webHidden/>
          </w:rPr>
          <w:fldChar w:fldCharType="begin"/>
        </w:r>
        <w:r w:rsidR="004837A8">
          <w:rPr>
            <w:noProof/>
            <w:webHidden/>
          </w:rPr>
          <w:instrText xml:space="preserve"> PAGEREF _Toc101343305 \h </w:instrText>
        </w:r>
        <w:r w:rsidR="004837A8">
          <w:rPr>
            <w:noProof/>
            <w:webHidden/>
          </w:rPr>
        </w:r>
        <w:r w:rsidR="004837A8">
          <w:rPr>
            <w:noProof/>
            <w:webHidden/>
          </w:rPr>
          <w:fldChar w:fldCharType="separate"/>
        </w:r>
        <w:r w:rsidR="004837A8">
          <w:rPr>
            <w:noProof/>
            <w:webHidden/>
          </w:rPr>
          <w:t>100</w:t>
        </w:r>
        <w:r w:rsidR="004837A8">
          <w:rPr>
            <w:noProof/>
            <w:webHidden/>
          </w:rPr>
          <w:fldChar w:fldCharType="end"/>
        </w:r>
      </w:hyperlink>
    </w:p>
    <w:p w14:paraId="23DDE8EF" w14:textId="3E60421E" w:rsidR="004837A8" w:rsidRDefault="00F1362E">
      <w:pPr>
        <w:pStyle w:val="TOC2"/>
        <w:tabs>
          <w:tab w:val="left" w:pos="1134"/>
        </w:tabs>
        <w:rPr>
          <w:rFonts w:asciiTheme="minorHAnsi" w:eastAsiaTheme="minorEastAsia" w:hAnsiTheme="minorHAnsi"/>
          <w:noProof/>
          <w:sz w:val="22"/>
          <w:szCs w:val="22"/>
          <w:lang w:eastAsia="en-AU"/>
        </w:rPr>
      </w:pPr>
      <w:hyperlink w:anchor="_Toc101343306" w:history="1">
        <w:r w:rsidR="004837A8" w:rsidRPr="000A0244">
          <w:rPr>
            <w:rStyle w:val="Hyperlink"/>
            <w:rFonts w:asciiTheme="majorHAnsi" w:hAnsiTheme="majorHAnsi"/>
            <w:noProof/>
          </w:rPr>
          <w:t>5.3</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Jobseeker impact</w:t>
        </w:r>
        <w:r w:rsidR="004837A8">
          <w:rPr>
            <w:noProof/>
            <w:webHidden/>
          </w:rPr>
          <w:tab/>
        </w:r>
        <w:r w:rsidR="004837A8">
          <w:rPr>
            <w:noProof/>
            <w:webHidden/>
          </w:rPr>
          <w:fldChar w:fldCharType="begin"/>
        </w:r>
        <w:r w:rsidR="004837A8">
          <w:rPr>
            <w:noProof/>
            <w:webHidden/>
          </w:rPr>
          <w:instrText xml:space="preserve"> PAGEREF _Toc101343306 \h </w:instrText>
        </w:r>
        <w:r w:rsidR="004837A8">
          <w:rPr>
            <w:noProof/>
            <w:webHidden/>
          </w:rPr>
        </w:r>
        <w:r w:rsidR="004837A8">
          <w:rPr>
            <w:noProof/>
            <w:webHidden/>
          </w:rPr>
          <w:fldChar w:fldCharType="separate"/>
        </w:r>
        <w:r w:rsidR="004837A8">
          <w:rPr>
            <w:noProof/>
            <w:webHidden/>
          </w:rPr>
          <w:t>101</w:t>
        </w:r>
        <w:r w:rsidR="004837A8">
          <w:rPr>
            <w:noProof/>
            <w:webHidden/>
          </w:rPr>
          <w:fldChar w:fldCharType="end"/>
        </w:r>
      </w:hyperlink>
    </w:p>
    <w:p w14:paraId="133DE3AE" w14:textId="518BEA3C" w:rsidR="004837A8" w:rsidRDefault="00F1362E">
      <w:pPr>
        <w:pStyle w:val="TOC2"/>
        <w:tabs>
          <w:tab w:val="left" w:pos="1134"/>
        </w:tabs>
        <w:rPr>
          <w:rFonts w:asciiTheme="minorHAnsi" w:eastAsiaTheme="minorEastAsia" w:hAnsiTheme="minorHAnsi"/>
          <w:noProof/>
          <w:sz w:val="22"/>
          <w:szCs w:val="22"/>
          <w:lang w:eastAsia="en-AU"/>
        </w:rPr>
      </w:pPr>
      <w:hyperlink w:anchor="_Toc101343307" w:history="1">
        <w:r w:rsidR="004837A8" w:rsidRPr="000A0244">
          <w:rPr>
            <w:rStyle w:val="Hyperlink"/>
            <w:rFonts w:asciiTheme="majorHAnsi" w:hAnsiTheme="majorHAnsi"/>
            <w:noProof/>
          </w:rPr>
          <w:t>5.4</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Employer impact</w:t>
        </w:r>
        <w:r w:rsidR="004837A8">
          <w:rPr>
            <w:noProof/>
            <w:webHidden/>
          </w:rPr>
          <w:tab/>
        </w:r>
        <w:r w:rsidR="004837A8">
          <w:rPr>
            <w:noProof/>
            <w:webHidden/>
          </w:rPr>
          <w:fldChar w:fldCharType="begin"/>
        </w:r>
        <w:r w:rsidR="004837A8">
          <w:rPr>
            <w:noProof/>
            <w:webHidden/>
          </w:rPr>
          <w:instrText xml:space="preserve"> PAGEREF _Toc101343307 \h </w:instrText>
        </w:r>
        <w:r w:rsidR="004837A8">
          <w:rPr>
            <w:noProof/>
            <w:webHidden/>
          </w:rPr>
        </w:r>
        <w:r w:rsidR="004837A8">
          <w:rPr>
            <w:noProof/>
            <w:webHidden/>
          </w:rPr>
          <w:fldChar w:fldCharType="separate"/>
        </w:r>
        <w:r w:rsidR="004837A8">
          <w:rPr>
            <w:noProof/>
            <w:webHidden/>
          </w:rPr>
          <w:t>102</w:t>
        </w:r>
        <w:r w:rsidR="004837A8">
          <w:rPr>
            <w:noProof/>
            <w:webHidden/>
          </w:rPr>
          <w:fldChar w:fldCharType="end"/>
        </w:r>
      </w:hyperlink>
    </w:p>
    <w:p w14:paraId="48544F4B" w14:textId="615481C5" w:rsidR="004837A8" w:rsidRDefault="00F1362E">
      <w:pPr>
        <w:pStyle w:val="TOC2"/>
        <w:tabs>
          <w:tab w:val="left" w:pos="1134"/>
        </w:tabs>
        <w:rPr>
          <w:rFonts w:asciiTheme="minorHAnsi" w:eastAsiaTheme="minorEastAsia" w:hAnsiTheme="minorHAnsi"/>
          <w:noProof/>
          <w:sz w:val="22"/>
          <w:szCs w:val="22"/>
          <w:lang w:eastAsia="en-AU"/>
        </w:rPr>
      </w:pPr>
      <w:hyperlink w:anchor="_Toc101343308" w:history="1">
        <w:r w:rsidR="004837A8" w:rsidRPr="000A0244">
          <w:rPr>
            <w:rStyle w:val="Hyperlink"/>
            <w:rFonts w:asciiTheme="majorHAnsi" w:hAnsiTheme="majorHAnsi"/>
            <w:noProof/>
          </w:rPr>
          <w:t>5.5</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Community impact</w:t>
        </w:r>
        <w:r w:rsidR="004837A8">
          <w:rPr>
            <w:noProof/>
            <w:webHidden/>
          </w:rPr>
          <w:tab/>
        </w:r>
        <w:r w:rsidR="004837A8">
          <w:rPr>
            <w:noProof/>
            <w:webHidden/>
          </w:rPr>
          <w:fldChar w:fldCharType="begin"/>
        </w:r>
        <w:r w:rsidR="004837A8">
          <w:rPr>
            <w:noProof/>
            <w:webHidden/>
          </w:rPr>
          <w:instrText xml:space="preserve"> PAGEREF _Toc101343308 \h </w:instrText>
        </w:r>
        <w:r w:rsidR="004837A8">
          <w:rPr>
            <w:noProof/>
            <w:webHidden/>
          </w:rPr>
        </w:r>
        <w:r w:rsidR="004837A8">
          <w:rPr>
            <w:noProof/>
            <w:webHidden/>
          </w:rPr>
          <w:fldChar w:fldCharType="separate"/>
        </w:r>
        <w:r w:rsidR="004837A8">
          <w:rPr>
            <w:noProof/>
            <w:webHidden/>
          </w:rPr>
          <w:t>106</w:t>
        </w:r>
        <w:r w:rsidR="004837A8">
          <w:rPr>
            <w:noProof/>
            <w:webHidden/>
          </w:rPr>
          <w:fldChar w:fldCharType="end"/>
        </w:r>
      </w:hyperlink>
    </w:p>
    <w:p w14:paraId="6572DC37" w14:textId="1B49C349" w:rsidR="004837A8" w:rsidRDefault="00F1362E">
      <w:pPr>
        <w:pStyle w:val="TOC2"/>
        <w:tabs>
          <w:tab w:val="left" w:pos="1134"/>
        </w:tabs>
        <w:rPr>
          <w:rFonts w:asciiTheme="minorHAnsi" w:eastAsiaTheme="minorEastAsia" w:hAnsiTheme="minorHAnsi"/>
          <w:noProof/>
          <w:sz w:val="22"/>
          <w:szCs w:val="22"/>
          <w:lang w:eastAsia="en-AU"/>
        </w:rPr>
      </w:pPr>
      <w:hyperlink w:anchor="_Toc101343309" w:history="1">
        <w:r w:rsidR="004837A8" w:rsidRPr="000A0244">
          <w:rPr>
            <w:rStyle w:val="Hyperlink"/>
            <w:noProof/>
          </w:rPr>
          <w:t>5.6</w:t>
        </w:r>
        <w:r w:rsidR="004837A8">
          <w:rPr>
            <w:rFonts w:asciiTheme="minorHAnsi" w:eastAsiaTheme="minorEastAsia" w:hAnsiTheme="minorHAnsi"/>
            <w:noProof/>
            <w:sz w:val="22"/>
            <w:szCs w:val="22"/>
            <w:lang w:eastAsia="en-AU"/>
          </w:rPr>
          <w:tab/>
        </w:r>
        <w:r w:rsidR="004837A8" w:rsidRPr="000A0244">
          <w:rPr>
            <w:rStyle w:val="Hyperlink"/>
            <w:rFonts w:asciiTheme="majorHAnsi" w:hAnsiTheme="majorHAnsi"/>
            <w:noProof/>
          </w:rPr>
          <w:t>Societal impact</w:t>
        </w:r>
        <w:r w:rsidR="004837A8">
          <w:rPr>
            <w:noProof/>
            <w:webHidden/>
          </w:rPr>
          <w:tab/>
        </w:r>
        <w:r w:rsidR="004837A8">
          <w:rPr>
            <w:noProof/>
            <w:webHidden/>
          </w:rPr>
          <w:fldChar w:fldCharType="begin"/>
        </w:r>
        <w:r w:rsidR="004837A8">
          <w:rPr>
            <w:noProof/>
            <w:webHidden/>
          </w:rPr>
          <w:instrText xml:space="preserve"> PAGEREF _Toc101343309 \h </w:instrText>
        </w:r>
        <w:r w:rsidR="004837A8">
          <w:rPr>
            <w:noProof/>
            <w:webHidden/>
          </w:rPr>
        </w:r>
        <w:r w:rsidR="004837A8">
          <w:rPr>
            <w:noProof/>
            <w:webHidden/>
          </w:rPr>
          <w:fldChar w:fldCharType="separate"/>
        </w:r>
        <w:r w:rsidR="004837A8">
          <w:rPr>
            <w:noProof/>
            <w:webHidden/>
          </w:rPr>
          <w:t>108</w:t>
        </w:r>
        <w:r w:rsidR="004837A8">
          <w:rPr>
            <w:noProof/>
            <w:webHidden/>
          </w:rPr>
          <w:fldChar w:fldCharType="end"/>
        </w:r>
      </w:hyperlink>
    </w:p>
    <w:p w14:paraId="0277205F" w14:textId="0B16FC63" w:rsidR="004837A8" w:rsidRDefault="00F1362E">
      <w:pPr>
        <w:pStyle w:val="TOC1"/>
        <w:rPr>
          <w:rFonts w:asciiTheme="minorHAnsi" w:eastAsiaTheme="minorEastAsia" w:hAnsiTheme="minorHAnsi"/>
          <w:noProof/>
          <w:sz w:val="22"/>
          <w:szCs w:val="22"/>
          <w:lang w:eastAsia="en-AU"/>
        </w:rPr>
      </w:pPr>
      <w:hyperlink w:anchor="_Toc101343310" w:history="1">
        <w:r w:rsidR="004837A8" w:rsidRPr="000A0244">
          <w:rPr>
            <w:rStyle w:val="Hyperlink"/>
            <w:noProof/>
          </w:rPr>
          <w:t>References</w:t>
        </w:r>
        <w:r w:rsidR="004837A8">
          <w:rPr>
            <w:noProof/>
            <w:webHidden/>
          </w:rPr>
          <w:tab/>
        </w:r>
        <w:r w:rsidR="004837A8">
          <w:rPr>
            <w:noProof/>
            <w:webHidden/>
          </w:rPr>
          <w:fldChar w:fldCharType="begin"/>
        </w:r>
        <w:r w:rsidR="004837A8">
          <w:rPr>
            <w:noProof/>
            <w:webHidden/>
          </w:rPr>
          <w:instrText xml:space="preserve"> PAGEREF _Toc101343310 \h </w:instrText>
        </w:r>
        <w:r w:rsidR="004837A8">
          <w:rPr>
            <w:noProof/>
            <w:webHidden/>
          </w:rPr>
        </w:r>
        <w:r w:rsidR="004837A8">
          <w:rPr>
            <w:noProof/>
            <w:webHidden/>
          </w:rPr>
          <w:fldChar w:fldCharType="separate"/>
        </w:r>
        <w:r w:rsidR="004837A8">
          <w:rPr>
            <w:noProof/>
            <w:webHidden/>
          </w:rPr>
          <w:t>109</w:t>
        </w:r>
        <w:r w:rsidR="004837A8">
          <w:rPr>
            <w:noProof/>
            <w:webHidden/>
          </w:rPr>
          <w:fldChar w:fldCharType="end"/>
        </w:r>
      </w:hyperlink>
    </w:p>
    <w:p w14:paraId="2F218FB0" w14:textId="5F883F38" w:rsidR="004837A8" w:rsidRDefault="00F1362E">
      <w:pPr>
        <w:pStyle w:val="TOC1"/>
        <w:rPr>
          <w:rFonts w:asciiTheme="minorHAnsi" w:eastAsiaTheme="minorEastAsia" w:hAnsiTheme="minorHAnsi"/>
          <w:noProof/>
          <w:sz w:val="22"/>
          <w:szCs w:val="22"/>
          <w:lang w:eastAsia="en-AU"/>
        </w:rPr>
      </w:pPr>
      <w:hyperlink w:anchor="_Toc101343311" w:history="1">
        <w:r w:rsidR="004837A8" w:rsidRPr="000A0244">
          <w:rPr>
            <w:rStyle w:val="Hyperlink"/>
            <w:rFonts w:eastAsia="Times New Roman" w:cs="Arial"/>
            <w:noProof/>
          </w:rPr>
          <w:t>Appendix A</w:t>
        </w:r>
        <w:r w:rsidR="004837A8" w:rsidRPr="000A0244">
          <w:rPr>
            <w:rStyle w:val="Hyperlink"/>
            <w:rFonts w:asciiTheme="majorHAnsi" w:hAnsiTheme="majorHAnsi"/>
            <w:noProof/>
          </w:rPr>
          <w:t>: Literature scan</w:t>
        </w:r>
        <w:r w:rsidR="004837A8">
          <w:rPr>
            <w:noProof/>
            <w:webHidden/>
          </w:rPr>
          <w:tab/>
        </w:r>
        <w:r w:rsidR="004837A8">
          <w:rPr>
            <w:noProof/>
            <w:webHidden/>
          </w:rPr>
          <w:fldChar w:fldCharType="begin"/>
        </w:r>
        <w:r w:rsidR="004837A8">
          <w:rPr>
            <w:noProof/>
            <w:webHidden/>
          </w:rPr>
          <w:instrText xml:space="preserve"> PAGEREF _Toc101343311 \h </w:instrText>
        </w:r>
        <w:r w:rsidR="004837A8">
          <w:rPr>
            <w:noProof/>
            <w:webHidden/>
          </w:rPr>
        </w:r>
        <w:r w:rsidR="004837A8">
          <w:rPr>
            <w:noProof/>
            <w:webHidden/>
          </w:rPr>
          <w:fldChar w:fldCharType="separate"/>
        </w:r>
        <w:r w:rsidR="004837A8">
          <w:rPr>
            <w:noProof/>
            <w:webHidden/>
          </w:rPr>
          <w:t>114</w:t>
        </w:r>
        <w:r w:rsidR="004837A8">
          <w:rPr>
            <w:noProof/>
            <w:webHidden/>
          </w:rPr>
          <w:fldChar w:fldCharType="end"/>
        </w:r>
      </w:hyperlink>
    </w:p>
    <w:p w14:paraId="35922F1A" w14:textId="0D1F90DF" w:rsidR="004837A8" w:rsidRDefault="00F1362E">
      <w:pPr>
        <w:pStyle w:val="TOC1"/>
        <w:rPr>
          <w:rFonts w:asciiTheme="minorHAnsi" w:eastAsiaTheme="minorEastAsia" w:hAnsiTheme="minorHAnsi"/>
          <w:noProof/>
          <w:sz w:val="22"/>
          <w:szCs w:val="22"/>
          <w:lang w:eastAsia="en-AU"/>
        </w:rPr>
      </w:pPr>
      <w:hyperlink w:anchor="_Toc101343312" w:history="1">
        <w:r w:rsidR="004837A8" w:rsidRPr="000A0244">
          <w:rPr>
            <w:rStyle w:val="Hyperlink"/>
            <w:rFonts w:eastAsia="Times New Roman" w:cs="Arial"/>
            <w:noProof/>
          </w:rPr>
          <w:t>Appendix B</w:t>
        </w:r>
        <w:r w:rsidR="004837A8" w:rsidRPr="000A0244">
          <w:rPr>
            <w:rStyle w:val="Hyperlink"/>
            <w:noProof/>
          </w:rPr>
          <w:t>: State and Territory Indigenous Employment Policies</w:t>
        </w:r>
        <w:r w:rsidR="004837A8">
          <w:rPr>
            <w:noProof/>
            <w:webHidden/>
          </w:rPr>
          <w:tab/>
        </w:r>
        <w:r w:rsidR="004837A8">
          <w:rPr>
            <w:noProof/>
            <w:webHidden/>
          </w:rPr>
          <w:fldChar w:fldCharType="begin"/>
        </w:r>
        <w:r w:rsidR="004837A8">
          <w:rPr>
            <w:noProof/>
            <w:webHidden/>
          </w:rPr>
          <w:instrText xml:space="preserve"> PAGEREF _Toc101343312 \h </w:instrText>
        </w:r>
        <w:r w:rsidR="004837A8">
          <w:rPr>
            <w:noProof/>
            <w:webHidden/>
          </w:rPr>
        </w:r>
        <w:r w:rsidR="004837A8">
          <w:rPr>
            <w:noProof/>
            <w:webHidden/>
          </w:rPr>
          <w:fldChar w:fldCharType="separate"/>
        </w:r>
        <w:r w:rsidR="004837A8">
          <w:rPr>
            <w:noProof/>
            <w:webHidden/>
          </w:rPr>
          <w:t>164</w:t>
        </w:r>
        <w:r w:rsidR="004837A8">
          <w:rPr>
            <w:noProof/>
            <w:webHidden/>
          </w:rPr>
          <w:fldChar w:fldCharType="end"/>
        </w:r>
      </w:hyperlink>
    </w:p>
    <w:p w14:paraId="4425D2F5" w14:textId="39152FB5" w:rsidR="004837A8" w:rsidRDefault="00F1362E">
      <w:pPr>
        <w:pStyle w:val="TOC2"/>
        <w:rPr>
          <w:rFonts w:asciiTheme="minorHAnsi" w:eastAsiaTheme="minorEastAsia" w:hAnsiTheme="minorHAnsi"/>
          <w:noProof/>
          <w:sz w:val="22"/>
          <w:szCs w:val="22"/>
          <w:lang w:eastAsia="en-AU"/>
        </w:rPr>
      </w:pPr>
      <w:hyperlink w:anchor="_Toc101343313" w:history="1">
        <w:r w:rsidR="004837A8" w:rsidRPr="000A0244">
          <w:rPr>
            <w:rStyle w:val="Hyperlink"/>
            <w:noProof/>
          </w:rPr>
          <w:t>Table A.5 : High-level summary of state and territory Indigenous employment policies</w:t>
        </w:r>
        <w:r w:rsidR="004837A8">
          <w:rPr>
            <w:noProof/>
            <w:webHidden/>
          </w:rPr>
          <w:tab/>
        </w:r>
        <w:r w:rsidR="004837A8">
          <w:rPr>
            <w:noProof/>
            <w:webHidden/>
          </w:rPr>
          <w:fldChar w:fldCharType="begin"/>
        </w:r>
        <w:r w:rsidR="004837A8">
          <w:rPr>
            <w:noProof/>
            <w:webHidden/>
          </w:rPr>
          <w:instrText xml:space="preserve"> PAGEREF _Toc101343313 \h </w:instrText>
        </w:r>
        <w:r w:rsidR="004837A8">
          <w:rPr>
            <w:noProof/>
            <w:webHidden/>
          </w:rPr>
        </w:r>
        <w:r w:rsidR="004837A8">
          <w:rPr>
            <w:noProof/>
            <w:webHidden/>
          </w:rPr>
          <w:fldChar w:fldCharType="separate"/>
        </w:r>
        <w:r w:rsidR="004837A8">
          <w:rPr>
            <w:noProof/>
            <w:webHidden/>
          </w:rPr>
          <w:t>164</w:t>
        </w:r>
        <w:r w:rsidR="004837A8">
          <w:rPr>
            <w:noProof/>
            <w:webHidden/>
          </w:rPr>
          <w:fldChar w:fldCharType="end"/>
        </w:r>
      </w:hyperlink>
    </w:p>
    <w:p w14:paraId="7A1AEB06" w14:textId="3BCF085A" w:rsidR="004837A8" w:rsidRDefault="00F1362E">
      <w:pPr>
        <w:pStyle w:val="TOC1"/>
        <w:rPr>
          <w:rFonts w:asciiTheme="minorHAnsi" w:eastAsiaTheme="minorEastAsia" w:hAnsiTheme="minorHAnsi"/>
          <w:noProof/>
          <w:sz w:val="22"/>
          <w:szCs w:val="22"/>
          <w:lang w:eastAsia="en-AU"/>
        </w:rPr>
      </w:pPr>
      <w:hyperlink w:anchor="_Toc101343314" w:history="1">
        <w:r w:rsidR="004837A8" w:rsidRPr="000A0244">
          <w:rPr>
            <w:rStyle w:val="Hyperlink"/>
            <w:rFonts w:asciiTheme="majorHAnsi" w:hAnsiTheme="majorHAnsi"/>
            <w:noProof/>
          </w:rPr>
          <w:t>Appendix C: Econometrics &amp; RED data analysis</w:t>
        </w:r>
        <w:r w:rsidR="004837A8">
          <w:rPr>
            <w:noProof/>
            <w:webHidden/>
          </w:rPr>
          <w:tab/>
        </w:r>
        <w:r w:rsidR="004837A8">
          <w:rPr>
            <w:noProof/>
            <w:webHidden/>
          </w:rPr>
          <w:fldChar w:fldCharType="begin"/>
        </w:r>
        <w:r w:rsidR="004837A8">
          <w:rPr>
            <w:noProof/>
            <w:webHidden/>
          </w:rPr>
          <w:instrText xml:space="preserve"> PAGEREF _Toc101343314 \h </w:instrText>
        </w:r>
        <w:r w:rsidR="004837A8">
          <w:rPr>
            <w:noProof/>
            <w:webHidden/>
          </w:rPr>
        </w:r>
        <w:r w:rsidR="004837A8">
          <w:rPr>
            <w:noProof/>
            <w:webHidden/>
          </w:rPr>
          <w:fldChar w:fldCharType="separate"/>
        </w:r>
        <w:r w:rsidR="004837A8">
          <w:rPr>
            <w:noProof/>
            <w:webHidden/>
          </w:rPr>
          <w:t>166</w:t>
        </w:r>
        <w:r w:rsidR="004837A8">
          <w:rPr>
            <w:noProof/>
            <w:webHidden/>
          </w:rPr>
          <w:fldChar w:fldCharType="end"/>
        </w:r>
      </w:hyperlink>
    </w:p>
    <w:p w14:paraId="268FC763" w14:textId="4213FE14" w:rsidR="004837A8" w:rsidRDefault="00F1362E">
      <w:pPr>
        <w:pStyle w:val="TOC1"/>
        <w:rPr>
          <w:rFonts w:asciiTheme="minorHAnsi" w:eastAsiaTheme="minorEastAsia" w:hAnsiTheme="minorHAnsi"/>
          <w:noProof/>
          <w:sz w:val="22"/>
          <w:szCs w:val="22"/>
          <w:lang w:eastAsia="en-AU"/>
        </w:rPr>
      </w:pPr>
      <w:hyperlink w:anchor="_Toc101343320" w:history="1">
        <w:r w:rsidR="004837A8" w:rsidRPr="000A0244">
          <w:rPr>
            <w:rStyle w:val="Hyperlink"/>
            <w:rFonts w:asciiTheme="majorHAnsi" w:hAnsiTheme="majorHAnsi"/>
            <w:noProof/>
          </w:rPr>
          <w:t>Appendix D: Evaluation Strategy</w:t>
        </w:r>
        <w:r w:rsidR="004837A8">
          <w:rPr>
            <w:noProof/>
            <w:webHidden/>
          </w:rPr>
          <w:tab/>
        </w:r>
        <w:r w:rsidR="004837A8">
          <w:rPr>
            <w:noProof/>
            <w:webHidden/>
          </w:rPr>
          <w:fldChar w:fldCharType="begin"/>
        </w:r>
        <w:r w:rsidR="004837A8">
          <w:rPr>
            <w:noProof/>
            <w:webHidden/>
          </w:rPr>
          <w:instrText xml:space="preserve"> PAGEREF _Toc101343320 \h </w:instrText>
        </w:r>
        <w:r w:rsidR="004837A8">
          <w:rPr>
            <w:noProof/>
            <w:webHidden/>
          </w:rPr>
        </w:r>
        <w:r w:rsidR="004837A8">
          <w:rPr>
            <w:noProof/>
            <w:webHidden/>
          </w:rPr>
          <w:fldChar w:fldCharType="separate"/>
        </w:r>
        <w:r w:rsidR="004837A8">
          <w:rPr>
            <w:noProof/>
            <w:webHidden/>
          </w:rPr>
          <w:t>173</w:t>
        </w:r>
        <w:r w:rsidR="004837A8">
          <w:rPr>
            <w:noProof/>
            <w:webHidden/>
          </w:rPr>
          <w:fldChar w:fldCharType="end"/>
        </w:r>
      </w:hyperlink>
    </w:p>
    <w:p w14:paraId="5B8F578B" w14:textId="0DB4911F" w:rsidR="004837A8" w:rsidRDefault="00F1362E">
      <w:pPr>
        <w:pStyle w:val="TOC1"/>
        <w:rPr>
          <w:rFonts w:asciiTheme="minorHAnsi" w:eastAsiaTheme="minorEastAsia" w:hAnsiTheme="minorHAnsi"/>
          <w:noProof/>
          <w:sz w:val="22"/>
          <w:szCs w:val="22"/>
          <w:lang w:eastAsia="en-AU"/>
        </w:rPr>
      </w:pPr>
      <w:hyperlink w:anchor="_Toc101343361" w:history="1">
        <w:r w:rsidR="004837A8" w:rsidRPr="000A0244">
          <w:rPr>
            <w:rStyle w:val="Hyperlink"/>
            <w:noProof/>
            <w:lang w:eastAsia="en-AU"/>
          </w:rPr>
          <w:t>Limitation of our work</w:t>
        </w:r>
        <w:r w:rsidR="004837A8">
          <w:rPr>
            <w:noProof/>
            <w:webHidden/>
          </w:rPr>
          <w:tab/>
        </w:r>
        <w:r w:rsidR="004837A8">
          <w:rPr>
            <w:noProof/>
            <w:webHidden/>
          </w:rPr>
          <w:fldChar w:fldCharType="begin"/>
        </w:r>
        <w:r w:rsidR="004837A8">
          <w:rPr>
            <w:noProof/>
            <w:webHidden/>
          </w:rPr>
          <w:instrText xml:space="preserve"> PAGEREF _Toc101343361 \h </w:instrText>
        </w:r>
        <w:r w:rsidR="004837A8">
          <w:rPr>
            <w:noProof/>
            <w:webHidden/>
          </w:rPr>
        </w:r>
        <w:r w:rsidR="004837A8">
          <w:rPr>
            <w:noProof/>
            <w:webHidden/>
          </w:rPr>
          <w:fldChar w:fldCharType="separate"/>
        </w:r>
        <w:r w:rsidR="004837A8">
          <w:rPr>
            <w:noProof/>
            <w:webHidden/>
          </w:rPr>
          <w:t>281</w:t>
        </w:r>
        <w:r w:rsidR="004837A8">
          <w:rPr>
            <w:noProof/>
            <w:webHidden/>
          </w:rPr>
          <w:fldChar w:fldCharType="end"/>
        </w:r>
      </w:hyperlink>
    </w:p>
    <w:p w14:paraId="251E52A1" w14:textId="682F7F65" w:rsidR="004837A8" w:rsidRDefault="00F1362E">
      <w:pPr>
        <w:pStyle w:val="TOC2"/>
        <w:rPr>
          <w:rFonts w:asciiTheme="minorHAnsi" w:eastAsiaTheme="minorEastAsia" w:hAnsiTheme="minorHAnsi"/>
          <w:noProof/>
          <w:sz w:val="22"/>
          <w:szCs w:val="22"/>
          <w:lang w:eastAsia="en-AU"/>
        </w:rPr>
      </w:pPr>
      <w:hyperlink w:anchor="_Toc101343362" w:history="1">
        <w:r w:rsidR="004837A8" w:rsidRPr="000A0244">
          <w:rPr>
            <w:rStyle w:val="Hyperlink"/>
            <w:noProof/>
          </w:rPr>
          <w:t>General use restriction</w:t>
        </w:r>
        <w:r w:rsidR="004837A8">
          <w:rPr>
            <w:noProof/>
            <w:webHidden/>
          </w:rPr>
          <w:tab/>
        </w:r>
        <w:r w:rsidR="004837A8">
          <w:rPr>
            <w:noProof/>
            <w:webHidden/>
          </w:rPr>
          <w:fldChar w:fldCharType="begin"/>
        </w:r>
        <w:r w:rsidR="004837A8">
          <w:rPr>
            <w:noProof/>
            <w:webHidden/>
          </w:rPr>
          <w:instrText xml:space="preserve"> PAGEREF _Toc101343362 \h </w:instrText>
        </w:r>
        <w:r w:rsidR="004837A8">
          <w:rPr>
            <w:noProof/>
            <w:webHidden/>
          </w:rPr>
        </w:r>
        <w:r w:rsidR="004837A8">
          <w:rPr>
            <w:noProof/>
            <w:webHidden/>
          </w:rPr>
          <w:fldChar w:fldCharType="separate"/>
        </w:r>
        <w:r w:rsidR="004837A8">
          <w:rPr>
            <w:noProof/>
            <w:webHidden/>
          </w:rPr>
          <w:t>281</w:t>
        </w:r>
        <w:r w:rsidR="004837A8">
          <w:rPr>
            <w:noProof/>
            <w:webHidden/>
          </w:rPr>
          <w:fldChar w:fldCharType="end"/>
        </w:r>
      </w:hyperlink>
    </w:p>
    <w:p w14:paraId="4AA4B55A" w14:textId="41D41406" w:rsidR="00627707" w:rsidRPr="00820C89" w:rsidRDefault="0048306A" w:rsidP="00763088">
      <w:pPr>
        <w:rPr>
          <w:rFonts w:asciiTheme="majorHAnsi" w:hAnsiTheme="majorHAnsi"/>
        </w:rPr>
        <w:sectPr w:rsidR="00627707" w:rsidRPr="00820C89" w:rsidSect="00ED3E16">
          <w:headerReference w:type="default" r:id="rId15"/>
          <w:footerReference w:type="default" r:id="rId16"/>
          <w:pgSz w:w="11906" w:h="16838" w:code="9"/>
          <w:pgMar w:top="1440" w:right="1440" w:bottom="1440" w:left="1440" w:header="680" w:footer="425" w:gutter="0"/>
          <w:pgNumType w:fmt="lowerRoman" w:start="2"/>
          <w:cols w:space="284"/>
          <w:noEndnote/>
          <w:docGrid w:linePitch="360"/>
        </w:sectPr>
      </w:pPr>
      <w:r w:rsidRPr="00820C89">
        <w:rPr>
          <w:rFonts w:asciiTheme="majorHAnsi" w:hAnsiTheme="majorHAnsi"/>
        </w:rPr>
        <w:fldChar w:fldCharType="end"/>
      </w:r>
    </w:p>
    <w:p w14:paraId="2BCE137D" w14:textId="15CCD982" w:rsidR="00763088" w:rsidRPr="00820C89" w:rsidRDefault="00715C57" w:rsidP="00763088">
      <w:pPr>
        <w:pStyle w:val="Heading1un-numbered"/>
        <w:rPr>
          <w:rFonts w:asciiTheme="majorHAnsi" w:hAnsiTheme="majorHAnsi"/>
        </w:rPr>
      </w:pPr>
      <w:bookmarkStart w:id="5" w:name="_Toc82710758"/>
      <w:bookmarkStart w:id="6" w:name="_Toc101343273"/>
      <w:r w:rsidRPr="00820C89">
        <w:rPr>
          <w:rFonts w:asciiTheme="majorHAnsi" w:hAnsiTheme="majorHAnsi"/>
        </w:rPr>
        <w:lastRenderedPageBreak/>
        <w:t>Acronyms</w:t>
      </w:r>
      <w:bookmarkEnd w:id="5"/>
      <w:bookmarkEnd w:id="6"/>
    </w:p>
    <w:tbl>
      <w:tblPr>
        <w:tblStyle w:val="Deloittetable"/>
        <w:tblW w:w="5000" w:type="pct"/>
        <w:tblLook w:val="04A0" w:firstRow="1" w:lastRow="0" w:firstColumn="1" w:lastColumn="0" w:noHBand="0" w:noVBand="1"/>
      </w:tblPr>
      <w:tblGrid>
        <w:gridCol w:w="2771"/>
        <w:gridCol w:w="6255"/>
      </w:tblGrid>
      <w:tr w:rsidR="00763088" w:rsidRPr="00820C89" w14:paraId="5368CE53" w14:textId="77777777" w:rsidTr="00BE4A7F">
        <w:trPr>
          <w:cnfStyle w:val="100000000000" w:firstRow="1" w:lastRow="0" w:firstColumn="0" w:lastColumn="0" w:oddVBand="0" w:evenVBand="0" w:oddHBand="0" w:evenHBand="0" w:firstRowFirstColumn="0" w:firstRowLastColumn="0" w:lastRowFirstColumn="0" w:lastRowLastColumn="0"/>
          <w:tblHeader/>
        </w:trPr>
        <w:tc>
          <w:tcPr>
            <w:tcW w:w="1535" w:type="pct"/>
          </w:tcPr>
          <w:p w14:paraId="1BCE7B6D" w14:textId="77777777" w:rsidR="00763088" w:rsidRPr="00820C89" w:rsidRDefault="00763088" w:rsidP="004F6356">
            <w:pPr>
              <w:pStyle w:val="TabletextLeft"/>
              <w:rPr>
                <w:rFonts w:asciiTheme="majorHAnsi" w:hAnsiTheme="majorHAnsi"/>
                <w:b/>
              </w:rPr>
            </w:pPr>
            <w:r w:rsidRPr="00820C89">
              <w:rPr>
                <w:rFonts w:asciiTheme="majorHAnsi" w:hAnsiTheme="majorHAnsi"/>
                <w:b/>
              </w:rPr>
              <w:t>Acronym</w:t>
            </w:r>
          </w:p>
        </w:tc>
        <w:tc>
          <w:tcPr>
            <w:tcW w:w="3465" w:type="pct"/>
          </w:tcPr>
          <w:p w14:paraId="5B61D658" w14:textId="77777777" w:rsidR="00763088" w:rsidRPr="00820C89" w:rsidRDefault="00763088" w:rsidP="004F6356">
            <w:pPr>
              <w:pStyle w:val="TabletextLeft"/>
              <w:rPr>
                <w:rFonts w:asciiTheme="majorHAnsi" w:hAnsiTheme="majorHAnsi"/>
                <w:b/>
              </w:rPr>
            </w:pPr>
            <w:r w:rsidRPr="00820C89">
              <w:rPr>
                <w:rFonts w:asciiTheme="majorHAnsi" w:hAnsiTheme="majorHAnsi"/>
                <w:b/>
              </w:rPr>
              <w:t>Full name</w:t>
            </w:r>
          </w:p>
        </w:tc>
      </w:tr>
      <w:tr w:rsidR="000679B1" w:rsidRPr="00820C89" w14:paraId="55DF1C48" w14:textId="77777777" w:rsidTr="004F6356">
        <w:tc>
          <w:tcPr>
            <w:tcW w:w="1535" w:type="pct"/>
          </w:tcPr>
          <w:p w14:paraId="76C0369E" w14:textId="77777777" w:rsidR="000679B1" w:rsidRPr="00820C89" w:rsidRDefault="000679B1" w:rsidP="004F6356">
            <w:pPr>
              <w:pStyle w:val="TabletextLeft"/>
              <w:rPr>
                <w:rFonts w:asciiTheme="majorHAnsi" w:hAnsiTheme="majorHAnsi"/>
              </w:rPr>
            </w:pPr>
            <w:r w:rsidRPr="00820C89">
              <w:rPr>
                <w:rFonts w:asciiTheme="majorHAnsi" w:hAnsiTheme="majorHAnsi"/>
              </w:rPr>
              <w:t>ABS</w:t>
            </w:r>
          </w:p>
        </w:tc>
        <w:tc>
          <w:tcPr>
            <w:tcW w:w="3465" w:type="pct"/>
          </w:tcPr>
          <w:p w14:paraId="46FC3DE4" w14:textId="77777777" w:rsidR="000679B1" w:rsidRPr="00820C89" w:rsidRDefault="000679B1" w:rsidP="004F6356">
            <w:pPr>
              <w:pStyle w:val="TabletextLeft"/>
              <w:rPr>
                <w:rFonts w:asciiTheme="majorHAnsi" w:hAnsiTheme="majorHAnsi"/>
              </w:rPr>
            </w:pPr>
            <w:r w:rsidRPr="00820C89">
              <w:rPr>
                <w:rFonts w:asciiTheme="majorHAnsi" w:hAnsiTheme="majorHAnsi"/>
              </w:rPr>
              <w:t xml:space="preserve">Australian Bureau of Statistics </w:t>
            </w:r>
          </w:p>
        </w:tc>
      </w:tr>
      <w:tr w:rsidR="000F455C" w:rsidRPr="00820C89" w14:paraId="09FF08FA" w14:textId="77777777" w:rsidTr="004F6356">
        <w:tc>
          <w:tcPr>
            <w:tcW w:w="1535" w:type="pct"/>
          </w:tcPr>
          <w:p w14:paraId="6B4CE8CB" w14:textId="77777777" w:rsidR="000F455C" w:rsidRPr="00820C89" w:rsidRDefault="000F455C" w:rsidP="004F6356">
            <w:pPr>
              <w:pStyle w:val="TabletextLeft"/>
              <w:rPr>
                <w:rFonts w:asciiTheme="majorHAnsi" w:hAnsiTheme="majorHAnsi"/>
              </w:rPr>
            </w:pPr>
            <w:r w:rsidRPr="00820C89">
              <w:rPr>
                <w:rFonts w:asciiTheme="majorHAnsi" w:hAnsiTheme="majorHAnsi"/>
              </w:rPr>
              <w:t>AEC</w:t>
            </w:r>
          </w:p>
        </w:tc>
        <w:tc>
          <w:tcPr>
            <w:tcW w:w="3465" w:type="pct"/>
          </w:tcPr>
          <w:p w14:paraId="008BB082" w14:textId="77777777" w:rsidR="000F455C" w:rsidRPr="00820C89" w:rsidRDefault="000F455C" w:rsidP="004F6356">
            <w:pPr>
              <w:pStyle w:val="TabletextLeft"/>
              <w:rPr>
                <w:rFonts w:asciiTheme="majorHAnsi" w:hAnsiTheme="majorHAnsi"/>
              </w:rPr>
            </w:pPr>
            <w:r w:rsidRPr="00820C89">
              <w:rPr>
                <w:rFonts w:asciiTheme="majorHAnsi" w:hAnsiTheme="majorHAnsi"/>
              </w:rPr>
              <w:t>Australian Employment Covenant</w:t>
            </w:r>
          </w:p>
        </w:tc>
      </w:tr>
      <w:tr w:rsidR="007B254D" w:rsidRPr="00820C89" w14:paraId="5BC7D676" w14:textId="77777777" w:rsidTr="004F6356">
        <w:tc>
          <w:tcPr>
            <w:tcW w:w="1535" w:type="pct"/>
          </w:tcPr>
          <w:p w14:paraId="18081692" w14:textId="77777777" w:rsidR="007B254D" w:rsidRPr="00820C89" w:rsidRDefault="007B254D" w:rsidP="004F6356">
            <w:pPr>
              <w:pStyle w:val="TabletextLeft"/>
              <w:rPr>
                <w:rFonts w:asciiTheme="majorHAnsi" w:hAnsiTheme="majorHAnsi"/>
              </w:rPr>
            </w:pPr>
            <w:r w:rsidRPr="00820C89">
              <w:rPr>
                <w:rFonts w:asciiTheme="majorHAnsi" w:hAnsiTheme="majorHAnsi"/>
              </w:rPr>
              <w:t>CDP</w:t>
            </w:r>
          </w:p>
        </w:tc>
        <w:tc>
          <w:tcPr>
            <w:tcW w:w="3465" w:type="pct"/>
          </w:tcPr>
          <w:p w14:paraId="0956A36A" w14:textId="77777777" w:rsidR="007B254D" w:rsidRPr="00820C89" w:rsidRDefault="007B254D" w:rsidP="004F6356">
            <w:pPr>
              <w:pStyle w:val="TabletextLeft"/>
              <w:rPr>
                <w:rFonts w:asciiTheme="majorHAnsi" w:hAnsiTheme="majorHAnsi"/>
              </w:rPr>
            </w:pPr>
            <w:r w:rsidRPr="00820C89">
              <w:rPr>
                <w:rFonts w:asciiTheme="majorHAnsi" w:hAnsiTheme="majorHAnsi"/>
              </w:rPr>
              <w:t>Community Development Program</w:t>
            </w:r>
          </w:p>
        </w:tc>
      </w:tr>
      <w:tr w:rsidR="000679B1" w:rsidRPr="00820C89" w14:paraId="5E242E1B" w14:textId="77777777" w:rsidTr="004F6356">
        <w:tc>
          <w:tcPr>
            <w:tcW w:w="1535" w:type="pct"/>
          </w:tcPr>
          <w:p w14:paraId="1C7B50DD" w14:textId="77777777" w:rsidR="000679B1" w:rsidRPr="00820C89" w:rsidRDefault="000679B1" w:rsidP="004F6356">
            <w:pPr>
              <w:pStyle w:val="TabletextLeft"/>
              <w:rPr>
                <w:rFonts w:asciiTheme="majorHAnsi" w:hAnsiTheme="majorHAnsi"/>
              </w:rPr>
            </w:pPr>
            <w:r w:rsidRPr="00820C89">
              <w:rPr>
                <w:rFonts w:asciiTheme="majorHAnsi" w:hAnsiTheme="majorHAnsi"/>
              </w:rPr>
              <w:t>CoP</w:t>
            </w:r>
          </w:p>
        </w:tc>
        <w:tc>
          <w:tcPr>
            <w:tcW w:w="3465" w:type="pct"/>
          </w:tcPr>
          <w:p w14:paraId="41D9DDF1" w14:textId="77777777" w:rsidR="000679B1" w:rsidRPr="00820C89" w:rsidRDefault="000679B1" w:rsidP="004F6356">
            <w:pPr>
              <w:pStyle w:val="TabletextLeft"/>
              <w:rPr>
                <w:rFonts w:asciiTheme="majorHAnsi" w:hAnsiTheme="majorHAnsi"/>
              </w:rPr>
            </w:pPr>
            <w:r w:rsidRPr="00820C89">
              <w:rPr>
                <w:rFonts w:asciiTheme="majorHAnsi" w:hAnsiTheme="majorHAnsi"/>
              </w:rPr>
              <w:t>Communities of Practice</w:t>
            </w:r>
          </w:p>
        </w:tc>
      </w:tr>
      <w:tr w:rsidR="0045517D" w:rsidRPr="00820C89" w14:paraId="1CE02C15" w14:textId="77777777" w:rsidTr="004F6356">
        <w:tc>
          <w:tcPr>
            <w:tcW w:w="1535" w:type="pct"/>
          </w:tcPr>
          <w:p w14:paraId="2D09AD8F" w14:textId="77777777" w:rsidR="0045517D" w:rsidRPr="00820C89" w:rsidRDefault="0045517D" w:rsidP="004F6356">
            <w:pPr>
              <w:pStyle w:val="TabletextLeft"/>
              <w:rPr>
                <w:rFonts w:asciiTheme="majorHAnsi" w:hAnsiTheme="majorHAnsi"/>
              </w:rPr>
            </w:pPr>
            <w:r w:rsidRPr="00820C89">
              <w:rPr>
                <w:rFonts w:asciiTheme="majorHAnsi" w:hAnsiTheme="majorHAnsi"/>
              </w:rPr>
              <w:t>CTG</w:t>
            </w:r>
          </w:p>
        </w:tc>
        <w:tc>
          <w:tcPr>
            <w:tcW w:w="3465" w:type="pct"/>
          </w:tcPr>
          <w:p w14:paraId="67540211" w14:textId="77777777" w:rsidR="0045517D" w:rsidRPr="00820C89" w:rsidRDefault="0045517D" w:rsidP="004F6356">
            <w:pPr>
              <w:pStyle w:val="TabletextLeft"/>
              <w:rPr>
                <w:rFonts w:asciiTheme="majorHAnsi" w:hAnsiTheme="majorHAnsi"/>
              </w:rPr>
            </w:pPr>
            <w:r w:rsidRPr="00820C89">
              <w:rPr>
                <w:rFonts w:asciiTheme="majorHAnsi" w:hAnsiTheme="majorHAnsi"/>
              </w:rPr>
              <w:t>Closing the Gap</w:t>
            </w:r>
          </w:p>
        </w:tc>
      </w:tr>
      <w:tr w:rsidR="00FB3E57" w:rsidRPr="00820C89" w14:paraId="25DB6C53" w14:textId="77777777" w:rsidTr="004F6356">
        <w:tc>
          <w:tcPr>
            <w:tcW w:w="1535" w:type="pct"/>
          </w:tcPr>
          <w:p w14:paraId="5F07D64D" w14:textId="77777777" w:rsidR="00FB3E57" w:rsidRPr="00820C89" w:rsidRDefault="00FB3E57" w:rsidP="004F6356">
            <w:pPr>
              <w:pStyle w:val="TabletextLeft"/>
              <w:rPr>
                <w:rFonts w:asciiTheme="majorHAnsi" w:hAnsiTheme="majorHAnsi"/>
              </w:rPr>
            </w:pPr>
            <w:r w:rsidRPr="00820C89">
              <w:rPr>
                <w:rFonts w:asciiTheme="majorHAnsi" w:hAnsiTheme="majorHAnsi"/>
              </w:rPr>
              <w:t>DESE</w:t>
            </w:r>
          </w:p>
        </w:tc>
        <w:tc>
          <w:tcPr>
            <w:tcW w:w="3465" w:type="pct"/>
          </w:tcPr>
          <w:p w14:paraId="4AB53C69" w14:textId="77777777" w:rsidR="00FB3E57" w:rsidRPr="00820C89" w:rsidRDefault="00FB3E57" w:rsidP="004F6356">
            <w:pPr>
              <w:pStyle w:val="TabletextLeft"/>
              <w:rPr>
                <w:rFonts w:asciiTheme="majorHAnsi" w:hAnsiTheme="majorHAnsi"/>
              </w:rPr>
            </w:pPr>
            <w:r w:rsidRPr="00820C89">
              <w:rPr>
                <w:rFonts w:asciiTheme="majorHAnsi" w:hAnsiTheme="majorHAnsi"/>
              </w:rPr>
              <w:t>Department of Education, Skills and Employment</w:t>
            </w:r>
          </w:p>
        </w:tc>
      </w:tr>
      <w:tr w:rsidR="00763088" w:rsidRPr="00820C89" w14:paraId="51DA4194" w14:textId="77777777" w:rsidTr="004F6356">
        <w:tc>
          <w:tcPr>
            <w:tcW w:w="1535" w:type="pct"/>
          </w:tcPr>
          <w:p w14:paraId="6DD7805F"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EPI </w:t>
            </w:r>
          </w:p>
        </w:tc>
        <w:tc>
          <w:tcPr>
            <w:tcW w:w="3465" w:type="pct"/>
          </w:tcPr>
          <w:p w14:paraId="7F649CA4"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Employment Parity Initiative </w:t>
            </w:r>
          </w:p>
        </w:tc>
      </w:tr>
      <w:tr w:rsidR="00763088" w:rsidRPr="00820C89" w14:paraId="208AA944" w14:textId="77777777" w:rsidTr="004F6356">
        <w:tc>
          <w:tcPr>
            <w:tcW w:w="1535" w:type="pct"/>
          </w:tcPr>
          <w:p w14:paraId="3D12AA4D" w14:textId="77777777" w:rsidR="00763088" w:rsidRPr="00820C89" w:rsidRDefault="00763088" w:rsidP="004F6356">
            <w:pPr>
              <w:pStyle w:val="TabletextLeft"/>
              <w:rPr>
                <w:rFonts w:asciiTheme="majorHAnsi" w:hAnsiTheme="majorHAnsi"/>
              </w:rPr>
            </w:pPr>
            <w:r w:rsidRPr="00820C89">
              <w:rPr>
                <w:rFonts w:asciiTheme="majorHAnsi" w:hAnsiTheme="majorHAnsi"/>
              </w:rPr>
              <w:t>ESS</w:t>
            </w:r>
          </w:p>
        </w:tc>
        <w:tc>
          <w:tcPr>
            <w:tcW w:w="3465" w:type="pct"/>
          </w:tcPr>
          <w:p w14:paraId="101C1628" w14:textId="77777777" w:rsidR="00763088" w:rsidRPr="00820C89" w:rsidRDefault="00763088" w:rsidP="004F6356">
            <w:pPr>
              <w:pStyle w:val="TabletextLeft"/>
              <w:rPr>
                <w:rFonts w:asciiTheme="majorHAnsi" w:hAnsiTheme="majorHAnsi"/>
              </w:rPr>
            </w:pPr>
            <w:r w:rsidRPr="00820C89">
              <w:rPr>
                <w:rFonts w:asciiTheme="majorHAnsi" w:hAnsiTheme="majorHAnsi"/>
              </w:rPr>
              <w:t>Employment Services System</w:t>
            </w:r>
          </w:p>
        </w:tc>
      </w:tr>
      <w:tr w:rsidR="004F3AC4" w:rsidRPr="00820C89" w14:paraId="53360964" w14:textId="77777777" w:rsidTr="004F6356">
        <w:tc>
          <w:tcPr>
            <w:tcW w:w="1535" w:type="pct"/>
          </w:tcPr>
          <w:p w14:paraId="028C5A0B" w14:textId="77777777" w:rsidR="004F3AC4" w:rsidRPr="00820C89" w:rsidRDefault="004F3AC4" w:rsidP="004F6356">
            <w:pPr>
              <w:pStyle w:val="TabletextLeft"/>
              <w:rPr>
                <w:rFonts w:asciiTheme="majorHAnsi" w:hAnsiTheme="majorHAnsi"/>
              </w:rPr>
            </w:pPr>
            <w:r w:rsidRPr="00820C89">
              <w:rPr>
                <w:rFonts w:asciiTheme="majorHAnsi" w:hAnsiTheme="majorHAnsi"/>
              </w:rPr>
              <w:t>ERG</w:t>
            </w:r>
          </w:p>
        </w:tc>
        <w:tc>
          <w:tcPr>
            <w:tcW w:w="3465" w:type="pct"/>
          </w:tcPr>
          <w:p w14:paraId="5D66FE48" w14:textId="77777777" w:rsidR="004F3AC4" w:rsidRPr="00820C89" w:rsidRDefault="004F3AC4" w:rsidP="004F6356">
            <w:pPr>
              <w:pStyle w:val="TabletextLeft"/>
              <w:rPr>
                <w:rFonts w:asciiTheme="majorHAnsi" w:hAnsiTheme="majorHAnsi"/>
              </w:rPr>
            </w:pPr>
            <w:r w:rsidRPr="00820C89">
              <w:rPr>
                <w:rFonts w:asciiTheme="majorHAnsi" w:hAnsiTheme="majorHAnsi"/>
              </w:rPr>
              <w:t>Evaluation Reference Group</w:t>
            </w:r>
          </w:p>
        </w:tc>
      </w:tr>
      <w:tr w:rsidR="008C39DD" w:rsidRPr="00820C89" w14:paraId="0A8F46FA" w14:textId="77777777" w:rsidTr="004F6356">
        <w:tc>
          <w:tcPr>
            <w:tcW w:w="1535" w:type="pct"/>
          </w:tcPr>
          <w:p w14:paraId="5B132E1F" w14:textId="77777777" w:rsidR="008C39DD" w:rsidRPr="00820C89" w:rsidRDefault="008C39DD" w:rsidP="004F6356">
            <w:pPr>
              <w:pStyle w:val="TabletextLeft"/>
              <w:rPr>
                <w:rFonts w:asciiTheme="majorHAnsi" w:hAnsiTheme="majorHAnsi"/>
              </w:rPr>
            </w:pPr>
            <w:r w:rsidRPr="00820C89">
              <w:rPr>
                <w:rFonts w:asciiTheme="majorHAnsi" w:hAnsiTheme="majorHAnsi"/>
              </w:rPr>
              <w:t>FMG</w:t>
            </w:r>
          </w:p>
        </w:tc>
        <w:tc>
          <w:tcPr>
            <w:tcW w:w="3465" w:type="pct"/>
          </w:tcPr>
          <w:p w14:paraId="09DD5194" w14:textId="77777777" w:rsidR="008C39DD" w:rsidRPr="00820C89" w:rsidRDefault="008C39DD" w:rsidP="004F6356">
            <w:pPr>
              <w:pStyle w:val="TabletextLeft"/>
              <w:rPr>
                <w:rFonts w:asciiTheme="majorHAnsi" w:hAnsiTheme="majorHAnsi"/>
              </w:rPr>
            </w:pPr>
            <w:r w:rsidRPr="00820C89">
              <w:rPr>
                <w:rFonts w:asciiTheme="majorHAnsi" w:hAnsiTheme="majorHAnsi"/>
              </w:rPr>
              <w:t>Fortescue Metal Group</w:t>
            </w:r>
          </w:p>
        </w:tc>
      </w:tr>
      <w:tr w:rsidR="00763088" w:rsidRPr="00820C89" w14:paraId="2549CF25" w14:textId="77777777" w:rsidTr="004F6356">
        <w:tc>
          <w:tcPr>
            <w:tcW w:w="1535" w:type="pct"/>
          </w:tcPr>
          <w:p w14:paraId="35A29EBE" w14:textId="77777777" w:rsidR="00763088" w:rsidRPr="00820C89" w:rsidRDefault="00763088" w:rsidP="004F6356">
            <w:pPr>
              <w:pStyle w:val="TabletextLeft"/>
              <w:rPr>
                <w:rFonts w:asciiTheme="majorHAnsi" w:hAnsiTheme="majorHAnsi"/>
              </w:rPr>
            </w:pPr>
            <w:r w:rsidRPr="00820C89">
              <w:rPr>
                <w:rFonts w:asciiTheme="majorHAnsi" w:hAnsiTheme="majorHAnsi"/>
              </w:rPr>
              <w:t>IAS</w:t>
            </w:r>
          </w:p>
        </w:tc>
        <w:tc>
          <w:tcPr>
            <w:tcW w:w="3465" w:type="pct"/>
          </w:tcPr>
          <w:p w14:paraId="3AB0A229"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Indigenous Advancement Strategy </w:t>
            </w:r>
          </w:p>
        </w:tc>
      </w:tr>
      <w:tr w:rsidR="004F3AC4" w:rsidRPr="00820C89" w14:paraId="0EBD3D52" w14:textId="77777777" w:rsidTr="004F6356">
        <w:tc>
          <w:tcPr>
            <w:tcW w:w="1535" w:type="pct"/>
          </w:tcPr>
          <w:p w14:paraId="1B9C8686" w14:textId="77777777" w:rsidR="004F3AC4" w:rsidRPr="00820C89" w:rsidRDefault="004F3AC4" w:rsidP="004F6356">
            <w:pPr>
              <w:pStyle w:val="TabletextLeft"/>
              <w:rPr>
                <w:rFonts w:asciiTheme="majorHAnsi" w:hAnsiTheme="majorHAnsi"/>
              </w:rPr>
            </w:pPr>
            <w:r w:rsidRPr="00820C89">
              <w:rPr>
                <w:rFonts w:asciiTheme="majorHAnsi" w:hAnsiTheme="majorHAnsi"/>
              </w:rPr>
              <w:t>IEC</w:t>
            </w:r>
          </w:p>
        </w:tc>
        <w:tc>
          <w:tcPr>
            <w:tcW w:w="3465" w:type="pct"/>
          </w:tcPr>
          <w:p w14:paraId="5EE1927A" w14:textId="77777777" w:rsidR="004F3AC4" w:rsidRPr="00820C89" w:rsidRDefault="00774E2F" w:rsidP="004F6356">
            <w:pPr>
              <w:pStyle w:val="TabletextLeft"/>
              <w:rPr>
                <w:rFonts w:asciiTheme="majorHAnsi" w:hAnsiTheme="majorHAnsi"/>
              </w:rPr>
            </w:pPr>
            <w:r w:rsidRPr="00820C89">
              <w:rPr>
                <w:rFonts w:asciiTheme="majorHAnsi" w:hAnsiTheme="majorHAnsi"/>
              </w:rPr>
              <w:t xml:space="preserve">Indigenous Evaluation Committee </w:t>
            </w:r>
          </w:p>
        </w:tc>
      </w:tr>
      <w:tr w:rsidR="00763088" w:rsidRPr="00820C89" w14:paraId="2F6DDED6" w14:textId="77777777" w:rsidTr="004F6356">
        <w:tc>
          <w:tcPr>
            <w:tcW w:w="1535" w:type="pct"/>
          </w:tcPr>
          <w:p w14:paraId="0CE634F4" w14:textId="77777777" w:rsidR="00763088" w:rsidRPr="00820C89" w:rsidRDefault="00763088" w:rsidP="004F6356">
            <w:pPr>
              <w:pStyle w:val="TabletextLeft"/>
              <w:rPr>
                <w:rFonts w:asciiTheme="majorHAnsi" w:hAnsiTheme="majorHAnsi"/>
              </w:rPr>
            </w:pPr>
            <w:r w:rsidRPr="00820C89">
              <w:rPr>
                <w:rFonts w:asciiTheme="majorHAnsi" w:hAnsiTheme="majorHAnsi"/>
              </w:rPr>
              <w:t>IEP</w:t>
            </w:r>
          </w:p>
        </w:tc>
        <w:tc>
          <w:tcPr>
            <w:tcW w:w="3465" w:type="pct"/>
          </w:tcPr>
          <w:p w14:paraId="768A3706" w14:textId="77777777" w:rsidR="00763088" w:rsidRPr="00820C89" w:rsidRDefault="00763088" w:rsidP="004F6356">
            <w:pPr>
              <w:pStyle w:val="TabletextLeft"/>
              <w:rPr>
                <w:rFonts w:asciiTheme="majorHAnsi" w:hAnsiTheme="majorHAnsi"/>
              </w:rPr>
            </w:pPr>
            <w:r w:rsidRPr="00820C89">
              <w:rPr>
                <w:rFonts w:asciiTheme="majorHAnsi" w:hAnsiTheme="majorHAnsi"/>
              </w:rPr>
              <w:t>Indigenous Employment Programs</w:t>
            </w:r>
          </w:p>
        </w:tc>
      </w:tr>
      <w:tr w:rsidR="00763088" w:rsidRPr="00820C89" w14:paraId="7550F582" w14:textId="77777777" w:rsidTr="004F6356">
        <w:tc>
          <w:tcPr>
            <w:tcW w:w="1535" w:type="pct"/>
          </w:tcPr>
          <w:p w14:paraId="250A82BF" w14:textId="77777777" w:rsidR="00763088" w:rsidRPr="00820C89" w:rsidRDefault="00763088" w:rsidP="004F6356">
            <w:pPr>
              <w:pStyle w:val="TabletextLeft"/>
              <w:rPr>
                <w:rFonts w:asciiTheme="majorHAnsi" w:hAnsiTheme="majorHAnsi"/>
              </w:rPr>
            </w:pPr>
            <w:r w:rsidRPr="00820C89">
              <w:rPr>
                <w:rFonts w:asciiTheme="majorHAnsi" w:hAnsiTheme="majorHAnsi"/>
              </w:rPr>
              <w:t>JLEP</w:t>
            </w:r>
          </w:p>
        </w:tc>
        <w:tc>
          <w:tcPr>
            <w:tcW w:w="3465" w:type="pct"/>
          </w:tcPr>
          <w:p w14:paraId="1F46AC69" w14:textId="77777777" w:rsidR="00763088" w:rsidRPr="00820C89" w:rsidRDefault="00763088" w:rsidP="004F6356">
            <w:pPr>
              <w:pStyle w:val="TabletextLeft"/>
              <w:rPr>
                <w:rFonts w:asciiTheme="majorHAnsi" w:hAnsiTheme="majorHAnsi"/>
              </w:rPr>
            </w:pPr>
            <w:r w:rsidRPr="00820C89">
              <w:rPr>
                <w:rFonts w:asciiTheme="majorHAnsi" w:hAnsiTheme="majorHAnsi"/>
              </w:rPr>
              <w:t>Jobs, Land and Economy Programme</w:t>
            </w:r>
          </w:p>
        </w:tc>
      </w:tr>
      <w:tr w:rsidR="00763088" w:rsidRPr="00820C89" w14:paraId="34422837" w14:textId="77777777" w:rsidTr="004F6356">
        <w:tc>
          <w:tcPr>
            <w:tcW w:w="1535" w:type="pct"/>
          </w:tcPr>
          <w:p w14:paraId="3DE7735D" w14:textId="77777777" w:rsidR="00763088" w:rsidRPr="00820C89" w:rsidRDefault="00763088" w:rsidP="004F6356">
            <w:pPr>
              <w:pStyle w:val="TabletextLeft"/>
              <w:rPr>
                <w:rFonts w:asciiTheme="majorHAnsi" w:hAnsiTheme="majorHAnsi"/>
              </w:rPr>
            </w:pPr>
            <w:r w:rsidRPr="00820C89">
              <w:rPr>
                <w:rFonts w:asciiTheme="majorHAnsi" w:hAnsiTheme="majorHAnsi"/>
              </w:rPr>
              <w:t>JSCI</w:t>
            </w:r>
          </w:p>
        </w:tc>
        <w:tc>
          <w:tcPr>
            <w:tcW w:w="3465" w:type="pct"/>
          </w:tcPr>
          <w:p w14:paraId="7341896E" w14:textId="77777777" w:rsidR="00763088" w:rsidRPr="00820C89" w:rsidRDefault="006B3805" w:rsidP="004F6356">
            <w:pPr>
              <w:pStyle w:val="TabletextLeft"/>
              <w:rPr>
                <w:rFonts w:asciiTheme="majorHAnsi" w:hAnsiTheme="majorHAnsi"/>
              </w:rPr>
            </w:pPr>
            <w:r w:rsidRPr="00820C89">
              <w:rPr>
                <w:rFonts w:asciiTheme="majorHAnsi" w:hAnsiTheme="majorHAnsi"/>
              </w:rPr>
              <w:t>Jobseeker</w:t>
            </w:r>
            <w:r w:rsidR="00763088" w:rsidRPr="00820C89">
              <w:rPr>
                <w:rFonts w:asciiTheme="majorHAnsi" w:hAnsiTheme="majorHAnsi"/>
              </w:rPr>
              <w:t xml:space="preserve"> Classification Instrument </w:t>
            </w:r>
          </w:p>
        </w:tc>
      </w:tr>
      <w:tr w:rsidR="00763088" w:rsidRPr="00820C89" w14:paraId="5E47D1AE" w14:textId="77777777" w:rsidTr="004F6356">
        <w:tc>
          <w:tcPr>
            <w:tcW w:w="1535" w:type="pct"/>
          </w:tcPr>
          <w:p w14:paraId="690D8525" w14:textId="77777777" w:rsidR="00763088" w:rsidRPr="00820C89" w:rsidRDefault="00763088" w:rsidP="004F6356">
            <w:pPr>
              <w:pStyle w:val="TabletextLeft"/>
              <w:rPr>
                <w:rFonts w:asciiTheme="majorHAnsi" w:hAnsiTheme="majorHAnsi"/>
              </w:rPr>
            </w:pPr>
            <w:r w:rsidRPr="00820C89">
              <w:rPr>
                <w:rFonts w:asciiTheme="majorHAnsi" w:hAnsiTheme="majorHAnsi"/>
              </w:rPr>
              <w:t>NIAA</w:t>
            </w:r>
          </w:p>
        </w:tc>
        <w:tc>
          <w:tcPr>
            <w:tcW w:w="3465" w:type="pct"/>
          </w:tcPr>
          <w:p w14:paraId="46B9BB00" w14:textId="77777777" w:rsidR="00763088" w:rsidRPr="00820C89" w:rsidRDefault="00763088" w:rsidP="004F6356">
            <w:pPr>
              <w:pStyle w:val="TabletextLeft"/>
              <w:rPr>
                <w:rFonts w:asciiTheme="majorHAnsi" w:hAnsiTheme="majorHAnsi"/>
              </w:rPr>
            </w:pPr>
            <w:r w:rsidRPr="00820C89">
              <w:rPr>
                <w:rFonts w:asciiTheme="majorHAnsi" w:hAnsiTheme="majorHAnsi"/>
              </w:rPr>
              <w:t>National Indigenous Australians Agency</w:t>
            </w:r>
          </w:p>
        </w:tc>
      </w:tr>
      <w:tr w:rsidR="00577617" w:rsidRPr="00820C89" w14:paraId="64DE17B9" w14:textId="77777777" w:rsidTr="004F6356">
        <w:tc>
          <w:tcPr>
            <w:tcW w:w="1535" w:type="pct"/>
          </w:tcPr>
          <w:p w14:paraId="0443E285" w14:textId="77777777" w:rsidR="00577617" w:rsidRPr="00820C89" w:rsidRDefault="00577617" w:rsidP="004F6356">
            <w:pPr>
              <w:pStyle w:val="TabletextLeft"/>
              <w:rPr>
                <w:rFonts w:asciiTheme="majorHAnsi" w:hAnsiTheme="majorHAnsi"/>
              </w:rPr>
            </w:pPr>
            <w:r w:rsidRPr="00820C89">
              <w:rPr>
                <w:rFonts w:asciiTheme="majorHAnsi" w:eastAsia="Calibri" w:hAnsiTheme="majorHAnsi" w:cs="Times New Roman"/>
                <w:color w:val="000000"/>
              </w:rPr>
              <w:t xml:space="preserve">NATSIHS </w:t>
            </w:r>
          </w:p>
        </w:tc>
        <w:tc>
          <w:tcPr>
            <w:tcW w:w="3465" w:type="pct"/>
          </w:tcPr>
          <w:p w14:paraId="3B55C7C8" w14:textId="77777777" w:rsidR="00577617" w:rsidRPr="00820C89" w:rsidRDefault="00577617" w:rsidP="004F6356">
            <w:pPr>
              <w:pStyle w:val="TabletextLeft"/>
              <w:rPr>
                <w:rFonts w:asciiTheme="majorHAnsi" w:hAnsiTheme="majorHAnsi"/>
              </w:rPr>
            </w:pPr>
            <w:r w:rsidRPr="00820C89">
              <w:rPr>
                <w:rFonts w:asciiTheme="majorHAnsi" w:eastAsia="Calibri" w:hAnsiTheme="majorHAnsi" w:cs="Times New Roman"/>
                <w:color w:val="000000"/>
              </w:rPr>
              <w:t xml:space="preserve">National Aboriginal and Torres Strait Islander Health Survey </w:t>
            </w:r>
          </w:p>
        </w:tc>
      </w:tr>
      <w:tr w:rsidR="00737CB4" w:rsidRPr="00820C89" w14:paraId="1B47E778" w14:textId="77777777" w:rsidTr="004F6356">
        <w:tc>
          <w:tcPr>
            <w:tcW w:w="1535" w:type="pct"/>
          </w:tcPr>
          <w:p w14:paraId="37410CC4" w14:textId="77777777" w:rsidR="00737CB4" w:rsidRPr="00820C89" w:rsidRDefault="00737CB4" w:rsidP="004F6356">
            <w:pPr>
              <w:pStyle w:val="TabletextLeft"/>
              <w:rPr>
                <w:rFonts w:asciiTheme="majorHAnsi" w:eastAsia="Calibri" w:hAnsiTheme="majorHAnsi" w:cs="Times New Roman"/>
                <w:color w:val="000000"/>
              </w:rPr>
            </w:pPr>
            <w:r w:rsidRPr="00820C89">
              <w:rPr>
                <w:rFonts w:asciiTheme="majorHAnsi" w:eastAsia="Calibri" w:hAnsiTheme="majorHAnsi" w:cs="Times New Roman"/>
                <w:color w:val="000000"/>
              </w:rPr>
              <w:t>NILF</w:t>
            </w:r>
          </w:p>
        </w:tc>
        <w:tc>
          <w:tcPr>
            <w:tcW w:w="3465" w:type="pct"/>
          </w:tcPr>
          <w:p w14:paraId="55939F02" w14:textId="77777777" w:rsidR="00737CB4" w:rsidRPr="00820C89" w:rsidRDefault="003E2367" w:rsidP="004F6356">
            <w:pPr>
              <w:pStyle w:val="TabletextLeft"/>
              <w:rPr>
                <w:rFonts w:asciiTheme="majorHAnsi" w:eastAsia="Calibri" w:hAnsiTheme="majorHAnsi" w:cs="Times New Roman"/>
                <w:color w:val="000000"/>
              </w:rPr>
            </w:pPr>
            <w:r w:rsidRPr="00820C89">
              <w:rPr>
                <w:rFonts w:asciiTheme="majorHAnsi" w:eastAsia="Calibri" w:hAnsiTheme="majorHAnsi" w:cs="Times New Roman"/>
                <w:color w:val="000000"/>
              </w:rPr>
              <w:t>Not in the Labour Force</w:t>
            </w:r>
          </w:p>
        </w:tc>
      </w:tr>
      <w:tr w:rsidR="00763088" w:rsidRPr="00820C89" w14:paraId="7F384DC0" w14:textId="77777777" w:rsidTr="004F6356">
        <w:tc>
          <w:tcPr>
            <w:tcW w:w="1535" w:type="pct"/>
          </w:tcPr>
          <w:p w14:paraId="3087B4F8" w14:textId="77777777" w:rsidR="00763088" w:rsidRPr="00820C89" w:rsidRDefault="00763088" w:rsidP="004F6356">
            <w:pPr>
              <w:pStyle w:val="TabletextLeft"/>
              <w:rPr>
                <w:rFonts w:asciiTheme="majorHAnsi" w:hAnsiTheme="majorHAnsi"/>
              </w:rPr>
            </w:pPr>
            <w:r w:rsidRPr="00820C89">
              <w:rPr>
                <w:rFonts w:asciiTheme="majorHAnsi" w:hAnsiTheme="majorHAnsi"/>
              </w:rPr>
              <w:t>PM&amp;C</w:t>
            </w:r>
          </w:p>
        </w:tc>
        <w:tc>
          <w:tcPr>
            <w:tcW w:w="3465" w:type="pct"/>
          </w:tcPr>
          <w:p w14:paraId="613667C8" w14:textId="4A7D722E" w:rsidR="00763088" w:rsidRPr="00820C89" w:rsidRDefault="001117B3" w:rsidP="005C41ED">
            <w:pPr>
              <w:pStyle w:val="TabletextLeft"/>
              <w:rPr>
                <w:rFonts w:asciiTheme="majorHAnsi" w:hAnsiTheme="majorHAnsi"/>
              </w:rPr>
            </w:pPr>
            <w:r w:rsidRPr="00820C89">
              <w:rPr>
                <w:rFonts w:asciiTheme="majorHAnsi" w:hAnsiTheme="majorHAnsi"/>
              </w:rPr>
              <w:t xml:space="preserve">Department of </w:t>
            </w:r>
            <w:r w:rsidR="00763088" w:rsidRPr="00820C89">
              <w:rPr>
                <w:rFonts w:asciiTheme="majorHAnsi" w:hAnsiTheme="majorHAnsi"/>
              </w:rPr>
              <w:t>Prime Minister and Cabinet</w:t>
            </w:r>
          </w:p>
        </w:tc>
      </w:tr>
      <w:tr w:rsidR="00763088" w:rsidRPr="00820C89" w14:paraId="31B182F4" w14:textId="77777777" w:rsidTr="004F6356">
        <w:tc>
          <w:tcPr>
            <w:tcW w:w="1535" w:type="pct"/>
          </w:tcPr>
          <w:p w14:paraId="2E0BC6BF" w14:textId="77777777" w:rsidR="00763088" w:rsidRPr="00820C89" w:rsidRDefault="00763088" w:rsidP="004F6356">
            <w:pPr>
              <w:pStyle w:val="TabletextLeft"/>
              <w:rPr>
                <w:rFonts w:asciiTheme="majorHAnsi" w:hAnsiTheme="majorHAnsi"/>
              </w:rPr>
            </w:pPr>
            <w:r w:rsidRPr="00820C89">
              <w:rPr>
                <w:rFonts w:asciiTheme="majorHAnsi" w:hAnsiTheme="majorHAnsi"/>
              </w:rPr>
              <w:t>PPM</w:t>
            </w:r>
          </w:p>
        </w:tc>
        <w:tc>
          <w:tcPr>
            <w:tcW w:w="3465" w:type="pct"/>
          </w:tcPr>
          <w:p w14:paraId="14D45AF1"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Post-Program Monitoring </w:t>
            </w:r>
            <w:r w:rsidR="001D70B1" w:rsidRPr="00820C89">
              <w:rPr>
                <w:rFonts w:asciiTheme="majorHAnsi" w:hAnsiTheme="majorHAnsi"/>
              </w:rPr>
              <w:t>(</w:t>
            </w:r>
            <w:r w:rsidRPr="00820C89">
              <w:rPr>
                <w:rFonts w:asciiTheme="majorHAnsi" w:hAnsiTheme="majorHAnsi"/>
              </w:rPr>
              <w:t xml:space="preserve">survey) </w:t>
            </w:r>
          </w:p>
        </w:tc>
      </w:tr>
      <w:tr w:rsidR="00B54DEF" w:rsidRPr="00820C89" w14:paraId="4C7AF289" w14:textId="77777777" w:rsidTr="004F6356">
        <w:tc>
          <w:tcPr>
            <w:tcW w:w="1535" w:type="pct"/>
          </w:tcPr>
          <w:p w14:paraId="01F99559" w14:textId="77777777" w:rsidR="00B54DEF" w:rsidRPr="00820C89" w:rsidRDefault="00B54DEF" w:rsidP="004F6356">
            <w:pPr>
              <w:pStyle w:val="TabletextLeft"/>
              <w:rPr>
                <w:rFonts w:asciiTheme="majorHAnsi" w:hAnsiTheme="majorHAnsi"/>
              </w:rPr>
            </w:pPr>
            <w:r w:rsidRPr="00820C89">
              <w:rPr>
                <w:rFonts w:asciiTheme="majorHAnsi" w:hAnsiTheme="majorHAnsi"/>
              </w:rPr>
              <w:t>RED</w:t>
            </w:r>
          </w:p>
        </w:tc>
        <w:tc>
          <w:tcPr>
            <w:tcW w:w="3465" w:type="pct"/>
          </w:tcPr>
          <w:p w14:paraId="5EE32E7A" w14:textId="77777777" w:rsidR="00B54DEF" w:rsidRPr="00820C89" w:rsidRDefault="00B54DEF" w:rsidP="004F6356">
            <w:pPr>
              <w:pStyle w:val="TabletextLeft"/>
              <w:rPr>
                <w:rFonts w:asciiTheme="majorHAnsi" w:hAnsiTheme="majorHAnsi"/>
              </w:rPr>
            </w:pPr>
            <w:r w:rsidRPr="00820C89">
              <w:rPr>
                <w:rFonts w:asciiTheme="majorHAnsi" w:hAnsiTheme="majorHAnsi"/>
              </w:rPr>
              <w:t>Research Evaluation Database</w:t>
            </w:r>
          </w:p>
        </w:tc>
      </w:tr>
      <w:tr w:rsidR="00824E0E" w:rsidRPr="00820C89" w14:paraId="2A9DC036" w14:textId="77777777" w:rsidTr="004F6356">
        <w:tc>
          <w:tcPr>
            <w:tcW w:w="1535" w:type="pct"/>
          </w:tcPr>
          <w:p w14:paraId="23B7580C" w14:textId="77777777" w:rsidR="00824E0E" w:rsidRPr="00820C89" w:rsidRDefault="00824E0E" w:rsidP="004F6356">
            <w:pPr>
              <w:pStyle w:val="TabletextLeft"/>
              <w:rPr>
                <w:rFonts w:asciiTheme="majorHAnsi" w:hAnsiTheme="majorHAnsi"/>
              </w:rPr>
            </w:pPr>
            <w:r w:rsidRPr="00820C89">
              <w:rPr>
                <w:rFonts w:asciiTheme="majorHAnsi" w:hAnsiTheme="majorHAnsi"/>
              </w:rPr>
              <w:t>RTOs</w:t>
            </w:r>
          </w:p>
        </w:tc>
        <w:tc>
          <w:tcPr>
            <w:tcW w:w="3465" w:type="pct"/>
          </w:tcPr>
          <w:p w14:paraId="4BB99BE0" w14:textId="77777777" w:rsidR="00824E0E" w:rsidRPr="00820C89" w:rsidRDefault="00824E0E" w:rsidP="004F6356">
            <w:pPr>
              <w:pStyle w:val="TabletextLeft"/>
              <w:rPr>
                <w:rFonts w:asciiTheme="majorHAnsi" w:hAnsiTheme="majorHAnsi"/>
              </w:rPr>
            </w:pPr>
            <w:r w:rsidRPr="00820C89">
              <w:rPr>
                <w:rFonts w:asciiTheme="majorHAnsi" w:hAnsiTheme="majorHAnsi"/>
              </w:rPr>
              <w:t>Registered Training Organisations</w:t>
            </w:r>
          </w:p>
        </w:tc>
      </w:tr>
      <w:tr w:rsidR="00763088" w:rsidRPr="00820C89" w14:paraId="7BEAE6E5" w14:textId="77777777" w:rsidTr="004F6356">
        <w:tc>
          <w:tcPr>
            <w:tcW w:w="1535" w:type="pct"/>
          </w:tcPr>
          <w:p w14:paraId="00E3974F" w14:textId="77777777" w:rsidR="00763088" w:rsidRPr="00820C89" w:rsidRDefault="00763088" w:rsidP="004F6356">
            <w:pPr>
              <w:pStyle w:val="TabletextLeft"/>
              <w:rPr>
                <w:rFonts w:asciiTheme="majorHAnsi" w:hAnsiTheme="majorHAnsi"/>
              </w:rPr>
            </w:pPr>
            <w:r w:rsidRPr="00820C89">
              <w:rPr>
                <w:rFonts w:asciiTheme="majorHAnsi" w:hAnsiTheme="majorHAnsi"/>
              </w:rPr>
              <w:t>SVA</w:t>
            </w:r>
          </w:p>
        </w:tc>
        <w:tc>
          <w:tcPr>
            <w:tcW w:w="3465" w:type="pct"/>
          </w:tcPr>
          <w:p w14:paraId="36307450"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Social Ventures Australia </w:t>
            </w:r>
          </w:p>
        </w:tc>
      </w:tr>
      <w:tr w:rsidR="00763088" w:rsidRPr="00820C89" w14:paraId="6DAB3D51" w14:textId="77777777" w:rsidTr="004F6356">
        <w:tc>
          <w:tcPr>
            <w:tcW w:w="1535" w:type="pct"/>
          </w:tcPr>
          <w:p w14:paraId="7DA8CF95" w14:textId="77777777" w:rsidR="00763088" w:rsidRPr="00820C89" w:rsidRDefault="00763088" w:rsidP="004F6356">
            <w:pPr>
              <w:pStyle w:val="TabletextLeft"/>
              <w:rPr>
                <w:rFonts w:asciiTheme="majorHAnsi" w:hAnsiTheme="majorHAnsi"/>
              </w:rPr>
            </w:pPr>
            <w:r w:rsidRPr="00820C89">
              <w:rPr>
                <w:rFonts w:asciiTheme="majorHAnsi" w:hAnsiTheme="majorHAnsi"/>
              </w:rPr>
              <w:t>TAEG</w:t>
            </w:r>
          </w:p>
        </w:tc>
        <w:tc>
          <w:tcPr>
            <w:tcW w:w="3465" w:type="pct"/>
          </w:tcPr>
          <w:p w14:paraId="503072A6"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Tailored Assistance Employment Grants </w:t>
            </w:r>
          </w:p>
        </w:tc>
      </w:tr>
      <w:tr w:rsidR="00763088" w:rsidRPr="00820C89" w14:paraId="096FDC33" w14:textId="77777777" w:rsidTr="004F6356">
        <w:tc>
          <w:tcPr>
            <w:tcW w:w="1535" w:type="pct"/>
          </w:tcPr>
          <w:p w14:paraId="5D5C45A9" w14:textId="77777777" w:rsidR="00763088" w:rsidRPr="00820C89" w:rsidRDefault="00763088" w:rsidP="004F6356">
            <w:pPr>
              <w:pStyle w:val="TabletextLeft"/>
              <w:rPr>
                <w:rFonts w:asciiTheme="majorHAnsi" w:hAnsiTheme="majorHAnsi"/>
              </w:rPr>
            </w:pPr>
            <w:r w:rsidRPr="00820C89">
              <w:rPr>
                <w:rFonts w:asciiTheme="majorHAnsi" w:hAnsiTheme="majorHAnsi"/>
              </w:rPr>
              <w:t>VTEC</w:t>
            </w:r>
          </w:p>
        </w:tc>
        <w:tc>
          <w:tcPr>
            <w:tcW w:w="3465" w:type="pct"/>
          </w:tcPr>
          <w:p w14:paraId="37E93A57" w14:textId="49922B3F" w:rsidR="00763088" w:rsidRPr="00820C89" w:rsidRDefault="00763088" w:rsidP="00494038">
            <w:pPr>
              <w:pStyle w:val="TabletextLeft"/>
              <w:rPr>
                <w:rFonts w:asciiTheme="majorHAnsi" w:hAnsiTheme="majorHAnsi"/>
              </w:rPr>
            </w:pPr>
            <w:r w:rsidRPr="00820C89">
              <w:rPr>
                <w:rFonts w:asciiTheme="majorHAnsi" w:hAnsiTheme="majorHAnsi"/>
              </w:rPr>
              <w:t>Vocational</w:t>
            </w:r>
            <w:r w:rsidR="001117B3" w:rsidRPr="00820C89">
              <w:rPr>
                <w:rFonts w:asciiTheme="majorHAnsi" w:hAnsiTheme="majorHAnsi"/>
              </w:rPr>
              <w:t>,</w:t>
            </w:r>
            <w:r w:rsidRPr="00820C89">
              <w:rPr>
                <w:rFonts w:asciiTheme="majorHAnsi" w:hAnsiTheme="majorHAnsi"/>
              </w:rPr>
              <w:t xml:space="preserve"> Training and Employment Centres  </w:t>
            </w:r>
          </w:p>
        </w:tc>
      </w:tr>
    </w:tbl>
    <w:p w14:paraId="235F33AC" w14:textId="77777777" w:rsidR="00763088" w:rsidRPr="00820C89" w:rsidRDefault="00763088" w:rsidP="00763088">
      <w:pPr>
        <w:rPr>
          <w:rFonts w:asciiTheme="majorHAnsi" w:hAnsiTheme="majorHAnsi"/>
        </w:rPr>
      </w:pPr>
    </w:p>
    <w:p w14:paraId="164E083B" w14:textId="77777777" w:rsidR="00EE01F4" w:rsidRPr="00820C89" w:rsidRDefault="00EE01F4" w:rsidP="00F23C86">
      <w:pPr>
        <w:rPr>
          <w:rFonts w:asciiTheme="majorHAnsi" w:hAnsiTheme="majorHAnsi"/>
        </w:rPr>
      </w:pPr>
      <w:r w:rsidRPr="00820C89">
        <w:rPr>
          <w:rFonts w:asciiTheme="majorHAnsi" w:hAnsiTheme="majorHAnsi"/>
        </w:rPr>
        <w:br w:type="page"/>
      </w:r>
    </w:p>
    <w:p w14:paraId="4A9E827E" w14:textId="77777777" w:rsidR="00B15A20" w:rsidRPr="00820C89" w:rsidRDefault="00B15A20" w:rsidP="00B15A20">
      <w:pPr>
        <w:pStyle w:val="Heading1un-numbered"/>
        <w:rPr>
          <w:rFonts w:asciiTheme="majorHAnsi" w:hAnsiTheme="majorHAnsi"/>
        </w:rPr>
      </w:pPr>
      <w:bookmarkStart w:id="7" w:name="_Toc82710759"/>
      <w:bookmarkStart w:id="8" w:name="_Toc101343274"/>
      <w:r w:rsidRPr="00820C89">
        <w:rPr>
          <w:rFonts w:asciiTheme="majorHAnsi" w:hAnsiTheme="majorHAnsi"/>
        </w:rPr>
        <w:lastRenderedPageBreak/>
        <w:t>Executive Summary</w:t>
      </w:r>
      <w:bookmarkEnd w:id="7"/>
      <w:bookmarkEnd w:id="8"/>
    </w:p>
    <w:p w14:paraId="3E010B6B" w14:textId="77777777" w:rsidR="00B15A20" w:rsidRPr="00820C89" w:rsidRDefault="00B15A20" w:rsidP="00B15A20">
      <w:pPr>
        <w:spacing w:after="0"/>
        <w:rPr>
          <w:rFonts w:asciiTheme="majorHAnsi" w:hAnsiTheme="majorHAnsi"/>
        </w:rPr>
      </w:pPr>
      <w:r w:rsidRPr="00820C89">
        <w:rPr>
          <w:rFonts w:asciiTheme="majorHAnsi" w:hAnsiTheme="majorHAnsi"/>
        </w:rPr>
        <w:t>In February 2020, Deloitte Access Economics was engaged by the NIAA to conduct a year-long</w:t>
      </w:r>
      <w:r w:rsidRPr="00820C89">
        <w:rPr>
          <w:rStyle w:val="FootnoteReference"/>
          <w:rFonts w:asciiTheme="majorHAnsi" w:hAnsiTheme="majorHAnsi"/>
        </w:rPr>
        <w:footnoteReference w:id="2"/>
      </w:r>
      <w:r w:rsidRPr="00820C89">
        <w:rPr>
          <w:rFonts w:asciiTheme="majorHAnsi" w:hAnsiTheme="majorHAnsi"/>
        </w:rPr>
        <w:t xml:space="preserve"> evaluation of the Indigenous Employment Program (see Box 1).  </w:t>
      </w:r>
    </w:p>
    <w:p w14:paraId="491FD413" w14:textId="77777777" w:rsidR="00B15A20" w:rsidRPr="00820C89" w:rsidRDefault="00B15A20" w:rsidP="00B15A20">
      <w:pPr>
        <w:pStyle w:val="Heading22"/>
      </w:pPr>
      <w:bookmarkStart w:id="9" w:name="_Toc82710760"/>
      <w:bookmarkStart w:id="10" w:name="_Toc101343275"/>
      <w:r w:rsidRPr="00820C89">
        <w:t>The context</w:t>
      </w:r>
      <w:bookmarkEnd w:id="9"/>
      <w:bookmarkEnd w:id="10"/>
      <w:r w:rsidRPr="00820C89">
        <w:t xml:space="preserve"> </w:t>
      </w:r>
    </w:p>
    <w:p w14:paraId="6517AC53" w14:textId="77777777" w:rsidR="00B15A20" w:rsidRPr="00820C89" w:rsidRDefault="00B15A20" w:rsidP="00B15A20">
      <w:pPr>
        <w:spacing w:after="0"/>
        <w:rPr>
          <w:rFonts w:asciiTheme="majorHAnsi" w:hAnsiTheme="majorHAnsi"/>
        </w:rPr>
      </w:pPr>
    </w:p>
    <w:p w14:paraId="583ADAAC" w14:textId="77777777" w:rsidR="00B15A20" w:rsidRPr="00820C89" w:rsidRDefault="00B15A20" w:rsidP="00B15A20">
      <w:pPr>
        <w:spacing w:after="0"/>
        <w:rPr>
          <w:rFonts w:asciiTheme="majorHAnsi" w:hAnsiTheme="majorHAnsi"/>
        </w:rPr>
      </w:pPr>
      <w:r w:rsidRPr="00820C89">
        <w:rPr>
          <w:rFonts w:asciiTheme="majorHAnsi" w:hAnsiTheme="majorHAnsi"/>
        </w:rPr>
        <w:t>Indigenous employment programs in Australia display a history of starting from Western conceptions. This coincides with a history of inadequacy in realising the outcomes sought, as previous reviews have established</w:t>
      </w:r>
      <w:r w:rsidR="005E3432" w:rsidRPr="00820C89">
        <w:rPr>
          <w:rFonts w:asciiTheme="majorHAnsi" w:hAnsiTheme="majorHAnsi"/>
        </w:rPr>
        <w:t xml:space="preserve"> (</w:t>
      </w:r>
      <w:r w:rsidR="005859E5" w:rsidRPr="00820C89">
        <w:rPr>
          <w:rFonts w:asciiTheme="majorHAnsi" w:hAnsiTheme="majorHAnsi"/>
        </w:rPr>
        <w:t xml:space="preserve">see Appendix </w:t>
      </w:r>
      <w:r w:rsidR="001C3799" w:rsidRPr="00820C89">
        <w:rPr>
          <w:rFonts w:asciiTheme="majorHAnsi" w:hAnsiTheme="majorHAnsi"/>
        </w:rPr>
        <w:t>A</w:t>
      </w:r>
      <w:r w:rsidR="005859E5" w:rsidRPr="00820C89">
        <w:rPr>
          <w:rFonts w:asciiTheme="majorHAnsi" w:hAnsiTheme="majorHAnsi"/>
        </w:rPr>
        <w:t xml:space="preserve"> for </w:t>
      </w:r>
      <w:r w:rsidR="00571444" w:rsidRPr="00820C89">
        <w:rPr>
          <w:rFonts w:asciiTheme="majorHAnsi" w:hAnsiTheme="majorHAnsi"/>
        </w:rPr>
        <w:t xml:space="preserve">further </w:t>
      </w:r>
      <w:r w:rsidR="00326FBC" w:rsidRPr="00820C89">
        <w:rPr>
          <w:rFonts w:asciiTheme="majorHAnsi" w:hAnsiTheme="majorHAnsi"/>
        </w:rPr>
        <w:t>details)</w:t>
      </w:r>
      <w:r w:rsidRPr="00820C89">
        <w:rPr>
          <w:rFonts w:asciiTheme="majorHAnsi" w:hAnsiTheme="majorHAnsi"/>
        </w:rPr>
        <w:t>.</w:t>
      </w:r>
    </w:p>
    <w:p w14:paraId="64E3CF40" w14:textId="77777777" w:rsidR="00B15A20" w:rsidRPr="00820C89" w:rsidRDefault="00B15A20" w:rsidP="00B15A20">
      <w:pPr>
        <w:spacing w:after="0"/>
        <w:rPr>
          <w:rFonts w:asciiTheme="majorHAnsi" w:hAnsiTheme="majorHAnsi"/>
        </w:rPr>
      </w:pPr>
    </w:p>
    <w:p w14:paraId="1292B121" w14:textId="77777777" w:rsidR="00B15A20" w:rsidRPr="00820C89" w:rsidRDefault="00B15A20" w:rsidP="00B15A20">
      <w:pPr>
        <w:spacing w:after="0"/>
        <w:rPr>
          <w:rFonts w:asciiTheme="majorHAnsi" w:hAnsiTheme="majorHAnsi"/>
        </w:rPr>
      </w:pPr>
      <w:r w:rsidRPr="00820C89">
        <w:rPr>
          <w:rFonts w:asciiTheme="majorHAnsi" w:hAnsiTheme="majorHAnsi"/>
        </w:rPr>
        <w:t>In line with the gaps in knowledge and investment success, it is also the case that these historical programs and models have not been systematically monitored nor evaluated. This has made it difficult for successive policies and stakeholders to truly feel confident of evidence-informed decision making and has heightened the risk of history repeating itself.</w:t>
      </w:r>
    </w:p>
    <w:p w14:paraId="20A20187" w14:textId="77777777" w:rsidR="00B15A20" w:rsidRPr="00820C89" w:rsidRDefault="00B15A20" w:rsidP="00B15A20">
      <w:pPr>
        <w:spacing w:after="0"/>
        <w:rPr>
          <w:rFonts w:asciiTheme="majorHAnsi" w:hAnsiTheme="majorHAnsi"/>
        </w:rPr>
      </w:pPr>
    </w:p>
    <w:p w14:paraId="022156E9" w14:textId="77777777" w:rsidR="00B15A20" w:rsidRPr="00820C89" w:rsidRDefault="00B15A20" w:rsidP="00B15A20">
      <w:pPr>
        <w:shd w:val="clear" w:color="auto" w:fill="FFFFFF" w:themeFill="background1"/>
        <w:spacing w:after="0"/>
        <w:rPr>
          <w:rFonts w:asciiTheme="majorHAnsi" w:hAnsiTheme="majorHAnsi"/>
        </w:rPr>
      </w:pPr>
      <w:r w:rsidRPr="00820C89">
        <w:rPr>
          <w:rFonts w:asciiTheme="majorHAnsi" w:hAnsiTheme="majorHAnsi"/>
        </w:rPr>
        <w:t xml:space="preserve">Noting </w:t>
      </w:r>
      <w:r w:rsidRPr="00820C89">
        <w:t>the</w:t>
      </w:r>
      <w:r w:rsidRPr="00820C89">
        <w:rPr>
          <w:bCs/>
        </w:rPr>
        <w:t xml:space="preserve"> policy</w:t>
      </w:r>
      <w:r w:rsidRPr="00820C89">
        <w:rPr>
          <w:rFonts w:asciiTheme="majorHAnsi" w:hAnsiTheme="majorHAnsi"/>
        </w:rPr>
        <w:t xml:space="preserve"> approach to Indigenous employment has been </w:t>
      </w:r>
      <w:r w:rsidRPr="00820C89">
        <w:rPr>
          <w:bCs/>
        </w:rPr>
        <w:t>influenced by different factors over</w:t>
      </w:r>
      <w:r w:rsidRPr="00820C89">
        <w:rPr>
          <w:rFonts w:asciiTheme="majorHAnsi" w:hAnsiTheme="majorHAnsi"/>
        </w:rPr>
        <w:t xml:space="preserve"> time, the in-scope sub-programs for this evaluation appear to have been most influenced by </w:t>
      </w:r>
      <w:r w:rsidRPr="00820C89">
        <w:rPr>
          <w:rFonts w:asciiTheme="majorHAnsi" w:hAnsiTheme="majorHAnsi"/>
          <w:i/>
        </w:rPr>
        <w:t>Creating Parity: the Forrest Review</w:t>
      </w:r>
      <w:r w:rsidRPr="00820C89">
        <w:rPr>
          <w:rFonts w:asciiTheme="majorHAnsi" w:hAnsiTheme="majorHAnsi"/>
        </w:rPr>
        <w:t xml:space="preserve"> (2014) (the </w:t>
      </w:r>
      <w:r w:rsidRPr="00820C89">
        <w:rPr>
          <w:rFonts w:asciiTheme="majorHAnsi" w:hAnsiTheme="majorHAnsi"/>
          <w:i/>
        </w:rPr>
        <w:t>Forrest Review</w:t>
      </w:r>
      <w:r w:rsidRPr="00820C89">
        <w:rPr>
          <w:rFonts w:asciiTheme="majorHAnsi" w:hAnsiTheme="majorHAnsi"/>
        </w:rPr>
        <w:t xml:space="preserve">). The </w:t>
      </w:r>
      <w:r w:rsidRPr="00820C89">
        <w:rPr>
          <w:rFonts w:asciiTheme="majorHAnsi" w:hAnsiTheme="majorHAnsi"/>
          <w:i/>
        </w:rPr>
        <w:t xml:space="preserve">Forrest Review </w:t>
      </w:r>
      <w:r w:rsidRPr="00820C89">
        <w:rPr>
          <w:rFonts w:asciiTheme="majorHAnsi" w:hAnsiTheme="majorHAnsi"/>
        </w:rPr>
        <w:t>was deeply critical of the mainstream employment system’s ability to suitably support Indigenous jobseekers and provide stability for employers and, in response, it promoted a demand-driven approach to employment services that focused on sustainable employment outcomes.</w:t>
      </w:r>
      <w:r w:rsidRPr="00820C89">
        <w:rPr>
          <w:rStyle w:val="FootnoteReference"/>
          <w:rFonts w:asciiTheme="majorHAnsi" w:hAnsiTheme="majorHAnsi"/>
        </w:rPr>
        <w:footnoteReference w:id="3"/>
      </w:r>
      <w:r w:rsidRPr="00820C89">
        <w:rPr>
          <w:rFonts w:asciiTheme="majorHAnsi" w:hAnsiTheme="majorHAnsi"/>
        </w:rPr>
        <w:t xml:space="preserve"> </w:t>
      </w:r>
    </w:p>
    <w:p w14:paraId="540FEB54" w14:textId="77777777" w:rsidR="00B15A20" w:rsidRPr="00820C89" w:rsidRDefault="00B15A20" w:rsidP="00B15A20">
      <w:pPr>
        <w:spacing w:after="0"/>
        <w:rPr>
          <w:rFonts w:asciiTheme="majorHAnsi" w:hAnsiTheme="majorHAnsi"/>
        </w:rPr>
      </w:pPr>
    </w:p>
    <w:p w14:paraId="01C3E8B0" w14:textId="77777777" w:rsidR="00B15A20" w:rsidRPr="00820C89" w:rsidRDefault="00B15A20" w:rsidP="00B15A20">
      <w:pPr>
        <w:shd w:val="clear" w:color="auto" w:fill="FFFFFF" w:themeFill="background1"/>
        <w:rPr>
          <w:rFonts w:asciiTheme="majorHAnsi" w:hAnsiTheme="majorHAnsi"/>
        </w:rPr>
      </w:pPr>
      <w:r w:rsidRPr="00820C89">
        <w:rPr>
          <w:rFonts w:asciiTheme="majorHAnsi" w:hAnsiTheme="majorHAnsi"/>
        </w:rPr>
        <w:t>This evaluation focuses on each of the in-scope sub-programs in their current form to the end of 2019, though draws on the historical context for each program prior to these dates to the extent this provides insight into design, implementation and impact. The in-scope sub-programs are:</w:t>
      </w:r>
    </w:p>
    <w:p w14:paraId="53C25305" w14:textId="77777777" w:rsidR="00B15A20" w:rsidRPr="00820C89" w:rsidRDefault="00B15A20" w:rsidP="00715F70">
      <w:pPr>
        <w:pStyle w:val="ListBullet"/>
        <w:numPr>
          <w:ilvl w:val="0"/>
          <w:numId w:val="53"/>
        </w:numPr>
        <w:shd w:val="clear" w:color="auto" w:fill="FFFFFF" w:themeFill="background1"/>
        <w:spacing w:before="60" w:after="60"/>
        <w:ind w:left="357" w:hanging="357"/>
        <w:contextualSpacing w:val="0"/>
        <w:rPr>
          <w:rFonts w:asciiTheme="majorHAnsi" w:hAnsiTheme="majorHAnsi"/>
          <w:szCs w:val="18"/>
        </w:rPr>
      </w:pPr>
      <w:r w:rsidRPr="00820C89">
        <w:rPr>
          <w:rFonts w:asciiTheme="majorHAnsi" w:hAnsiTheme="majorHAnsi"/>
          <w:b/>
          <w:szCs w:val="18"/>
        </w:rPr>
        <w:t xml:space="preserve">Vocational Training and Employment Centres (VTEC) – </w:t>
      </w:r>
      <w:r w:rsidRPr="00820C89">
        <w:rPr>
          <w:rFonts w:asciiTheme="majorHAnsi" w:hAnsiTheme="majorHAnsi"/>
          <w:szCs w:val="18"/>
        </w:rPr>
        <w:t xml:space="preserve">seeks to connect Indigenous jobseekers with guaranteed employment by providing necessary support services to prepare jobseekers for long-term employment, as well as training through industry employers. </w:t>
      </w:r>
    </w:p>
    <w:p w14:paraId="60F7D1AA" w14:textId="77777777" w:rsidR="00B15A20" w:rsidRPr="00820C89" w:rsidRDefault="00B15A20" w:rsidP="00715F70">
      <w:pPr>
        <w:pStyle w:val="ListBullet"/>
        <w:numPr>
          <w:ilvl w:val="0"/>
          <w:numId w:val="53"/>
        </w:numPr>
        <w:shd w:val="clear" w:color="auto" w:fill="FFFFFF" w:themeFill="background1"/>
        <w:spacing w:before="60" w:after="60"/>
        <w:ind w:left="357" w:hanging="357"/>
        <w:contextualSpacing w:val="0"/>
        <w:rPr>
          <w:rFonts w:asciiTheme="majorHAnsi" w:hAnsiTheme="majorHAnsi"/>
          <w:szCs w:val="18"/>
        </w:rPr>
      </w:pPr>
      <w:r w:rsidRPr="00820C89">
        <w:rPr>
          <w:rFonts w:asciiTheme="majorHAnsi" w:hAnsiTheme="majorHAnsi"/>
          <w:b/>
          <w:szCs w:val="18"/>
        </w:rPr>
        <w:t xml:space="preserve">Employment Parity Initiative (EPI) </w:t>
      </w:r>
      <w:r w:rsidRPr="00820C89">
        <w:rPr>
          <w:rFonts w:asciiTheme="majorHAnsi" w:hAnsiTheme="majorHAnsi"/>
          <w:szCs w:val="18"/>
        </w:rPr>
        <w:t xml:space="preserve">– works alongside large Australian companies, encouraging them to commit to Indigenous workforce targets and embed recruitment and retention strategies within their organisation. </w:t>
      </w:r>
    </w:p>
    <w:p w14:paraId="1E33585A" w14:textId="77777777" w:rsidR="00B15A20" w:rsidRPr="00820C89" w:rsidRDefault="00B15A20" w:rsidP="00715F70">
      <w:pPr>
        <w:pStyle w:val="ListBullet"/>
        <w:numPr>
          <w:ilvl w:val="0"/>
          <w:numId w:val="53"/>
        </w:numPr>
        <w:shd w:val="clear" w:color="auto" w:fill="FFFFFF" w:themeFill="background1"/>
        <w:spacing w:before="60" w:after="170"/>
        <w:ind w:left="357" w:hanging="357"/>
        <w:contextualSpacing w:val="0"/>
        <w:rPr>
          <w:rFonts w:asciiTheme="majorHAnsi" w:hAnsiTheme="majorHAnsi"/>
          <w:szCs w:val="18"/>
        </w:rPr>
      </w:pPr>
      <w:r w:rsidRPr="00820C89">
        <w:rPr>
          <w:rFonts w:asciiTheme="majorHAnsi" w:hAnsiTheme="majorHAnsi"/>
          <w:b/>
          <w:szCs w:val="18"/>
        </w:rPr>
        <w:t xml:space="preserve">Tailored Assistance Employment Grants – Employment (TAEG) – </w:t>
      </w:r>
      <w:r w:rsidRPr="00820C89">
        <w:rPr>
          <w:rFonts w:asciiTheme="majorHAnsi" w:hAnsiTheme="majorHAnsi"/>
          <w:szCs w:val="18"/>
        </w:rPr>
        <w:t>provides activities that seek to support Indigenous jobseekers with commencing sustainable jobs and providing employer support to assist with attracting and retaining Indigenous Australians.</w:t>
      </w:r>
      <w:r w:rsidRPr="00820C89">
        <w:rPr>
          <w:rStyle w:val="FootnoteReference"/>
          <w:rFonts w:asciiTheme="majorHAnsi" w:hAnsiTheme="majorHAnsi"/>
          <w:szCs w:val="18"/>
        </w:rPr>
        <w:footnoteReference w:id="4"/>
      </w:r>
      <w:r w:rsidRPr="00820C89">
        <w:rPr>
          <w:rFonts w:asciiTheme="majorHAnsi" w:hAnsiTheme="majorHAnsi"/>
          <w:szCs w:val="18"/>
        </w:rPr>
        <w:t xml:space="preserve"> </w:t>
      </w:r>
    </w:p>
    <w:p w14:paraId="32D13642" w14:textId="0F7ECE5F" w:rsidR="00B15A20" w:rsidRPr="00820C89" w:rsidRDefault="00B15A20" w:rsidP="00B15A20">
      <w:pPr>
        <w:shd w:val="clear" w:color="auto" w:fill="FFFFFF" w:themeFill="background1"/>
        <w:rPr>
          <w:rFonts w:asciiTheme="majorHAnsi" w:hAnsiTheme="majorHAnsi"/>
        </w:rPr>
      </w:pPr>
      <w:r w:rsidRPr="00120948">
        <w:rPr>
          <w:rFonts w:asciiTheme="majorHAnsi" w:hAnsiTheme="majorHAnsi"/>
        </w:rPr>
        <w:t>Monthly commencements in these programs peaked in October 2017 at 726 and have trended downwards since to approximately 430 in the second half of 2019 (</w:t>
      </w:r>
      <w:r w:rsidR="002562F2" w:rsidRPr="00120948">
        <w:rPr>
          <w:rFonts w:asciiTheme="majorHAnsi" w:hAnsiTheme="majorHAnsi"/>
        </w:rPr>
        <w:t>Chart i</w:t>
      </w:r>
      <w:r w:rsidRPr="00120948">
        <w:rPr>
          <w:rFonts w:asciiTheme="majorHAnsi" w:hAnsiTheme="majorHAnsi"/>
        </w:rPr>
        <w:t>). The</w:t>
      </w:r>
      <w:r w:rsidRPr="00820C89">
        <w:rPr>
          <w:rFonts w:asciiTheme="majorHAnsi" w:hAnsiTheme="majorHAnsi"/>
        </w:rPr>
        <w:t xml:space="preserve"> volume of employment commencements across the programs totals around 27,000 as at the end of 2019 (see 4.2.2 for a summary of the partial commencement targets that are available).</w:t>
      </w:r>
    </w:p>
    <w:p w14:paraId="1F1B5958" w14:textId="77777777" w:rsidR="00B15A20" w:rsidRPr="00820C89" w:rsidRDefault="00B15A20" w:rsidP="00B15A20">
      <w:pPr>
        <w:shd w:val="clear" w:color="auto" w:fill="FFFFFF" w:themeFill="background1"/>
        <w:spacing w:after="0"/>
        <w:rPr>
          <w:rFonts w:asciiTheme="majorHAnsi" w:hAnsiTheme="majorHAnsi"/>
        </w:rPr>
      </w:pPr>
      <w:r w:rsidRPr="00820C89">
        <w:rPr>
          <w:rFonts w:asciiTheme="majorHAnsi" w:hAnsiTheme="majorHAnsi"/>
        </w:rPr>
        <w:t xml:space="preserve">This evaluation has observed that the design of these in-scope programs broadly aligns with an accumulated evidence base of what works for disadvantaged jobseekers generally. However, there is limited evidence of Indigenous perspectives influencing the design of these programs, and </w:t>
      </w:r>
      <w:r w:rsidRPr="00820C89">
        <w:t xml:space="preserve">no clear nor complete documentation of what success looks like nor how this was to be achieved. A consequence of this is that </w:t>
      </w:r>
      <w:r w:rsidR="00494038" w:rsidRPr="00820C89">
        <w:t xml:space="preserve">the </w:t>
      </w:r>
      <w:r w:rsidRPr="00820C89">
        <w:t>evaluation has no clear benchmarks to judge whether the programs are ‘on-track’.</w:t>
      </w:r>
    </w:p>
    <w:p w14:paraId="773F56DD" w14:textId="77777777" w:rsidR="00B15A20" w:rsidRPr="00120948" w:rsidRDefault="00B15A20" w:rsidP="00715F70">
      <w:pPr>
        <w:pStyle w:val="ExecChartCaption"/>
        <w:numPr>
          <w:ilvl w:val="2"/>
          <w:numId w:val="6"/>
        </w:numPr>
        <w:shd w:val="clear" w:color="auto" w:fill="FFFFFF" w:themeFill="background1"/>
        <w:rPr>
          <w:sz w:val="18"/>
          <w:szCs w:val="18"/>
        </w:rPr>
      </w:pPr>
      <w:r w:rsidRPr="00120948">
        <w:rPr>
          <w:sz w:val="18"/>
          <w:szCs w:val="18"/>
        </w:rPr>
        <w:lastRenderedPageBreak/>
        <w:t xml:space="preserve">: </w:t>
      </w:r>
      <w:r w:rsidRPr="00120948">
        <w:rPr>
          <w:rFonts w:asciiTheme="majorHAnsi" w:hAnsiTheme="majorHAnsi"/>
          <w:color w:val="808080" w:themeColor="background1" w:themeShade="80"/>
          <w:sz w:val="18"/>
          <w:szCs w:val="18"/>
        </w:rPr>
        <w:t>Time-series of monthly employment commencements, by sub-program</w:t>
      </w:r>
    </w:p>
    <w:p w14:paraId="53F44A94" w14:textId="77777777" w:rsidR="00B15A20" w:rsidRPr="00820C89" w:rsidRDefault="00B15A20" w:rsidP="00B15A20">
      <w:pPr>
        <w:shd w:val="clear" w:color="auto" w:fill="FFFFFF" w:themeFill="background1"/>
        <w:spacing w:after="0"/>
        <w:rPr>
          <w:rFonts w:asciiTheme="majorHAnsi" w:hAnsiTheme="majorHAnsi"/>
        </w:rPr>
      </w:pPr>
      <w:r w:rsidRPr="00820C89">
        <w:rPr>
          <w:noProof/>
          <w:lang w:eastAsia="en-AU"/>
        </w:rPr>
        <w:drawing>
          <wp:inline distT="0" distB="0" distL="0" distR="0" wp14:anchorId="70BADABD" wp14:editId="62529E74">
            <wp:extent cx="5732890" cy="2894274"/>
            <wp:effectExtent l="0" t="0" r="1270" b="1905"/>
            <wp:docPr id="28" name="Chart 28" descr="Monthly commencements in these programs peaked in October 2017 at 726 and have trended downwards since to approximately 430 in the second half of 2019 (Chart i)" title=" .">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DDF7FD" w14:textId="77777777" w:rsidR="00B15A20" w:rsidRPr="00820C89" w:rsidRDefault="00B15A20" w:rsidP="00B15A20">
      <w:pPr>
        <w:pStyle w:val="Source"/>
        <w:shd w:val="clear" w:color="auto" w:fill="FFFFFF" w:themeFill="background1"/>
        <w:spacing w:before="0"/>
        <w:rPr>
          <w:rFonts w:asciiTheme="majorHAnsi" w:hAnsiTheme="majorHAnsi"/>
          <w:color w:val="808080" w:themeColor="background1" w:themeShade="80"/>
          <w:sz w:val="18"/>
        </w:rPr>
      </w:pPr>
      <w:r w:rsidRPr="00820C89">
        <w:rPr>
          <w:rFonts w:asciiTheme="majorHAnsi" w:hAnsiTheme="majorHAnsi"/>
          <w:color w:val="808080" w:themeColor="background1" w:themeShade="80"/>
          <w:sz w:val="18"/>
        </w:rPr>
        <w:t>Source: NIAA Program Data (2014-2019).</w:t>
      </w:r>
    </w:p>
    <w:p w14:paraId="277F9827" w14:textId="0EBFDDD1" w:rsidR="00B15A20" w:rsidRPr="00820C89" w:rsidRDefault="00B15A20" w:rsidP="00B15A2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eastAsia="Times New Roman" w:hAnsiTheme="majorHAnsi"/>
          <w:b/>
          <w:bCs/>
        </w:rPr>
      </w:pPr>
      <w:r w:rsidRPr="00820C89">
        <w:rPr>
          <w:rFonts w:asciiTheme="majorHAnsi" w:eastAsia="Times New Roman" w:hAnsiTheme="majorHAnsi"/>
          <w:b/>
          <w:bCs/>
        </w:rPr>
        <w:t xml:space="preserve">Box 1: A </w:t>
      </w:r>
      <w:r w:rsidR="00596B6F" w:rsidRPr="00820C89">
        <w:rPr>
          <w:rFonts w:asciiTheme="majorHAnsi" w:eastAsia="Times New Roman" w:hAnsiTheme="majorHAnsi"/>
          <w:b/>
          <w:bCs/>
        </w:rPr>
        <w:t>m</w:t>
      </w:r>
      <w:r w:rsidRPr="00820C89">
        <w:rPr>
          <w:rFonts w:asciiTheme="majorHAnsi" w:eastAsia="Times New Roman" w:hAnsiTheme="majorHAnsi"/>
          <w:b/>
          <w:bCs/>
        </w:rPr>
        <w:t>ore balanced approach</w:t>
      </w:r>
    </w:p>
    <w:p w14:paraId="64FCD194" w14:textId="77777777" w:rsidR="00B15A20" w:rsidRPr="00820C89" w:rsidRDefault="00B15A20" w:rsidP="00B15A20">
      <w:pPr>
        <w:pBdr>
          <w:top w:val="single" w:sz="4" w:space="1" w:color="auto"/>
          <w:left w:val="single" w:sz="4" w:space="1" w:color="auto"/>
          <w:bottom w:val="single" w:sz="4" w:space="1" w:color="auto"/>
          <w:right w:val="single" w:sz="4" w:space="1" w:color="auto"/>
        </w:pBdr>
        <w:shd w:val="clear" w:color="auto" w:fill="F2F2F2" w:themeFill="background1" w:themeFillShade="F2"/>
        <w:spacing w:before="170"/>
        <w:rPr>
          <w:rFonts w:asciiTheme="majorHAnsi" w:eastAsia="Times New Roman" w:hAnsiTheme="majorHAnsi"/>
        </w:rPr>
      </w:pPr>
      <w:r w:rsidRPr="00820C89">
        <w:rPr>
          <w:rFonts w:asciiTheme="majorHAnsi" w:eastAsia="Times New Roman" w:hAnsiTheme="majorHAnsi"/>
        </w:rPr>
        <w:t xml:space="preserve">Deloitte Access Economics proudly acknowledges that this evaluation has been guided by the Productivity Commission’s </w:t>
      </w:r>
      <w:r w:rsidRPr="00820C89">
        <w:rPr>
          <w:rFonts w:asciiTheme="majorHAnsi" w:eastAsia="Times New Roman" w:hAnsiTheme="majorHAnsi"/>
          <w:i/>
        </w:rPr>
        <w:t>Indigenous Evaluation Strategy</w:t>
      </w:r>
      <w:r w:rsidRPr="00820C89">
        <w:rPr>
          <w:rFonts w:asciiTheme="majorHAnsi" w:eastAsia="Times New Roman" w:hAnsiTheme="majorHAnsi"/>
        </w:rPr>
        <w:t xml:space="preserve"> (2020), and the Department of Prime Minister and Cabinet’s </w:t>
      </w:r>
      <w:r w:rsidRPr="00820C89">
        <w:rPr>
          <w:i/>
          <w:iCs/>
        </w:rPr>
        <w:t>Indigenous Advancement Strategy: Evaluation Framework</w:t>
      </w:r>
      <w:r w:rsidRPr="00820C89">
        <w:rPr>
          <w:rFonts w:asciiTheme="majorHAnsi" w:eastAsia="Times New Roman" w:hAnsiTheme="majorHAnsi"/>
        </w:rPr>
        <w:t>. The overarching principle has been to have at the centre Indigenous Australian people, perspectives, priorities and knowledge.</w:t>
      </w:r>
      <w:r w:rsidRPr="00820C89">
        <w:rPr>
          <w:rStyle w:val="FootnoteReference"/>
          <w:rFonts w:asciiTheme="majorHAnsi" w:eastAsia="Times New Roman" w:hAnsiTheme="majorHAnsi"/>
        </w:rPr>
        <w:footnoteReference w:id="5"/>
      </w:r>
      <w:r w:rsidRPr="00820C89">
        <w:rPr>
          <w:rFonts w:asciiTheme="majorHAnsi" w:eastAsia="Times New Roman" w:hAnsiTheme="majorHAnsi"/>
        </w:rPr>
        <w:t xml:space="preserve"> </w:t>
      </w:r>
    </w:p>
    <w:p w14:paraId="52010A8F" w14:textId="77777777" w:rsidR="00B15A20" w:rsidRPr="00820C89" w:rsidRDefault="00B15A20" w:rsidP="00B15A20">
      <w:pPr>
        <w:pBdr>
          <w:top w:val="single" w:sz="4" w:space="1" w:color="auto"/>
          <w:left w:val="single" w:sz="4" w:space="1" w:color="auto"/>
          <w:bottom w:val="single" w:sz="4" w:space="1" w:color="auto"/>
          <w:right w:val="single" w:sz="4" w:space="1" w:color="auto"/>
        </w:pBdr>
        <w:shd w:val="clear" w:color="auto" w:fill="F2F2F2" w:themeFill="background1" w:themeFillShade="F2"/>
        <w:rPr>
          <w:rFonts w:asciiTheme="majorHAnsi" w:eastAsia="Times New Roman" w:hAnsiTheme="majorHAnsi"/>
        </w:rPr>
      </w:pPr>
      <w:r w:rsidRPr="00820C89">
        <w:rPr>
          <w:rFonts w:asciiTheme="majorHAnsi" w:eastAsia="Times New Roman" w:hAnsiTheme="majorHAnsi"/>
        </w:rPr>
        <w:t>Core components of the evaluation’s approach therefore include:</w:t>
      </w:r>
    </w:p>
    <w:p w14:paraId="0CFEEA17" w14:textId="77777777" w:rsidR="00B15A20" w:rsidRPr="00820C89" w:rsidRDefault="00B15A20" w:rsidP="00715F70">
      <w:pPr>
        <w:pStyle w:val="ListParagraph"/>
        <w:numPr>
          <w:ilvl w:val="0"/>
          <w:numId w:val="87"/>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60" w:after="60"/>
        <w:ind w:left="357" w:hanging="357"/>
        <w:contextualSpacing w:val="0"/>
        <w:rPr>
          <w:rFonts w:asciiTheme="majorHAnsi" w:eastAsia="Times New Roman" w:hAnsiTheme="majorHAnsi"/>
        </w:rPr>
      </w:pPr>
      <w:r w:rsidRPr="00820C89">
        <w:rPr>
          <w:rFonts w:asciiTheme="majorHAnsi" w:eastAsia="Times New Roman" w:hAnsiTheme="majorHAnsi"/>
        </w:rPr>
        <w:t>governance structures that embed mechanisms to incorporate Indigenous cultural values, including an Indigenous-led evaluation team; and</w:t>
      </w:r>
    </w:p>
    <w:p w14:paraId="2A673B8A" w14:textId="77777777" w:rsidR="00B15A20" w:rsidRPr="00820C89" w:rsidRDefault="00B15A20" w:rsidP="00715F70">
      <w:pPr>
        <w:pStyle w:val="ListParagraph"/>
        <w:numPr>
          <w:ilvl w:val="0"/>
          <w:numId w:val="87"/>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60" w:after="60"/>
        <w:ind w:left="357" w:hanging="357"/>
        <w:contextualSpacing w:val="0"/>
        <w:rPr>
          <w:rFonts w:asciiTheme="majorHAnsi" w:eastAsia="Times New Roman" w:hAnsiTheme="majorHAnsi"/>
        </w:rPr>
      </w:pPr>
      <w:r w:rsidRPr="00820C89">
        <w:rPr>
          <w:rFonts w:asciiTheme="majorHAnsi" w:eastAsia="Times New Roman" w:hAnsiTheme="majorHAnsi"/>
        </w:rPr>
        <w:t>participatory approaches to gather Indigenous perspectives that may challenge the naturally Western frame of reference, such as how Indigenous values may conflict with mainstream assumptions of worker mobility and ‘rational’ incentives for employment</w:t>
      </w:r>
    </w:p>
    <w:p w14:paraId="5563E609" w14:textId="77777777" w:rsidR="00B15A20" w:rsidRPr="00820C89" w:rsidRDefault="00B15A20" w:rsidP="00B15A20">
      <w:pPr>
        <w:pBdr>
          <w:top w:val="single" w:sz="4" w:space="1" w:color="auto"/>
          <w:left w:val="single" w:sz="4" w:space="1" w:color="auto"/>
          <w:bottom w:val="single" w:sz="4" w:space="1" w:color="auto"/>
          <w:right w:val="single" w:sz="4" w:space="1" w:color="auto"/>
        </w:pBdr>
        <w:shd w:val="clear" w:color="auto" w:fill="F2F2F2" w:themeFill="background1" w:themeFillShade="F2"/>
        <w:spacing w:before="170"/>
        <w:rPr>
          <w:rFonts w:asciiTheme="majorHAnsi" w:eastAsia="Times New Roman" w:hAnsiTheme="majorHAnsi"/>
        </w:rPr>
      </w:pPr>
      <w:r w:rsidRPr="00820C89">
        <w:rPr>
          <w:rFonts w:asciiTheme="majorHAnsi" w:eastAsia="Times New Roman" w:hAnsiTheme="majorHAnsi"/>
        </w:rPr>
        <w:t>The evaluation conducted an extensive stakeholder consultation process around Australia, including program participants, providers, employers, community representatives and government officials. This was supplemented with a detailed literature scan, and analysis of three distinct datasets (see Section 1.3.4 for further information on the data sources used in this evaluation).</w:t>
      </w:r>
    </w:p>
    <w:p w14:paraId="747CDD5B" w14:textId="77777777" w:rsidR="00B15A20" w:rsidRPr="00820C89" w:rsidRDefault="00B15A20" w:rsidP="00B15A20">
      <w:pPr>
        <w:pBdr>
          <w:top w:val="single" w:sz="4" w:space="1" w:color="auto"/>
          <w:left w:val="single" w:sz="4" w:space="1" w:color="auto"/>
          <w:bottom w:val="single" w:sz="4" w:space="1" w:color="auto"/>
          <w:right w:val="single" w:sz="4" w:space="1" w:color="auto"/>
        </w:pBdr>
        <w:shd w:val="clear" w:color="auto" w:fill="F2F2F2" w:themeFill="background1" w:themeFillShade="F2"/>
        <w:spacing w:before="170"/>
        <w:rPr>
          <w:rFonts w:asciiTheme="majorHAnsi" w:eastAsia="Times New Roman" w:hAnsiTheme="majorHAnsi"/>
        </w:rPr>
      </w:pPr>
      <w:r w:rsidRPr="00820C89">
        <w:rPr>
          <w:rFonts w:asciiTheme="majorHAnsi" w:eastAsia="Times New Roman" w:hAnsiTheme="majorHAnsi"/>
        </w:rPr>
        <w:t xml:space="preserve">As a result, the evaluation is able to start to establish the linkages (and highlight the points of difference) between Western economic policy frameworks, and the sociological, cultural and economic frameworks that evidence Indigenous perspectives on, and lived experience of, these programs. It strives for this in recognition of the fact that a thorough understanding of both perspectives is required to support meaningful program understanding and improvement. </w:t>
      </w:r>
    </w:p>
    <w:p w14:paraId="5FA74914" w14:textId="06B00AD2" w:rsidR="000B67FD" w:rsidRPr="00820C89" w:rsidRDefault="00B15A20" w:rsidP="00886C4E">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sectPr w:rsidR="000B67FD" w:rsidRPr="00820C89" w:rsidSect="00CB0241">
          <w:headerReference w:type="default" r:id="rId18"/>
          <w:footerReference w:type="default" r:id="rId19"/>
          <w:pgSz w:w="11906" w:h="16838" w:code="9"/>
          <w:pgMar w:top="1440" w:right="1440" w:bottom="1440" w:left="1440" w:header="680" w:footer="425" w:gutter="0"/>
          <w:pgNumType w:fmt="lowerRoman"/>
          <w:cols w:space="284"/>
          <w:noEndnote/>
          <w:docGrid w:linePitch="360"/>
        </w:sectPr>
      </w:pPr>
      <w:r w:rsidRPr="00820C89">
        <w:rPr>
          <w:rFonts w:asciiTheme="majorHAnsi" w:hAnsiTheme="majorHAnsi"/>
        </w:rPr>
        <w:t xml:space="preserve">In the end, the findings and suggestions put forward are a holistic reflection on the evidence and concepts elaborated in the report, and other connections that can credibly be made based on the project team’s expertise and experiences. It embodies a priority to present this evaluation in a way that will be more equal in its service of Indigenous Australians and Western policy frames, than previous endeavours. </w:t>
      </w:r>
    </w:p>
    <w:p w14:paraId="68F3DD89" w14:textId="367476AF" w:rsidR="00B15A20" w:rsidRPr="00820C89" w:rsidRDefault="00B15A20" w:rsidP="00B15A20">
      <w:pPr>
        <w:pStyle w:val="Heading22"/>
      </w:pPr>
      <w:bookmarkStart w:id="11" w:name="_Toc82710761"/>
      <w:bookmarkStart w:id="12" w:name="_Toc101343276"/>
      <w:r w:rsidRPr="00820C89">
        <w:lastRenderedPageBreak/>
        <w:t>Key findings and recommendations</w:t>
      </w:r>
      <w:bookmarkEnd w:id="11"/>
      <w:bookmarkEnd w:id="12"/>
    </w:p>
    <w:p w14:paraId="6E86AE81" w14:textId="77777777" w:rsidR="00B15A20" w:rsidRPr="00820C89" w:rsidRDefault="00B15A20" w:rsidP="00B15A20">
      <w:pPr>
        <w:spacing w:after="0"/>
        <w:rPr>
          <w:rFonts w:asciiTheme="majorHAnsi" w:hAnsiTheme="majorHAnsi"/>
          <w:b/>
          <w:bCs/>
        </w:rPr>
      </w:pPr>
    </w:p>
    <w:p w14:paraId="3FE16D9E"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findings and recommendations presented below are not a simple extrapolation of the evidence that has been reported in this evaluation – to do so would be to miss the essence of the challenges and opportunities the program (and broader policy) faces. </w:t>
      </w:r>
    </w:p>
    <w:p w14:paraId="46372FD3" w14:textId="77777777" w:rsidR="00B15A20" w:rsidRPr="00820C89" w:rsidRDefault="00B15A20" w:rsidP="00B15A20">
      <w:pPr>
        <w:spacing w:after="0"/>
        <w:rPr>
          <w:rFonts w:asciiTheme="majorHAnsi" w:hAnsiTheme="majorHAnsi"/>
        </w:rPr>
      </w:pPr>
    </w:p>
    <w:p w14:paraId="4E327AEF" w14:textId="77777777" w:rsidR="00B15A20" w:rsidRPr="00820C89" w:rsidRDefault="00B15A20" w:rsidP="00B15A20">
      <w:pPr>
        <w:spacing w:after="0"/>
        <w:rPr>
          <w:rFonts w:asciiTheme="majorHAnsi" w:hAnsiTheme="majorHAnsi"/>
        </w:rPr>
      </w:pPr>
      <w:r w:rsidRPr="00820C89">
        <w:rPr>
          <w:rFonts w:asciiTheme="majorHAnsi" w:hAnsiTheme="majorHAnsi"/>
        </w:rPr>
        <w:t>These findings and solutions have been formed through a holistic judgement of the evidence that has been collected - including quite critically the voice of Indigenous peoples - and the evidence that could not be found (though was expected).</w:t>
      </w:r>
    </w:p>
    <w:p w14:paraId="01A2EF08" w14:textId="77777777" w:rsidR="00B15A20" w:rsidRPr="00820C89" w:rsidRDefault="00B15A20" w:rsidP="00B15A20">
      <w:pPr>
        <w:spacing w:after="0"/>
        <w:rPr>
          <w:rFonts w:asciiTheme="majorHAnsi" w:hAnsiTheme="majorHAnsi"/>
        </w:rPr>
      </w:pPr>
    </w:p>
    <w:p w14:paraId="62B8AEF7" w14:textId="77777777" w:rsidR="00B15A20" w:rsidRPr="00820C89" w:rsidRDefault="00B15A20" w:rsidP="00B15A20">
      <w:pPr>
        <w:spacing w:after="0"/>
        <w:rPr>
          <w:rFonts w:asciiTheme="majorHAnsi" w:hAnsiTheme="majorHAnsi"/>
        </w:rPr>
      </w:pPr>
      <w:r w:rsidRPr="00120948">
        <w:rPr>
          <w:rFonts w:asciiTheme="majorHAnsi" w:hAnsiTheme="majorHAnsi"/>
        </w:rPr>
        <w:t xml:space="preserve">Figure </w:t>
      </w:r>
      <w:r w:rsidR="00E410AE" w:rsidRPr="00120948">
        <w:rPr>
          <w:rFonts w:asciiTheme="majorHAnsi" w:hAnsiTheme="majorHAnsi"/>
        </w:rPr>
        <w:t>i</w:t>
      </w:r>
      <w:r w:rsidRPr="00120948">
        <w:rPr>
          <w:rFonts w:asciiTheme="majorHAnsi" w:hAnsiTheme="majorHAnsi"/>
        </w:rPr>
        <w:t xml:space="preserve"> depicts the six key recommendations, reflecting a deliberate sequence to an ultimate goal of a self-improving system of provision, built on Indigenous knowledge and much improved evidence sharing across stakeholders. It also deliberately depicts the research and co-investment that will need to occur in parallel, and that straight lines between these milestones should not be the expectation.</w:t>
      </w:r>
    </w:p>
    <w:p w14:paraId="139E017C" w14:textId="1C16AB3C" w:rsidR="00B15A20" w:rsidRPr="001656D4" w:rsidRDefault="00B15A20" w:rsidP="00715F70">
      <w:pPr>
        <w:pStyle w:val="ExecFigureCaption"/>
        <w:numPr>
          <w:ilvl w:val="3"/>
          <w:numId w:val="6"/>
        </w:numPr>
        <w:rPr>
          <w:rFonts w:asciiTheme="majorHAnsi" w:hAnsiTheme="majorHAnsi"/>
          <w:b/>
          <w:bCs/>
        </w:rPr>
      </w:pPr>
      <w:r w:rsidRPr="00820C89">
        <w:t>: High-level summary of key recommendations</w:t>
      </w:r>
    </w:p>
    <w:p w14:paraId="2FABAA8B" w14:textId="72D9BF23" w:rsidR="00B15A20" w:rsidRPr="00820C89" w:rsidRDefault="00C25FDA" w:rsidP="00B15A20">
      <w:pPr>
        <w:pStyle w:val="Source"/>
      </w:pPr>
      <w:r w:rsidRPr="00820C89">
        <w:rPr>
          <w:noProof/>
          <w:lang w:eastAsia="en-AU"/>
        </w:rPr>
        <w:drawing>
          <wp:inline distT="0" distB="0" distL="0" distR="0" wp14:anchorId="7D9A6933" wp14:editId="2EB96BEE">
            <wp:extent cx="6131568" cy="4071068"/>
            <wp:effectExtent l="0" t="0" r="0" b="0"/>
            <wp:docPr id="40" name="Picture 40" descr="These recommendations are:&#10;1) Design a relationship based service model that can provide continuity of service, to the point that the outcome(s) sought are realised;&#10;2) Construct a service support model that is ready to meet individuals at their point of need/aspiration, including in their community;&#10;3) Operate the model through a reinvigorated reigional office(r), as a centre-point of its community, a broker with authority, and a local career of choice;&#10;4. Research the cost and the value of quality servicing of need, and be prepared to pay more where a marker/capacity for the provision does not exist;&#10;5) Co-invest more effectively in growing the role of Australia's employers in cultural competence, showing how Indigenous ways can lead;&#10;6) Maintain the model via a self-improving system of provision, built on Indigenous knowledge and much improved evidence sharing across stakeholders."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5701" cy="4087091"/>
                    </a:xfrm>
                    <a:prstGeom prst="rect">
                      <a:avLst/>
                    </a:prstGeom>
                    <a:noFill/>
                  </pic:spPr>
                </pic:pic>
              </a:graphicData>
            </a:graphic>
          </wp:inline>
        </w:drawing>
      </w:r>
    </w:p>
    <w:p w14:paraId="67BA6EAF" w14:textId="77777777" w:rsidR="00B15A20" w:rsidRPr="00820C89" w:rsidRDefault="00B15A20" w:rsidP="00B15A20">
      <w:pPr>
        <w:spacing w:after="0"/>
        <w:rPr>
          <w:rFonts w:asciiTheme="majorHAnsi" w:hAnsiTheme="majorHAnsi"/>
        </w:rPr>
      </w:pPr>
      <w:r w:rsidRPr="00820C89">
        <w:rPr>
          <w:rFonts w:asciiTheme="majorHAnsi" w:hAnsiTheme="majorHAnsi"/>
        </w:rPr>
        <w:t xml:space="preserve">Specific points of evidence and sub-findings are mapped across the chapter summaries, and in further detail in the body of the report. A number of ‘suggestions’ have been included throughout the report (and are eluded to in this section) to exemplify further detail on ways forward. </w:t>
      </w:r>
    </w:p>
    <w:p w14:paraId="763527C2" w14:textId="77777777" w:rsidR="00B15A20" w:rsidRPr="00820C89" w:rsidRDefault="00B15A20" w:rsidP="00B15A20">
      <w:pPr>
        <w:spacing w:after="0"/>
        <w:rPr>
          <w:rFonts w:asciiTheme="majorHAnsi" w:hAnsiTheme="majorHAnsi"/>
        </w:rPr>
      </w:pPr>
    </w:p>
    <w:p w14:paraId="704324CD" w14:textId="77777777" w:rsidR="00B15A20" w:rsidRPr="00820C89" w:rsidRDefault="00B15A20" w:rsidP="00B15A20">
      <w:pPr>
        <w:spacing w:after="0"/>
        <w:rPr>
          <w:rFonts w:asciiTheme="majorHAnsi" w:hAnsiTheme="majorHAnsi"/>
        </w:rPr>
      </w:pPr>
      <w:r w:rsidRPr="00820C89">
        <w:rPr>
          <w:rFonts w:asciiTheme="majorHAnsi" w:hAnsiTheme="majorHAnsi"/>
        </w:rPr>
        <w:t>Figure i</w:t>
      </w:r>
      <w:r w:rsidR="002B537A" w:rsidRPr="00820C89">
        <w:rPr>
          <w:rFonts w:asciiTheme="majorHAnsi" w:hAnsiTheme="majorHAnsi"/>
        </w:rPr>
        <w:t>i</w:t>
      </w:r>
      <w:r w:rsidRPr="00820C89">
        <w:rPr>
          <w:rFonts w:asciiTheme="majorHAnsi" w:hAnsiTheme="majorHAnsi"/>
        </w:rPr>
        <w:t xml:space="preserve"> (at</w:t>
      </w:r>
      <w:r w:rsidR="002B537A" w:rsidRPr="00820C89">
        <w:rPr>
          <w:rFonts w:asciiTheme="majorHAnsi" w:hAnsiTheme="majorHAnsi"/>
        </w:rPr>
        <w:t xml:space="preserve"> page xviii</w:t>
      </w:r>
      <w:r w:rsidRPr="00820C89">
        <w:rPr>
          <w:rFonts w:asciiTheme="majorHAnsi" w:hAnsiTheme="majorHAnsi"/>
        </w:rPr>
        <w:t xml:space="preserve">) provides a summary ‘Evaluation on a Page’. While this infographic visually positions the key findings, data sources, recommendations and perspectives from the evaluation, it is noted that no single infographic is capable of capturing the richness of this evaluation. </w:t>
      </w:r>
    </w:p>
    <w:p w14:paraId="5AE7B8E5" w14:textId="77777777" w:rsidR="00B15A20" w:rsidRPr="00820C89" w:rsidRDefault="00B15A20" w:rsidP="00B15A20">
      <w:pPr>
        <w:spacing w:after="0"/>
        <w:rPr>
          <w:rFonts w:asciiTheme="majorHAnsi" w:hAnsiTheme="majorHAnsi"/>
        </w:rPr>
      </w:pPr>
    </w:p>
    <w:p w14:paraId="06ACFCBE" w14:textId="1CAAC6AD" w:rsidR="00B15A20" w:rsidRPr="00820C89" w:rsidRDefault="00B15A20" w:rsidP="00B15A20">
      <w:pPr>
        <w:spacing w:after="0"/>
        <w:rPr>
          <w:rFonts w:asciiTheme="majorHAnsi" w:hAnsiTheme="majorHAnsi"/>
        </w:rPr>
      </w:pPr>
      <w:r w:rsidRPr="00820C89">
        <w:rPr>
          <w:rFonts w:asciiTheme="majorHAnsi" w:hAnsiTheme="majorHAnsi"/>
        </w:rPr>
        <w:t>All readers are encouraged to engage with the full report and reflect on their own interpretations of what is and is not presented. It will provide different meaning and encouragement to different readers depending upon where they are starting from, contextually.</w:t>
      </w:r>
    </w:p>
    <w:p w14:paraId="5E94A699" w14:textId="77777777" w:rsidR="0028261A" w:rsidRPr="00820C89" w:rsidRDefault="0028261A" w:rsidP="00B15A20">
      <w:pPr>
        <w:spacing w:after="0"/>
        <w:rPr>
          <w:rFonts w:asciiTheme="majorHAnsi" w:hAnsiTheme="majorHAnsi"/>
        </w:rPr>
      </w:pPr>
    </w:p>
    <w:p w14:paraId="6332918F" w14:textId="77777777" w:rsidR="00B15A20" w:rsidRPr="00820C89" w:rsidRDefault="00B15A20" w:rsidP="00B15A20">
      <w:pPr>
        <w:spacing w:after="0"/>
        <w:rPr>
          <w:rFonts w:asciiTheme="majorHAnsi" w:hAnsiTheme="majorHAnsi"/>
          <w:b/>
          <w:iCs/>
        </w:rPr>
      </w:pPr>
      <w:r w:rsidRPr="00820C89">
        <w:rPr>
          <w:rFonts w:asciiTheme="majorHAnsi" w:hAnsiTheme="majorHAnsi"/>
          <w:b/>
          <w:iCs/>
        </w:rPr>
        <w:t xml:space="preserve">Finding 1 – Indigenous employment support is highly relational, and thereby takes time. </w:t>
      </w:r>
    </w:p>
    <w:p w14:paraId="26071575" w14:textId="77777777" w:rsidR="00B15A20" w:rsidRPr="00820C89" w:rsidRDefault="00B15A20" w:rsidP="00B15A20">
      <w:pPr>
        <w:spacing w:after="0"/>
        <w:rPr>
          <w:rFonts w:asciiTheme="majorHAnsi" w:hAnsiTheme="majorHAnsi"/>
        </w:rPr>
      </w:pPr>
    </w:p>
    <w:p w14:paraId="5ADEA3A0" w14:textId="039A0964" w:rsidR="00AF6DF4" w:rsidRPr="00820C89" w:rsidRDefault="00B15A20" w:rsidP="00284AE9">
      <w:pPr>
        <w:spacing w:after="0"/>
        <w:rPr>
          <w:rFonts w:asciiTheme="majorHAnsi" w:hAnsiTheme="majorHAnsi"/>
        </w:rPr>
      </w:pPr>
      <w:r w:rsidRPr="00820C89">
        <w:rPr>
          <w:rFonts w:asciiTheme="majorHAnsi" w:hAnsiTheme="majorHAnsi"/>
        </w:rPr>
        <w:t xml:space="preserve">Successful approaches to job seeker support </w:t>
      </w:r>
      <w:r w:rsidR="007249BC" w:rsidRPr="00820C89">
        <w:rPr>
          <w:rFonts w:asciiTheme="majorHAnsi" w:hAnsiTheme="majorHAnsi"/>
        </w:rPr>
        <w:t xml:space="preserve">rely on </w:t>
      </w:r>
      <w:r w:rsidR="003C1932" w:rsidRPr="00820C89">
        <w:rPr>
          <w:rFonts w:asciiTheme="majorHAnsi" w:hAnsiTheme="majorHAnsi"/>
        </w:rPr>
        <w:t xml:space="preserve">positive </w:t>
      </w:r>
      <w:r w:rsidR="001F5EEF" w:rsidRPr="00820C89">
        <w:rPr>
          <w:rFonts w:asciiTheme="majorHAnsi" w:hAnsiTheme="majorHAnsi"/>
        </w:rPr>
        <w:t>relationships and connections between employers, trainers,</w:t>
      </w:r>
      <w:r w:rsidR="003C1932" w:rsidRPr="00820C89">
        <w:rPr>
          <w:rFonts w:asciiTheme="majorHAnsi" w:hAnsiTheme="majorHAnsi"/>
        </w:rPr>
        <w:t xml:space="preserve"> job placement providers,</w:t>
      </w:r>
      <w:r w:rsidR="001F5EEF" w:rsidRPr="00820C89">
        <w:rPr>
          <w:rFonts w:asciiTheme="majorHAnsi" w:hAnsiTheme="majorHAnsi"/>
        </w:rPr>
        <w:t xml:space="preserve"> job seekers and </w:t>
      </w:r>
      <w:r w:rsidR="00AF6DF4" w:rsidRPr="00820C89">
        <w:rPr>
          <w:rFonts w:asciiTheme="majorHAnsi" w:hAnsiTheme="majorHAnsi"/>
        </w:rPr>
        <w:t xml:space="preserve">work </w:t>
      </w:r>
      <w:r w:rsidR="001F5EEF" w:rsidRPr="00820C89">
        <w:rPr>
          <w:rFonts w:asciiTheme="majorHAnsi" w:hAnsiTheme="majorHAnsi"/>
        </w:rPr>
        <w:t>opportunities.</w:t>
      </w:r>
    </w:p>
    <w:p w14:paraId="479E42A3" w14:textId="77777777" w:rsidR="00AF6DF4" w:rsidRPr="00820C89" w:rsidRDefault="00AF6DF4" w:rsidP="00284AE9">
      <w:pPr>
        <w:spacing w:after="0"/>
        <w:rPr>
          <w:rFonts w:asciiTheme="majorHAnsi" w:hAnsiTheme="majorHAnsi"/>
        </w:rPr>
      </w:pPr>
    </w:p>
    <w:p w14:paraId="78CF02AA" w14:textId="306039ED" w:rsidR="00B15A20" w:rsidRPr="00820C89" w:rsidRDefault="003C1932" w:rsidP="00284AE9">
      <w:pPr>
        <w:spacing w:after="0"/>
        <w:rPr>
          <w:rFonts w:asciiTheme="majorHAnsi" w:hAnsiTheme="majorHAnsi"/>
        </w:rPr>
      </w:pPr>
      <w:r w:rsidRPr="00820C89">
        <w:rPr>
          <w:rFonts w:asciiTheme="majorHAnsi" w:hAnsiTheme="majorHAnsi"/>
        </w:rPr>
        <w:t xml:space="preserve">Relationships and connections take time and require the personal investment of all parties. This is particularly true in the Indigenous context where </w:t>
      </w:r>
      <w:r w:rsidR="00287B57" w:rsidRPr="00820C89">
        <w:rPr>
          <w:rFonts w:asciiTheme="majorHAnsi" w:hAnsiTheme="majorHAnsi"/>
        </w:rPr>
        <w:t xml:space="preserve">Barlo et al. identify that “From an Indigenous perspective, we live our lives </w:t>
      </w:r>
      <w:r w:rsidR="00287B57" w:rsidRPr="001656D4">
        <w:rPr>
          <w:rFonts w:asciiTheme="majorHAnsi" w:hAnsiTheme="majorHAnsi"/>
          <w:i/>
          <w:iCs/>
        </w:rPr>
        <w:t>through and as relationships</w:t>
      </w:r>
      <w:r w:rsidR="00287B57" w:rsidRPr="00820C89">
        <w:rPr>
          <w:rFonts w:asciiTheme="majorHAnsi" w:hAnsiTheme="majorHAnsi"/>
        </w:rPr>
        <w:t>” (2021)</w:t>
      </w:r>
      <w:r w:rsidR="00287B57" w:rsidRPr="00820C89">
        <w:rPr>
          <w:rStyle w:val="FootnoteReference"/>
          <w:rFonts w:asciiTheme="majorHAnsi" w:hAnsiTheme="majorHAnsi"/>
        </w:rPr>
        <w:footnoteReference w:id="6"/>
      </w:r>
      <w:r w:rsidR="00287B57" w:rsidRPr="00820C89">
        <w:rPr>
          <w:rFonts w:asciiTheme="majorHAnsi" w:hAnsiTheme="majorHAnsi"/>
        </w:rPr>
        <w:t xml:space="preserve">. </w:t>
      </w:r>
      <w:r w:rsidR="002764F6" w:rsidRPr="00820C89">
        <w:rPr>
          <w:rFonts w:asciiTheme="majorHAnsi" w:hAnsiTheme="majorHAnsi"/>
        </w:rPr>
        <w:t xml:space="preserve"> The voice and experience of those consulted in this study has also underscored the importance of trusted networks and the strength of relationships.</w:t>
      </w:r>
    </w:p>
    <w:p w14:paraId="38A639CE" w14:textId="77777777" w:rsidR="00B15A20" w:rsidRPr="00820C89" w:rsidRDefault="00B15A20" w:rsidP="00B15A20">
      <w:pPr>
        <w:spacing w:after="0"/>
        <w:rPr>
          <w:rFonts w:asciiTheme="majorHAnsi" w:hAnsiTheme="majorHAnsi"/>
        </w:rPr>
      </w:pPr>
    </w:p>
    <w:p w14:paraId="5C046C06" w14:textId="5EC43D54" w:rsidR="00B15A20" w:rsidRPr="00820C89" w:rsidRDefault="00B15A20" w:rsidP="00B15A20">
      <w:pPr>
        <w:spacing w:after="0"/>
        <w:rPr>
          <w:rFonts w:asciiTheme="majorHAnsi" w:hAnsiTheme="majorHAnsi"/>
        </w:rPr>
      </w:pPr>
      <w:r w:rsidRPr="00820C89">
        <w:rPr>
          <w:rFonts w:asciiTheme="majorHAnsi" w:hAnsiTheme="majorHAnsi"/>
        </w:rPr>
        <w:t>Building a relationship</w:t>
      </w:r>
      <w:r w:rsidR="001050AF" w:rsidRPr="00820C89">
        <w:rPr>
          <w:rFonts w:asciiTheme="majorHAnsi" w:hAnsiTheme="majorHAnsi"/>
        </w:rPr>
        <w:t>, especially layered in the way of Indigenous engagement,</w:t>
      </w:r>
      <w:r w:rsidRPr="00820C89">
        <w:rPr>
          <w:rFonts w:asciiTheme="majorHAnsi" w:hAnsiTheme="majorHAnsi"/>
        </w:rPr>
        <w:t xml:space="preserve"> takes time – often more time than the 26-week program </w:t>
      </w:r>
      <w:r w:rsidR="000F6466" w:rsidRPr="00820C89">
        <w:rPr>
          <w:rFonts w:asciiTheme="majorHAnsi" w:hAnsiTheme="majorHAnsi"/>
        </w:rPr>
        <w:t xml:space="preserve">outcome </w:t>
      </w:r>
      <w:r w:rsidRPr="00820C89">
        <w:rPr>
          <w:rFonts w:asciiTheme="majorHAnsi" w:hAnsiTheme="majorHAnsi"/>
        </w:rPr>
        <w:t xml:space="preserve">incentive and contract structure </w:t>
      </w:r>
      <w:r w:rsidR="000F6466" w:rsidRPr="00820C89">
        <w:rPr>
          <w:rFonts w:asciiTheme="majorHAnsi" w:hAnsiTheme="majorHAnsi"/>
        </w:rPr>
        <w:t xml:space="preserve">in the programs evaluated </w:t>
      </w:r>
      <w:r w:rsidRPr="00820C89">
        <w:rPr>
          <w:rFonts w:asciiTheme="majorHAnsi" w:hAnsiTheme="majorHAnsi"/>
        </w:rPr>
        <w:t xml:space="preserve">reflects. This is because there are typically many barriers to gaining trust and understanding between the individual and their service/support provider. </w:t>
      </w:r>
    </w:p>
    <w:p w14:paraId="30B11A5E" w14:textId="77777777" w:rsidR="00B15A20" w:rsidRPr="00820C89" w:rsidRDefault="00B15A20" w:rsidP="00B15A20">
      <w:pPr>
        <w:spacing w:after="0"/>
        <w:rPr>
          <w:rFonts w:asciiTheme="majorHAnsi" w:hAnsiTheme="majorHAnsi"/>
        </w:rPr>
      </w:pPr>
    </w:p>
    <w:p w14:paraId="154D491D" w14:textId="77777777" w:rsidR="00B15A20" w:rsidRPr="00820C89" w:rsidRDefault="00B15A20" w:rsidP="00B15A20">
      <w:pPr>
        <w:spacing w:after="0"/>
        <w:rPr>
          <w:rFonts w:asciiTheme="majorHAnsi" w:hAnsiTheme="majorHAnsi"/>
        </w:rPr>
      </w:pPr>
      <w:r w:rsidRPr="00820C89">
        <w:rPr>
          <w:rFonts w:asciiTheme="majorHAnsi" w:hAnsiTheme="majorHAnsi"/>
        </w:rPr>
        <w:t>Sufficient time to build relationships, aspiration and ultimately to journey with the individual is the starting point for appropriate, effective and efficient investment in this area of policy. In successful models of employment support elsewhere, where need is similarly highly variable and complex, enduring timeframes are typically allowed/encouraged for service provision.</w:t>
      </w:r>
    </w:p>
    <w:p w14:paraId="50FAA384" w14:textId="77777777" w:rsidR="00B15A20" w:rsidRPr="00820C89" w:rsidRDefault="00B15A20" w:rsidP="00B15A20">
      <w:pPr>
        <w:spacing w:after="0"/>
        <w:rPr>
          <w:rFonts w:asciiTheme="majorHAnsi" w:hAnsiTheme="majorHAnsi"/>
        </w:rPr>
      </w:pPr>
    </w:p>
    <w:p w14:paraId="3A5FF1D2"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1 - </w:t>
      </w:r>
      <w:r w:rsidRPr="00820C89">
        <w:rPr>
          <w:rFonts w:asciiTheme="majorHAnsi" w:hAnsiTheme="majorHAnsi"/>
          <w:b/>
          <w:bCs/>
          <w:u w:val="single"/>
        </w:rPr>
        <w:t>Design</w:t>
      </w:r>
      <w:r w:rsidRPr="00820C89">
        <w:rPr>
          <w:rFonts w:asciiTheme="majorHAnsi" w:hAnsiTheme="majorHAnsi"/>
          <w:b/>
          <w:bCs/>
        </w:rPr>
        <w:t xml:space="preserve"> a relationship-based service model that can provide continuity of service, to the point that the outcome(s) sought are realised. </w:t>
      </w:r>
    </w:p>
    <w:p w14:paraId="0DCCCA3A" w14:textId="77777777" w:rsidR="00B15A20" w:rsidRPr="00820C89" w:rsidRDefault="00B15A20" w:rsidP="00B15A20">
      <w:pPr>
        <w:spacing w:after="0"/>
        <w:rPr>
          <w:rFonts w:asciiTheme="majorHAnsi" w:hAnsiTheme="majorHAnsi"/>
          <w:i/>
          <w:iCs/>
        </w:rPr>
      </w:pPr>
    </w:p>
    <w:p w14:paraId="0476CABF" w14:textId="77777777" w:rsidR="00B15A20" w:rsidRPr="00820C89" w:rsidRDefault="00B15A20" w:rsidP="00B15A20">
      <w:pPr>
        <w:spacing w:after="0"/>
        <w:rPr>
          <w:rFonts w:asciiTheme="majorHAnsi" w:hAnsiTheme="majorHAnsi"/>
        </w:rPr>
      </w:pPr>
      <w:r w:rsidRPr="00820C89">
        <w:rPr>
          <w:rFonts w:asciiTheme="majorHAnsi" w:hAnsiTheme="majorHAnsi"/>
        </w:rPr>
        <w:t xml:space="preserve">History and the evidence presented in this evaluation suggest a genuine exercise in service design is now required. It would need be led by experts in the process of human-centred service design, and closely involve an appropriate representation of those who have experienced (or are likely to need) this type of support, and of those who have seen (or delivered) success up close. </w:t>
      </w:r>
    </w:p>
    <w:p w14:paraId="5C4CB34A" w14:textId="77777777" w:rsidR="00B15A20" w:rsidRPr="00820C89" w:rsidRDefault="00B15A20" w:rsidP="00B15A20">
      <w:pPr>
        <w:spacing w:after="0"/>
        <w:rPr>
          <w:rFonts w:asciiTheme="majorHAnsi" w:hAnsiTheme="majorHAnsi"/>
        </w:rPr>
      </w:pPr>
    </w:p>
    <w:p w14:paraId="0586F6AD"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design process can thereby better pinpoint the features of service that make the difference for Indigenous Australians, and ensure the current frictions are eased. This will include ensuring the connections the model supports these individuals to make are culturally appropriate and therefore (likely) highly localised, and (likely) either Indigenous-delivered or Indigenous-centred. </w:t>
      </w:r>
    </w:p>
    <w:p w14:paraId="25B207B1" w14:textId="77777777" w:rsidR="00B15A20" w:rsidRPr="00820C89" w:rsidRDefault="00B15A20" w:rsidP="00B15A20">
      <w:pPr>
        <w:spacing w:after="0"/>
        <w:rPr>
          <w:rFonts w:asciiTheme="majorHAnsi" w:hAnsiTheme="majorHAnsi"/>
        </w:rPr>
      </w:pPr>
    </w:p>
    <w:p w14:paraId="39DDD7A9" w14:textId="77777777" w:rsidR="00B15A20" w:rsidRPr="00820C89" w:rsidRDefault="00B15A20" w:rsidP="00B15A20">
      <w:pPr>
        <w:spacing w:after="0"/>
        <w:rPr>
          <w:rFonts w:asciiTheme="majorHAnsi" w:hAnsiTheme="majorHAnsi"/>
        </w:rPr>
      </w:pPr>
      <w:r w:rsidRPr="00820C89">
        <w:rPr>
          <w:rFonts w:asciiTheme="majorHAnsi" w:hAnsiTheme="majorHAnsi"/>
        </w:rPr>
        <w:t>Given trust, learning, aspiration and matching all take time if they are to be robust, the service will need to be designed around an appropriate length of relationship. This will often be in excess of the current program 26-week incentives/parameters. In many instances success will take more than one attempt and may not be full-time employment. Success will also not be achieved through extended periods of inactivity, particularly where the participant is ready to re-engage</w:t>
      </w:r>
      <w:r w:rsidRPr="00820C89">
        <w:rPr>
          <w:rStyle w:val="FootnoteReference"/>
          <w:rFonts w:asciiTheme="majorHAnsi" w:hAnsiTheme="majorHAnsi"/>
        </w:rPr>
        <w:footnoteReference w:id="7"/>
      </w:r>
      <w:r w:rsidRPr="00820C89">
        <w:rPr>
          <w:rFonts w:asciiTheme="majorHAnsi" w:hAnsiTheme="majorHAnsi"/>
        </w:rPr>
        <w:t xml:space="preserve">. </w:t>
      </w:r>
    </w:p>
    <w:p w14:paraId="0EA73761" w14:textId="77777777" w:rsidR="00B15A20" w:rsidRPr="00820C89" w:rsidRDefault="00B15A20" w:rsidP="00B15A20">
      <w:pPr>
        <w:spacing w:after="0"/>
        <w:rPr>
          <w:rFonts w:asciiTheme="majorHAnsi" w:hAnsiTheme="majorHAnsi"/>
        </w:rPr>
      </w:pPr>
      <w:r w:rsidRPr="00820C89">
        <w:rPr>
          <w:rFonts w:asciiTheme="majorHAnsi" w:hAnsiTheme="majorHAnsi"/>
        </w:rPr>
        <w:t xml:space="preserve"> </w:t>
      </w:r>
    </w:p>
    <w:p w14:paraId="40043491" w14:textId="10CECBB8" w:rsidR="00B15A20" w:rsidRPr="00820C89" w:rsidRDefault="00B15A20" w:rsidP="00B15A20">
      <w:pPr>
        <w:spacing w:after="0"/>
        <w:rPr>
          <w:rFonts w:asciiTheme="majorHAnsi" w:hAnsiTheme="majorHAnsi"/>
        </w:rPr>
      </w:pPr>
      <w:r w:rsidRPr="00820C89">
        <w:rPr>
          <w:rFonts w:asciiTheme="majorHAnsi" w:hAnsiTheme="majorHAnsi"/>
          <w:i/>
          <w:iCs/>
        </w:rPr>
        <w:t xml:space="preserve">Refer to suggestions </w:t>
      </w:r>
      <w:hyperlink w:anchor="Suggestion2" w:history="1">
        <w:r w:rsidRPr="00BE3621">
          <w:rPr>
            <w:rStyle w:val="Hyperlink"/>
            <w:rFonts w:asciiTheme="majorHAnsi" w:hAnsiTheme="majorHAnsi"/>
            <w:i/>
            <w:iCs/>
          </w:rPr>
          <w:t>two</w:t>
        </w:r>
      </w:hyperlink>
      <w:r w:rsidRPr="00820C89">
        <w:rPr>
          <w:rFonts w:asciiTheme="majorHAnsi" w:hAnsiTheme="majorHAnsi"/>
          <w:i/>
          <w:iCs/>
        </w:rPr>
        <w:t xml:space="preserve"> and </w:t>
      </w:r>
      <w:hyperlink w:anchor="Suggestion7" w:history="1">
        <w:r w:rsidR="00462CFB" w:rsidRPr="00820C89">
          <w:rPr>
            <w:rStyle w:val="Hyperlink"/>
            <w:rFonts w:asciiTheme="majorHAnsi" w:hAnsiTheme="majorHAnsi"/>
            <w:i/>
            <w:iCs/>
          </w:rPr>
          <w:t>seven</w:t>
        </w:r>
      </w:hyperlink>
      <w:r w:rsidRPr="00820C89">
        <w:rPr>
          <w:rFonts w:asciiTheme="majorHAnsi" w:hAnsiTheme="majorHAnsi"/>
          <w:i/>
          <w:iCs/>
        </w:rPr>
        <w:t xml:space="preserve"> in the body of the report for further detail.</w:t>
      </w:r>
    </w:p>
    <w:p w14:paraId="7C617E95" w14:textId="77777777" w:rsidR="00B15A20" w:rsidRPr="00820C89" w:rsidRDefault="00B15A20" w:rsidP="00B15A20">
      <w:pPr>
        <w:spacing w:after="0"/>
        <w:rPr>
          <w:rFonts w:asciiTheme="majorHAnsi" w:hAnsiTheme="majorHAnsi"/>
        </w:rPr>
      </w:pPr>
    </w:p>
    <w:p w14:paraId="43420726" w14:textId="77777777" w:rsidR="00B15A20" w:rsidRPr="00820C89" w:rsidRDefault="00B15A20" w:rsidP="00B15A20">
      <w:pPr>
        <w:spacing w:after="0"/>
        <w:rPr>
          <w:rFonts w:asciiTheme="majorHAnsi" w:hAnsiTheme="majorHAnsi"/>
          <w:b/>
          <w:iCs/>
        </w:rPr>
      </w:pPr>
      <w:r w:rsidRPr="00820C89">
        <w:rPr>
          <w:rFonts w:asciiTheme="majorHAnsi" w:hAnsiTheme="majorHAnsi"/>
          <w:b/>
          <w:iCs/>
        </w:rPr>
        <w:t>Finding 2 - ‘Meaningful’ employment is not predefined, though it is less likely to be outside of an individual’s community.</w:t>
      </w:r>
    </w:p>
    <w:p w14:paraId="571921BB" w14:textId="77777777" w:rsidR="00B15A20" w:rsidRPr="00820C89" w:rsidRDefault="00B15A20" w:rsidP="00B15A20">
      <w:pPr>
        <w:spacing w:after="0"/>
        <w:rPr>
          <w:rFonts w:asciiTheme="majorHAnsi" w:hAnsiTheme="majorHAnsi"/>
        </w:rPr>
      </w:pPr>
    </w:p>
    <w:p w14:paraId="7A2FF678" w14:textId="77777777" w:rsidR="00B15A20" w:rsidRPr="00820C89" w:rsidRDefault="00B15A20" w:rsidP="00B15A20">
      <w:pPr>
        <w:spacing w:after="0"/>
        <w:rPr>
          <w:rFonts w:asciiTheme="majorHAnsi" w:hAnsiTheme="majorHAnsi"/>
        </w:rPr>
      </w:pPr>
      <w:r w:rsidRPr="00820C89">
        <w:rPr>
          <w:rFonts w:asciiTheme="majorHAnsi" w:hAnsiTheme="majorHAnsi"/>
        </w:rPr>
        <w:t>‘Meaningful’ employment cannot be judged in the absence of the aspiration of the individual. The operating assumption should therefore not be that any job will do, nor that areas of economy-wide skill shortage are necessarily enabling opportunities for participants. Moving away for work, or working in a role of no cultural significance, is typically less achievable for Indigenous Australians.</w:t>
      </w:r>
    </w:p>
    <w:p w14:paraId="1D0F5D3F" w14:textId="77777777" w:rsidR="00B15A20" w:rsidRPr="00820C89" w:rsidRDefault="00B15A20" w:rsidP="00B15A20">
      <w:pPr>
        <w:spacing w:after="0"/>
        <w:rPr>
          <w:rFonts w:asciiTheme="majorHAnsi" w:hAnsiTheme="majorHAnsi"/>
        </w:rPr>
      </w:pPr>
      <w:r w:rsidRPr="00820C89">
        <w:rPr>
          <w:rFonts w:asciiTheme="majorHAnsi" w:hAnsiTheme="majorHAnsi"/>
        </w:rPr>
        <w:t xml:space="preserve"> </w:t>
      </w:r>
    </w:p>
    <w:p w14:paraId="7178F2E8" w14:textId="769B011A" w:rsidR="00B15A20" w:rsidRPr="00820C89" w:rsidRDefault="00B15A20" w:rsidP="00B15A20">
      <w:pPr>
        <w:spacing w:after="0"/>
        <w:rPr>
          <w:rFonts w:asciiTheme="majorHAnsi" w:hAnsiTheme="majorHAnsi"/>
        </w:rPr>
      </w:pPr>
      <w:r w:rsidRPr="00820C89">
        <w:rPr>
          <w:rFonts w:asciiTheme="majorHAnsi" w:hAnsiTheme="majorHAnsi"/>
        </w:rPr>
        <w:t>For Indigenous Australians, meaningful employment is less likely to be about individual financial benefits, and instead operate in a complex relationship to community</w:t>
      </w:r>
      <w:r w:rsidR="0069213B" w:rsidRPr="00820C89">
        <w:rPr>
          <w:rFonts w:asciiTheme="majorHAnsi" w:hAnsiTheme="majorHAnsi"/>
        </w:rPr>
        <w:t>, family</w:t>
      </w:r>
      <w:r w:rsidRPr="00820C89">
        <w:rPr>
          <w:rFonts w:asciiTheme="majorHAnsi" w:hAnsiTheme="majorHAnsi"/>
        </w:rPr>
        <w:t xml:space="preserve"> and collective values </w:t>
      </w:r>
      <w:r w:rsidRPr="00820C89">
        <w:rPr>
          <w:rFonts w:asciiTheme="majorHAnsi" w:hAnsiTheme="majorHAnsi"/>
        </w:rPr>
        <w:lastRenderedPageBreak/>
        <w:t xml:space="preserve">and obligations. Meaningful employment will therefore offer avenues to enhance social relationships and contribute meaningfully to community. </w:t>
      </w:r>
    </w:p>
    <w:p w14:paraId="480B90E3" w14:textId="77777777" w:rsidR="00B15A20" w:rsidRPr="00820C89" w:rsidRDefault="00B15A20" w:rsidP="00B15A20">
      <w:pPr>
        <w:spacing w:after="0"/>
        <w:rPr>
          <w:rFonts w:asciiTheme="majorHAnsi" w:hAnsiTheme="majorHAnsi"/>
        </w:rPr>
      </w:pPr>
    </w:p>
    <w:p w14:paraId="7EC22FCD" w14:textId="77777777" w:rsidR="00B15A20" w:rsidRPr="00820C89" w:rsidRDefault="00B15A20" w:rsidP="00B15A20">
      <w:pPr>
        <w:spacing w:after="0"/>
        <w:rPr>
          <w:rFonts w:asciiTheme="majorHAnsi" w:hAnsiTheme="majorHAnsi"/>
        </w:rPr>
      </w:pPr>
      <w:r w:rsidRPr="00820C89">
        <w:rPr>
          <w:rFonts w:asciiTheme="majorHAnsi" w:hAnsiTheme="majorHAnsi"/>
        </w:rPr>
        <w:t>It’s also true that the mainstream economy isn’t equally present across the country, and any top-down view of what opportunities are available needs to be vetted against the on the ground presence of those opportunities. This heightens the complexity of the matching process, but also opens up the opportunity of strong matches in-place, particularly when thinking more broadly about the way public sector procurement in regional and remote communities could operate</w:t>
      </w:r>
      <w:r w:rsidRPr="00820C89">
        <w:rPr>
          <w:rStyle w:val="FootnoteReference"/>
          <w:rFonts w:asciiTheme="majorHAnsi" w:hAnsiTheme="majorHAnsi"/>
        </w:rPr>
        <w:footnoteReference w:id="8"/>
      </w:r>
      <w:r w:rsidRPr="00820C89">
        <w:rPr>
          <w:rFonts w:asciiTheme="majorHAnsi" w:hAnsiTheme="majorHAnsi"/>
        </w:rPr>
        <w:t>.</w:t>
      </w:r>
    </w:p>
    <w:p w14:paraId="7AB0B56B" w14:textId="77777777" w:rsidR="00B15A20" w:rsidRPr="00820C89" w:rsidRDefault="00B15A20" w:rsidP="00B15A20">
      <w:pPr>
        <w:spacing w:after="0"/>
        <w:rPr>
          <w:rFonts w:asciiTheme="majorHAnsi" w:hAnsiTheme="majorHAnsi"/>
        </w:rPr>
      </w:pPr>
    </w:p>
    <w:p w14:paraId="682CC414"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2 – </w:t>
      </w:r>
      <w:r w:rsidRPr="00820C89">
        <w:rPr>
          <w:rFonts w:asciiTheme="majorHAnsi" w:hAnsiTheme="majorHAnsi"/>
          <w:b/>
          <w:bCs/>
          <w:u w:val="single"/>
        </w:rPr>
        <w:t>Construct</w:t>
      </w:r>
      <w:r w:rsidRPr="00820C89">
        <w:rPr>
          <w:rFonts w:asciiTheme="majorHAnsi" w:hAnsiTheme="majorHAnsi"/>
          <w:b/>
          <w:bCs/>
        </w:rPr>
        <w:t xml:space="preserve"> a service support model that is ready to meet individuals at their point of need/aspiration, including in their community. </w:t>
      </w:r>
    </w:p>
    <w:p w14:paraId="186B16FF" w14:textId="77777777" w:rsidR="00B15A20" w:rsidRPr="00820C89" w:rsidRDefault="00B15A20" w:rsidP="00B15A20">
      <w:pPr>
        <w:spacing w:after="0"/>
        <w:rPr>
          <w:rFonts w:asciiTheme="majorHAnsi" w:hAnsiTheme="majorHAnsi"/>
          <w:b/>
          <w:bCs/>
        </w:rPr>
      </w:pPr>
    </w:p>
    <w:p w14:paraId="5F5E0568" w14:textId="77777777" w:rsidR="00B15A20" w:rsidRPr="00820C89" w:rsidRDefault="00B15A20" w:rsidP="00B15A20">
      <w:pPr>
        <w:spacing w:after="0"/>
        <w:rPr>
          <w:rFonts w:asciiTheme="majorHAnsi" w:hAnsiTheme="majorHAnsi"/>
        </w:rPr>
      </w:pPr>
      <w:r w:rsidRPr="00820C89">
        <w:rPr>
          <w:rFonts w:asciiTheme="majorHAnsi" w:hAnsiTheme="majorHAnsi"/>
        </w:rPr>
        <w:t>Contemporary approaches to social service are integrated, user-centred, and underpinned by a fit-for-purpose client management tool. That tool will operate as a single source of truth for all parties (the client, the provider and the administrator), as it relates to the need and the journey of the individual through the support system.</w:t>
      </w:r>
      <w:r w:rsidRPr="00820C89" w:rsidDel="00E8495A">
        <w:rPr>
          <w:rFonts w:asciiTheme="majorHAnsi" w:hAnsiTheme="majorHAnsi"/>
        </w:rPr>
        <w:t xml:space="preserve"> </w:t>
      </w:r>
    </w:p>
    <w:p w14:paraId="35025FA4" w14:textId="77777777" w:rsidR="00B15A20" w:rsidRPr="00820C89" w:rsidRDefault="00B15A20" w:rsidP="00B15A20">
      <w:pPr>
        <w:spacing w:after="0"/>
        <w:rPr>
          <w:rFonts w:asciiTheme="majorHAnsi" w:hAnsiTheme="majorHAnsi"/>
        </w:rPr>
      </w:pPr>
    </w:p>
    <w:p w14:paraId="371BEFE5" w14:textId="77777777" w:rsidR="00B15A20" w:rsidRPr="00820C89" w:rsidRDefault="00B15A20" w:rsidP="00B15A20">
      <w:pPr>
        <w:spacing w:after="0"/>
        <w:rPr>
          <w:rFonts w:asciiTheme="majorHAnsi" w:hAnsiTheme="majorHAnsi"/>
        </w:rPr>
      </w:pPr>
      <w:r w:rsidRPr="00820C89">
        <w:rPr>
          <w:rFonts w:asciiTheme="majorHAnsi" w:hAnsiTheme="majorHAnsi"/>
        </w:rPr>
        <w:t>Going forward, it is incumbent upon this support system to better understand and help develop what ‘meaningful’ employment looks like for each individual. If the model held the view that any job is a steppingstone, then the career pathways from that job will need to be a clearly established for the participant – an individual needs to see their future and aspire to it.</w:t>
      </w:r>
    </w:p>
    <w:p w14:paraId="45CEEB73" w14:textId="77777777" w:rsidR="00B15A20" w:rsidRPr="00820C89" w:rsidRDefault="00B15A20" w:rsidP="00B15A20">
      <w:pPr>
        <w:spacing w:after="0"/>
        <w:rPr>
          <w:rFonts w:asciiTheme="majorHAnsi" w:hAnsiTheme="majorHAnsi"/>
        </w:rPr>
      </w:pPr>
    </w:p>
    <w:p w14:paraId="2E2B6AA7"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model should then ensure and assure it is providing ‘reasonable’ supports towards that end. </w:t>
      </w:r>
    </w:p>
    <w:p w14:paraId="52A75445"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This will require significant investment in new instruments, processes and capabilities, including data systems to help identify and map the individual journeys. As each client journey will involve steppingstones, the model should enable these to be broadly established in the early stages of relationship, and then tracked (and revised) to indicate progress over time. </w:t>
      </w:r>
    </w:p>
    <w:p w14:paraId="7858BF78" w14:textId="77777777" w:rsidR="00B15A20" w:rsidRPr="00820C89" w:rsidRDefault="00B15A20" w:rsidP="00B15A20">
      <w:pPr>
        <w:spacing w:after="0"/>
        <w:rPr>
          <w:rFonts w:asciiTheme="majorHAnsi" w:hAnsiTheme="majorHAnsi"/>
        </w:rPr>
      </w:pPr>
    </w:p>
    <w:p w14:paraId="7FB647B7" w14:textId="77777777" w:rsidR="00B15A20" w:rsidRPr="00820C89" w:rsidRDefault="00B15A20" w:rsidP="00B15A20">
      <w:pPr>
        <w:spacing w:after="0"/>
        <w:rPr>
          <w:rFonts w:asciiTheme="majorHAnsi" w:hAnsiTheme="majorHAnsi"/>
        </w:rPr>
      </w:pPr>
      <w:r w:rsidRPr="00820C89">
        <w:rPr>
          <w:rFonts w:asciiTheme="majorHAnsi" w:hAnsiTheme="majorHAnsi"/>
        </w:rPr>
        <w:t>The matching process itself will need to move more towards community-level needs, procurement models and job-creation. This will be enabled through greater cross-governmental and cross-agency collaboration (centrally and regionally), where different programs, organisations and pools of funding are managed and can ultimately be better aligned to achieve collective goals.</w:t>
      </w:r>
    </w:p>
    <w:p w14:paraId="0EEA31B1" w14:textId="77777777" w:rsidR="00B15A20" w:rsidRPr="00820C89" w:rsidRDefault="00B15A20" w:rsidP="00B15A20">
      <w:pPr>
        <w:spacing w:after="0"/>
        <w:rPr>
          <w:rFonts w:asciiTheme="majorHAnsi" w:hAnsiTheme="majorHAnsi"/>
        </w:rPr>
      </w:pPr>
    </w:p>
    <w:p w14:paraId="498110AB" w14:textId="5DB417AF" w:rsidR="00B15A20" w:rsidRPr="00820C89" w:rsidRDefault="00B15A20" w:rsidP="00B15A20">
      <w:pPr>
        <w:spacing w:after="0"/>
        <w:rPr>
          <w:rFonts w:asciiTheme="majorHAnsi" w:hAnsiTheme="majorHAnsi"/>
          <w:i/>
          <w:iCs/>
        </w:rPr>
      </w:pPr>
      <w:r w:rsidRPr="00820C89">
        <w:rPr>
          <w:rFonts w:asciiTheme="majorHAnsi" w:hAnsiTheme="majorHAnsi"/>
          <w:i/>
          <w:iCs/>
        </w:rPr>
        <w:t xml:space="preserve">Refer to suggestion </w:t>
      </w:r>
      <w:hyperlink w:anchor="Suggestion4" w:history="1">
        <w:r w:rsidRPr="00820C89">
          <w:rPr>
            <w:rStyle w:val="Hyperlink"/>
            <w:rFonts w:asciiTheme="majorHAnsi" w:hAnsiTheme="majorHAnsi"/>
            <w:i/>
            <w:iCs/>
          </w:rPr>
          <w:t>four</w:t>
        </w:r>
      </w:hyperlink>
      <w:r w:rsidRPr="00820C89">
        <w:rPr>
          <w:rFonts w:asciiTheme="majorHAnsi" w:hAnsiTheme="majorHAnsi"/>
          <w:i/>
          <w:iCs/>
        </w:rPr>
        <w:t xml:space="preserve"> in the body of the report for further detail.</w:t>
      </w:r>
    </w:p>
    <w:p w14:paraId="776940E4" w14:textId="77777777" w:rsidR="00B15A20" w:rsidRPr="00820C89" w:rsidRDefault="00B15A20" w:rsidP="00B15A20">
      <w:pPr>
        <w:spacing w:after="0"/>
        <w:rPr>
          <w:rFonts w:asciiTheme="majorHAnsi" w:hAnsiTheme="majorHAnsi"/>
        </w:rPr>
      </w:pPr>
    </w:p>
    <w:p w14:paraId="1BEB63B1" w14:textId="77777777" w:rsidR="00B15A20" w:rsidRPr="00820C89" w:rsidRDefault="00B15A20" w:rsidP="00B15A20">
      <w:pPr>
        <w:spacing w:after="0"/>
        <w:rPr>
          <w:rFonts w:asciiTheme="majorHAnsi" w:hAnsiTheme="majorHAnsi"/>
          <w:b/>
          <w:bCs/>
        </w:rPr>
      </w:pPr>
      <w:r w:rsidRPr="00820C89">
        <w:rPr>
          <w:rFonts w:asciiTheme="majorHAnsi" w:hAnsiTheme="majorHAnsi"/>
          <w:b/>
          <w:bCs/>
        </w:rPr>
        <w:t>Finding 3 – Greater subsidiarity is now required to assist the ‘matching’ with meaningful employment, including the ‘aligning’ of government programs and funding</w:t>
      </w:r>
    </w:p>
    <w:p w14:paraId="305C3054" w14:textId="77777777" w:rsidR="00B15A20" w:rsidRPr="00820C89" w:rsidRDefault="00B15A20" w:rsidP="00B15A20">
      <w:pPr>
        <w:spacing w:after="0"/>
        <w:rPr>
          <w:rFonts w:asciiTheme="majorHAnsi" w:hAnsiTheme="majorHAnsi"/>
        </w:rPr>
      </w:pPr>
    </w:p>
    <w:p w14:paraId="5BB6D4BD"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current operating model of the program is highly centralised and highly focused on contract management – reflecting a historical decision that the preconditions for devolution were not sufficiently in place. </w:t>
      </w:r>
      <w:r w:rsidRPr="00820C89">
        <w:rPr>
          <w:rFonts w:eastAsia="Verdana" w:cs="Verdana"/>
        </w:rPr>
        <w:t>Analysis to this point suggests that the risks these current program settings are seeking to avoid may be lesser than the benefits they could unlock if reset.</w:t>
      </w:r>
    </w:p>
    <w:p w14:paraId="100C48C7" w14:textId="77777777" w:rsidR="00B15A20" w:rsidRPr="00820C89" w:rsidRDefault="00B15A20" w:rsidP="00B15A20">
      <w:pPr>
        <w:spacing w:after="0"/>
        <w:rPr>
          <w:rFonts w:asciiTheme="majorHAnsi" w:hAnsiTheme="majorHAnsi"/>
        </w:rPr>
      </w:pPr>
    </w:p>
    <w:p w14:paraId="4250C645"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consequence of the centralisation was consistently reported in these regional consultations to be a loss of opportunity for individuals and communities, and a disempowered NIAA regional workforce. Many stakeholders consulted recall a time where Indigenous employment support was more devolved and, in their eyes, more effective, and/or are seeing successful devolution in other social service contexts in their communities. </w:t>
      </w:r>
    </w:p>
    <w:p w14:paraId="2FD325F3" w14:textId="77777777" w:rsidR="00B15A20" w:rsidRPr="00820C89" w:rsidRDefault="00B15A20" w:rsidP="00B15A20">
      <w:pPr>
        <w:spacing w:after="0"/>
        <w:rPr>
          <w:rFonts w:asciiTheme="majorHAnsi" w:hAnsiTheme="majorHAnsi"/>
        </w:rPr>
      </w:pPr>
    </w:p>
    <w:p w14:paraId="5263AFCC" w14:textId="77777777" w:rsidR="00B15A20" w:rsidRPr="00820C89" w:rsidRDefault="00B15A20" w:rsidP="00B15A20">
      <w:pPr>
        <w:spacing w:after="0"/>
        <w:rPr>
          <w:rFonts w:asciiTheme="majorHAnsi" w:hAnsiTheme="majorHAnsi"/>
        </w:rPr>
      </w:pPr>
      <w:r w:rsidRPr="00820C89">
        <w:rPr>
          <w:rFonts w:asciiTheme="majorHAnsi" w:hAnsiTheme="majorHAnsi"/>
        </w:rPr>
        <w:t xml:space="preserve">While there were some examples of successful negotiation of contracts and opportunities, they appeared to be more a function of the ingenuity of key individuals than a function of the system. This evidence (among other evidence) suggests the weakness in the model is a reflection of a lack of place and person-based design, rather than a deficiency of the individual administrators. </w:t>
      </w:r>
    </w:p>
    <w:p w14:paraId="555BFAC0" w14:textId="77777777" w:rsidR="00B15A20" w:rsidRPr="00820C89" w:rsidRDefault="00B15A20" w:rsidP="00B15A20">
      <w:pPr>
        <w:spacing w:after="0"/>
        <w:rPr>
          <w:rFonts w:asciiTheme="majorHAnsi" w:hAnsiTheme="majorHAnsi"/>
        </w:rPr>
      </w:pPr>
    </w:p>
    <w:p w14:paraId="44AF8931" w14:textId="77777777" w:rsidR="00B15A20" w:rsidRPr="00820C89" w:rsidRDefault="00B15A20" w:rsidP="00B15A20">
      <w:pPr>
        <w:spacing w:after="0"/>
        <w:rPr>
          <w:rFonts w:asciiTheme="majorHAnsi" w:hAnsiTheme="majorHAnsi"/>
        </w:rPr>
      </w:pPr>
      <w:r w:rsidRPr="00820C89">
        <w:rPr>
          <w:rFonts w:asciiTheme="majorHAnsi" w:hAnsiTheme="majorHAnsi"/>
        </w:rPr>
        <w:lastRenderedPageBreak/>
        <w:t>Subsidiarity is the direction of all appropriate, effective and efficient employment policy Deloitte Access Economics has evaluated over the last decade.</w:t>
      </w:r>
      <w:r w:rsidRPr="00820C89">
        <w:rPr>
          <w:rStyle w:val="FootnoteReference"/>
          <w:rFonts w:asciiTheme="majorHAnsi" w:hAnsiTheme="majorHAnsi"/>
        </w:rPr>
        <w:footnoteReference w:id="9"/>
      </w:r>
      <w:r w:rsidRPr="00820C89">
        <w:rPr>
          <w:rFonts w:asciiTheme="majorHAnsi" w:hAnsiTheme="majorHAnsi"/>
        </w:rPr>
        <w:t xml:space="preserve"> With this can also come a way to reinvigorate the relationship with jurisdictionally-based programs, which are currently unknown to the NIAA or out of alignment with the program investment (a challenge for the participant, employer and provider to currently try and navigate largely on their own). </w:t>
      </w:r>
    </w:p>
    <w:p w14:paraId="1D2EF6CB" w14:textId="77777777" w:rsidR="00B15A20" w:rsidRPr="00820C89" w:rsidRDefault="00B15A20" w:rsidP="00B15A20">
      <w:pPr>
        <w:spacing w:after="0"/>
        <w:rPr>
          <w:rFonts w:asciiTheme="majorHAnsi" w:hAnsiTheme="majorHAnsi"/>
        </w:rPr>
      </w:pPr>
    </w:p>
    <w:p w14:paraId="2DBE82FE"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3 – </w:t>
      </w:r>
      <w:r w:rsidRPr="00820C89">
        <w:rPr>
          <w:rFonts w:asciiTheme="majorHAnsi" w:hAnsiTheme="majorHAnsi"/>
          <w:b/>
          <w:bCs/>
          <w:u w:val="single"/>
        </w:rPr>
        <w:t>Operate</w:t>
      </w:r>
      <w:r w:rsidRPr="00820C89">
        <w:rPr>
          <w:rFonts w:asciiTheme="majorHAnsi" w:hAnsiTheme="majorHAnsi"/>
          <w:b/>
          <w:bCs/>
        </w:rPr>
        <w:t xml:space="preserve"> the model through a reinvigorated regional office(r), as a centre-point of its community, a broker with authority, and a local career of choice. </w:t>
      </w:r>
    </w:p>
    <w:p w14:paraId="00B41B6D" w14:textId="77777777" w:rsidR="00B15A20" w:rsidRPr="00820C89" w:rsidRDefault="00B15A20" w:rsidP="00B15A20">
      <w:pPr>
        <w:spacing w:after="0"/>
        <w:rPr>
          <w:rFonts w:asciiTheme="majorHAnsi" w:hAnsiTheme="majorHAnsi"/>
        </w:rPr>
      </w:pPr>
    </w:p>
    <w:p w14:paraId="188CCD36" w14:textId="77777777" w:rsidR="00B15A20" w:rsidRPr="00820C89" w:rsidRDefault="00B15A20" w:rsidP="00B15A20">
      <w:pPr>
        <w:spacing w:after="0"/>
        <w:rPr>
          <w:rFonts w:eastAsia="Verdana" w:cs="Verdana"/>
        </w:rPr>
      </w:pPr>
      <w:r w:rsidRPr="00820C89">
        <w:rPr>
          <w:rFonts w:asciiTheme="majorHAnsi" w:hAnsiTheme="majorHAnsi"/>
        </w:rPr>
        <w:t>A</w:t>
      </w:r>
      <w:r w:rsidRPr="00820C89">
        <w:rPr>
          <w:rFonts w:eastAsia="Verdana" w:cs="Verdana"/>
        </w:rPr>
        <w:t xml:space="preserve"> ‘high control’ (centralised) approach is appropriate where the risks associated with program delivery are high, or where best practice design and implementation features are well-established. In this case a ‘high trust’ approach is more appropriate, noting what constitutes effective service provision is relatively localised, and adaptability and responsiveness in service delivery is required. </w:t>
      </w:r>
    </w:p>
    <w:p w14:paraId="6CA95553" w14:textId="77777777" w:rsidR="00B15A20" w:rsidRPr="00820C89" w:rsidRDefault="00B15A20" w:rsidP="00B15A20">
      <w:pPr>
        <w:spacing w:after="0"/>
        <w:rPr>
          <w:rFonts w:eastAsia="Verdana" w:cs="Verdana"/>
        </w:rPr>
      </w:pPr>
    </w:p>
    <w:p w14:paraId="373B4C26" w14:textId="77777777" w:rsidR="00B15A20" w:rsidRPr="00820C89" w:rsidRDefault="00B15A20" w:rsidP="00B15A20">
      <w:pPr>
        <w:spacing w:after="0"/>
        <w:rPr>
          <w:rFonts w:eastAsia="Verdana" w:cs="Verdana"/>
        </w:rPr>
      </w:pPr>
      <w:r w:rsidRPr="00820C89">
        <w:rPr>
          <w:rFonts w:asciiTheme="majorHAnsi" w:hAnsiTheme="majorHAnsi"/>
        </w:rPr>
        <w:t xml:space="preserve">The NIAA regional office has the potential to play a highly influential brokerage role as part of this, one that can coordinate the best available opportunities to their contextual Indigenous employment challenges. This recommendation is made in recognition of the fact that this is a complex problem that will only be reduced through widespread improvements in relationships, capabilities and evidence, and through that less delayed (and better) decision making. </w:t>
      </w:r>
    </w:p>
    <w:p w14:paraId="78E51AC1" w14:textId="77777777" w:rsidR="00B15A20" w:rsidRPr="00820C89" w:rsidRDefault="00B15A20" w:rsidP="00B15A20">
      <w:pPr>
        <w:spacing w:after="0"/>
        <w:rPr>
          <w:rFonts w:asciiTheme="majorHAnsi" w:hAnsiTheme="majorHAnsi"/>
        </w:rPr>
      </w:pPr>
    </w:p>
    <w:p w14:paraId="08404CDC" w14:textId="77777777" w:rsidR="00B15A20" w:rsidRPr="00820C89" w:rsidRDefault="00B15A20" w:rsidP="00B15A20">
      <w:pPr>
        <w:spacing w:after="0"/>
        <w:rPr>
          <w:rFonts w:asciiTheme="majorHAnsi" w:hAnsiTheme="majorHAnsi"/>
        </w:rPr>
      </w:pPr>
      <w:r w:rsidRPr="00820C89">
        <w:rPr>
          <w:rFonts w:asciiTheme="majorHAnsi" w:hAnsiTheme="majorHAnsi"/>
        </w:rPr>
        <w:t xml:space="preserve">Subsidiarity can be expressed practically in many ways, as the NIAA would be considering in other aspects of its policy responsibilities. The role of the ‘central office’ in the model will need to be appropriately redesigned as part of this shift, noting it too has an important, higher-value formative role to play (where improved data systems take more care of the summative aspects). </w:t>
      </w:r>
    </w:p>
    <w:p w14:paraId="25D15962" w14:textId="77777777" w:rsidR="00B15A20" w:rsidRPr="00820C89" w:rsidRDefault="00B15A20" w:rsidP="00B15A20">
      <w:pPr>
        <w:spacing w:after="0"/>
        <w:rPr>
          <w:rFonts w:asciiTheme="majorHAnsi" w:hAnsiTheme="majorHAnsi"/>
        </w:rPr>
      </w:pPr>
      <w:r w:rsidRPr="00820C89">
        <w:rPr>
          <w:rFonts w:asciiTheme="majorHAnsi" w:hAnsiTheme="majorHAnsi"/>
        </w:rPr>
        <w:t>Subsidiarity (again) requires trust, capability building, and efficacious monitoring systems at all levels – as preconditions for its success – and (again) these will need to be adequately invested in, concurrent to the rollout of the next program.</w:t>
      </w:r>
    </w:p>
    <w:p w14:paraId="6B5EC6B0" w14:textId="77777777" w:rsidR="00B15A20" w:rsidRPr="00820C89" w:rsidRDefault="00B15A20" w:rsidP="00B15A20">
      <w:pPr>
        <w:spacing w:after="0"/>
        <w:rPr>
          <w:rFonts w:asciiTheme="majorHAnsi" w:hAnsiTheme="majorHAnsi"/>
        </w:rPr>
      </w:pPr>
    </w:p>
    <w:p w14:paraId="2DF92FB8" w14:textId="77777777" w:rsidR="00B15A20" w:rsidRPr="00820C89" w:rsidRDefault="00B15A20" w:rsidP="00B15A20">
      <w:pPr>
        <w:spacing w:after="0"/>
        <w:rPr>
          <w:rFonts w:asciiTheme="majorHAnsi" w:hAnsiTheme="majorHAnsi"/>
        </w:rPr>
      </w:pPr>
      <w:r w:rsidRPr="00820C89">
        <w:rPr>
          <w:rFonts w:asciiTheme="majorHAnsi" w:hAnsiTheme="majorHAnsi"/>
        </w:rPr>
        <w:t xml:space="preserve">Ultimately, the model needs to display the same trust towards stakeholders that it is asking stakeholders to display towards it. A practical expression of this is giving participants a ‘second-chance’ and providing ongoing opportunities for re-engagement – noting this is most reliably administered through on-the-ground engagement and relationship (client, provider, coordinator). </w:t>
      </w:r>
    </w:p>
    <w:p w14:paraId="4BA88155"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This operating model thereby stands to create a more attractive career option for regional officers in and of itself, where it is a more meaningful role in those communities. </w:t>
      </w:r>
    </w:p>
    <w:p w14:paraId="1A766B67" w14:textId="77777777" w:rsidR="00B15A20" w:rsidRPr="00820C89" w:rsidRDefault="00B15A20" w:rsidP="00B15A20">
      <w:pPr>
        <w:spacing w:after="0"/>
        <w:rPr>
          <w:rFonts w:asciiTheme="majorHAnsi" w:hAnsiTheme="majorHAnsi"/>
        </w:rPr>
      </w:pPr>
    </w:p>
    <w:p w14:paraId="4C0319DF" w14:textId="595BE00D" w:rsidR="00B15A20" w:rsidRPr="00820C89" w:rsidRDefault="00B15A20" w:rsidP="00B15A20">
      <w:pPr>
        <w:spacing w:after="0"/>
        <w:rPr>
          <w:rFonts w:asciiTheme="majorHAnsi" w:hAnsiTheme="majorHAnsi"/>
        </w:rPr>
      </w:pPr>
      <w:r w:rsidRPr="00820C89">
        <w:rPr>
          <w:rFonts w:asciiTheme="majorHAnsi" w:hAnsiTheme="majorHAnsi"/>
          <w:i/>
          <w:iCs/>
        </w:rPr>
        <w:t xml:space="preserve">Refer to suggestion </w:t>
      </w:r>
      <w:hyperlink w:anchor="Suggestion5" w:history="1">
        <w:r w:rsidRPr="00820C89">
          <w:rPr>
            <w:rStyle w:val="Hyperlink"/>
            <w:rFonts w:asciiTheme="majorHAnsi" w:hAnsiTheme="majorHAnsi"/>
            <w:i/>
            <w:iCs/>
          </w:rPr>
          <w:t>five</w:t>
        </w:r>
      </w:hyperlink>
      <w:r w:rsidRPr="00820C89">
        <w:rPr>
          <w:rFonts w:asciiTheme="majorHAnsi" w:hAnsiTheme="majorHAnsi"/>
          <w:i/>
          <w:iCs/>
        </w:rPr>
        <w:t xml:space="preserve"> in the body of the report for further detail.</w:t>
      </w:r>
    </w:p>
    <w:p w14:paraId="601AEC15" w14:textId="77777777" w:rsidR="00B15A20" w:rsidRPr="00820C89" w:rsidRDefault="00B15A20" w:rsidP="00B15A20">
      <w:pPr>
        <w:spacing w:after="0"/>
        <w:rPr>
          <w:rFonts w:asciiTheme="majorHAnsi" w:hAnsiTheme="majorHAnsi"/>
          <w:b/>
          <w:iCs/>
        </w:rPr>
      </w:pPr>
    </w:p>
    <w:p w14:paraId="03DFDBEA" w14:textId="77777777" w:rsidR="00B15A20" w:rsidRPr="00820C89" w:rsidRDefault="00B15A20" w:rsidP="00B15A20">
      <w:pPr>
        <w:spacing w:after="0"/>
        <w:rPr>
          <w:rFonts w:asciiTheme="majorHAnsi" w:hAnsiTheme="majorHAnsi"/>
          <w:b/>
          <w:bCs/>
        </w:rPr>
      </w:pPr>
      <w:r w:rsidRPr="00820C89">
        <w:rPr>
          <w:rFonts w:asciiTheme="majorHAnsi" w:hAnsiTheme="majorHAnsi"/>
          <w:b/>
          <w:bCs/>
        </w:rPr>
        <w:t>Finding 4 – The funding of this program is not fit-for-purpose, as it is too tight in some areas and too loose in others, and overall unclear in its underpinnings and purpose.</w:t>
      </w:r>
    </w:p>
    <w:p w14:paraId="3E046445" w14:textId="77777777" w:rsidR="00B15A20" w:rsidRPr="00820C89" w:rsidRDefault="00B15A20" w:rsidP="00B15A20">
      <w:pPr>
        <w:spacing w:after="0"/>
        <w:rPr>
          <w:rFonts w:asciiTheme="majorHAnsi" w:hAnsiTheme="majorHAnsi"/>
        </w:rPr>
      </w:pPr>
    </w:p>
    <w:p w14:paraId="498770C0" w14:textId="77777777" w:rsidR="00B15A20" w:rsidRPr="00820C89" w:rsidRDefault="00B15A20" w:rsidP="00B15A20">
      <w:pPr>
        <w:spacing w:after="0"/>
        <w:rPr>
          <w:rFonts w:asciiTheme="majorHAnsi" w:hAnsiTheme="majorHAnsi"/>
        </w:rPr>
      </w:pPr>
      <w:r w:rsidRPr="00820C89">
        <w:rPr>
          <w:rFonts w:asciiTheme="majorHAnsi" w:hAnsiTheme="majorHAnsi"/>
        </w:rPr>
        <w:t xml:space="preserve">Funding models do not determine success; they can support it and they can detract from it. However, to harness the productive potential of funding models they should be based on principles of design like adequacy, equity, incentive, sustainability and efficiency, and the practical expression of those design principles should reflect sound logic and evidence. </w:t>
      </w:r>
    </w:p>
    <w:p w14:paraId="6BFD4CBD" w14:textId="77777777" w:rsidR="00B15A20" w:rsidRPr="00820C89" w:rsidRDefault="00B15A20" w:rsidP="00B15A20">
      <w:pPr>
        <w:spacing w:after="0"/>
        <w:rPr>
          <w:rFonts w:asciiTheme="majorHAnsi" w:hAnsiTheme="majorHAnsi"/>
        </w:rPr>
      </w:pPr>
    </w:p>
    <w:p w14:paraId="6F75EA70" w14:textId="77777777" w:rsidR="00B15A20" w:rsidRPr="00820C89" w:rsidRDefault="00B15A20" w:rsidP="00B15A20">
      <w:pPr>
        <w:spacing w:after="0"/>
        <w:rPr>
          <w:rFonts w:asciiTheme="majorHAnsi" w:hAnsiTheme="majorHAnsi"/>
        </w:rPr>
      </w:pPr>
      <w:r w:rsidRPr="00820C89">
        <w:rPr>
          <w:rFonts w:asciiTheme="majorHAnsi" w:hAnsiTheme="majorHAnsi"/>
        </w:rPr>
        <w:t xml:space="preserve">It’s clear such a funding model design process has not occurred here. There has been no clear/quality work done to understand the cost of quality service provision against different levels of client need, nor what it would take to sustain these services over time and who should pay. </w:t>
      </w:r>
    </w:p>
    <w:p w14:paraId="19AFCD97" w14:textId="77777777" w:rsidR="00B15A20" w:rsidRPr="00820C89" w:rsidRDefault="00B15A20" w:rsidP="00B15A20">
      <w:pPr>
        <w:spacing w:after="0"/>
        <w:rPr>
          <w:rFonts w:asciiTheme="majorHAnsi" w:hAnsiTheme="majorHAnsi"/>
        </w:rPr>
      </w:pPr>
    </w:p>
    <w:p w14:paraId="086ED9EC" w14:textId="77777777" w:rsidR="00B15A20" w:rsidRPr="00820C89" w:rsidRDefault="00B15A20" w:rsidP="00B15A20">
      <w:pPr>
        <w:spacing w:after="0"/>
        <w:rPr>
          <w:rFonts w:asciiTheme="majorHAnsi" w:hAnsiTheme="majorHAnsi"/>
        </w:rPr>
      </w:pPr>
      <w:r w:rsidRPr="00820C89">
        <w:rPr>
          <w:rFonts w:asciiTheme="majorHAnsi" w:hAnsiTheme="majorHAnsi"/>
        </w:rPr>
        <w:t xml:space="preserve">It is therefore not clear in how many instances the service is under or over-funded by the NIAA (or government more broadly where multiple funding pools are utilised). Ultimately this is an empirical question - guided by the best available practitioners and service models - and one that needs to be prioritised in the design phase of the next policy. </w:t>
      </w:r>
    </w:p>
    <w:p w14:paraId="1FAAF1D4" w14:textId="77777777" w:rsidR="00B15A20" w:rsidRPr="00820C89" w:rsidRDefault="00B15A20" w:rsidP="00B15A20">
      <w:pPr>
        <w:spacing w:after="0"/>
        <w:rPr>
          <w:rFonts w:asciiTheme="majorHAnsi" w:hAnsiTheme="majorHAnsi"/>
        </w:rPr>
      </w:pPr>
    </w:p>
    <w:p w14:paraId="7C0C033D" w14:textId="233C7311" w:rsidR="00B15A20" w:rsidRPr="00820C89" w:rsidRDefault="00B15A20" w:rsidP="00B15A20">
      <w:pPr>
        <w:spacing w:after="0"/>
        <w:rPr>
          <w:rFonts w:asciiTheme="majorHAnsi" w:hAnsiTheme="majorHAnsi"/>
        </w:rPr>
      </w:pPr>
      <w:r w:rsidRPr="00820C89">
        <w:rPr>
          <w:rFonts w:asciiTheme="majorHAnsi" w:hAnsiTheme="majorHAnsi"/>
        </w:rPr>
        <w:lastRenderedPageBreak/>
        <w:t>It is also the case that other aspects of the funding contracts are not clearly fit for purpose, as it relates to their length, their quotas and whether they offer an appropriate amount of autonomy to the provider. The provider should be offered a level of autonomy that is consistent with the investment logic, the amount invested in the provider and/or a history of successful provision of support (for instance here, the contract</w:t>
      </w:r>
      <w:r w:rsidR="00C45692" w:rsidRPr="00820C89">
        <w:rPr>
          <w:rFonts w:asciiTheme="majorHAnsi" w:hAnsiTheme="majorHAnsi"/>
        </w:rPr>
        <w:t xml:space="preserve"> structures</w:t>
      </w:r>
      <w:r w:rsidRPr="00820C89">
        <w:rPr>
          <w:rFonts w:asciiTheme="majorHAnsi" w:hAnsiTheme="majorHAnsi"/>
        </w:rPr>
        <w:t xml:space="preserve"> seem too tight for TAEG, and too loose for EPI).</w:t>
      </w:r>
    </w:p>
    <w:p w14:paraId="73E54852" w14:textId="77777777" w:rsidR="00B15A20" w:rsidRPr="00820C89" w:rsidRDefault="00B15A20" w:rsidP="00B15A20">
      <w:pPr>
        <w:spacing w:after="0"/>
        <w:rPr>
          <w:rFonts w:asciiTheme="majorHAnsi" w:hAnsiTheme="majorHAnsi"/>
          <w:i/>
          <w:iCs/>
        </w:rPr>
      </w:pPr>
    </w:p>
    <w:p w14:paraId="3E147A16" w14:textId="77777777" w:rsidR="00B15A20" w:rsidRPr="00820C89" w:rsidRDefault="00B15A20" w:rsidP="00B15A20">
      <w:pPr>
        <w:spacing w:after="0"/>
        <w:rPr>
          <w:rFonts w:eastAsia="Verdana" w:cs="Verdana"/>
        </w:rPr>
      </w:pPr>
      <w:r w:rsidRPr="00820C89">
        <w:rPr>
          <w:rFonts w:eastAsia="Verdana" w:cs="Verdana"/>
        </w:rPr>
        <w:t>These matters, principally of eligibility of the participant and incentive for the provider, are difficult to get ‘right’, and do need to be mindful of budget and other constraints. However, the findings of this evaluation suggest the program parameters are inappropriately calibrated, particularly in areas where the need might be most acute.</w:t>
      </w:r>
    </w:p>
    <w:p w14:paraId="329C610E" w14:textId="77777777" w:rsidR="00B15A20" w:rsidRPr="00820C89" w:rsidRDefault="00B15A20" w:rsidP="00B15A20">
      <w:pPr>
        <w:spacing w:after="0"/>
        <w:rPr>
          <w:rFonts w:eastAsia="Verdana" w:cs="Verdana"/>
        </w:rPr>
      </w:pPr>
    </w:p>
    <w:p w14:paraId="34441F5E"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4 - </w:t>
      </w:r>
      <w:r w:rsidRPr="00820C89">
        <w:rPr>
          <w:rFonts w:asciiTheme="majorHAnsi" w:hAnsiTheme="majorHAnsi"/>
          <w:b/>
          <w:bCs/>
          <w:u w:val="single"/>
        </w:rPr>
        <w:t>Research</w:t>
      </w:r>
      <w:r w:rsidRPr="00820C89">
        <w:rPr>
          <w:rFonts w:asciiTheme="majorHAnsi" w:hAnsiTheme="majorHAnsi"/>
          <w:b/>
          <w:bCs/>
        </w:rPr>
        <w:t xml:space="preserve"> the cost and the value of quality servicing of need, and be prepared to pay more where a market/capacity for provision does not exist.</w:t>
      </w:r>
    </w:p>
    <w:p w14:paraId="3474255A" w14:textId="77777777" w:rsidR="00B15A20" w:rsidRPr="00820C89" w:rsidRDefault="00B15A20" w:rsidP="00B15A20">
      <w:pPr>
        <w:spacing w:after="0"/>
        <w:rPr>
          <w:rFonts w:asciiTheme="majorHAnsi" w:hAnsiTheme="majorHAnsi"/>
        </w:rPr>
      </w:pPr>
    </w:p>
    <w:p w14:paraId="66C9BD1E" w14:textId="61170E11" w:rsidR="00B15A20" w:rsidRPr="00820C89" w:rsidRDefault="00B15A20" w:rsidP="00B15A20">
      <w:pPr>
        <w:spacing w:after="0"/>
        <w:rPr>
          <w:rFonts w:asciiTheme="majorHAnsi" w:hAnsiTheme="majorHAnsi"/>
        </w:rPr>
      </w:pPr>
      <w:r w:rsidRPr="00820C89">
        <w:rPr>
          <w:rFonts w:asciiTheme="majorHAnsi" w:hAnsiTheme="majorHAnsi"/>
        </w:rPr>
        <w:t xml:space="preserve">Without an understanding of the cost of ‘reasonable’ support against the different levels of need, it is difficult to be assured of appropriateness, effectiveness or efficiency of this program. Many other core services provided in the areas of social policy are underpinned by activity-based costing studies and needs-based funding models. </w:t>
      </w:r>
    </w:p>
    <w:p w14:paraId="56BC7D1A" w14:textId="77777777" w:rsidR="0070797B" w:rsidRPr="00820C89" w:rsidRDefault="0070797B" w:rsidP="00B15A20">
      <w:pPr>
        <w:spacing w:after="0"/>
        <w:rPr>
          <w:rFonts w:asciiTheme="majorHAnsi" w:hAnsiTheme="majorHAnsi"/>
        </w:rPr>
      </w:pPr>
    </w:p>
    <w:p w14:paraId="6469166A"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absence here implies a foundation of effective investment is unlikely to have been achieved, certainly not systematically. As a new service design is finalised, according to levels of need, steps will need to be taken to cost that and reflect the degree to which Government is willing and able to fund to that standard, in a new funding model. </w:t>
      </w:r>
    </w:p>
    <w:p w14:paraId="2E8DDDA4" w14:textId="77777777" w:rsidR="00B15A20" w:rsidRPr="00820C89" w:rsidRDefault="00B15A20" w:rsidP="00B15A20">
      <w:pPr>
        <w:spacing w:after="0"/>
        <w:rPr>
          <w:rFonts w:asciiTheme="majorHAnsi" w:hAnsiTheme="majorHAnsi"/>
        </w:rPr>
      </w:pPr>
    </w:p>
    <w:p w14:paraId="137C9D18" w14:textId="4C839989" w:rsidR="00B15A20" w:rsidRPr="00820C89" w:rsidRDefault="00B15A20" w:rsidP="00B15A20">
      <w:pPr>
        <w:spacing w:after="0"/>
        <w:rPr>
          <w:rFonts w:asciiTheme="majorHAnsi" w:hAnsiTheme="majorHAnsi"/>
        </w:rPr>
      </w:pPr>
      <w:r w:rsidRPr="00820C89">
        <w:rPr>
          <w:rFonts w:asciiTheme="majorHAnsi" w:hAnsiTheme="majorHAnsi"/>
        </w:rPr>
        <w:t>An alternative is to determine what an outcome is worth to the Australian public, and fund providers based on that rather than cost – though this may be inadequate to fund provision in the most high-cost constructs. This could imply a balance may need to be struck, with different components funded in different ways, where education and health funding in this country provides some instruction</w:t>
      </w:r>
      <w:r w:rsidRPr="00820C89">
        <w:rPr>
          <w:rStyle w:val="FootnoteReference"/>
          <w:rFonts w:asciiTheme="majorHAnsi" w:hAnsiTheme="majorHAnsi"/>
        </w:rPr>
        <w:footnoteReference w:id="10"/>
      </w:r>
      <w:r w:rsidRPr="00820C89">
        <w:rPr>
          <w:rFonts w:asciiTheme="majorHAnsi" w:hAnsiTheme="majorHAnsi"/>
        </w:rPr>
        <w:t xml:space="preserve">. </w:t>
      </w:r>
    </w:p>
    <w:p w14:paraId="2EA36442" w14:textId="77777777" w:rsidR="00B15A20" w:rsidRPr="00820C89" w:rsidRDefault="00B15A20" w:rsidP="00B15A20">
      <w:pPr>
        <w:spacing w:after="0"/>
        <w:rPr>
          <w:rFonts w:asciiTheme="majorHAnsi" w:hAnsiTheme="majorHAnsi"/>
        </w:rPr>
      </w:pPr>
    </w:p>
    <w:p w14:paraId="4D49F6D7" w14:textId="77777777" w:rsidR="00B15A20" w:rsidRPr="00820C89" w:rsidRDefault="00B15A20" w:rsidP="00B15A20">
      <w:pPr>
        <w:spacing w:after="0"/>
        <w:rPr>
          <w:rFonts w:asciiTheme="majorHAnsi" w:hAnsiTheme="majorHAnsi"/>
        </w:rPr>
      </w:pPr>
      <w:r w:rsidRPr="00820C89">
        <w:rPr>
          <w:rFonts w:asciiTheme="majorHAnsi" w:hAnsiTheme="majorHAnsi"/>
        </w:rPr>
        <w:t>The ways in which the payment flows are also critical. Small providers typically have less cashflow to manage the risk/delays of heavily outcomes-based payment, particularly where they might end up servicing the greatest needs</w:t>
      </w:r>
      <w:r w:rsidRPr="00820C89">
        <w:rPr>
          <w:rStyle w:val="FootnoteReference"/>
          <w:rFonts w:asciiTheme="majorHAnsi" w:hAnsiTheme="majorHAnsi"/>
        </w:rPr>
        <w:footnoteReference w:id="11"/>
      </w:r>
      <w:r w:rsidRPr="00820C89">
        <w:rPr>
          <w:rFonts w:asciiTheme="majorHAnsi" w:hAnsiTheme="majorHAnsi"/>
        </w:rPr>
        <w:t>. Any genuine provider, building relationships, will have high up-front costs and may never recoup those if funded too much on outcomes – which might force more risk-averse approaches and see participants with greater needs discouraged from participation. Alternatively, it can lead to viability issues for these providers, risking discontinuous service, which in the end is just as problematic.</w:t>
      </w:r>
    </w:p>
    <w:p w14:paraId="298F7F28" w14:textId="77777777" w:rsidR="00B15A20" w:rsidRPr="00820C89" w:rsidRDefault="00B15A20" w:rsidP="00B15A20">
      <w:pPr>
        <w:spacing w:after="0"/>
        <w:rPr>
          <w:rFonts w:asciiTheme="majorHAnsi" w:hAnsiTheme="majorHAnsi"/>
        </w:rPr>
      </w:pPr>
    </w:p>
    <w:p w14:paraId="010DEE56" w14:textId="77777777" w:rsidR="00B15A20" w:rsidRPr="00820C89" w:rsidRDefault="00B15A20" w:rsidP="00B15A20">
      <w:pPr>
        <w:spacing w:after="0"/>
        <w:rPr>
          <w:rFonts w:asciiTheme="majorHAnsi" w:hAnsiTheme="majorHAnsi"/>
        </w:rPr>
      </w:pPr>
      <w:r w:rsidRPr="00820C89">
        <w:rPr>
          <w:rFonts w:asciiTheme="majorHAnsi" w:hAnsiTheme="majorHAnsi"/>
        </w:rPr>
        <w:t xml:space="preserve">Where outcomes are complex and slow to be achieved, the model must ultimately reflect that in the payment amounts and timing. If efficiency becomes a concern (which should only be once the model is proven effective), then there are other means for controlling that, such as value-added assessments per provider (over time) and reward structures built around that, as is being pursued in other innovative policy contexts. </w:t>
      </w:r>
    </w:p>
    <w:p w14:paraId="0E7D13B1" w14:textId="77777777" w:rsidR="00B15A20" w:rsidRPr="00820C89" w:rsidRDefault="00B15A20" w:rsidP="00B15A20">
      <w:pPr>
        <w:spacing w:after="0"/>
        <w:rPr>
          <w:rFonts w:asciiTheme="majorHAnsi" w:hAnsiTheme="majorHAnsi"/>
        </w:rPr>
      </w:pPr>
    </w:p>
    <w:p w14:paraId="6F69147D" w14:textId="6FA6042B" w:rsidR="00B15A20" w:rsidRPr="00820C89" w:rsidRDefault="00B15A20" w:rsidP="00B15A20">
      <w:pPr>
        <w:spacing w:after="0"/>
        <w:rPr>
          <w:rFonts w:asciiTheme="majorHAnsi" w:hAnsiTheme="majorHAnsi"/>
        </w:rPr>
      </w:pPr>
      <w:r w:rsidRPr="00820C89">
        <w:rPr>
          <w:rFonts w:asciiTheme="majorHAnsi" w:hAnsiTheme="majorHAnsi"/>
        </w:rPr>
        <w:t xml:space="preserve">If we expect a proliferation of small providers in places across the country is a sign of a healthy support system, then some efficiency may ultimately come from the NIAA taking some of the service in-house. This is particularly the case where the NIAA can provide efficient and effective platforms that meet the broad operational needs of smaller service providers (e.g. a common and fit for purpose client relationship management tool, professional development etc.). </w:t>
      </w:r>
    </w:p>
    <w:p w14:paraId="2D43E4AD" w14:textId="77777777" w:rsidR="00B15A20" w:rsidRPr="00820C89" w:rsidRDefault="00B15A20" w:rsidP="00B15A20">
      <w:pPr>
        <w:spacing w:after="0"/>
        <w:rPr>
          <w:rFonts w:asciiTheme="majorHAnsi" w:hAnsiTheme="majorHAnsi"/>
        </w:rPr>
      </w:pPr>
    </w:p>
    <w:p w14:paraId="20A89A3D" w14:textId="2282CDDD" w:rsidR="00B15A20" w:rsidRPr="00820C89" w:rsidRDefault="00B15A20" w:rsidP="00B15A20">
      <w:pPr>
        <w:spacing w:after="0"/>
        <w:rPr>
          <w:rFonts w:asciiTheme="majorHAnsi" w:hAnsiTheme="majorHAnsi"/>
          <w:i/>
          <w:iCs/>
        </w:rPr>
      </w:pPr>
      <w:r w:rsidRPr="00820C89">
        <w:rPr>
          <w:rFonts w:asciiTheme="majorHAnsi" w:hAnsiTheme="majorHAnsi"/>
          <w:i/>
          <w:iCs/>
        </w:rPr>
        <w:t xml:space="preserve">Refer to suggestions </w:t>
      </w:r>
      <w:hyperlink w:anchor="Suggestion3" w:history="1">
        <w:r w:rsidRPr="00820C89">
          <w:rPr>
            <w:rStyle w:val="Hyperlink"/>
            <w:rFonts w:asciiTheme="majorHAnsi" w:hAnsiTheme="majorHAnsi"/>
            <w:i/>
            <w:iCs/>
          </w:rPr>
          <w:t>three</w:t>
        </w:r>
      </w:hyperlink>
      <w:r w:rsidRPr="00820C89">
        <w:rPr>
          <w:rFonts w:asciiTheme="majorHAnsi" w:hAnsiTheme="majorHAnsi"/>
          <w:i/>
          <w:iCs/>
        </w:rPr>
        <w:t xml:space="preserve"> and </w:t>
      </w:r>
      <w:hyperlink w:anchor="Suggestion9" w:history="1">
        <w:r w:rsidR="00436AFF" w:rsidRPr="00820C89">
          <w:rPr>
            <w:rStyle w:val="Hyperlink"/>
            <w:rFonts w:asciiTheme="majorHAnsi" w:hAnsiTheme="majorHAnsi"/>
            <w:i/>
            <w:iCs/>
          </w:rPr>
          <w:t>nine</w:t>
        </w:r>
      </w:hyperlink>
      <w:r w:rsidRPr="00820C89">
        <w:rPr>
          <w:rFonts w:asciiTheme="majorHAnsi" w:hAnsiTheme="majorHAnsi"/>
          <w:i/>
          <w:iCs/>
        </w:rPr>
        <w:t xml:space="preserve"> in the body of the report for further detail.</w:t>
      </w:r>
    </w:p>
    <w:p w14:paraId="7F31E462" w14:textId="77777777" w:rsidR="00B15A20" w:rsidRPr="00820C89" w:rsidRDefault="00B15A20" w:rsidP="00B15A20">
      <w:pPr>
        <w:spacing w:after="0"/>
        <w:rPr>
          <w:rFonts w:asciiTheme="majorHAnsi" w:hAnsiTheme="majorHAnsi"/>
          <w:i/>
          <w:iCs/>
        </w:rPr>
      </w:pPr>
    </w:p>
    <w:p w14:paraId="381375B8" w14:textId="77777777" w:rsidR="00B15A20" w:rsidRPr="00820C89" w:rsidRDefault="00B15A20" w:rsidP="00B15A20">
      <w:pPr>
        <w:spacing w:after="0"/>
        <w:rPr>
          <w:rFonts w:asciiTheme="majorHAnsi" w:hAnsiTheme="majorHAnsi"/>
          <w:b/>
          <w:iCs/>
        </w:rPr>
      </w:pPr>
      <w:r w:rsidRPr="00820C89">
        <w:rPr>
          <w:rFonts w:asciiTheme="majorHAnsi" w:hAnsiTheme="majorHAnsi"/>
          <w:b/>
          <w:iCs/>
        </w:rPr>
        <w:t xml:space="preserve">Finding 5 – The problem at large is the model, and its wider context, is not yet strengths-based </w:t>
      </w:r>
    </w:p>
    <w:p w14:paraId="5D97DFE5" w14:textId="77777777" w:rsidR="00B15A20" w:rsidRPr="00820C89" w:rsidRDefault="00B15A20" w:rsidP="00B15A20">
      <w:pPr>
        <w:spacing w:after="0"/>
        <w:rPr>
          <w:rFonts w:asciiTheme="majorHAnsi" w:hAnsiTheme="majorHAnsi"/>
        </w:rPr>
      </w:pPr>
    </w:p>
    <w:p w14:paraId="26753C0B" w14:textId="77777777" w:rsidR="00B15A20" w:rsidRPr="00820C89" w:rsidRDefault="00B15A20" w:rsidP="00B15A20">
      <w:pPr>
        <w:spacing w:after="0"/>
        <w:rPr>
          <w:rFonts w:asciiTheme="majorHAnsi" w:hAnsiTheme="majorHAnsi"/>
        </w:rPr>
      </w:pPr>
      <w:r w:rsidRPr="00820C89">
        <w:rPr>
          <w:rFonts w:asciiTheme="majorHAnsi" w:hAnsiTheme="majorHAnsi"/>
        </w:rPr>
        <w:t xml:space="preserve">While this program has taken steps towards a more inclusive model of employment for Indigenous Australians, it is ultimately still operating in (and perpetuating) a deficit-based environment. It is implicitly (and at times explicitly) assuming the gap runs from Indigenous to non-Indigenous when it comes to meaningful employment, and it has undertones of the need to ‘fix’ Indigenous people such that they fit the way business is done in this country. </w:t>
      </w:r>
    </w:p>
    <w:p w14:paraId="7A8D4264" w14:textId="77777777" w:rsidR="00B15A20" w:rsidRPr="00820C89" w:rsidRDefault="00B15A20" w:rsidP="00B15A20">
      <w:pPr>
        <w:spacing w:after="0"/>
        <w:rPr>
          <w:rFonts w:asciiTheme="majorHAnsi" w:hAnsiTheme="majorHAnsi"/>
        </w:rPr>
      </w:pPr>
    </w:p>
    <w:p w14:paraId="1838F2B6" w14:textId="77777777" w:rsidR="00B15A20" w:rsidRPr="00820C89" w:rsidRDefault="00B15A20" w:rsidP="00B15A20">
      <w:pPr>
        <w:spacing w:after="0"/>
        <w:rPr>
          <w:rFonts w:asciiTheme="majorHAnsi" w:hAnsiTheme="majorHAnsi"/>
        </w:rPr>
      </w:pPr>
      <w:r w:rsidRPr="00820C89">
        <w:rPr>
          <w:rFonts w:asciiTheme="majorHAnsi" w:hAnsiTheme="majorHAnsi"/>
        </w:rPr>
        <w:t xml:space="preserve">Where large employers have been invested in to improve their understanding and culture towards Indigenous employment and ways, with a small number of commendable exceptions, the achievement of this vision has been slow, uneven and largely unmonitored. Racism is seemingly ever-present in many Australian workplaces, reinforced by consultations undertaken in this work and other contemporary evidence accessed. </w:t>
      </w:r>
    </w:p>
    <w:p w14:paraId="5BC3F7AC" w14:textId="77777777" w:rsidR="00B15A20" w:rsidRPr="00820C89" w:rsidRDefault="00B15A20" w:rsidP="00B15A20">
      <w:pPr>
        <w:spacing w:after="0"/>
        <w:rPr>
          <w:rFonts w:asciiTheme="majorHAnsi" w:hAnsiTheme="majorHAnsi"/>
        </w:rPr>
      </w:pPr>
    </w:p>
    <w:p w14:paraId="08016D3C" w14:textId="77777777" w:rsidR="00B15A20" w:rsidRPr="00820C89" w:rsidRDefault="00B15A20" w:rsidP="00B15A20">
      <w:pPr>
        <w:spacing w:after="0"/>
        <w:rPr>
          <w:rFonts w:asciiTheme="majorHAnsi" w:hAnsiTheme="majorHAnsi"/>
        </w:rPr>
      </w:pPr>
      <w:r w:rsidRPr="00820C89">
        <w:rPr>
          <w:rFonts w:asciiTheme="majorHAnsi" w:hAnsiTheme="majorHAnsi"/>
        </w:rPr>
        <w:t xml:space="preserve">A key opportunity remains for Australian businesses to see Indigenous ways not only as the way to invite the talent and value-creation of Indigenous Australian’s into the productive capacity of the business/region/economy, but also to better engage other Australians who aren’t bringing their best-selves to their work. In essence, the opportunity is to find ways to utilise Indigenous culture to demonstrate to Australian workplaces how they can adapt their culture and practice more towards their employees’ strengths. </w:t>
      </w:r>
    </w:p>
    <w:p w14:paraId="39C851EA" w14:textId="77777777" w:rsidR="00B15A20" w:rsidRPr="00820C89" w:rsidRDefault="00B15A20" w:rsidP="00B15A20">
      <w:pPr>
        <w:spacing w:after="0"/>
        <w:rPr>
          <w:rFonts w:asciiTheme="majorHAnsi" w:hAnsiTheme="majorHAnsi"/>
        </w:rPr>
      </w:pPr>
    </w:p>
    <w:p w14:paraId="54FB63E9"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5 – </w:t>
      </w:r>
      <w:r w:rsidRPr="00820C89">
        <w:rPr>
          <w:rFonts w:asciiTheme="majorHAnsi" w:hAnsiTheme="majorHAnsi"/>
          <w:b/>
          <w:bCs/>
          <w:u w:val="single"/>
        </w:rPr>
        <w:t>Co-invest</w:t>
      </w:r>
      <w:r w:rsidRPr="00820C89">
        <w:rPr>
          <w:rFonts w:asciiTheme="majorHAnsi" w:hAnsiTheme="majorHAnsi"/>
          <w:b/>
          <w:bCs/>
        </w:rPr>
        <w:t xml:space="preserve"> more effectively in growing the role of Australia’s employers in cultural competence, showing how Indigenous ways can lead the way. </w:t>
      </w:r>
    </w:p>
    <w:p w14:paraId="4B34BCAF" w14:textId="77777777" w:rsidR="00B15A20" w:rsidRPr="00820C89" w:rsidRDefault="00B15A20" w:rsidP="00B15A20">
      <w:pPr>
        <w:spacing w:after="0"/>
        <w:rPr>
          <w:rFonts w:asciiTheme="majorHAnsi" w:hAnsiTheme="majorHAnsi"/>
        </w:rPr>
      </w:pPr>
    </w:p>
    <w:p w14:paraId="413753A6" w14:textId="77777777" w:rsidR="00B15A20" w:rsidRPr="00820C89" w:rsidRDefault="00B15A20" w:rsidP="00B15A20">
      <w:pPr>
        <w:spacing w:after="0"/>
        <w:rPr>
          <w:rFonts w:asciiTheme="majorHAnsi" w:hAnsiTheme="majorHAnsi"/>
        </w:rPr>
      </w:pPr>
      <w:r w:rsidRPr="00820C89">
        <w:rPr>
          <w:rFonts w:asciiTheme="majorHAnsi" w:hAnsiTheme="majorHAnsi"/>
        </w:rPr>
        <w:t xml:space="preserve">Employment policy must always be investing in both the demand side and supply side of the labour market. It is also true that where the economy is growing quickly, at face value there is less need to stimulate demand for workers. </w:t>
      </w:r>
    </w:p>
    <w:p w14:paraId="0290EB7D" w14:textId="77777777" w:rsidR="00B15A20" w:rsidRPr="00820C89" w:rsidRDefault="00B15A20" w:rsidP="00B15A20">
      <w:pPr>
        <w:spacing w:after="0"/>
        <w:rPr>
          <w:rFonts w:asciiTheme="majorHAnsi" w:hAnsiTheme="majorHAnsi"/>
        </w:rPr>
      </w:pPr>
    </w:p>
    <w:p w14:paraId="0CA6C845" w14:textId="77777777" w:rsidR="00B15A20" w:rsidRPr="00820C89" w:rsidRDefault="00B15A20" w:rsidP="00B15A20">
      <w:pPr>
        <w:spacing w:after="0"/>
        <w:rPr>
          <w:rFonts w:asciiTheme="majorHAnsi" w:hAnsiTheme="majorHAnsi"/>
        </w:rPr>
      </w:pPr>
      <w:r w:rsidRPr="00820C89">
        <w:rPr>
          <w:rFonts w:asciiTheme="majorHAnsi" w:hAnsiTheme="majorHAnsi"/>
        </w:rPr>
        <w:t>However, where some members of the population are systematically excluded from the opportunities</w:t>
      </w:r>
      <w:r w:rsidRPr="00820C89">
        <w:rPr>
          <w:rStyle w:val="FootnoteReference"/>
          <w:rFonts w:asciiTheme="majorHAnsi" w:hAnsiTheme="majorHAnsi"/>
        </w:rPr>
        <w:footnoteReference w:id="12"/>
      </w:r>
      <w:r w:rsidRPr="00820C89">
        <w:rPr>
          <w:rFonts w:asciiTheme="majorHAnsi" w:hAnsiTheme="majorHAnsi"/>
        </w:rPr>
        <w:t xml:space="preserve">, there is strong motivation for greater demand side investment even in times of significant growth. In this context it takes the form of changing the understanding and attitudes of more Australian employers (and their employees), by building their cultural competencies to provide more inclusive and thereby engaging workplaces. </w:t>
      </w:r>
    </w:p>
    <w:p w14:paraId="755DB8D6" w14:textId="77777777" w:rsidR="00B15A20" w:rsidRPr="00820C89" w:rsidRDefault="00B15A20" w:rsidP="00B15A20">
      <w:pPr>
        <w:spacing w:after="0"/>
        <w:rPr>
          <w:rFonts w:asciiTheme="majorHAnsi" w:hAnsiTheme="majorHAnsi"/>
        </w:rPr>
      </w:pPr>
    </w:p>
    <w:p w14:paraId="2788DC4D" w14:textId="77777777" w:rsidR="00B15A20" w:rsidRPr="00820C89" w:rsidRDefault="00B15A20" w:rsidP="00B15A20">
      <w:pPr>
        <w:spacing w:after="0"/>
        <w:rPr>
          <w:rFonts w:asciiTheme="majorHAnsi" w:hAnsiTheme="majorHAnsi"/>
        </w:rPr>
      </w:pPr>
      <w:r w:rsidRPr="00820C89">
        <w:rPr>
          <w:rFonts w:asciiTheme="majorHAnsi" w:hAnsiTheme="majorHAnsi"/>
        </w:rPr>
        <w:t>The next attempt in this space needs to be more than symbolism, and not default to wage subsidies. It’s not to say these don’t have some part to play, where they can be appropriately calibrated, it’s just to say they’re not enough in isolation. It should be anticipated that an effective co-design process will reveal some of what is working at small scale in different contexts across the country, for consideration in a careful (high quality, and appropriately paced) scaling exercise.</w:t>
      </w:r>
    </w:p>
    <w:p w14:paraId="48783630" w14:textId="77777777" w:rsidR="00B15A20" w:rsidRPr="00820C89" w:rsidRDefault="00B15A20" w:rsidP="00B15A20">
      <w:pPr>
        <w:spacing w:after="0"/>
        <w:rPr>
          <w:rFonts w:asciiTheme="majorHAnsi" w:hAnsiTheme="majorHAnsi"/>
        </w:rPr>
      </w:pPr>
    </w:p>
    <w:p w14:paraId="46C39C77" w14:textId="5962F7FD" w:rsidR="00B15A20" w:rsidRPr="00820C89" w:rsidRDefault="00B15A20" w:rsidP="00B15A20">
      <w:pPr>
        <w:spacing w:after="0"/>
        <w:rPr>
          <w:rFonts w:asciiTheme="majorHAnsi" w:hAnsiTheme="majorHAnsi"/>
        </w:rPr>
      </w:pPr>
      <w:r w:rsidRPr="00820C89">
        <w:rPr>
          <w:rFonts w:asciiTheme="majorHAnsi" w:hAnsiTheme="majorHAnsi"/>
        </w:rPr>
        <w:t xml:space="preserve">The concept of co-investment here is also important. Co-investment should be considered on the basis that while the public value is largely immeasurable, it is ultimately likely to be immense, if the investment is effective. It is also the case that </w:t>
      </w:r>
      <w:r w:rsidR="00885B63" w:rsidRPr="00820C89">
        <w:rPr>
          <w:rFonts w:asciiTheme="majorHAnsi" w:hAnsiTheme="majorHAnsi"/>
        </w:rPr>
        <w:t xml:space="preserve">where </w:t>
      </w:r>
      <w:r w:rsidRPr="00820C89">
        <w:rPr>
          <w:rFonts w:asciiTheme="majorHAnsi" w:hAnsiTheme="majorHAnsi"/>
        </w:rPr>
        <w:t>we can see the change in attitudes and competencies</w:t>
      </w:r>
      <w:r w:rsidR="005F575B" w:rsidRPr="00820C89">
        <w:rPr>
          <w:rFonts w:asciiTheme="majorHAnsi" w:hAnsiTheme="majorHAnsi"/>
        </w:rPr>
        <w:t>, it</w:t>
      </w:r>
      <w:r w:rsidRPr="00820C89">
        <w:rPr>
          <w:rFonts w:asciiTheme="majorHAnsi" w:hAnsiTheme="majorHAnsi"/>
        </w:rPr>
        <w:t xml:space="preserve"> is not happening quickly enough, and on economic and social grounds there is a strong rationale for government seeking to accelerate it.  </w:t>
      </w:r>
    </w:p>
    <w:p w14:paraId="59565094" w14:textId="77777777" w:rsidR="00B15A20" w:rsidRPr="00820C89" w:rsidRDefault="00B15A20" w:rsidP="00B15A20">
      <w:pPr>
        <w:spacing w:after="0"/>
        <w:rPr>
          <w:rFonts w:asciiTheme="majorHAnsi" w:hAnsiTheme="majorHAnsi"/>
        </w:rPr>
      </w:pPr>
    </w:p>
    <w:p w14:paraId="5F5E2551" w14:textId="0D213A8C" w:rsidR="00B15A20" w:rsidRPr="00820C89" w:rsidRDefault="00B15A20" w:rsidP="00B15A20">
      <w:pPr>
        <w:spacing w:after="0"/>
        <w:rPr>
          <w:rFonts w:asciiTheme="majorHAnsi" w:hAnsiTheme="majorHAnsi"/>
          <w:i/>
          <w:iCs/>
        </w:rPr>
      </w:pPr>
      <w:r w:rsidRPr="00820C89">
        <w:rPr>
          <w:rFonts w:asciiTheme="majorHAnsi" w:hAnsiTheme="majorHAnsi"/>
          <w:i/>
          <w:iCs/>
        </w:rPr>
        <w:t xml:space="preserve">Refer to suggestion </w:t>
      </w:r>
      <w:hyperlink w:anchor="Suggestion8" w:history="1">
        <w:r w:rsidR="00C708FA" w:rsidRPr="00820C89">
          <w:rPr>
            <w:rStyle w:val="Hyperlink"/>
            <w:rFonts w:asciiTheme="majorHAnsi" w:hAnsiTheme="majorHAnsi"/>
            <w:i/>
            <w:iCs/>
          </w:rPr>
          <w:t>eight</w:t>
        </w:r>
      </w:hyperlink>
      <w:r w:rsidRPr="00820C89">
        <w:rPr>
          <w:rFonts w:asciiTheme="majorHAnsi" w:hAnsiTheme="majorHAnsi"/>
          <w:i/>
          <w:iCs/>
        </w:rPr>
        <w:t xml:space="preserve"> in the body of the report for further detail.</w:t>
      </w:r>
    </w:p>
    <w:p w14:paraId="39CA6F51" w14:textId="77777777" w:rsidR="00B15A20" w:rsidRPr="00820C89" w:rsidRDefault="00B15A20" w:rsidP="00B15A20">
      <w:pPr>
        <w:spacing w:after="0"/>
        <w:rPr>
          <w:rFonts w:asciiTheme="majorHAnsi" w:hAnsiTheme="majorHAnsi"/>
          <w:i/>
          <w:iCs/>
        </w:rPr>
      </w:pPr>
    </w:p>
    <w:p w14:paraId="261D3691" w14:textId="77777777" w:rsidR="00B15A20" w:rsidRPr="00820C89" w:rsidRDefault="00B15A20" w:rsidP="00B15A20">
      <w:pPr>
        <w:spacing w:after="0"/>
        <w:rPr>
          <w:rFonts w:asciiTheme="majorHAnsi" w:hAnsiTheme="majorHAnsi"/>
          <w:b/>
          <w:iCs/>
        </w:rPr>
      </w:pPr>
      <w:r w:rsidRPr="00820C89">
        <w:rPr>
          <w:rFonts w:asciiTheme="majorHAnsi" w:hAnsiTheme="majorHAnsi"/>
          <w:b/>
          <w:iCs/>
        </w:rPr>
        <w:t xml:space="preserve">Finding 6 – Indigenous delivered and Indigenous centred provision models are a critical grounding for this program, and have further potential.  </w:t>
      </w:r>
    </w:p>
    <w:p w14:paraId="49C31EBC" w14:textId="77777777" w:rsidR="00B15A20" w:rsidRPr="00820C89" w:rsidRDefault="00B15A20" w:rsidP="00B15A20">
      <w:pPr>
        <w:spacing w:after="0"/>
        <w:rPr>
          <w:rFonts w:asciiTheme="majorHAnsi" w:hAnsiTheme="majorHAnsi"/>
        </w:rPr>
      </w:pPr>
    </w:p>
    <w:p w14:paraId="5D7EE5C4" w14:textId="77777777" w:rsidR="00B15A20" w:rsidRPr="00820C89" w:rsidRDefault="00B15A20" w:rsidP="00B15A20">
      <w:pPr>
        <w:spacing w:after="0"/>
        <w:rPr>
          <w:rFonts w:asciiTheme="majorHAnsi" w:hAnsiTheme="majorHAnsi"/>
        </w:rPr>
      </w:pPr>
      <w:r w:rsidRPr="00820C89">
        <w:rPr>
          <w:rFonts w:asciiTheme="majorHAnsi" w:hAnsiTheme="majorHAnsi"/>
        </w:rPr>
        <w:t xml:space="preserve">If we accept effectiveness starts with relationships, then it is more likely to end with Indigenous providers and/or Indigenous ways of providing support. It is not to say this is the only way, or indeed achievable at widescale in the short-to-medium term, but it is ultimately the clearest path we can see to appropriateness, effectiveness and efficiency in this area of policy. </w:t>
      </w:r>
    </w:p>
    <w:p w14:paraId="68417761" w14:textId="77777777" w:rsidR="00B15A20" w:rsidRPr="00820C89" w:rsidRDefault="00B15A20" w:rsidP="00B15A20">
      <w:pPr>
        <w:spacing w:after="0"/>
        <w:rPr>
          <w:rFonts w:asciiTheme="majorHAnsi" w:hAnsiTheme="majorHAnsi"/>
        </w:rPr>
      </w:pPr>
    </w:p>
    <w:p w14:paraId="328DA2A6"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evaluation has identified successful Indigenous and non-Indigenous providers, on the metrics available. Consultations revealed that many of the non-Indigenous providers who were having more success were culturally trained and displaying those practices in their approach. </w:t>
      </w:r>
    </w:p>
    <w:p w14:paraId="7EA58F0C" w14:textId="77777777" w:rsidR="00B15A20" w:rsidRPr="00820C89" w:rsidRDefault="00B15A20" w:rsidP="00B15A20">
      <w:pPr>
        <w:spacing w:after="0"/>
        <w:rPr>
          <w:rFonts w:asciiTheme="majorHAnsi" w:hAnsiTheme="majorHAnsi"/>
        </w:rPr>
      </w:pPr>
    </w:p>
    <w:p w14:paraId="306DA9E9" w14:textId="77777777" w:rsidR="00B15A20" w:rsidRPr="00820C89" w:rsidRDefault="00B15A20" w:rsidP="00B15A20">
      <w:pPr>
        <w:spacing w:after="0"/>
        <w:rPr>
          <w:rFonts w:asciiTheme="majorHAnsi" w:hAnsiTheme="majorHAnsi"/>
        </w:rPr>
      </w:pPr>
      <w:r w:rsidRPr="00820C89">
        <w:rPr>
          <w:rFonts w:asciiTheme="majorHAnsi" w:hAnsiTheme="majorHAnsi"/>
        </w:rPr>
        <w:t xml:space="preserve">While the current system is allowing many Indigenous Australians to be supported into a job, it is not clear that it is establishing meaningful and sustainable employment (see Box 2). It is also not clear what the social (and economic) costs are of inappropriate work/employment outcomes. </w:t>
      </w:r>
    </w:p>
    <w:p w14:paraId="7A1C0E82" w14:textId="77777777" w:rsidR="00B15A20" w:rsidRPr="00820C89" w:rsidRDefault="00B15A20" w:rsidP="00B15A20">
      <w:pPr>
        <w:spacing w:after="0"/>
        <w:rPr>
          <w:rFonts w:asciiTheme="majorHAnsi" w:hAnsiTheme="majorHAnsi"/>
        </w:rPr>
      </w:pPr>
    </w:p>
    <w:p w14:paraId="21657A47" w14:textId="77777777" w:rsidR="00B15A20" w:rsidRPr="00820C89" w:rsidRDefault="00B15A20" w:rsidP="00B15A20">
      <w:pPr>
        <w:spacing w:after="0"/>
        <w:rPr>
          <w:rFonts w:asciiTheme="majorHAnsi" w:hAnsiTheme="majorHAnsi"/>
        </w:rPr>
      </w:pPr>
      <w:r w:rsidRPr="00820C89">
        <w:rPr>
          <w:rFonts w:asciiTheme="majorHAnsi" w:hAnsiTheme="majorHAnsi"/>
        </w:rPr>
        <w:t xml:space="preserve">Until these are clear, we cannot have confidence in the net value creation from these programs. At this point we must also lend sufficient weight to the view of many consulted, among wider evidence, that Indigenous approaches are more likely to create a net improvement in welfare because of the cultural understanding and obligation typically underpinning them. </w:t>
      </w:r>
    </w:p>
    <w:p w14:paraId="4D10C2BE" w14:textId="77777777" w:rsidR="00B15A20" w:rsidRPr="00820C89" w:rsidRDefault="00B15A20" w:rsidP="00B15A20">
      <w:pPr>
        <w:spacing w:after="0"/>
        <w:rPr>
          <w:rFonts w:asciiTheme="majorHAnsi" w:hAnsiTheme="majorHAnsi"/>
        </w:rPr>
      </w:pPr>
    </w:p>
    <w:p w14:paraId="170BE1C5" w14:textId="4EFAD8EF" w:rsidR="00B15A20" w:rsidRPr="00820C89" w:rsidRDefault="00B15A20" w:rsidP="00B15A20">
      <w:pPr>
        <w:spacing w:after="0"/>
        <w:rPr>
          <w:rFonts w:asciiTheme="majorHAnsi" w:hAnsiTheme="majorHAnsi"/>
        </w:rPr>
      </w:pPr>
      <w:r w:rsidRPr="00820C89">
        <w:rPr>
          <w:rFonts w:asciiTheme="majorHAnsi" w:hAnsiTheme="majorHAnsi"/>
        </w:rPr>
        <w:t xml:space="preserve">Finally, this evaluation has observed that a provision requirement (i.e. Indigenous ownership) in the absence of support towards its achievement, is only a partially effective response. Providers and the system alike, must each display sufficient care and capability, which is </w:t>
      </w:r>
      <w:r w:rsidR="0060444F" w:rsidRPr="00820C89">
        <w:rPr>
          <w:rFonts w:asciiTheme="majorHAnsi" w:hAnsiTheme="majorHAnsi"/>
        </w:rPr>
        <w:t xml:space="preserve">to </w:t>
      </w:r>
      <w:r w:rsidRPr="00820C89">
        <w:rPr>
          <w:rFonts w:asciiTheme="majorHAnsi" w:hAnsiTheme="majorHAnsi"/>
        </w:rPr>
        <w:t xml:space="preserve">say this program can’t just be a side-project for a provider or for Australian public policy. </w:t>
      </w:r>
    </w:p>
    <w:p w14:paraId="3DE107E0" w14:textId="77777777" w:rsidR="00B15A20" w:rsidRPr="00820C89" w:rsidRDefault="00B15A20" w:rsidP="00B15A20">
      <w:pPr>
        <w:spacing w:after="0"/>
        <w:rPr>
          <w:rFonts w:asciiTheme="majorHAnsi" w:hAnsiTheme="majorHAnsi"/>
        </w:rPr>
      </w:pPr>
    </w:p>
    <w:p w14:paraId="7CF7F6E3"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6 - </w:t>
      </w:r>
      <w:r w:rsidRPr="00820C89">
        <w:rPr>
          <w:rFonts w:asciiTheme="majorHAnsi" w:hAnsiTheme="majorHAnsi"/>
          <w:b/>
          <w:bCs/>
          <w:u w:val="single"/>
        </w:rPr>
        <w:t>Maintain</w:t>
      </w:r>
      <w:r w:rsidRPr="00820C89">
        <w:rPr>
          <w:rFonts w:asciiTheme="majorHAnsi" w:hAnsiTheme="majorHAnsi"/>
          <w:b/>
          <w:bCs/>
        </w:rPr>
        <w:t xml:space="preserve"> the model via a self-improving system of provision, built on Indigenous knowledge and much improved evidence sharing across stakeholders.</w:t>
      </w:r>
    </w:p>
    <w:p w14:paraId="4FC74C7D" w14:textId="77777777" w:rsidR="00B15A20" w:rsidRPr="00820C89" w:rsidRDefault="00B15A20" w:rsidP="00B15A20">
      <w:pPr>
        <w:spacing w:after="0"/>
        <w:rPr>
          <w:rFonts w:asciiTheme="majorHAnsi" w:hAnsiTheme="majorHAnsi"/>
        </w:rPr>
      </w:pPr>
    </w:p>
    <w:p w14:paraId="2BCE3226" w14:textId="77777777" w:rsidR="00B15A20" w:rsidRPr="00820C89" w:rsidRDefault="00B15A20" w:rsidP="00B15A20">
      <w:pPr>
        <w:spacing w:after="0"/>
        <w:rPr>
          <w:rFonts w:asciiTheme="majorHAnsi" w:hAnsiTheme="majorHAnsi"/>
        </w:rPr>
      </w:pPr>
      <w:r w:rsidRPr="00820C89">
        <w:rPr>
          <w:rFonts w:asciiTheme="majorHAnsi" w:hAnsiTheme="majorHAnsi"/>
        </w:rPr>
        <w:t xml:space="preserve">Indigenous ownership and Indigenous centred provision can be achieved more widely. This will require consideration of new components to effective investment under this policy, for example ensuring Indigenous businesses and entrepreneurs have the ability (and financial and cultural incentive) to build their culture in other providers (and employers), for collective success. </w:t>
      </w:r>
    </w:p>
    <w:p w14:paraId="2066B45F" w14:textId="77777777" w:rsidR="00B15A20" w:rsidRPr="00820C89" w:rsidRDefault="00B15A20" w:rsidP="00B15A20">
      <w:pPr>
        <w:spacing w:after="0"/>
        <w:rPr>
          <w:rFonts w:asciiTheme="majorHAnsi" w:hAnsiTheme="majorHAnsi"/>
        </w:rPr>
      </w:pPr>
    </w:p>
    <w:p w14:paraId="1F226ED0" w14:textId="6A497B87" w:rsidR="00B15A20" w:rsidRPr="00820C89" w:rsidRDefault="00B15A20" w:rsidP="00B15A20">
      <w:pPr>
        <w:spacing w:after="0"/>
        <w:rPr>
          <w:rFonts w:eastAsia="Verdana" w:cs="Verdana"/>
        </w:rPr>
      </w:pPr>
      <w:r w:rsidRPr="00820C89">
        <w:rPr>
          <w:rFonts w:asciiTheme="majorHAnsi" w:hAnsiTheme="majorHAnsi"/>
        </w:rPr>
        <w:t>It should also be imagined that any high performing provider has something to offer the network of providers, and those connections should be established by the NIAA to encourage genuine catch-up for some and innovation for others.</w:t>
      </w:r>
      <w:r w:rsidR="009300EB" w:rsidRPr="00820C89">
        <w:rPr>
          <w:rStyle w:val="FootnoteReference"/>
          <w:rFonts w:asciiTheme="majorHAnsi" w:hAnsiTheme="majorHAnsi"/>
        </w:rPr>
        <w:footnoteReference w:id="13"/>
      </w:r>
      <w:r w:rsidRPr="00820C89">
        <w:rPr>
          <w:rFonts w:asciiTheme="majorHAnsi" w:hAnsiTheme="majorHAnsi"/>
        </w:rPr>
        <w:t xml:space="preserve"> </w:t>
      </w:r>
      <w:r w:rsidRPr="00820C89">
        <w:rPr>
          <w:rFonts w:eastAsia="Verdana" w:cs="Verdana"/>
        </w:rPr>
        <w:t xml:space="preserve">This has the capacity to quickly empower providers to become the evidentiary authority on best-practice across various contexts. </w:t>
      </w:r>
    </w:p>
    <w:p w14:paraId="0701F44A" w14:textId="77777777" w:rsidR="00B15A20" w:rsidRPr="00820C89" w:rsidRDefault="00B15A20" w:rsidP="00B15A20">
      <w:pPr>
        <w:spacing w:after="0"/>
        <w:rPr>
          <w:rFonts w:eastAsia="Verdana" w:cs="Verdana"/>
        </w:rPr>
      </w:pPr>
    </w:p>
    <w:p w14:paraId="71055C60" w14:textId="77777777" w:rsidR="00B15A20" w:rsidRPr="00820C89" w:rsidRDefault="00B15A20" w:rsidP="00B15A20">
      <w:pPr>
        <w:spacing w:after="0"/>
        <w:rPr>
          <w:rFonts w:asciiTheme="majorHAnsi" w:hAnsiTheme="majorHAnsi"/>
        </w:rPr>
      </w:pPr>
      <w:r w:rsidRPr="00820C89">
        <w:rPr>
          <w:rFonts w:eastAsia="Verdana" w:cs="Verdana"/>
        </w:rPr>
        <w:t>If coupled with strong service relationships, this could support a cycle of system improvement embedded in local responses. It achieves this by encouraging o</w:t>
      </w:r>
      <w:r w:rsidRPr="00820C89">
        <w:rPr>
          <w:rFonts w:asciiTheme="majorHAnsi" w:hAnsiTheme="majorHAnsi"/>
        </w:rPr>
        <w:t xml:space="preserve">rganisations to focus more on the efficacy of their models of professional practice, with the NIAA assisting with administration, monitoring and linking to other programs, where this can be done in a broadly fit-for-purpose way. </w:t>
      </w:r>
    </w:p>
    <w:p w14:paraId="75B5B021" w14:textId="77777777" w:rsidR="00B15A20" w:rsidRPr="00820C89" w:rsidRDefault="00B15A20" w:rsidP="00B15A20">
      <w:pPr>
        <w:spacing w:after="0"/>
        <w:rPr>
          <w:rFonts w:asciiTheme="majorHAnsi" w:hAnsiTheme="majorHAnsi"/>
        </w:rPr>
      </w:pPr>
    </w:p>
    <w:p w14:paraId="5632D97F" w14:textId="77777777" w:rsidR="00B15A20" w:rsidRPr="00820C89" w:rsidRDefault="00B15A20" w:rsidP="00B15A20">
      <w:pPr>
        <w:spacing w:after="0"/>
        <w:rPr>
          <w:rFonts w:eastAsia="Verdana" w:cs="Verdana"/>
        </w:rPr>
      </w:pPr>
      <w:r w:rsidRPr="00820C89">
        <w:rPr>
          <w:rFonts w:asciiTheme="majorHAnsi" w:hAnsiTheme="majorHAnsi"/>
        </w:rPr>
        <w:t>I</w:t>
      </w:r>
      <w:r w:rsidRPr="00820C89">
        <w:rPr>
          <w:rFonts w:eastAsia="Verdana" w:cs="Verdana"/>
        </w:rPr>
        <w:t>f the operating model can move away from contract compliance and closer to a ‘high trust’ approach, this continuous improvement system can supplement the accountability mechanism. Regional oversight will become more critical, centred on the needs and experience of the participant, and adequate autonomy for providers and communities to self-regulate (with the assistance of good information and relationships).</w:t>
      </w:r>
    </w:p>
    <w:p w14:paraId="77CED28C" w14:textId="77777777" w:rsidR="00B15A20" w:rsidRPr="00820C89" w:rsidRDefault="00B15A20" w:rsidP="00B15A20">
      <w:pPr>
        <w:spacing w:after="0"/>
        <w:rPr>
          <w:rFonts w:asciiTheme="majorHAnsi" w:hAnsiTheme="majorHAnsi"/>
        </w:rPr>
      </w:pPr>
    </w:p>
    <w:p w14:paraId="547036E6" w14:textId="77777777" w:rsidR="00B15A20" w:rsidRPr="00820C89" w:rsidRDefault="00B15A20" w:rsidP="00B15A20">
      <w:pPr>
        <w:spacing w:after="0"/>
        <w:rPr>
          <w:rFonts w:eastAsia="Verdana" w:cs="Verdana"/>
        </w:rPr>
      </w:pPr>
      <w:r w:rsidRPr="00820C89">
        <w:rPr>
          <w:rFonts w:asciiTheme="majorHAnsi" w:hAnsiTheme="majorHAnsi"/>
        </w:rPr>
        <w:t>In the end, any rules around who can be a provider will need a clear and careful process for exceptions, administered through a balance of central and community view.</w:t>
      </w:r>
    </w:p>
    <w:p w14:paraId="6FF70113" w14:textId="77777777" w:rsidR="00B15A20" w:rsidRPr="00820C89" w:rsidRDefault="00B15A20" w:rsidP="00B15A20">
      <w:pPr>
        <w:spacing w:after="0"/>
        <w:rPr>
          <w:rFonts w:eastAsia="Verdana" w:cs="Verdana"/>
        </w:rPr>
      </w:pPr>
    </w:p>
    <w:p w14:paraId="71F128D7" w14:textId="31DC4896" w:rsidR="004837A8" w:rsidRDefault="00B15A20" w:rsidP="00B15A20">
      <w:pPr>
        <w:spacing w:after="0"/>
        <w:rPr>
          <w:rFonts w:asciiTheme="majorHAnsi" w:hAnsiTheme="majorHAnsi"/>
          <w:i/>
          <w:iCs/>
        </w:rPr>
      </w:pPr>
      <w:r w:rsidRPr="00820C89">
        <w:rPr>
          <w:rFonts w:asciiTheme="majorHAnsi" w:hAnsiTheme="majorHAnsi"/>
          <w:i/>
          <w:iCs/>
        </w:rPr>
        <w:t>Refer to suggestion</w:t>
      </w:r>
      <w:r w:rsidR="00B4268C" w:rsidRPr="00820C89">
        <w:rPr>
          <w:rFonts w:asciiTheme="majorHAnsi" w:hAnsiTheme="majorHAnsi"/>
          <w:i/>
          <w:iCs/>
        </w:rPr>
        <w:t>s</w:t>
      </w:r>
      <w:r w:rsidRPr="00820C89">
        <w:rPr>
          <w:rFonts w:asciiTheme="majorHAnsi" w:hAnsiTheme="majorHAnsi"/>
          <w:i/>
          <w:iCs/>
        </w:rPr>
        <w:t xml:space="preserve"> </w:t>
      </w:r>
      <w:hyperlink w:anchor="Suggestion1" w:history="1">
        <w:r w:rsidRPr="00820C89">
          <w:rPr>
            <w:rStyle w:val="Hyperlink"/>
            <w:rFonts w:asciiTheme="majorHAnsi" w:hAnsiTheme="majorHAnsi"/>
            <w:i/>
            <w:iCs/>
          </w:rPr>
          <w:t>one</w:t>
        </w:r>
      </w:hyperlink>
      <w:r w:rsidR="00924106" w:rsidRPr="00820C89">
        <w:rPr>
          <w:rFonts w:asciiTheme="majorHAnsi" w:hAnsiTheme="majorHAnsi"/>
          <w:i/>
          <w:iCs/>
        </w:rPr>
        <w:t xml:space="preserve">, </w:t>
      </w:r>
      <w:hyperlink w:anchor="Suggestion6" w:history="1">
        <w:r w:rsidR="00855138" w:rsidRPr="00820C89">
          <w:rPr>
            <w:rStyle w:val="Hyperlink"/>
            <w:rFonts w:asciiTheme="majorHAnsi" w:hAnsiTheme="majorHAnsi"/>
            <w:i/>
            <w:iCs/>
          </w:rPr>
          <w:t>six</w:t>
        </w:r>
      </w:hyperlink>
      <w:r w:rsidR="00924106" w:rsidRPr="00820C89">
        <w:rPr>
          <w:rFonts w:asciiTheme="majorHAnsi" w:hAnsiTheme="majorHAnsi"/>
          <w:i/>
          <w:iCs/>
        </w:rPr>
        <w:t xml:space="preserve"> and </w:t>
      </w:r>
      <w:hyperlink w:anchor="Suggestion10" w:history="1">
        <w:r w:rsidR="00924106" w:rsidRPr="00820C89">
          <w:rPr>
            <w:rStyle w:val="Hyperlink"/>
            <w:rFonts w:asciiTheme="majorHAnsi" w:hAnsiTheme="majorHAnsi"/>
            <w:i/>
            <w:iCs/>
          </w:rPr>
          <w:t>ten</w:t>
        </w:r>
      </w:hyperlink>
      <w:r w:rsidR="00855138" w:rsidRPr="00820C89">
        <w:rPr>
          <w:rFonts w:asciiTheme="majorHAnsi" w:hAnsiTheme="majorHAnsi"/>
          <w:i/>
          <w:iCs/>
        </w:rPr>
        <w:t xml:space="preserve"> </w:t>
      </w:r>
      <w:r w:rsidRPr="00820C89">
        <w:rPr>
          <w:rFonts w:asciiTheme="majorHAnsi" w:hAnsiTheme="majorHAnsi"/>
          <w:i/>
          <w:iCs/>
        </w:rPr>
        <w:t>in the body of the report for further detail.</w:t>
      </w:r>
    </w:p>
    <w:p w14:paraId="6AD96B2C" w14:textId="77777777" w:rsidR="004837A8" w:rsidRDefault="004837A8">
      <w:pPr>
        <w:spacing w:after="0"/>
        <w:rPr>
          <w:rFonts w:asciiTheme="majorHAnsi" w:hAnsiTheme="majorHAnsi"/>
          <w:i/>
          <w:iCs/>
        </w:rPr>
      </w:pPr>
      <w:r>
        <w:rPr>
          <w:rFonts w:asciiTheme="majorHAnsi" w:hAnsiTheme="majorHAnsi"/>
          <w:i/>
          <w:iCs/>
        </w:rPr>
        <w:br w:type="page"/>
      </w:r>
    </w:p>
    <w:p w14:paraId="503A504A" w14:textId="1ADD6417" w:rsidR="00465418"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rPr>
          <w:b/>
        </w:rPr>
      </w:pPr>
      <w:r w:rsidRPr="00465418">
        <w:rPr>
          <w:b/>
        </w:rPr>
        <w:lastRenderedPageBreak/>
        <w:t>Box 2: A statistical view of the outcomes achieved by the in-scope investment</w:t>
      </w:r>
    </w:p>
    <w:p w14:paraId="3BF8B69D" w14:textId="254145D5" w:rsidR="00EE003F"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pPr>
      <w:r w:rsidRPr="00465418">
        <w:t>This evaluation utilised participant-level program data and income support data from the Research Evaluation Database (RED) to analyse the statistical outcomes achieved by the IEP sub-programs.</w:t>
      </w:r>
    </w:p>
    <w:p w14:paraId="26333C36" w14:textId="2A555252" w:rsidR="00465418"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rPr>
          <w:b/>
          <w:i/>
        </w:rPr>
      </w:pPr>
      <w:r w:rsidRPr="00465418">
        <w:rPr>
          <w:b/>
          <w:i/>
        </w:rPr>
        <w:t>26-week outcomes</w:t>
      </w:r>
    </w:p>
    <w:p w14:paraId="0D426645" w14:textId="68A89399" w:rsidR="00465418"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pPr>
      <w:r w:rsidRPr="00465418">
        <w:t>At a basic level, the effectiveness of the sub-programs was examined using the 26-week milestone completion rate - the share of participants who remain engaged in the programs for 26 weeks as a share of all commencements. While this is an imperfect measure of program effectiveness, it is currently the most consistently reported outcome measure across the sub-programs.</w:t>
      </w:r>
    </w:p>
    <w:p w14:paraId="5D726F4C" w14:textId="475A19BE" w:rsidR="00465418"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pPr>
      <w:r w:rsidRPr="00465418">
        <w:t>This analysis reveals that the EPI program has the highest and most consistent (i.e. smallest standard deviation) 26-week milestone completion rate of the sub-programs (Chart ii). Further, econometric analysis that controls for basic participant characteristics re-affirms this finding, suggesting that EPI participants are 14 percentage points more likely to achieve the 26-week milestone than VTEC participants, while TAEG participants are marginally less likely (-3 percentage points).</w:t>
      </w:r>
    </w:p>
    <w:p w14:paraId="2134064E" w14:textId="2AF6E9C2" w:rsid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rPr>
          <w:color w:val="57595C" w:themeColor="accent6" w:themeShade="BF"/>
          <w:sz w:val="14"/>
          <w:szCs w:val="14"/>
        </w:rPr>
      </w:pPr>
      <w:r w:rsidRPr="00465418">
        <w:rPr>
          <w:color w:val="57595C" w:themeColor="accent6" w:themeShade="BF"/>
          <w:sz w:val="14"/>
          <w:szCs w:val="14"/>
        </w:rPr>
        <w:t>Chart ii: Average participant 26-week milestone completion rate, by sub-program</w:t>
      </w:r>
    </w:p>
    <w:p w14:paraId="30539300" w14:textId="674D0DFA" w:rsid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rPr>
          <w:color w:val="57595C" w:themeColor="accent6" w:themeShade="BF"/>
          <w:sz w:val="14"/>
          <w:szCs w:val="14"/>
        </w:rPr>
      </w:pPr>
      <w:r w:rsidRPr="00820C89">
        <w:rPr>
          <w:rFonts w:asciiTheme="majorHAnsi" w:hAnsiTheme="majorHAnsi"/>
          <w:noProof/>
          <w:lang w:eastAsia="en-AU"/>
        </w:rPr>
        <w:drawing>
          <wp:inline distT="0" distB="0" distL="0" distR="0" wp14:anchorId="121E2888" wp14:editId="2A05B4C9">
            <wp:extent cx="4595854" cy="2146852"/>
            <wp:effectExtent l="0" t="0" r="0" b="6350"/>
            <wp:docPr id="2" name="Chart 2" descr=" " title=" .">
              <a:extLst xmlns:a="http://schemas.openxmlformats.org/drawingml/2006/main">
                <a:ext uri="{FF2B5EF4-FFF2-40B4-BE49-F238E27FC236}">
                  <a16:creationId xmlns:a16="http://schemas.microsoft.com/office/drawing/2014/main" id="{90852342-0D04-47F4-A354-5763D228D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3BDD90" w14:textId="0A85211A" w:rsidR="00465418"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rPr>
          <w:color w:val="57595C" w:themeColor="accent6" w:themeShade="BF"/>
          <w:sz w:val="14"/>
          <w:szCs w:val="14"/>
        </w:rPr>
      </w:pPr>
      <w:r w:rsidRPr="00465418">
        <w:rPr>
          <w:color w:val="57595C" w:themeColor="accent6" w:themeShade="BF"/>
          <w:sz w:val="14"/>
          <w:szCs w:val="14"/>
        </w:rPr>
        <w:t>Source: NIAA Program Data (2014-2019)</w:t>
      </w:r>
    </w:p>
    <w:p w14:paraId="2AF2AA45" w14:textId="770DE5F5" w:rsid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pPr>
      <w:r>
        <w:t>A preliminary scan of publicly available research suggests that the 26-week milestone completion rate for the IEP sub-programs is higher than that of comparable initiatives such Jobactive, CDP and the Jobs Victoria Employment Network.</w:t>
      </w:r>
    </w:p>
    <w:p w14:paraId="545674B8" w14:textId="3A7AE02D" w:rsid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pPr>
      <w:r>
        <w:t xml:space="preserve">However, there is considerable variation in the 26-week milestone completion rate across participant and provider characteristics. Preliminary analysis suggests that female participants and participants aged 46 years and over have a statistically significant and higher milestone completion rate than average. Similarly, providers with the top quintile of commencements have a significantly higher milestone completion rate than average.  </w:t>
      </w:r>
    </w:p>
    <w:p w14:paraId="01735414" w14:textId="204363C0" w:rsidR="00465418"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rPr>
          <w:b/>
          <w:i/>
        </w:rPr>
      </w:pPr>
      <w:r w:rsidRPr="00465418">
        <w:rPr>
          <w:b/>
          <w:i/>
        </w:rPr>
        <w:t>Towards sustainable outcomes</w:t>
      </w:r>
    </w:p>
    <w:p w14:paraId="0BE5310F" w14:textId="47A999F3" w:rsidR="00465418"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pPr>
      <w:r w:rsidRPr="00465418">
        <w:t>Moving beyond the 26-week outcomes, data from the Research Evaluation Database (RED) was used to examine the income support status of IEP participants after exiting the program – as a proxy for whether they are enga</w:t>
      </w:r>
      <w:r w:rsidR="00EE003F">
        <w:t xml:space="preserve">ged in paid employment or not. </w:t>
      </w:r>
    </w:p>
    <w:p w14:paraId="449EF2C4" w14:textId="77777777" w:rsidR="00EE003F"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pPr>
      <w:r w:rsidRPr="00465418">
        <w:t>Preliminary analysis suggests that 6+ months following program exit the effectiveness of the sub-programs in supporting participants to exit income support changes over time (Chart iii). That is, in the earlier periods TAEG appears to outperform EPI by six percentage points, but this difference closes to only one percentage point 24 months from program exit.</w:t>
      </w:r>
    </w:p>
    <w:p w14:paraId="4DE923A4" w14:textId="77777777" w:rsidR="00EE003F" w:rsidRDefault="00EE003F" w:rsidP="00EE003F">
      <w:pPr>
        <w:pBdr>
          <w:top w:val="single" w:sz="2" w:space="1" w:color="auto"/>
          <w:left w:val="single" w:sz="2" w:space="4" w:color="auto"/>
          <w:bottom w:val="single" w:sz="2" w:space="1" w:color="auto"/>
          <w:right w:val="single" w:sz="2" w:space="4" w:color="auto"/>
        </w:pBdr>
        <w:shd w:val="clear" w:color="auto" w:fill="E3E3E4" w:themeFill="accent6" w:themeFillTint="33"/>
      </w:pPr>
    </w:p>
    <w:p w14:paraId="52154480" w14:textId="542B7107" w:rsid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rPr>
          <w:color w:val="57595C" w:themeColor="accent6" w:themeShade="BF"/>
          <w:sz w:val="14"/>
          <w:szCs w:val="14"/>
        </w:rPr>
      </w:pPr>
      <w:r w:rsidRPr="00465418">
        <w:rPr>
          <w:color w:val="57595C" w:themeColor="accent6" w:themeShade="BF"/>
          <w:sz w:val="14"/>
          <w:szCs w:val="14"/>
        </w:rPr>
        <w:lastRenderedPageBreak/>
        <w:t>Chart iii: Share of IEP participants who exit income support, by sub-program</w:t>
      </w:r>
      <w:r w:rsidRPr="00820C89">
        <w:rPr>
          <w:noProof/>
          <w:lang w:eastAsia="en-AU"/>
        </w:rPr>
        <w:drawing>
          <wp:inline distT="0" distB="0" distL="0" distR="0" wp14:anchorId="3E0D41C2" wp14:editId="1DA07BAE">
            <wp:extent cx="5476875" cy="2562225"/>
            <wp:effectExtent l="0" t="0" r="9525" b="9525"/>
            <wp:docPr id="5" name="Chart 5" descr="The bar graph depicts the percentage of IEP participants that exit income support by sub-program over 6, 12, 24 and 36 month intervals. The 6 to 24 month intervals depict a 54 to 68 per cent rate of exit whereas the 36 month interval shows a 47 to 53 per cent rate. The 36 month data point is considered an outlier and is discussed below." title="  .">
              <a:extLst xmlns:a="http://schemas.openxmlformats.org/drawingml/2006/main">
                <a:ext uri="{FF2B5EF4-FFF2-40B4-BE49-F238E27FC236}">
                  <a16:creationId xmlns:a16="http://schemas.microsoft.com/office/drawing/2014/main" id="{5FD01D3F-E851-45D0-A679-F7A2ED32D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3AE60C" w14:textId="6E732311" w:rsidR="00465418"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rPr>
          <w:color w:val="57595C" w:themeColor="accent6" w:themeShade="BF"/>
          <w:sz w:val="14"/>
          <w:szCs w:val="14"/>
        </w:rPr>
      </w:pPr>
      <w:r w:rsidRPr="00465418">
        <w:rPr>
          <w:color w:val="57595C" w:themeColor="accent6" w:themeShade="BF"/>
          <w:sz w:val="14"/>
          <w:szCs w:val="14"/>
        </w:rPr>
        <w:t xml:space="preserve">Source: Research Evaluation Database (2015-2019). Note: As an example, 52% of VTEC participants who were receiving income support payments when they commenced the program were not receiving income support payments when they exited the IEP (i.e. at ‘0 months’). </w:t>
      </w:r>
    </w:p>
    <w:p w14:paraId="464D7B39" w14:textId="04980A8B" w:rsidR="00465418"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rPr>
          <w:color w:val="57595C" w:themeColor="accent6" w:themeShade="BF"/>
          <w:sz w:val="14"/>
          <w:szCs w:val="14"/>
        </w:rPr>
      </w:pPr>
      <w:r w:rsidRPr="00465418">
        <w:rPr>
          <w:color w:val="57595C" w:themeColor="accent6" w:themeShade="BF"/>
          <w:sz w:val="14"/>
          <w:szCs w:val="14"/>
        </w:rPr>
        <w:t>Note: the cohorts listed above are not strictly comparable (as indicated by the dividing lines) as the sample sizes across each of the time periods vary, reflecting the fact that, for example the ’36 month’ outcome only examines those participants who commenced in the program prior to 2016. The 36-month outcomes are shaded differently, highlighting that these results appear to be inconsistent with earlier time periods. Preliminary analysis has not been able to identify the drivers of this difference.</w:t>
      </w:r>
    </w:p>
    <w:p w14:paraId="642663D3" w14:textId="573FD14E" w:rsid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pPr>
      <w:r>
        <w:t>Further econometric analysis reveals that 12+ months following program exit there is no statistically significant difference in the sub-programs ability to support participants to exit income support. This finding suggests that while the EPI program appears to outperform the other sub-programs in its 26-week milestone completion rate, the longer-term relative effectiveness of the sub-programs is more indistinguishable.</w:t>
      </w:r>
    </w:p>
    <w:p w14:paraId="6CD8C958" w14:textId="2B0370D5" w:rsid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pPr>
      <w:r>
        <w:t>On balance, analysis from the RED suggests that younger participants who have been unemployed for less than 52 weeks on program commencement appear to be more likely to exit income support. This result does not necessarily mirror that of the findings from the analysis of 26-week outcomes.</w:t>
      </w:r>
    </w:p>
    <w:p w14:paraId="05948637" w14:textId="53B12E34" w:rsidR="00465418"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pPr>
      <w:r>
        <w:t>These inconclusive results highlight the need for further econometric analysis to explore the possible long-term dynamics of the sub-programs.</w:t>
      </w:r>
    </w:p>
    <w:p w14:paraId="19C1F2C3" w14:textId="4D9C707F" w:rsidR="00465418" w:rsidRPr="00465418"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rPr>
          <w:b/>
          <w:i/>
        </w:rPr>
      </w:pPr>
      <w:r w:rsidRPr="00465418">
        <w:rPr>
          <w:b/>
          <w:i/>
        </w:rPr>
        <w:t>The status of program effectiveness and efficiency</w:t>
      </w:r>
    </w:p>
    <w:p w14:paraId="5E032E56" w14:textId="3C36B4C6" w:rsidR="007F2330" w:rsidRPr="00887500" w:rsidRDefault="00465418" w:rsidP="00EE003F">
      <w:pPr>
        <w:pBdr>
          <w:top w:val="single" w:sz="2" w:space="1" w:color="auto"/>
          <w:left w:val="single" w:sz="2" w:space="4" w:color="auto"/>
          <w:bottom w:val="single" w:sz="2" w:space="1" w:color="auto"/>
          <w:right w:val="single" w:sz="2" w:space="4" w:color="auto"/>
        </w:pBdr>
        <w:shd w:val="clear" w:color="auto" w:fill="E3E3E4" w:themeFill="accent6" w:themeFillTint="33"/>
      </w:pPr>
      <w:r w:rsidRPr="00465418">
        <w:t>Given the limited data that was made available for this evaluation, the quantitative analysis in this report does not sufficiently control for differences in the IEP participant cohorts, or other potential confounding factors. A level of caution should be taken when interpreting, and no overall judgement on the effectiveness of the programs is formed as a result of the quantitative analysis conducted. Furthermore, as efficiency is a function of effectiveness, it is not appropriate to judge the efficiency of the program or its subcomponents where effectiveness cannot be established.</w:t>
      </w:r>
    </w:p>
    <w:p w14:paraId="4BB8B285" w14:textId="77777777" w:rsidR="00B15A20" w:rsidRPr="00820C89" w:rsidRDefault="00B15A20" w:rsidP="00B15A20">
      <w:pPr>
        <w:pStyle w:val="Heading22"/>
        <w:spacing w:after="100" w:afterAutospacing="1"/>
      </w:pPr>
      <w:bookmarkStart w:id="13" w:name="_Toc82710762"/>
      <w:bookmarkStart w:id="14" w:name="_Toc101343277"/>
      <w:r w:rsidRPr="00820C89">
        <w:t>Final thoughts</w:t>
      </w:r>
      <w:bookmarkEnd w:id="13"/>
      <w:bookmarkEnd w:id="14"/>
    </w:p>
    <w:p w14:paraId="2D6ACD75" w14:textId="77777777" w:rsidR="00F73AAE" w:rsidRPr="00820C89" w:rsidRDefault="006E7C8A" w:rsidP="006E7C8A">
      <w:pPr>
        <w:spacing w:after="0" w:line="200" w:lineRule="atLeast"/>
        <w:rPr>
          <w:rFonts w:asciiTheme="majorHAnsi" w:hAnsiTheme="majorHAnsi"/>
        </w:rPr>
      </w:pPr>
      <w:r w:rsidRPr="00820C89">
        <w:rPr>
          <w:rFonts w:asciiTheme="majorHAnsi" w:hAnsiTheme="majorHAnsi"/>
        </w:rPr>
        <w:t>This evaluation set out to present a tightly mapped process of cause and effect. After 16 months of intense, multidisciplinary work, and a truly balanced Indigenous and Western-economics led project governance, it is clear that this was not achievable</w:t>
      </w:r>
      <w:r w:rsidR="0040742D" w:rsidRPr="00820C89">
        <w:rPr>
          <w:rFonts w:asciiTheme="majorHAnsi" w:hAnsiTheme="majorHAnsi"/>
        </w:rPr>
        <w:t xml:space="preserve">. </w:t>
      </w:r>
    </w:p>
    <w:p w14:paraId="6CFA8F9B" w14:textId="77777777" w:rsidR="00F73AAE" w:rsidRPr="00820C89" w:rsidRDefault="00F73AAE" w:rsidP="006E7C8A">
      <w:pPr>
        <w:spacing w:after="0" w:line="200" w:lineRule="atLeast"/>
        <w:rPr>
          <w:rFonts w:asciiTheme="majorHAnsi" w:hAnsiTheme="majorHAnsi"/>
        </w:rPr>
      </w:pPr>
    </w:p>
    <w:p w14:paraId="763AC303" w14:textId="77777777" w:rsidR="00CD5975" w:rsidRPr="00820C89" w:rsidRDefault="00CD5975" w:rsidP="00CD5975">
      <w:pPr>
        <w:spacing w:after="0" w:line="200" w:lineRule="atLeast"/>
        <w:rPr>
          <w:rFonts w:asciiTheme="majorHAnsi" w:hAnsiTheme="majorHAnsi"/>
        </w:rPr>
      </w:pPr>
      <w:r w:rsidRPr="00820C89">
        <w:rPr>
          <w:rFonts w:asciiTheme="majorHAnsi" w:hAnsiTheme="majorHAnsi"/>
        </w:rPr>
        <w:lastRenderedPageBreak/>
        <w:t>This is not a failing in the project, but instead an important finding that causality may not be clearly definable in the highly contextualised environment of employment for Indigenous people.</w:t>
      </w:r>
      <w:r w:rsidRPr="00820C89" w:rsidDel="005F6B08">
        <w:rPr>
          <w:rFonts w:asciiTheme="majorHAnsi" w:hAnsiTheme="majorHAnsi"/>
        </w:rPr>
        <w:t xml:space="preserve"> </w:t>
      </w:r>
      <w:r w:rsidRPr="00820C89">
        <w:rPr>
          <w:rFonts w:asciiTheme="majorHAnsi" w:hAnsiTheme="majorHAnsi"/>
        </w:rPr>
        <w:t xml:space="preserve">It might also not be advisable as a simplistic policy goal for the future. </w:t>
      </w:r>
    </w:p>
    <w:p w14:paraId="7335A1E3" w14:textId="77777777" w:rsidR="006E7C8A" w:rsidRPr="00820C89" w:rsidRDefault="006E7C8A" w:rsidP="006E7C8A">
      <w:pPr>
        <w:spacing w:after="0" w:line="200" w:lineRule="atLeast"/>
        <w:rPr>
          <w:rFonts w:asciiTheme="majorHAnsi" w:hAnsiTheme="majorHAnsi"/>
        </w:rPr>
      </w:pPr>
    </w:p>
    <w:p w14:paraId="6B9079B9"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This report adds to the findings of both the Productivity Commission (PC) and the Australian National Audit Office (ANAO), which have both established that we do not know enough about how these outcomes are caused. The key implication of this is that we – researchers and public policy advisers – do not have sufficient measurement systems to reveal prescriptions for their resolution. </w:t>
      </w:r>
    </w:p>
    <w:p w14:paraId="209A9C94" w14:textId="77777777" w:rsidR="006E7C8A" w:rsidRPr="00820C89" w:rsidRDefault="006E7C8A" w:rsidP="006E7C8A">
      <w:pPr>
        <w:spacing w:after="0" w:line="200" w:lineRule="atLeast"/>
        <w:rPr>
          <w:rFonts w:asciiTheme="majorHAnsi" w:hAnsiTheme="majorHAnsi"/>
        </w:rPr>
      </w:pPr>
    </w:p>
    <w:p w14:paraId="6675A2AB"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Instead the best that can presently be achieved is to draw the evidence together using our collective wisdom (as a community), and place supporting and conflicting arguments side-by-side, to offer formative insights for public policy and investment. This speaks to the criticality of the process of co-design, including who is involved and how, and that it is not just point-in-time</w:t>
      </w:r>
      <w:r w:rsidRPr="00820C89">
        <w:rPr>
          <w:rStyle w:val="FootnoteReference"/>
          <w:rFonts w:asciiTheme="majorHAnsi" w:hAnsiTheme="majorHAnsi"/>
        </w:rPr>
        <w:footnoteReference w:id="14"/>
      </w:r>
      <w:r w:rsidRPr="00820C89">
        <w:rPr>
          <w:rFonts w:asciiTheme="majorHAnsi" w:hAnsiTheme="majorHAnsi"/>
        </w:rPr>
        <w:t>.</w:t>
      </w:r>
    </w:p>
    <w:p w14:paraId="49EE7035" w14:textId="77777777" w:rsidR="006E7C8A" w:rsidRPr="00820C89" w:rsidRDefault="006E7C8A" w:rsidP="006E7C8A">
      <w:pPr>
        <w:spacing w:after="0" w:line="200" w:lineRule="atLeast"/>
        <w:rPr>
          <w:rFonts w:asciiTheme="majorHAnsi" w:hAnsiTheme="majorHAnsi"/>
        </w:rPr>
      </w:pPr>
    </w:p>
    <w:p w14:paraId="5B538548"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This program exists in a system of public processes and public funds, and every decision is highly scrutinised. Formal public reviews, such as those conducted by the ANAO and the PC, continue to suggest that these processes are not fit-for-purpose, and while they may create a feeling of compliance at a point in time, they are ultimately not producing the outcomes they commit to. </w:t>
      </w:r>
    </w:p>
    <w:p w14:paraId="2E2D07CE" w14:textId="77777777" w:rsidR="006E7C8A" w:rsidRPr="00820C89" w:rsidRDefault="006E7C8A" w:rsidP="006E7C8A">
      <w:pPr>
        <w:spacing w:after="0" w:line="200" w:lineRule="atLeast"/>
        <w:rPr>
          <w:rFonts w:asciiTheme="majorHAnsi" w:hAnsiTheme="majorHAnsi"/>
        </w:rPr>
      </w:pPr>
    </w:p>
    <w:p w14:paraId="10912BDA"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Going forward it is therefore essential that we do not seek to maintain or recreate a model where only those who can navigate bureaucracy are able/prepared to participate – it is highly exclusionary for many Australians. The system must be centred on people and place and be prepared for this to take time. </w:t>
      </w:r>
    </w:p>
    <w:p w14:paraId="2C4BFEA6"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By extension, this will also require adaptions to the way the expenditure is publicly reviewed, ensuring appropriate timing and focus against a clear and strategic policy intent.</w:t>
      </w:r>
      <w:r w:rsidRPr="00820C89">
        <w:rPr>
          <w:rStyle w:val="FootnoteReference"/>
          <w:rFonts w:asciiTheme="majorHAnsi" w:hAnsiTheme="majorHAnsi"/>
        </w:rPr>
        <w:footnoteReference w:id="15"/>
      </w:r>
      <w:r w:rsidRPr="00820C89">
        <w:rPr>
          <w:rFonts w:asciiTheme="majorHAnsi" w:hAnsiTheme="majorHAnsi"/>
        </w:rPr>
        <w:t xml:space="preserve"> Improved collective intelligence will enable more stakeholders to find the confidence required to maintain the course, where outcomes take time and are more variable than can immediately be explained. </w:t>
      </w:r>
    </w:p>
    <w:p w14:paraId="7A74DF79" w14:textId="77777777" w:rsidR="006E7C8A" w:rsidRPr="00820C89" w:rsidRDefault="006E7C8A" w:rsidP="006E7C8A">
      <w:pPr>
        <w:spacing w:after="0" w:line="200" w:lineRule="atLeast"/>
        <w:rPr>
          <w:rFonts w:asciiTheme="majorHAnsi" w:hAnsiTheme="majorHAnsi"/>
        </w:rPr>
      </w:pPr>
    </w:p>
    <w:p w14:paraId="70AE157F"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An improved collective view can only be achieved through tighter clarity of purpose and supporting investment logic. It will also require a better day-to-day platform for relating to providers and participants, and ongoing evaluation from experts who can be truthful and effectively navigate the different constructs and constraints. </w:t>
      </w:r>
    </w:p>
    <w:p w14:paraId="617BA2BE" w14:textId="77777777" w:rsidR="006E7C8A" w:rsidRPr="00820C89" w:rsidRDefault="006E7C8A" w:rsidP="006E7C8A">
      <w:pPr>
        <w:spacing w:after="0" w:line="200" w:lineRule="atLeast"/>
        <w:rPr>
          <w:rFonts w:asciiTheme="majorHAnsi" w:hAnsiTheme="majorHAnsi"/>
        </w:rPr>
      </w:pPr>
    </w:p>
    <w:p w14:paraId="5F1F4BBB"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The ownership of the program and participant data will need to be better negotiated (within and beyond government), and it will need to be shared often with those to whom it belongs. This will better ensure participants, providers and communities too are empowered to act upon the lessons the data holds and contribute to the ideas and inspiration that refine policy. It is a collective responsibility to refine this area of public policy, and it will only be refined collectively.</w:t>
      </w:r>
    </w:p>
    <w:p w14:paraId="4EA936AD" w14:textId="77777777" w:rsidR="006E7C8A" w:rsidRPr="00820C89" w:rsidRDefault="006E7C8A" w:rsidP="006E7C8A">
      <w:pPr>
        <w:spacing w:after="0" w:line="200" w:lineRule="atLeast"/>
        <w:rPr>
          <w:rFonts w:asciiTheme="majorHAnsi" w:hAnsiTheme="majorHAnsi"/>
        </w:rPr>
      </w:pPr>
    </w:p>
    <w:p w14:paraId="4CA35A59"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This next phase of careful design, implementation and evaluation must be a 10+ year pursuit. Experience suggests this is how long it takes an effective small organisation in this space to move from inception to broad success, and here we are talking about many more organisations and layers of complexity. It is also the case that it takes a minimum of five years to have a sense of whether outcomes are truly being achieved for any wave of participants, and this system needs to observe a minimum of five waves to find confidence and instruction. </w:t>
      </w:r>
    </w:p>
    <w:p w14:paraId="31CDD775" w14:textId="77777777" w:rsidR="006E7C8A" w:rsidRPr="00820C89" w:rsidRDefault="006E7C8A" w:rsidP="006E7C8A">
      <w:pPr>
        <w:spacing w:after="0" w:line="200" w:lineRule="atLeast"/>
        <w:rPr>
          <w:rFonts w:asciiTheme="majorHAnsi" w:hAnsiTheme="majorHAnsi"/>
        </w:rPr>
      </w:pPr>
    </w:p>
    <w:p w14:paraId="40CF7626"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As each review that has come before this has positioned, it is time for more than incremental change. History has a tendency of repeating itself until a sufficiently bold leadership emerges to ‘flip the script’. Even where that shift occurs at the edge of a system it can be transformational. </w:t>
      </w:r>
    </w:p>
    <w:p w14:paraId="71F4770E" w14:textId="77777777" w:rsidR="006E7C8A" w:rsidRPr="00820C89" w:rsidRDefault="006E7C8A" w:rsidP="006E7C8A">
      <w:pPr>
        <w:spacing w:after="0"/>
        <w:rPr>
          <w:rFonts w:asciiTheme="majorHAnsi" w:hAnsiTheme="majorHAnsi"/>
        </w:rPr>
      </w:pPr>
    </w:p>
    <w:p w14:paraId="4A883977"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b/>
          <w:bCs/>
        </w:rPr>
        <w:t>Deloitte.</w:t>
      </w:r>
    </w:p>
    <w:p w14:paraId="67115AED" w14:textId="77777777" w:rsidR="00B15A20" w:rsidRPr="00820C89" w:rsidRDefault="00B15A20" w:rsidP="00B15A20">
      <w:pPr>
        <w:spacing w:after="0"/>
        <w:rPr>
          <w:rFonts w:asciiTheme="majorHAnsi" w:hAnsiTheme="majorHAnsi"/>
        </w:rPr>
      </w:pPr>
    </w:p>
    <w:p w14:paraId="1FDA27FE" w14:textId="77777777" w:rsidR="00B15A20" w:rsidRPr="00820C89" w:rsidRDefault="00B15A20" w:rsidP="00B15A20">
      <w:pPr>
        <w:sectPr w:rsidR="00B15A20" w:rsidRPr="00820C89" w:rsidSect="00CB0241">
          <w:pgSz w:w="11906" w:h="16838" w:code="9"/>
          <w:pgMar w:top="1440" w:right="1440" w:bottom="1440" w:left="1440" w:header="680" w:footer="425" w:gutter="0"/>
          <w:pgNumType w:fmt="lowerRoman"/>
          <w:cols w:space="284"/>
          <w:noEndnote/>
          <w:docGrid w:linePitch="360"/>
        </w:sectPr>
      </w:pPr>
    </w:p>
    <w:p w14:paraId="302A0737" w14:textId="3D0C24CA" w:rsidR="00B15A20" w:rsidRPr="001A629A" w:rsidRDefault="00B15A20" w:rsidP="00715F70">
      <w:pPr>
        <w:pStyle w:val="ExecFigureCaption"/>
        <w:numPr>
          <w:ilvl w:val="3"/>
          <w:numId w:val="6"/>
        </w:numPr>
      </w:pPr>
      <w:r w:rsidRPr="001A629A">
        <w:lastRenderedPageBreak/>
        <w:t>: Evaluation Summary</w:t>
      </w:r>
    </w:p>
    <w:p w14:paraId="57639C60" w14:textId="44403575" w:rsidR="00B15A20" w:rsidRPr="00820C89" w:rsidRDefault="0044223E" w:rsidP="00B15A20">
      <w:pPr>
        <w:rPr>
          <w:rFonts w:asciiTheme="majorHAnsi" w:hAnsiTheme="majorHAnsi"/>
        </w:rPr>
        <w:sectPr w:rsidR="00B15A20" w:rsidRPr="00820C89" w:rsidSect="0004192D">
          <w:pgSz w:w="16838" w:h="11906" w:orient="landscape" w:code="9"/>
          <w:pgMar w:top="1440" w:right="1440" w:bottom="1440" w:left="1440" w:header="680" w:footer="425" w:gutter="0"/>
          <w:pgNumType w:fmt="lowerRoman"/>
          <w:cols w:space="284"/>
          <w:noEndnote/>
          <w:docGrid w:linePitch="360"/>
        </w:sectPr>
      </w:pPr>
      <w:r w:rsidRPr="00820C89">
        <w:rPr>
          <w:rFonts w:asciiTheme="majorHAnsi" w:hAnsiTheme="majorHAnsi"/>
          <w:noProof/>
          <w:lang w:eastAsia="en-AU"/>
        </w:rPr>
        <w:drawing>
          <wp:inline distT="0" distB="0" distL="0" distR="0" wp14:anchorId="757702E3" wp14:editId="58383598">
            <wp:extent cx="9696893" cy="5380250"/>
            <wp:effectExtent l="0" t="0" r="0" b="0"/>
            <wp:docPr id="1" name="Picture 1" descr="This visual presents a high-level summary of the evaluation's key findings, data sources and recommendations. The findings are compared against the following Indigenous Employment Program Objectives:&#10;1) To support Indigenous Australians to gain sustainable employment;&#10;2) to support more Australian companies to achieve and maintain employment parity, and embed new culturally appropriate employment practices into their businesses; and&#10;3) to reduce the gap in employment outcomes between Indigenous and non-Indigenous Australians.&#10;&#10;The sections around the circular-flow describe the key findings relating to the design, implementation, outcomes and impact of the evaluation which align with the key chapters of this report. These are:&#10;&#10;The design phase which makes the following comments:&#10;- The Forrest Review was the only input that could be identified in the program's design;&#10;- There is little evidence that the program was designed in meaningful collaboration with Indigenous people;&#10;- The specific features of the IEP broadly align with the accumulated evidence base of what works for disadvantaged jobseekers, although there is still scope for improvement;&#10;- There is little evidence that appropriate data capture systems were embedded into the program's design, or that the program has been subject to regular evaluation and monitoring.&#10;&#10;The Implementation phase which notes the following:&#10;From 2014-2019, there have been over 27,000 employment commencements in the program. Implementation challenges include:&#10;- It is unclear to stakeholders wheteher the funding model is intended to cover the costs of service delivery, or only to partially subsidise them;&#10;- the government framework is overly centralised; and&#10;- the performance framework is not robust enough to drive and improve provider performance.&#10;&#10;&#10;The Outcomes phase which notes the following:&#10;- the individualised support that many providers deliver is the most consistently reported success factor;&#10;- the program is generally successful in building participants work-readiness skills, and to a lesser extent, job-specific skills. However, it has not overcome structural challenges relating to local labour markets and sustainable outcomes;&#10;- Employers and partners generally report that the program supports them to increase their Indigenous employment - although it is less clear if they embed better practices into their businesses;&#10;- Given a lack of clear guidelines, the IEP sub-programs do not always work effectively together, or in collaboration with other jurisdictional or national programs;&#10;- The current funding system only engages with existing providers, creating a risk that there are service delivery gaps in particular geographies or areas.&#10;&#10;&#10;The Impact phase which notes the following:&#10;Defining a suitable counterfactual against which the programs can be compared proved challenging. On balance, the analysis that could be conducted suggests that:&#10;- EPI has the highest 26-week milestone completion rate of the programs;&#10;-VTEC's 26-week milestone completion rate appears to have deteriorated over time (although drivers of this could not be identified);&#10;- There is nos tatistically significant difference between the sub-programs ability to support participants to exit income support 12+ months after the program exit.&#10;&#10;Consultations suggest that the IEP can have a positive community-level impact, although this is challenging to validatge with other data sources.&#10;&#10;The program remains focussed on supporting participants to better integrate into the existing employment system, rather than developing new work models that align to productive communities and self-determination.&#10;&#10;The Implementation phase then loops back to the Design phase.&#10;&#10;The centre presents the direction of the recommendations as follows:&#10;1) Design a relationship-based service model that can provide continuity of serivce, to the point that the outcome(s) sought are realised;&#10;2) Construct a service support model that is ready to meet individuals at their point of need/aspiration, including in their community;&#10;3) Operate the model through a reinvigorated regional office(r), as a centre-point of its community, a broker with authority, and a local career of choice;&#10;4) Research the cost and the value of quality servicing of need, and be prepared to pay more where a market/capacity for provision does not exist;&#10;5) Co-invest more effectively in growing the role of Australia's employers in cultural competence, showing how Indigenous ways can lead;&#10;6) Maintain the model via a self-improving system of provision, built on Indigenous knowledge and much improved evidence sharing across stakeholders."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9320" cy="5392693"/>
                    </a:xfrm>
                    <a:prstGeom prst="rect">
                      <a:avLst/>
                    </a:prstGeom>
                    <a:noFill/>
                  </pic:spPr>
                </pic:pic>
              </a:graphicData>
            </a:graphic>
          </wp:inline>
        </w:drawing>
      </w:r>
    </w:p>
    <w:p w14:paraId="2372EF16" w14:textId="77777777" w:rsidR="00B15A20" w:rsidRPr="00820C89" w:rsidRDefault="00B15A20" w:rsidP="00B15A20">
      <w:pPr>
        <w:pStyle w:val="Heading1un-numbered"/>
        <w:rPr>
          <w:rFonts w:asciiTheme="majorHAnsi" w:hAnsiTheme="majorHAnsi"/>
        </w:rPr>
      </w:pPr>
      <w:bookmarkStart w:id="15" w:name="_Toc82710763"/>
      <w:bookmarkStart w:id="16" w:name="_Toc101343278"/>
      <w:r w:rsidRPr="00820C89">
        <w:rPr>
          <w:rFonts w:asciiTheme="majorHAnsi" w:hAnsiTheme="majorHAnsi"/>
        </w:rPr>
        <w:lastRenderedPageBreak/>
        <w:t>Preamble</w:t>
      </w:r>
      <w:bookmarkEnd w:id="15"/>
      <w:bookmarkEnd w:id="16"/>
    </w:p>
    <w:p w14:paraId="0B4ADB2A" w14:textId="77777777" w:rsidR="00B15A20" w:rsidRPr="00820C89" w:rsidRDefault="00B15A20" w:rsidP="00B15A20">
      <w:r w:rsidRPr="00820C89">
        <w:t xml:space="preserve">I set out to do this project differently. </w:t>
      </w:r>
    </w:p>
    <w:p w14:paraId="51C68843" w14:textId="77777777" w:rsidR="00B15A20" w:rsidRPr="00820C89" w:rsidRDefault="00B15A20" w:rsidP="00B15A20">
      <w:pPr>
        <w:rPr>
          <w:rFonts w:asciiTheme="majorHAnsi" w:hAnsiTheme="majorHAnsi"/>
        </w:rPr>
      </w:pPr>
      <w:r w:rsidRPr="00820C89">
        <w:t xml:space="preserve">It would be too simplistic to say that I wanted the project to be Indigenous led </w:t>
      </w:r>
      <w:r w:rsidRPr="00820C89">
        <w:rPr>
          <w:rFonts w:asciiTheme="majorHAnsi" w:hAnsiTheme="majorHAnsi"/>
        </w:rPr>
        <w:t xml:space="preserve">because this can often become a proxy for shifting responsibility and exposing projects to other forms of challenge. Instead I deliberately set out to challenge us as a project team, and the Agency as a client, to model the much more complicated path of ‘walking in two worlds’. </w:t>
      </w:r>
    </w:p>
    <w:p w14:paraId="48666069" w14:textId="77777777" w:rsidR="00B15A20" w:rsidRPr="00820C89" w:rsidRDefault="00B15A20" w:rsidP="00B15A20">
      <w:pPr>
        <w:rPr>
          <w:rFonts w:asciiTheme="majorHAnsi" w:hAnsiTheme="majorHAnsi"/>
        </w:rPr>
      </w:pPr>
      <w:r w:rsidRPr="00820C89">
        <w:rPr>
          <w:rFonts w:asciiTheme="majorHAnsi" w:hAnsiTheme="majorHAnsi"/>
        </w:rPr>
        <w:t xml:space="preserve">I didn’t always know how difficult or how rewarding that would be, or what different methodological approaches it might generate and how different the results would be. That though is the point. </w:t>
      </w:r>
    </w:p>
    <w:p w14:paraId="1A8D6F78" w14:textId="77777777" w:rsidR="00B15A20" w:rsidRPr="00820C89" w:rsidRDefault="00B15A20" w:rsidP="00B15A20">
      <w:pPr>
        <w:rPr>
          <w:rFonts w:asciiTheme="majorHAnsi" w:hAnsiTheme="majorHAnsi"/>
        </w:rPr>
      </w:pPr>
      <w:r w:rsidRPr="00820C89">
        <w:rPr>
          <w:rFonts w:asciiTheme="majorHAnsi" w:hAnsiTheme="majorHAnsi"/>
        </w:rPr>
        <w:t>I learned that I needed to listen more and recognise that there is more to the measurement and evaluation of government policy than the traditional tools of Western economic evaluation I might typically consider. I learned to ask – how do I ‘evaluate’ when my ideas of policy implementation are framed through Western experience?</w:t>
      </w:r>
    </w:p>
    <w:p w14:paraId="3EFA0178" w14:textId="77777777" w:rsidR="00B15A20" w:rsidRPr="00820C89" w:rsidRDefault="00B15A20" w:rsidP="00B15A20">
      <w:pPr>
        <w:rPr>
          <w:rFonts w:asciiTheme="majorHAnsi" w:hAnsiTheme="majorHAnsi"/>
        </w:rPr>
      </w:pPr>
      <w:r w:rsidRPr="00820C89">
        <w:rPr>
          <w:rFonts w:asciiTheme="majorHAnsi" w:hAnsiTheme="majorHAnsi"/>
        </w:rPr>
        <w:t xml:space="preserve">This project was co-led by Professor Deen Sanders OAM, himself an Indigenous man (of the Worimi nation) but also an eminent systems theorist and expert in his transdisciplinary fields of psychology, law, regulation and Indigenous Knowledge systems. Together with Susan Moylan-Coombs (of the Gaimaragal Group and a Woolwonga and Gurindji woman) this leadership shaped not just the project’s working structure but every element of the project, including the individual team members and the nature of the relationship with the Agency. </w:t>
      </w:r>
    </w:p>
    <w:p w14:paraId="18173F40" w14:textId="77777777" w:rsidR="00B15A20" w:rsidRPr="00820C89" w:rsidRDefault="00B15A20" w:rsidP="00B15A20">
      <w:pPr>
        <w:rPr>
          <w:rFonts w:asciiTheme="majorHAnsi" w:hAnsiTheme="majorHAnsi"/>
        </w:rPr>
      </w:pPr>
      <w:r w:rsidRPr="00820C89">
        <w:rPr>
          <w:rFonts w:asciiTheme="majorHAnsi" w:hAnsiTheme="majorHAnsi"/>
        </w:rPr>
        <w:t xml:space="preserve">This report is better, and my approach is now better, because of the work they did with us on this project. </w:t>
      </w:r>
    </w:p>
    <w:p w14:paraId="4EE227E1" w14:textId="77777777" w:rsidR="00B15A20" w:rsidRPr="00820C89" w:rsidRDefault="00B15A20" w:rsidP="00B15A20">
      <w:pPr>
        <w:rPr>
          <w:rFonts w:asciiTheme="majorHAnsi" w:hAnsiTheme="majorHAnsi"/>
        </w:rPr>
      </w:pPr>
      <w:r w:rsidRPr="00820C89">
        <w:rPr>
          <w:rFonts w:asciiTheme="majorHAnsi" w:hAnsiTheme="majorHAnsi"/>
        </w:rPr>
        <w:t xml:space="preserve">The practical consequence is that this project and the report itself crosses lines, incorporates mixes of methodological approach and analysis. This journey wove a sometimes complicated and necessarily indirect path to get to the outcome, not least because COVID threw the process into disarray, but also because there were fundamental flaws in data access and transparency that shifted timetables and demanded flexibility and concessions from everyone. </w:t>
      </w:r>
    </w:p>
    <w:p w14:paraId="5520D454" w14:textId="77777777" w:rsidR="00B15A20" w:rsidRPr="00820C89" w:rsidRDefault="00B15A20" w:rsidP="00B15A20">
      <w:pPr>
        <w:rPr>
          <w:rFonts w:asciiTheme="majorHAnsi" w:hAnsiTheme="majorHAnsi"/>
        </w:rPr>
      </w:pPr>
      <w:r w:rsidRPr="00820C89">
        <w:rPr>
          <w:rFonts w:asciiTheme="majorHAnsi" w:hAnsiTheme="majorHAnsi"/>
        </w:rPr>
        <w:t xml:space="preserve">Ultimately, I learned that walking in two worlds is not easy, and that to really walk in two worlds means we need to do the work of catching up. Employment is a pathway into self-determination but how we frame self-determination, how we understand the nature and value of employment and how we build policies, tools and incentives to encourage it need to be considered. </w:t>
      </w:r>
    </w:p>
    <w:p w14:paraId="677E8270" w14:textId="77777777" w:rsidR="00B15A20" w:rsidRPr="00820C89" w:rsidRDefault="00B15A20" w:rsidP="00B15A20">
      <w:pPr>
        <w:rPr>
          <w:rFonts w:asciiTheme="majorHAnsi" w:hAnsiTheme="majorHAnsi"/>
        </w:rPr>
      </w:pPr>
      <w:r w:rsidRPr="00820C89">
        <w:rPr>
          <w:rFonts w:asciiTheme="majorHAnsi" w:hAnsiTheme="majorHAnsi"/>
        </w:rPr>
        <w:t xml:space="preserve">Walking in two worlds should not just be the challenge for Indigenous people but for every Australian – this means to match their pace, to learn from their systems and to see Australia through their eyes. </w:t>
      </w:r>
    </w:p>
    <w:p w14:paraId="7B5F006A" w14:textId="25C442D1" w:rsidR="004837A8" w:rsidRDefault="00B15A20" w:rsidP="00B15A20">
      <w:pPr>
        <w:jc w:val="right"/>
        <w:rPr>
          <w:rFonts w:asciiTheme="majorHAnsi" w:hAnsiTheme="majorHAnsi"/>
          <w:b/>
        </w:rPr>
      </w:pPr>
      <w:r w:rsidRPr="00820C89">
        <w:rPr>
          <w:rFonts w:asciiTheme="majorHAnsi" w:hAnsiTheme="majorHAnsi"/>
          <w:b/>
        </w:rPr>
        <w:t xml:space="preserve">Matt Wright, Economist and Partner, Deloitte Access Economics </w:t>
      </w:r>
    </w:p>
    <w:p w14:paraId="75440039" w14:textId="77777777" w:rsidR="004837A8" w:rsidRDefault="004837A8">
      <w:pPr>
        <w:spacing w:after="0"/>
        <w:rPr>
          <w:rFonts w:asciiTheme="majorHAnsi" w:hAnsiTheme="majorHAnsi"/>
          <w:b/>
        </w:rPr>
      </w:pPr>
      <w:r>
        <w:rPr>
          <w:rFonts w:asciiTheme="majorHAnsi" w:hAnsiTheme="majorHAnsi"/>
          <w:b/>
        </w:rPr>
        <w:br w:type="page"/>
      </w:r>
    </w:p>
    <w:p w14:paraId="239B16A5" w14:textId="11FF73F7" w:rsidR="00B15A20" w:rsidRPr="00820C89" w:rsidRDefault="007D6CC9" w:rsidP="00B15A20">
      <w:pPr>
        <w:rPr>
          <w:rFonts w:asciiTheme="majorHAnsi" w:hAnsiTheme="majorHAnsi"/>
        </w:rPr>
      </w:pPr>
      <w:r w:rsidRPr="00820C89">
        <w:rPr>
          <w:rFonts w:asciiTheme="majorHAnsi" w:hAnsiTheme="majorHAnsi"/>
        </w:rPr>
        <w:lastRenderedPageBreak/>
        <w:t>In</w:t>
      </w:r>
      <w:r w:rsidR="00E17C80" w:rsidRPr="00820C89">
        <w:rPr>
          <w:rFonts w:asciiTheme="majorHAnsi" w:hAnsiTheme="majorHAnsi"/>
        </w:rPr>
        <w:t>digenous cultur</w:t>
      </w:r>
      <w:r w:rsidR="00CB49A5" w:rsidRPr="00820C89">
        <w:rPr>
          <w:rFonts w:asciiTheme="majorHAnsi" w:hAnsiTheme="majorHAnsi"/>
        </w:rPr>
        <w:t>e</w:t>
      </w:r>
      <w:r w:rsidR="002F4FFF" w:rsidRPr="00820C89">
        <w:rPr>
          <w:rFonts w:asciiTheme="majorHAnsi" w:hAnsiTheme="majorHAnsi"/>
        </w:rPr>
        <w:t>,</w:t>
      </w:r>
      <w:r w:rsidR="00E17C80" w:rsidRPr="00820C89">
        <w:rPr>
          <w:rFonts w:asciiTheme="majorHAnsi" w:hAnsiTheme="majorHAnsi"/>
        </w:rPr>
        <w:t xml:space="preserve"> </w:t>
      </w:r>
      <w:r w:rsidR="008D5FC9" w:rsidRPr="00820C89">
        <w:rPr>
          <w:rFonts w:asciiTheme="majorHAnsi" w:hAnsiTheme="majorHAnsi"/>
        </w:rPr>
        <w:t>as a form of systems theoretical fram</w:t>
      </w:r>
      <w:r w:rsidR="002F4FFF" w:rsidRPr="00820C89">
        <w:rPr>
          <w:rFonts w:asciiTheme="majorHAnsi" w:hAnsiTheme="majorHAnsi"/>
        </w:rPr>
        <w:t>ing, recognises that s</w:t>
      </w:r>
      <w:r w:rsidR="00B15A20" w:rsidRPr="00820C89">
        <w:rPr>
          <w:rFonts w:asciiTheme="majorHAnsi" w:hAnsiTheme="majorHAnsi"/>
        </w:rPr>
        <w:t xml:space="preserve">ystems are a ‘whole’ where every element, no matter how small </w:t>
      </w:r>
      <w:r w:rsidR="006E4B80" w:rsidRPr="00820C89">
        <w:rPr>
          <w:rFonts w:asciiTheme="majorHAnsi" w:hAnsiTheme="majorHAnsi"/>
        </w:rPr>
        <w:t>or</w:t>
      </w:r>
      <w:r w:rsidR="00CC0525" w:rsidRPr="00820C89">
        <w:rPr>
          <w:rFonts w:asciiTheme="majorHAnsi" w:hAnsiTheme="majorHAnsi"/>
        </w:rPr>
        <w:t xml:space="preserve"> how excluded and invisible it is from the </w:t>
      </w:r>
      <w:r w:rsidR="00A67F7B" w:rsidRPr="00820C89">
        <w:rPr>
          <w:rFonts w:asciiTheme="majorHAnsi" w:hAnsiTheme="majorHAnsi"/>
        </w:rPr>
        <w:t>primary variables</w:t>
      </w:r>
      <w:r w:rsidR="00B15A20" w:rsidRPr="00820C89">
        <w:rPr>
          <w:rFonts w:asciiTheme="majorHAnsi" w:hAnsiTheme="majorHAnsi"/>
        </w:rPr>
        <w:t xml:space="preserve">, plays a vital part in either the wholeness of that system or its decay. </w:t>
      </w:r>
    </w:p>
    <w:p w14:paraId="0FC06F3E" w14:textId="7DFBFB5F" w:rsidR="00B15A20" w:rsidRPr="00820C89" w:rsidRDefault="00B15A20" w:rsidP="00B15A20">
      <w:pPr>
        <w:rPr>
          <w:rFonts w:asciiTheme="majorHAnsi" w:hAnsiTheme="majorHAnsi"/>
        </w:rPr>
      </w:pPr>
      <w:r w:rsidRPr="00820C89">
        <w:rPr>
          <w:rFonts w:asciiTheme="majorHAnsi" w:hAnsiTheme="majorHAnsi"/>
        </w:rPr>
        <w:t>Australia is a complex system</w:t>
      </w:r>
      <w:r w:rsidR="00AF0FFC" w:rsidRPr="00820C89">
        <w:rPr>
          <w:rFonts w:asciiTheme="majorHAnsi" w:hAnsiTheme="majorHAnsi"/>
        </w:rPr>
        <w:t>,</w:t>
      </w:r>
      <w:r w:rsidRPr="00820C89">
        <w:rPr>
          <w:rFonts w:asciiTheme="majorHAnsi" w:hAnsiTheme="majorHAnsi"/>
        </w:rPr>
        <w:t xml:space="preserve"> and employment is the dominant lens through which we </w:t>
      </w:r>
      <w:r w:rsidR="00D330A8" w:rsidRPr="00820C89">
        <w:rPr>
          <w:rFonts w:asciiTheme="majorHAnsi" w:hAnsiTheme="majorHAnsi"/>
        </w:rPr>
        <w:t xml:space="preserve">understand people’s </w:t>
      </w:r>
      <w:r w:rsidRPr="00820C89">
        <w:rPr>
          <w:rFonts w:asciiTheme="majorHAnsi" w:hAnsiTheme="majorHAnsi"/>
        </w:rPr>
        <w:t xml:space="preserve">economic participation in that system. </w:t>
      </w:r>
      <w:r w:rsidR="00CA5B80" w:rsidRPr="00820C89">
        <w:rPr>
          <w:rFonts w:asciiTheme="majorHAnsi" w:hAnsiTheme="majorHAnsi"/>
        </w:rPr>
        <w:t>We see this in the way</w:t>
      </w:r>
      <w:r w:rsidR="00665C14" w:rsidRPr="00820C89">
        <w:rPr>
          <w:rFonts w:asciiTheme="majorHAnsi" w:hAnsiTheme="majorHAnsi"/>
        </w:rPr>
        <w:t xml:space="preserve"> </w:t>
      </w:r>
      <w:r w:rsidR="00CA5B80" w:rsidRPr="00820C89">
        <w:rPr>
          <w:rFonts w:asciiTheme="majorHAnsi" w:hAnsiTheme="majorHAnsi"/>
        </w:rPr>
        <w:t>“</w:t>
      </w:r>
      <w:r w:rsidR="00590133" w:rsidRPr="00820C89">
        <w:rPr>
          <w:rFonts w:asciiTheme="majorHAnsi" w:hAnsiTheme="majorHAnsi"/>
        </w:rPr>
        <w:t>employment</w:t>
      </w:r>
      <w:r w:rsidR="00CA5B80" w:rsidRPr="00820C89">
        <w:rPr>
          <w:rFonts w:asciiTheme="majorHAnsi" w:hAnsiTheme="majorHAnsi"/>
        </w:rPr>
        <w:t>”</w:t>
      </w:r>
      <w:r w:rsidR="002B34B9" w:rsidRPr="00820C89">
        <w:rPr>
          <w:rFonts w:asciiTheme="majorHAnsi" w:hAnsiTheme="majorHAnsi"/>
        </w:rPr>
        <w:t>,</w:t>
      </w:r>
      <w:r w:rsidR="00CA5B80" w:rsidRPr="00820C89">
        <w:rPr>
          <w:rFonts w:asciiTheme="majorHAnsi" w:hAnsiTheme="majorHAnsi"/>
        </w:rPr>
        <w:t xml:space="preserve"> </w:t>
      </w:r>
      <w:r w:rsidR="009A0256" w:rsidRPr="00820C89">
        <w:rPr>
          <w:rFonts w:asciiTheme="majorHAnsi" w:hAnsiTheme="majorHAnsi"/>
        </w:rPr>
        <w:t xml:space="preserve">and it’s </w:t>
      </w:r>
      <w:r w:rsidR="002B34B9" w:rsidRPr="00820C89">
        <w:rPr>
          <w:rFonts w:asciiTheme="majorHAnsi" w:hAnsiTheme="majorHAnsi"/>
        </w:rPr>
        <w:t>heavily loaded</w:t>
      </w:r>
      <w:r w:rsidR="009A0256" w:rsidRPr="00820C89">
        <w:rPr>
          <w:rFonts w:asciiTheme="majorHAnsi" w:hAnsiTheme="majorHAnsi"/>
        </w:rPr>
        <w:t xml:space="preserve"> opposite “unemployment”</w:t>
      </w:r>
      <w:r w:rsidR="002B34B9" w:rsidRPr="00820C89">
        <w:rPr>
          <w:rFonts w:asciiTheme="majorHAnsi" w:hAnsiTheme="majorHAnsi"/>
        </w:rPr>
        <w:t>,</w:t>
      </w:r>
      <w:r w:rsidR="009A0256" w:rsidRPr="00820C89">
        <w:rPr>
          <w:rFonts w:asciiTheme="majorHAnsi" w:hAnsiTheme="majorHAnsi"/>
        </w:rPr>
        <w:t xml:space="preserve"> </w:t>
      </w:r>
      <w:r w:rsidR="000B3C85" w:rsidRPr="00820C89">
        <w:rPr>
          <w:rFonts w:asciiTheme="majorHAnsi" w:hAnsiTheme="majorHAnsi"/>
        </w:rPr>
        <w:t>c</w:t>
      </w:r>
      <w:r w:rsidR="00163195" w:rsidRPr="00820C89">
        <w:rPr>
          <w:rFonts w:asciiTheme="majorHAnsi" w:hAnsiTheme="majorHAnsi"/>
        </w:rPr>
        <w:t>ome</w:t>
      </w:r>
      <w:r w:rsidR="00CA5B80" w:rsidRPr="00820C89">
        <w:rPr>
          <w:rFonts w:asciiTheme="majorHAnsi" w:hAnsiTheme="majorHAnsi"/>
        </w:rPr>
        <w:t>s</w:t>
      </w:r>
      <w:r w:rsidR="00163195" w:rsidRPr="00820C89">
        <w:rPr>
          <w:rFonts w:asciiTheme="majorHAnsi" w:hAnsiTheme="majorHAnsi"/>
        </w:rPr>
        <w:t xml:space="preserve"> </w:t>
      </w:r>
      <w:r w:rsidR="0072545B" w:rsidRPr="00820C89">
        <w:rPr>
          <w:rFonts w:asciiTheme="majorHAnsi" w:hAnsiTheme="majorHAnsi"/>
        </w:rPr>
        <w:t xml:space="preserve">burdened </w:t>
      </w:r>
      <w:r w:rsidR="00163195" w:rsidRPr="00820C89">
        <w:rPr>
          <w:rFonts w:asciiTheme="majorHAnsi" w:hAnsiTheme="majorHAnsi"/>
        </w:rPr>
        <w:t xml:space="preserve">with </w:t>
      </w:r>
      <w:r w:rsidR="00697356" w:rsidRPr="00820C89">
        <w:rPr>
          <w:rFonts w:asciiTheme="majorHAnsi" w:hAnsiTheme="majorHAnsi"/>
        </w:rPr>
        <w:t xml:space="preserve">expectation and </w:t>
      </w:r>
      <w:r w:rsidR="00163195" w:rsidRPr="00820C89">
        <w:rPr>
          <w:rFonts w:asciiTheme="majorHAnsi" w:hAnsiTheme="majorHAnsi"/>
        </w:rPr>
        <w:t xml:space="preserve">historic experience </w:t>
      </w:r>
      <w:r w:rsidR="009A0256" w:rsidRPr="00820C89">
        <w:rPr>
          <w:rFonts w:asciiTheme="majorHAnsi" w:hAnsiTheme="majorHAnsi"/>
        </w:rPr>
        <w:t>for most people</w:t>
      </w:r>
      <w:r w:rsidR="00163195" w:rsidRPr="00820C89">
        <w:rPr>
          <w:rFonts w:asciiTheme="majorHAnsi" w:hAnsiTheme="majorHAnsi"/>
        </w:rPr>
        <w:t xml:space="preserve">. </w:t>
      </w:r>
      <w:r w:rsidR="004F1EFD" w:rsidRPr="00820C89">
        <w:rPr>
          <w:rFonts w:asciiTheme="majorHAnsi" w:hAnsiTheme="majorHAnsi"/>
        </w:rPr>
        <w:t>We s</w:t>
      </w:r>
      <w:r w:rsidR="00697356" w:rsidRPr="00820C89">
        <w:rPr>
          <w:rFonts w:asciiTheme="majorHAnsi" w:hAnsiTheme="majorHAnsi"/>
        </w:rPr>
        <w:t>aw</w:t>
      </w:r>
      <w:r w:rsidR="004F1EFD" w:rsidRPr="00820C89">
        <w:rPr>
          <w:rFonts w:asciiTheme="majorHAnsi" w:hAnsiTheme="majorHAnsi"/>
        </w:rPr>
        <w:t xml:space="preserve"> this </w:t>
      </w:r>
      <w:r w:rsidR="00697356" w:rsidRPr="00820C89">
        <w:rPr>
          <w:rFonts w:asciiTheme="majorHAnsi" w:hAnsiTheme="majorHAnsi"/>
        </w:rPr>
        <w:t xml:space="preserve">directly </w:t>
      </w:r>
      <w:r w:rsidR="004F1EFD" w:rsidRPr="00820C89">
        <w:rPr>
          <w:rFonts w:asciiTheme="majorHAnsi" w:hAnsiTheme="majorHAnsi"/>
        </w:rPr>
        <w:t xml:space="preserve">in the lived experience of </w:t>
      </w:r>
      <w:r w:rsidR="00697356" w:rsidRPr="00820C89">
        <w:rPr>
          <w:rFonts w:asciiTheme="majorHAnsi" w:hAnsiTheme="majorHAnsi"/>
        </w:rPr>
        <w:t xml:space="preserve">participants in this project where </w:t>
      </w:r>
      <w:r w:rsidR="00342F03" w:rsidRPr="00820C89">
        <w:rPr>
          <w:rFonts w:asciiTheme="majorHAnsi" w:hAnsiTheme="majorHAnsi"/>
        </w:rPr>
        <w:t xml:space="preserve">we heard </w:t>
      </w:r>
      <w:r w:rsidR="0072545B" w:rsidRPr="00820C89">
        <w:rPr>
          <w:rFonts w:asciiTheme="majorHAnsi" w:hAnsiTheme="majorHAnsi"/>
        </w:rPr>
        <w:t xml:space="preserve">descriptions </w:t>
      </w:r>
      <w:r w:rsidRPr="00820C89">
        <w:rPr>
          <w:rFonts w:asciiTheme="majorHAnsi" w:hAnsiTheme="majorHAnsi"/>
        </w:rPr>
        <w:t>of racism</w:t>
      </w:r>
      <w:r w:rsidR="0072545B" w:rsidRPr="00820C89">
        <w:rPr>
          <w:rFonts w:asciiTheme="majorHAnsi" w:hAnsiTheme="majorHAnsi"/>
        </w:rPr>
        <w:t xml:space="preserve">, </w:t>
      </w:r>
      <w:r w:rsidRPr="00820C89">
        <w:rPr>
          <w:rFonts w:asciiTheme="majorHAnsi" w:hAnsiTheme="majorHAnsi"/>
        </w:rPr>
        <w:t xml:space="preserve"> inclusion, joy, frustration</w:t>
      </w:r>
      <w:r w:rsidR="0018343A" w:rsidRPr="00820C89">
        <w:rPr>
          <w:rFonts w:asciiTheme="majorHAnsi" w:hAnsiTheme="majorHAnsi"/>
        </w:rPr>
        <w:t>, pain</w:t>
      </w:r>
      <w:r w:rsidRPr="00820C89">
        <w:rPr>
          <w:rFonts w:asciiTheme="majorHAnsi" w:hAnsiTheme="majorHAnsi"/>
        </w:rPr>
        <w:t xml:space="preserve"> </w:t>
      </w:r>
      <w:r w:rsidR="00420E07" w:rsidRPr="00820C89">
        <w:rPr>
          <w:rFonts w:asciiTheme="majorHAnsi" w:hAnsiTheme="majorHAnsi"/>
        </w:rPr>
        <w:t>and</w:t>
      </w:r>
      <w:r w:rsidRPr="00820C89">
        <w:rPr>
          <w:rFonts w:asciiTheme="majorHAnsi" w:hAnsiTheme="majorHAnsi"/>
        </w:rPr>
        <w:t xml:space="preserve"> fulfilment</w:t>
      </w:r>
      <w:r w:rsidR="00420E07" w:rsidRPr="00820C89">
        <w:rPr>
          <w:rFonts w:asciiTheme="majorHAnsi" w:hAnsiTheme="majorHAnsi"/>
        </w:rPr>
        <w:t xml:space="preserve"> in different measures.  </w:t>
      </w:r>
      <w:r w:rsidRPr="00820C89">
        <w:rPr>
          <w:rFonts w:asciiTheme="majorHAnsi" w:hAnsiTheme="majorHAnsi"/>
        </w:rPr>
        <w:t xml:space="preserve"> </w:t>
      </w:r>
    </w:p>
    <w:p w14:paraId="647852F2" w14:textId="5D91A15B" w:rsidR="00B15A20" w:rsidRPr="00820C89" w:rsidRDefault="00B15A20" w:rsidP="00B15A20">
      <w:pPr>
        <w:rPr>
          <w:rFonts w:asciiTheme="majorHAnsi" w:hAnsiTheme="majorHAnsi"/>
        </w:rPr>
      </w:pPr>
      <w:r w:rsidRPr="00820C89">
        <w:rPr>
          <w:rFonts w:asciiTheme="majorHAnsi" w:hAnsiTheme="majorHAnsi"/>
        </w:rPr>
        <w:t xml:space="preserve">Even though these were features of Indigenous employment </w:t>
      </w:r>
      <w:r w:rsidR="00B645BC" w:rsidRPr="00820C89">
        <w:rPr>
          <w:rFonts w:asciiTheme="majorHAnsi" w:hAnsiTheme="majorHAnsi"/>
        </w:rPr>
        <w:t>discussions</w:t>
      </w:r>
      <w:r w:rsidRPr="00820C89">
        <w:rPr>
          <w:rFonts w:asciiTheme="majorHAnsi" w:hAnsiTheme="majorHAnsi"/>
        </w:rPr>
        <w:t>, they are only echoes of Indigenous life in Australia, a complex system, where employment and work have become proxies for success</w:t>
      </w:r>
      <w:r w:rsidR="00B243D5" w:rsidRPr="00820C89">
        <w:rPr>
          <w:rFonts w:asciiTheme="majorHAnsi" w:hAnsiTheme="majorHAnsi"/>
        </w:rPr>
        <w:t xml:space="preserve"> and where employment </w:t>
      </w:r>
      <w:r w:rsidR="00313792" w:rsidRPr="00820C89">
        <w:rPr>
          <w:rFonts w:asciiTheme="majorHAnsi" w:hAnsiTheme="majorHAnsi"/>
        </w:rPr>
        <w:t xml:space="preserve">often means </w:t>
      </w:r>
      <w:r w:rsidR="00B243D5" w:rsidRPr="00820C89">
        <w:rPr>
          <w:rFonts w:asciiTheme="majorHAnsi" w:hAnsiTheme="majorHAnsi"/>
        </w:rPr>
        <w:t>‘</w:t>
      </w:r>
      <w:r w:rsidR="00D90373" w:rsidRPr="00820C89">
        <w:rPr>
          <w:rFonts w:asciiTheme="majorHAnsi" w:hAnsiTheme="majorHAnsi"/>
        </w:rPr>
        <w:t>adopting’ or ‘adapting to’</w:t>
      </w:r>
      <w:r w:rsidR="00B243D5" w:rsidRPr="00820C89">
        <w:rPr>
          <w:rFonts w:asciiTheme="majorHAnsi" w:hAnsiTheme="majorHAnsi"/>
        </w:rPr>
        <w:t xml:space="preserve"> </w:t>
      </w:r>
      <w:r w:rsidR="00313792" w:rsidRPr="00820C89">
        <w:rPr>
          <w:rFonts w:asciiTheme="majorHAnsi" w:hAnsiTheme="majorHAnsi"/>
        </w:rPr>
        <w:t>a corporatised</w:t>
      </w:r>
      <w:r w:rsidR="00D90373" w:rsidRPr="00820C89">
        <w:rPr>
          <w:rFonts w:asciiTheme="majorHAnsi" w:hAnsiTheme="majorHAnsi"/>
        </w:rPr>
        <w:t>, commercial</w:t>
      </w:r>
      <w:r w:rsidR="001C06E7" w:rsidRPr="00820C89">
        <w:rPr>
          <w:rFonts w:asciiTheme="majorHAnsi" w:hAnsiTheme="majorHAnsi"/>
        </w:rPr>
        <w:t xml:space="preserve"> setting</w:t>
      </w:r>
      <w:r w:rsidRPr="00820C89">
        <w:rPr>
          <w:rFonts w:asciiTheme="majorHAnsi" w:hAnsiTheme="majorHAnsi"/>
        </w:rPr>
        <w:t>. In a complex system</w:t>
      </w:r>
      <w:r w:rsidR="00440C36" w:rsidRPr="00820C89">
        <w:rPr>
          <w:rFonts w:asciiTheme="majorHAnsi" w:hAnsiTheme="majorHAnsi"/>
        </w:rPr>
        <w:t xml:space="preserve"> linearity and</w:t>
      </w:r>
      <w:r w:rsidRPr="00820C89">
        <w:rPr>
          <w:rFonts w:asciiTheme="majorHAnsi" w:hAnsiTheme="majorHAnsi"/>
        </w:rPr>
        <w:t xml:space="preserve"> direct causal claims </w:t>
      </w:r>
      <w:r w:rsidR="00661EF4" w:rsidRPr="00820C89">
        <w:rPr>
          <w:rFonts w:asciiTheme="majorHAnsi" w:hAnsiTheme="majorHAnsi"/>
        </w:rPr>
        <w:t>are to be questioned</w:t>
      </w:r>
      <w:r w:rsidRPr="00820C89">
        <w:rPr>
          <w:rFonts w:asciiTheme="majorHAnsi" w:hAnsiTheme="majorHAnsi"/>
        </w:rPr>
        <w:t xml:space="preserve"> when seeking to evaluate, so where we land in this project is that, for most people, employment is not </w:t>
      </w:r>
      <w:r w:rsidR="008134FC" w:rsidRPr="00820C89">
        <w:rPr>
          <w:rFonts w:asciiTheme="majorHAnsi" w:hAnsiTheme="majorHAnsi"/>
        </w:rPr>
        <w:t xml:space="preserve">only </w:t>
      </w:r>
      <w:r w:rsidRPr="00820C89">
        <w:rPr>
          <w:rFonts w:asciiTheme="majorHAnsi" w:hAnsiTheme="majorHAnsi"/>
        </w:rPr>
        <w:t xml:space="preserve">about </w:t>
      </w:r>
      <w:r w:rsidR="00110702" w:rsidRPr="00820C89">
        <w:rPr>
          <w:rFonts w:asciiTheme="majorHAnsi" w:hAnsiTheme="majorHAnsi"/>
        </w:rPr>
        <w:t xml:space="preserve">success and </w:t>
      </w:r>
      <w:r w:rsidRPr="00820C89">
        <w:rPr>
          <w:rFonts w:asciiTheme="majorHAnsi" w:hAnsiTheme="majorHAnsi"/>
        </w:rPr>
        <w:t xml:space="preserve">money but </w:t>
      </w:r>
      <w:r w:rsidR="00B83938" w:rsidRPr="00820C89">
        <w:rPr>
          <w:rFonts w:asciiTheme="majorHAnsi" w:hAnsiTheme="majorHAnsi"/>
        </w:rPr>
        <w:t xml:space="preserve">also </w:t>
      </w:r>
      <w:r w:rsidRPr="00820C89">
        <w:rPr>
          <w:rFonts w:asciiTheme="majorHAnsi" w:hAnsiTheme="majorHAnsi"/>
        </w:rPr>
        <w:t>about</w:t>
      </w:r>
      <w:r w:rsidR="00B06068" w:rsidRPr="00820C89">
        <w:rPr>
          <w:rFonts w:asciiTheme="majorHAnsi" w:hAnsiTheme="majorHAnsi"/>
        </w:rPr>
        <w:t xml:space="preserve"> recognising opportunity and</w:t>
      </w:r>
      <w:r w:rsidRPr="00820C89">
        <w:rPr>
          <w:rFonts w:asciiTheme="majorHAnsi" w:hAnsiTheme="majorHAnsi"/>
        </w:rPr>
        <w:t xml:space="preserve"> </w:t>
      </w:r>
      <w:r w:rsidR="00E62535" w:rsidRPr="00820C89">
        <w:rPr>
          <w:rFonts w:asciiTheme="majorHAnsi" w:hAnsiTheme="majorHAnsi"/>
        </w:rPr>
        <w:t xml:space="preserve">achieving </w:t>
      </w:r>
      <w:r w:rsidRPr="00820C89">
        <w:rPr>
          <w:rFonts w:asciiTheme="majorHAnsi" w:hAnsiTheme="majorHAnsi"/>
        </w:rPr>
        <w:t xml:space="preserve">agency. </w:t>
      </w:r>
    </w:p>
    <w:p w14:paraId="2E3FE708" w14:textId="0687CDD3" w:rsidR="00B15A20" w:rsidRPr="00820C89" w:rsidRDefault="00E80451" w:rsidP="00B15A20">
      <w:pPr>
        <w:rPr>
          <w:rFonts w:asciiTheme="majorHAnsi" w:hAnsiTheme="majorHAnsi"/>
        </w:rPr>
      </w:pPr>
      <w:r w:rsidRPr="00820C89">
        <w:rPr>
          <w:rFonts w:asciiTheme="majorHAnsi" w:hAnsiTheme="majorHAnsi"/>
        </w:rPr>
        <w:t>Current</w:t>
      </w:r>
      <w:r w:rsidR="00A63522" w:rsidRPr="00820C89">
        <w:rPr>
          <w:rFonts w:asciiTheme="majorHAnsi" w:hAnsiTheme="majorHAnsi"/>
        </w:rPr>
        <w:t xml:space="preserve"> models of employment, and incentives t</w:t>
      </w:r>
      <w:r w:rsidR="00B83938" w:rsidRPr="00820C89">
        <w:rPr>
          <w:rFonts w:asciiTheme="majorHAnsi" w:hAnsiTheme="majorHAnsi"/>
        </w:rPr>
        <w:t xml:space="preserve">argeting </w:t>
      </w:r>
      <w:r w:rsidR="00B43DC4" w:rsidRPr="00820C89">
        <w:rPr>
          <w:rFonts w:asciiTheme="majorHAnsi" w:hAnsiTheme="majorHAnsi"/>
        </w:rPr>
        <w:t xml:space="preserve">employment </w:t>
      </w:r>
      <w:r w:rsidR="00B15A20" w:rsidRPr="00820C89">
        <w:rPr>
          <w:rFonts w:asciiTheme="majorHAnsi" w:hAnsiTheme="majorHAnsi"/>
        </w:rPr>
        <w:t>assume that most people want to be employed</w:t>
      </w:r>
      <w:r w:rsidRPr="00820C89">
        <w:rPr>
          <w:rFonts w:asciiTheme="majorHAnsi" w:hAnsiTheme="majorHAnsi"/>
        </w:rPr>
        <w:t>,</w:t>
      </w:r>
      <w:r w:rsidR="00B15A20" w:rsidRPr="00820C89">
        <w:rPr>
          <w:rFonts w:asciiTheme="majorHAnsi" w:hAnsiTheme="majorHAnsi"/>
        </w:rPr>
        <w:t xml:space="preserve"> because </w:t>
      </w:r>
      <w:r w:rsidRPr="00820C89">
        <w:rPr>
          <w:rFonts w:asciiTheme="majorHAnsi" w:hAnsiTheme="majorHAnsi"/>
        </w:rPr>
        <w:t>th</w:t>
      </w:r>
      <w:r w:rsidR="008E4166" w:rsidRPr="00820C89">
        <w:rPr>
          <w:rFonts w:asciiTheme="majorHAnsi" w:hAnsiTheme="majorHAnsi"/>
        </w:rPr>
        <w:t>is</w:t>
      </w:r>
      <w:r w:rsidRPr="00820C89">
        <w:rPr>
          <w:rFonts w:asciiTheme="majorHAnsi" w:hAnsiTheme="majorHAnsi"/>
        </w:rPr>
        <w:t xml:space="preserve"> </w:t>
      </w:r>
      <w:r w:rsidR="00B15A20" w:rsidRPr="00820C89">
        <w:rPr>
          <w:rFonts w:asciiTheme="majorHAnsi" w:hAnsiTheme="majorHAnsi"/>
        </w:rPr>
        <w:t xml:space="preserve">is how we choose to measure social contribution and success. As Elders remind me, the separation of work from life, from culture, from family activity is a peculiar idea for traditional Aboriginal and Torres Strait Islander cultures. We remain challenged by work that in itself is not intrinsically rewarding and contributory to the greater good of </w:t>
      </w:r>
      <w:r w:rsidR="00881FB5" w:rsidRPr="00820C89">
        <w:rPr>
          <w:rFonts w:asciiTheme="majorHAnsi" w:hAnsiTheme="majorHAnsi"/>
        </w:rPr>
        <w:t>a</w:t>
      </w:r>
      <w:r w:rsidR="00123445" w:rsidRPr="00820C89">
        <w:rPr>
          <w:rFonts w:asciiTheme="majorHAnsi" w:hAnsiTheme="majorHAnsi"/>
        </w:rPr>
        <w:t xml:space="preserve"> wider conception of </w:t>
      </w:r>
      <w:r w:rsidR="00B15A20" w:rsidRPr="00820C89">
        <w:rPr>
          <w:rFonts w:asciiTheme="majorHAnsi" w:hAnsiTheme="majorHAnsi"/>
        </w:rPr>
        <w:t xml:space="preserve">community. Whether it be health work, social work, land management, digital innovation, finance work, running an organisation or the myriad other work being done by Indigenous Australians – there is usually a driving connection to the maintenance of community and the expression of cultural obligations. </w:t>
      </w:r>
    </w:p>
    <w:p w14:paraId="648EF5F2" w14:textId="22EFD95E" w:rsidR="00B15A20" w:rsidRPr="00820C89" w:rsidRDefault="00B15A20" w:rsidP="00B15A20">
      <w:pPr>
        <w:rPr>
          <w:rFonts w:asciiTheme="majorHAnsi" w:hAnsiTheme="majorHAnsi"/>
        </w:rPr>
      </w:pPr>
      <w:r w:rsidRPr="00820C89">
        <w:rPr>
          <w:rFonts w:asciiTheme="majorHAnsi" w:hAnsiTheme="majorHAnsi"/>
        </w:rPr>
        <w:t xml:space="preserve">For us, there is an added dimension of value when employment allows us to meet our community/family obligations and live truthfully with our cultural expectations (small or large). If not, work and/or the person can suffer, </w:t>
      </w:r>
      <w:r w:rsidR="006D2D2C" w:rsidRPr="00820C89">
        <w:rPr>
          <w:rFonts w:asciiTheme="majorHAnsi" w:hAnsiTheme="majorHAnsi"/>
        </w:rPr>
        <w:t xml:space="preserve">which then </w:t>
      </w:r>
      <w:r w:rsidRPr="00820C89">
        <w:rPr>
          <w:rFonts w:asciiTheme="majorHAnsi" w:hAnsiTheme="majorHAnsi"/>
        </w:rPr>
        <w:t xml:space="preserve">is more typically measured in things like health, welfare, GDP, criminality, family stability, civic participation, inclusion and myriad others, all of which are elements of the same complex system. </w:t>
      </w:r>
    </w:p>
    <w:p w14:paraId="5B7E2F29" w14:textId="77777777" w:rsidR="00B15A20" w:rsidRPr="00820C89" w:rsidRDefault="00B15A20" w:rsidP="00B15A20">
      <w:pPr>
        <w:rPr>
          <w:rFonts w:asciiTheme="majorHAnsi" w:hAnsiTheme="majorHAnsi"/>
        </w:rPr>
      </w:pPr>
      <w:r w:rsidRPr="00820C89">
        <w:rPr>
          <w:rFonts w:asciiTheme="majorHAnsi" w:hAnsiTheme="majorHAnsi"/>
        </w:rPr>
        <w:t xml:space="preserve">This is not a cultural curio. It is an enlivening of a gift that we want for everyone in this country. Every person deserves to be encouraged into work that fits them and/or to be developed into work that will fit them and allow them to achieve the full expression of themselves. Turning that into a direct employment policy recommendation or identifying causal triggers and direct levers to pull to get that outcome cannot be the goal because that claim would deny the complexity of the system. </w:t>
      </w:r>
    </w:p>
    <w:p w14:paraId="12E42777" w14:textId="57F3FE02" w:rsidR="00B15A20" w:rsidRPr="00820C89" w:rsidRDefault="00B15A20" w:rsidP="00B15A20">
      <w:pPr>
        <w:rPr>
          <w:rFonts w:asciiTheme="majorHAnsi" w:hAnsiTheme="majorHAnsi"/>
        </w:rPr>
      </w:pPr>
      <w:r w:rsidRPr="00820C89">
        <w:rPr>
          <w:rFonts w:asciiTheme="majorHAnsi" w:hAnsiTheme="majorHAnsi"/>
        </w:rPr>
        <w:t xml:space="preserve">There are few straight lines in Aboriginal culture because </w:t>
      </w:r>
      <w:r w:rsidR="00B11F33" w:rsidRPr="00820C89">
        <w:rPr>
          <w:rFonts w:asciiTheme="majorHAnsi" w:hAnsiTheme="majorHAnsi"/>
        </w:rPr>
        <w:t xml:space="preserve">the </w:t>
      </w:r>
      <w:r w:rsidRPr="00820C89">
        <w:rPr>
          <w:rFonts w:asciiTheme="majorHAnsi" w:hAnsiTheme="majorHAnsi"/>
        </w:rPr>
        <w:t xml:space="preserve">histories </w:t>
      </w:r>
      <w:r w:rsidR="00B11F33" w:rsidRPr="00820C89">
        <w:rPr>
          <w:rFonts w:asciiTheme="majorHAnsi" w:hAnsiTheme="majorHAnsi"/>
        </w:rPr>
        <w:t xml:space="preserve">of </w:t>
      </w:r>
      <w:r w:rsidRPr="00820C89">
        <w:rPr>
          <w:rFonts w:asciiTheme="majorHAnsi" w:hAnsiTheme="majorHAnsi"/>
        </w:rPr>
        <w:t xml:space="preserve">our people move with the natural landscape and nature abhors a straight line. Straight lines are lifeless, and this has been a living project. It is about living people and their relationship to human issues of employment, social value, connection to community and personal agency. It has been a complex journey. </w:t>
      </w:r>
    </w:p>
    <w:p w14:paraId="55CAC577" w14:textId="77777777" w:rsidR="00B15A20" w:rsidRPr="00820C89" w:rsidRDefault="00B15A20" w:rsidP="00B15A20">
      <w:pPr>
        <w:rPr>
          <w:rFonts w:asciiTheme="majorHAnsi" w:hAnsiTheme="majorHAnsi"/>
        </w:rPr>
      </w:pPr>
      <w:r w:rsidRPr="00820C89">
        <w:rPr>
          <w:rFonts w:asciiTheme="majorHAnsi" w:hAnsiTheme="majorHAnsi"/>
        </w:rPr>
        <w:t xml:space="preserve">The Deloitte team have been challenged to walk in two worlds – with us – and with the many participants that gave their time in consultation and engagement through this process. We have also worked closely with the Agency and their excellent staff and as a consequence some important new learnings and recommendations flow from this report. Indeed, many have already been recognised in the policy work of the Agency. </w:t>
      </w:r>
    </w:p>
    <w:p w14:paraId="5F0639C6" w14:textId="4D398014" w:rsidR="00B15A20" w:rsidRPr="00820C89" w:rsidRDefault="00B15A20" w:rsidP="00B15A20">
      <w:pPr>
        <w:rPr>
          <w:rFonts w:asciiTheme="majorHAnsi" w:hAnsiTheme="majorHAnsi"/>
        </w:rPr>
      </w:pPr>
      <w:r w:rsidRPr="00820C89">
        <w:rPr>
          <w:rFonts w:asciiTheme="majorHAnsi" w:hAnsiTheme="majorHAnsi"/>
        </w:rPr>
        <w:t>We offer the results of this work in the spirit of an economic evaluation of government policy genuinely done by walking in two worlds. The strength of Indigenous voices and the centrality of Indigenous leadership has been a standout, but so to</w:t>
      </w:r>
      <w:r w:rsidR="00A94A36" w:rsidRPr="00820C89">
        <w:rPr>
          <w:rFonts w:asciiTheme="majorHAnsi" w:hAnsiTheme="majorHAnsi"/>
        </w:rPr>
        <w:t>o</w:t>
      </w:r>
      <w:r w:rsidRPr="00820C89">
        <w:rPr>
          <w:rFonts w:asciiTheme="majorHAnsi" w:hAnsiTheme="majorHAnsi"/>
        </w:rPr>
        <w:t xml:space="preserve"> has the willingness of the Deloitte team to learn and be changed. The effort they have put in to catching up to our culture, rather than assuming they were ahead, and their commitment to carry that forward into inventing new tools of economic consideration is an example of how we </w:t>
      </w:r>
      <w:r w:rsidR="009912C0" w:rsidRPr="00820C89">
        <w:rPr>
          <w:rFonts w:asciiTheme="majorHAnsi" w:hAnsiTheme="majorHAnsi"/>
        </w:rPr>
        <w:t xml:space="preserve">might </w:t>
      </w:r>
      <w:r w:rsidRPr="00820C89">
        <w:rPr>
          <w:rFonts w:asciiTheme="majorHAnsi" w:hAnsiTheme="majorHAnsi"/>
        </w:rPr>
        <w:t xml:space="preserve">move forward as a country. </w:t>
      </w:r>
    </w:p>
    <w:p w14:paraId="0CE34F14" w14:textId="77777777" w:rsidR="00B15A20" w:rsidRPr="00820C89" w:rsidRDefault="00B15A20" w:rsidP="00B15A20">
      <w:pPr>
        <w:jc w:val="right"/>
        <w:rPr>
          <w:rFonts w:asciiTheme="majorHAnsi" w:hAnsiTheme="majorHAnsi"/>
          <w:b/>
        </w:rPr>
      </w:pPr>
      <w:r w:rsidRPr="00820C89">
        <w:rPr>
          <w:rFonts w:asciiTheme="majorHAnsi" w:hAnsiTheme="majorHAnsi"/>
          <w:b/>
          <w:bCs/>
        </w:rPr>
        <w:t xml:space="preserve">Professor Deen Sanders OAM, Partner, Deloitte: Integrity </w:t>
      </w:r>
    </w:p>
    <w:p w14:paraId="075D6632" w14:textId="77777777" w:rsidR="00B15A20" w:rsidRPr="00820C89" w:rsidRDefault="00B15A20" w:rsidP="00B15A20">
      <w:pPr>
        <w:rPr>
          <w:rFonts w:asciiTheme="majorHAnsi" w:hAnsiTheme="majorHAnsi"/>
        </w:rPr>
      </w:pPr>
    </w:p>
    <w:p w14:paraId="25263AEC" w14:textId="77777777" w:rsidR="00B15A20" w:rsidRPr="00820C89" w:rsidRDefault="00B15A20" w:rsidP="00B15A20">
      <w:pPr>
        <w:rPr>
          <w:rFonts w:asciiTheme="majorHAnsi" w:hAnsiTheme="majorHAnsi"/>
        </w:rPr>
      </w:pPr>
      <w:r w:rsidRPr="00820C89">
        <w:rPr>
          <w:rFonts w:asciiTheme="majorHAnsi" w:hAnsiTheme="majorHAnsi"/>
        </w:rPr>
        <w:lastRenderedPageBreak/>
        <w:t>It was a privilege to travel the country and listen to the voices of community who are either directly or in directly affect by employment programs funded by NIAA.  The questions; “what is meaningful employment?” and “how do we get there?” were responded to differently across the different geographical locations.</w:t>
      </w:r>
    </w:p>
    <w:p w14:paraId="46AF3066" w14:textId="77777777" w:rsidR="00B15A20" w:rsidRPr="00820C89" w:rsidRDefault="00B15A20" w:rsidP="00B15A20">
      <w:pPr>
        <w:rPr>
          <w:rFonts w:asciiTheme="majorHAnsi" w:hAnsiTheme="majorHAnsi"/>
        </w:rPr>
      </w:pPr>
      <w:r w:rsidRPr="00820C89">
        <w:rPr>
          <w:rFonts w:asciiTheme="majorHAnsi" w:hAnsiTheme="majorHAnsi"/>
        </w:rPr>
        <w:t>One of the disappointing realisations was the level to which racism and discrimination are still a causal factor for people not entering the workforce and not being able to engage in the economy. Employment and earning money allow people to feel good about themselves, contributing to society, providing a sense of fulfilment and feeling useful. When people couldn’t find jobs, their lives, their social emotional wellbeing were critically affected.</w:t>
      </w:r>
    </w:p>
    <w:p w14:paraId="49E08987" w14:textId="77777777" w:rsidR="00B15A20" w:rsidRPr="00820C89" w:rsidRDefault="00B15A20" w:rsidP="00B15A20">
      <w:pPr>
        <w:rPr>
          <w:rFonts w:asciiTheme="majorHAnsi" w:hAnsiTheme="majorHAnsi"/>
        </w:rPr>
      </w:pPr>
      <w:r w:rsidRPr="00820C89">
        <w:rPr>
          <w:rFonts w:asciiTheme="majorHAnsi" w:hAnsiTheme="majorHAnsi"/>
        </w:rPr>
        <w:t>The four main points that left an indelible imprint on me:</w:t>
      </w:r>
    </w:p>
    <w:p w14:paraId="4608DD07" w14:textId="77777777" w:rsidR="00B15A20" w:rsidRPr="00820C89" w:rsidRDefault="00B15A20" w:rsidP="00715F70">
      <w:pPr>
        <w:pStyle w:val="ListParagraph"/>
        <w:numPr>
          <w:ilvl w:val="0"/>
          <w:numId w:val="89"/>
        </w:numPr>
        <w:spacing w:after="0" w:line="240" w:lineRule="auto"/>
        <w:rPr>
          <w:rFonts w:asciiTheme="majorHAnsi" w:hAnsiTheme="majorHAnsi"/>
        </w:rPr>
      </w:pPr>
      <w:r w:rsidRPr="00820C89">
        <w:rPr>
          <w:rFonts w:asciiTheme="majorHAnsi" w:hAnsiTheme="majorHAnsi"/>
        </w:rPr>
        <w:t>Education system</w:t>
      </w:r>
    </w:p>
    <w:p w14:paraId="5D143F57" w14:textId="77777777" w:rsidR="00B15A20" w:rsidRPr="00820C89" w:rsidRDefault="00B15A20" w:rsidP="00715F70">
      <w:pPr>
        <w:pStyle w:val="ListParagraph"/>
        <w:numPr>
          <w:ilvl w:val="0"/>
          <w:numId w:val="89"/>
        </w:numPr>
        <w:spacing w:after="0" w:line="240" w:lineRule="auto"/>
        <w:rPr>
          <w:rFonts w:asciiTheme="majorHAnsi" w:hAnsiTheme="majorHAnsi"/>
        </w:rPr>
      </w:pPr>
      <w:r w:rsidRPr="00820C89">
        <w:rPr>
          <w:rFonts w:asciiTheme="majorHAnsi" w:hAnsiTheme="majorHAnsi"/>
        </w:rPr>
        <w:t>Racism</w:t>
      </w:r>
    </w:p>
    <w:p w14:paraId="6CCED8B9" w14:textId="77777777" w:rsidR="00B15A20" w:rsidRPr="00820C89" w:rsidRDefault="00B15A20" w:rsidP="00715F70">
      <w:pPr>
        <w:pStyle w:val="ListParagraph"/>
        <w:numPr>
          <w:ilvl w:val="0"/>
          <w:numId w:val="89"/>
        </w:numPr>
        <w:spacing w:after="0" w:line="240" w:lineRule="auto"/>
        <w:rPr>
          <w:rFonts w:asciiTheme="majorHAnsi" w:hAnsiTheme="majorHAnsi"/>
        </w:rPr>
      </w:pPr>
      <w:r w:rsidRPr="00820C89">
        <w:rPr>
          <w:rFonts w:asciiTheme="majorHAnsi" w:hAnsiTheme="majorHAnsi"/>
        </w:rPr>
        <w:t>Disempowerment of the Regional Office &amp; Staff</w:t>
      </w:r>
    </w:p>
    <w:p w14:paraId="565D3588" w14:textId="77777777" w:rsidR="00B15A20" w:rsidRPr="00820C89" w:rsidRDefault="00B15A20" w:rsidP="00715F70">
      <w:pPr>
        <w:pStyle w:val="ListParagraph"/>
        <w:numPr>
          <w:ilvl w:val="0"/>
          <w:numId w:val="89"/>
        </w:numPr>
        <w:spacing w:after="0" w:line="240" w:lineRule="auto"/>
        <w:rPr>
          <w:rFonts w:asciiTheme="majorHAnsi" w:hAnsiTheme="majorHAnsi"/>
        </w:rPr>
      </w:pPr>
      <w:r w:rsidRPr="00820C89">
        <w:rPr>
          <w:rFonts w:asciiTheme="majorHAnsi" w:hAnsiTheme="majorHAnsi"/>
        </w:rPr>
        <w:t>Local Solutions by local people and communities.</w:t>
      </w:r>
    </w:p>
    <w:p w14:paraId="50DB73DA" w14:textId="77777777" w:rsidR="00B15A20" w:rsidRPr="00820C89" w:rsidRDefault="00B15A20" w:rsidP="00B15A20">
      <w:pPr>
        <w:pStyle w:val="ListParagraph"/>
        <w:spacing w:after="0" w:line="240" w:lineRule="auto"/>
        <w:rPr>
          <w:rFonts w:asciiTheme="majorHAnsi" w:hAnsiTheme="majorHAnsi"/>
        </w:rPr>
      </w:pPr>
    </w:p>
    <w:p w14:paraId="0DF85D0C" w14:textId="466481C5" w:rsidR="00B15A20" w:rsidRPr="00820C89" w:rsidRDefault="00B15A20" w:rsidP="00B15A20">
      <w:pPr>
        <w:rPr>
          <w:rFonts w:asciiTheme="majorHAnsi" w:hAnsiTheme="majorHAnsi"/>
        </w:rPr>
      </w:pPr>
      <w:r w:rsidRPr="00820C89">
        <w:rPr>
          <w:rFonts w:asciiTheme="majorHAnsi" w:hAnsiTheme="majorHAnsi"/>
        </w:rPr>
        <w:t xml:space="preserve">Education System:  For First Nations children, the education system is failing to cater for their unique needs and to provide relevant and meaningful information to engage them in and provide pathways to employment. If local First Nations people and community were invited in to provide two-way education then the children would be better catered for and their localised education can be scaffolded from their mother tongue and culture to English and the </w:t>
      </w:r>
      <w:r w:rsidR="006117AE" w:rsidRPr="00820C89">
        <w:rPr>
          <w:rFonts w:asciiTheme="majorHAnsi" w:hAnsiTheme="majorHAnsi"/>
        </w:rPr>
        <w:t xml:space="preserve">dominant </w:t>
      </w:r>
      <w:r w:rsidRPr="00820C89">
        <w:rPr>
          <w:rFonts w:asciiTheme="majorHAnsi" w:hAnsiTheme="majorHAnsi"/>
        </w:rPr>
        <w:t>culture being taught.</w:t>
      </w:r>
    </w:p>
    <w:p w14:paraId="0C164997" w14:textId="77777777" w:rsidR="00B15A20" w:rsidRPr="00820C89" w:rsidRDefault="00B15A20" w:rsidP="00B15A20">
      <w:pPr>
        <w:rPr>
          <w:rFonts w:asciiTheme="majorHAnsi" w:hAnsiTheme="majorHAnsi"/>
        </w:rPr>
      </w:pPr>
      <w:r w:rsidRPr="00820C89">
        <w:rPr>
          <w:rFonts w:asciiTheme="majorHAnsi" w:hAnsiTheme="majorHAnsi"/>
        </w:rPr>
        <w:t xml:space="preserve">Racism: (Overt/covert) Sadly, this is still a major factor in how young people make it through the education system and into employment opportunities.  One young adult commented on the fact that they couldn’t even find entry level employment, which caused them to lose hope and become suicidal. Another young person who was employed was having a hard time and was asking for assistance and when that wasn’t forthcoming had indicated she was going to leave. They were informed that they couldn’t leave because they were their best money earner. This caused distress and they too became suicidal and then had issues with the health system as the wait list meant it was two months before they could be seen by a counsellor.  Another example which caused the team to become distressed was when a young person was faced with an employer who was going to terminate their employment because they didn’t care about the person’s background and needs, they simply wanted someone who would do the work.  The employer was not prepared to take into consideration the person’s lived experience of trauma and anxiety, or even recognise that they had it, and were quick to inform us all the things they had done wrong whilst failing to recognise they had a duty of care to them. In short, racism and isolation pose huge barriers for individuals. Also, a lack of understanding of complex trauma by agencies and employers is impacting on outcomes. </w:t>
      </w:r>
    </w:p>
    <w:p w14:paraId="4E11CA1F" w14:textId="77777777" w:rsidR="00B15A20" w:rsidRPr="00820C89" w:rsidRDefault="00B15A20" w:rsidP="00B15A20">
      <w:pPr>
        <w:rPr>
          <w:rFonts w:asciiTheme="majorHAnsi" w:hAnsiTheme="majorHAnsi"/>
        </w:rPr>
      </w:pPr>
      <w:r w:rsidRPr="00820C89">
        <w:rPr>
          <w:rFonts w:asciiTheme="majorHAnsi" w:hAnsiTheme="majorHAnsi"/>
        </w:rPr>
        <w:t xml:space="preserve">Regional Staff:   Empowering the regional staff to be more than merely contract managers will give the regions better response times, creating better relationships with community and programs with local solutions.  We heard stories from a range of different communities about ideas they had and the regional staff would send through the paperwork to Canberra, but the delay in the turnaround time meant more often than not, missed opportunities. The inflexible nature of the contracts prevented any innovation that local agencies were presenting to the regional offices. </w:t>
      </w:r>
    </w:p>
    <w:p w14:paraId="1B83DDCE" w14:textId="77777777" w:rsidR="00B15A20" w:rsidRPr="00820C89" w:rsidRDefault="00B15A20" w:rsidP="00B15A20">
      <w:pPr>
        <w:rPr>
          <w:rFonts w:asciiTheme="majorHAnsi" w:hAnsiTheme="majorHAnsi"/>
        </w:rPr>
      </w:pPr>
      <w:r w:rsidRPr="00820C89">
        <w:rPr>
          <w:rFonts w:asciiTheme="majorHAnsi" w:hAnsiTheme="majorHAnsi"/>
        </w:rPr>
        <w:t>Local Solutions:  Across the country, meaningful employment meant different things to different people.  Working with family members for some was confidence building, for others it was wanting to do something more with their lives different to their peers. The communities themselves also found ways to create successful outcomes when local leaders, Elders and entrepreneurs saw opportunities to make a difference and create local employment opportunities.  In a case in the south coast of NSW, the engagement of young people who were struggling to find employment in the small coastal town, and the older people who weren’t getting a good aged care service, both got to be the beneficiaries to good outcomes when one Elder and visionary saw an opportunity and partnered with a mainstream organisation to get different needs met.</w:t>
      </w:r>
    </w:p>
    <w:p w14:paraId="2CE0F9CF" w14:textId="77777777" w:rsidR="00B15A20" w:rsidRPr="00820C89" w:rsidRDefault="00B15A20" w:rsidP="00B15A20">
      <w:pPr>
        <w:jc w:val="right"/>
        <w:rPr>
          <w:rFonts w:asciiTheme="majorHAnsi" w:hAnsiTheme="majorHAnsi"/>
          <w:b/>
          <w:bCs/>
        </w:rPr>
      </w:pPr>
      <w:r w:rsidRPr="00820C89">
        <w:rPr>
          <w:rFonts w:asciiTheme="majorHAnsi" w:hAnsiTheme="majorHAnsi"/>
          <w:b/>
          <w:bCs/>
        </w:rPr>
        <w:t xml:space="preserve">Susan Moylan-Coombs, Founder at the Gaimaragal Group </w:t>
      </w:r>
    </w:p>
    <w:p w14:paraId="4DDC4919" w14:textId="77777777" w:rsidR="00462891" w:rsidRPr="00820C89" w:rsidRDefault="001B6007" w:rsidP="00715F70">
      <w:pPr>
        <w:pStyle w:val="Heading1"/>
        <w:numPr>
          <w:ilvl w:val="0"/>
          <w:numId w:val="54"/>
        </w:numPr>
        <w:rPr>
          <w:rFonts w:asciiTheme="majorHAnsi" w:hAnsiTheme="majorHAnsi"/>
        </w:rPr>
      </w:pPr>
      <w:bookmarkStart w:id="17" w:name="_Toc55495113"/>
      <w:bookmarkStart w:id="18" w:name="_Toc57022882"/>
      <w:bookmarkStart w:id="19" w:name="_Toc82710764"/>
      <w:bookmarkStart w:id="20" w:name="_Toc101343279"/>
      <w:bookmarkStart w:id="21" w:name="_Ref53387979"/>
      <w:bookmarkStart w:id="22" w:name="_Ref53472475"/>
      <w:bookmarkStart w:id="23" w:name="_Toc54966929"/>
      <w:r w:rsidRPr="00820C89">
        <w:rPr>
          <w:rFonts w:asciiTheme="majorHAnsi" w:hAnsiTheme="majorHAnsi"/>
        </w:rPr>
        <w:lastRenderedPageBreak/>
        <w:t>Context to the evaluation</w:t>
      </w:r>
      <w:bookmarkStart w:id="24" w:name="_Toc447626781"/>
      <w:bookmarkEnd w:id="17"/>
      <w:bookmarkEnd w:id="18"/>
      <w:bookmarkEnd w:id="19"/>
      <w:bookmarkEnd w:id="20"/>
    </w:p>
    <w:p w14:paraId="16ED2830" w14:textId="77777777" w:rsidR="004D34FF" w:rsidRPr="00820C89" w:rsidRDefault="004D34FF" w:rsidP="004D34FF">
      <w:pPr>
        <w:rPr>
          <w:rFonts w:asciiTheme="majorHAnsi" w:hAnsiTheme="majorHAnsi"/>
        </w:rPr>
      </w:pPr>
      <w:bookmarkStart w:id="25" w:name="_Hlk54359269"/>
      <w:bookmarkEnd w:id="21"/>
      <w:bookmarkEnd w:id="22"/>
      <w:bookmarkEnd w:id="23"/>
      <w:bookmarkEnd w:id="24"/>
      <w:r w:rsidRPr="00820C89">
        <w:rPr>
          <w:rFonts w:asciiTheme="majorHAnsi" w:hAnsiTheme="majorHAnsi"/>
        </w:rPr>
        <w:t xml:space="preserve">This </w:t>
      </w:r>
      <w:r w:rsidR="00412595" w:rsidRPr="00820C89">
        <w:rPr>
          <w:rFonts w:asciiTheme="majorHAnsi" w:hAnsiTheme="majorHAnsi"/>
        </w:rPr>
        <w:t>chapter</w:t>
      </w:r>
      <w:r w:rsidRPr="00820C89">
        <w:rPr>
          <w:rFonts w:asciiTheme="majorHAnsi" w:hAnsiTheme="majorHAnsi"/>
        </w:rPr>
        <w:t xml:space="preserve"> establishes the rationale for </w:t>
      </w:r>
      <w:r w:rsidR="004161AA" w:rsidRPr="00820C89">
        <w:rPr>
          <w:rFonts w:asciiTheme="majorHAnsi" w:hAnsiTheme="majorHAnsi"/>
        </w:rPr>
        <w:t xml:space="preserve">the </w:t>
      </w:r>
      <w:r w:rsidR="00F50B36" w:rsidRPr="00820C89">
        <w:rPr>
          <w:rFonts w:asciiTheme="majorHAnsi" w:hAnsiTheme="majorHAnsi"/>
        </w:rPr>
        <w:t xml:space="preserve">Commonwealth funded </w:t>
      </w:r>
      <w:r w:rsidRPr="00820C89">
        <w:rPr>
          <w:rFonts w:asciiTheme="majorHAnsi" w:hAnsiTheme="majorHAnsi"/>
        </w:rPr>
        <w:t xml:space="preserve">Indigenous </w:t>
      </w:r>
      <w:r w:rsidR="00211473" w:rsidRPr="00820C89">
        <w:rPr>
          <w:rFonts w:asciiTheme="majorHAnsi" w:hAnsiTheme="majorHAnsi"/>
        </w:rPr>
        <w:t>E</w:t>
      </w:r>
      <w:r w:rsidRPr="00820C89">
        <w:rPr>
          <w:rFonts w:asciiTheme="majorHAnsi" w:hAnsiTheme="majorHAnsi"/>
        </w:rPr>
        <w:t xml:space="preserve">mployment </w:t>
      </w:r>
      <w:r w:rsidR="00211473" w:rsidRPr="00820C89">
        <w:rPr>
          <w:rFonts w:asciiTheme="majorHAnsi" w:hAnsiTheme="majorHAnsi"/>
        </w:rPr>
        <w:t>P</w:t>
      </w:r>
      <w:r w:rsidRPr="00820C89">
        <w:rPr>
          <w:rFonts w:asciiTheme="majorHAnsi" w:hAnsiTheme="majorHAnsi"/>
        </w:rPr>
        <w:t>rograms</w:t>
      </w:r>
      <w:r w:rsidR="00343931" w:rsidRPr="00820C89">
        <w:rPr>
          <w:rFonts w:asciiTheme="majorHAnsi" w:hAnsiTheme="majorHAnsi"/>
        </w:rPr>
        <w:t xml:space="preserve"> (IEP)</w:t>
      </w:r>
      <w:r w:rsidR="00532264" w:rsidRPr="00820C89">
        <w:rPr>
          <w:rFonts w:asciiTheme="majorHAnsi" w:hAnsiTheme="majorHAnsi"/>
        </w:rPr>
        <w:t>,</w:t>
      </w:r>
      <w:r w:rsidRPr="00820C89">
        <w:rPr>
          <w:rFonts w:asciiTheme="majorHAnsi" w:hAnsiTheme="majorHAnsi"/>
        </w:rPr>
        <w:t xml:space="preserve"> provides a high</w:t>
      </w:r>
      <w:r w:rsidR="007135D9" w:rsidRPr="00820C89">
        <w:rPr>
          <w:rFonts w:asciiTheme="majorHAnsi" w:hAnsiTheme="majorHAnsi"/>
        </w:rPr>
        <w:t>-</w:t>
      </w:r>
      <w:r w:rsidRPr="00820C89">
        <w:rPr>
          <w:rFonts w:asciiTheme="majorHAnsi" w:hAnsiTheme="majorHAnsi"/>
        </w:rPr>
        <w:t>level overview of past policy responses</w:t>
      </w:r>
      <w:r w:rsidR="00532264" w:rsidRPr="00820C89">
        <w:rPr>
          <w:rFonts w:asciiTheme="majorHAnsi" w:hAnsiTheme="majorHAnsi"/>
        </w:rPr>
        <w:t xml:space="preserve"> and </w:t>
      </w:r>
      <w:r w:rsidR="00EB2DEE" w:rsidRPr="00820C89">
        <w:rPr>
          <w:rFonts w:asciiTheme="majorHAnsi" w:hAnsiTheme="majorHAnsi"/>
        </w:rPr>
        <w:t>where</w:t>
      </w:r>
      <w:r w:rsidR="00952B22" w:rsidRPr="00820C89">
        <w:rPr>
          <w:rFonts w:asciiTheme="majorHAnsi" w:hAnsiTheme="majorHAnsi"/>
        </w:rPr>
        <w:t xml:space="preserve"> </w:t>
      </w:r>
      <w:r w:rsidR="008A3DAA" w:rsidRPr="00820C89">
        <w:rPr>
          <w:rFonts w:asciiTheme="majorHAnsi" w:hAnsiTheme="majorHAnsi"/>
        </w:rPr>
        <w:t xml:space="preserve">the in-scope </w:t>
      </w:r>
      <w:r w:rsidR="00343931" w:rsidRPr="00820C89">
        <w:rPr>
          <w:rFonts w:asciiTheme="majorHAnsi" w:hAnsiTheme="majorHAnsi"/>
        </w:rPr>
        <w:t>IEP</w:t>
      </w:r>
      <w:r w:rsidR="00952B22" w:rsidRPr="00820C89">
        <w:rPr>
          <w:rFonts w:asciiTheme="majorHAnsi" w:hAnsiTheme="majorHAnsi"/>
        </w:rPr>
        <w:t xml:space="preserve"> </w:t>
      </w:r>
      <w:r w:rsidR="00EB2DEE" w:rsidRPr="00820C89">
        <w:rPr>
          <w:rFonts w:asciiTheme="majorHAnsi" w:hAnsiTheme="majorHAnsi"/>
        </w:rPr>
        <w:t xml:space="preserve">sit </w:t>
      </w:r>
      <w:r w:rsidR="00952B22" w:rsidRPr="00820C89">
        <w:rPr>
          <w:rFonts w:asciiTheme="majorHAnsi" w:hAnsiTheme="majorHAnsi"/>
        </w:rPr>
        <w:t xml:space="preserve">within the employment </w:t>
      </w:r>
      <w:r w:rsidR="00EB2DEE" w:rsidRPr="00820C89">
        <w:rPr>
          <w:rFonts w:asciiTheme="majorHAnsi" w:hAnsiTheme="majorHAnsi"/>
        </w:rPr>
        <w:t>polic</w:t>
      </w:r>
      <w:r w:rsidR="00CD1F59" w:rsidRPr="00820C89">
        <w:rPr>
          <w:rFonts w:asciiTheme="majorHAnsi" w:hAnsiTheme="majorHAnsi"/>
        </w:rPr>
        <w:t>y</w:t>
      </w:r>
      <w:r w:rsidR="000D5C36" w:rsidRPr="00820C89">
        <w:rPr>
          <w:rFonts w:asciiTheme="majorHAnsi" w:hAnsiTheme="majorHAnsi"/>
        </w:rPr>
        <w:t xml:space="preserve"> and </w:t>
      </w:r>
      <w:r w:rsidR="00CD1F59" w:rsidRPr="00820C89">
        <w:rPr>
          <w:rFonts w:asciiTheme="majorHAnsi" w:hAnsiTheme="majorHAnsi"/>
        </w:rPr>
        <w:t>program landscape</w:t>
      </w:r>
      <w:r w:rsidR="00343931" w:rsidRPr="00820C89">
        <w:rPr>
          <w:rFonts w:asciiTheme="majorHAnsi" w:hAnsiTheme="majorHAnsi"/>
        </w:rPr>
        <w:t xml:space="preserve"> as well as </w:t>
      </w:r>
      <w:r w:rsidR="00D30B2B" w:rsidRPr="00820C89">
        <w:rPr>
          <w:rFonts w:asciiTheme="majorHAnsi" w:hAnsiTheme="majorHAnsi"/>
        </w:rPr>
        <w:t>outlining</w:t>
      </w:r>
      <w:r w:rsidR="00343931" w:rsidRPr="00820C89">
        <w:rPr>
          <w:rFonts w:asciiTheme="majorHAnsi" w:hAnsiTheme="majorHAnsi"/>
        </w:rPr>
        <w:t xml:space="preserve"> the </w:t>
      </w:r>
      <w:r w:rsidR="00D30B2B" w:rsidRPr="00820C89">
        <w:rPr>
          <w:rFonts w:asciiTheme="majorHAnsi" w:hAnsiTheme="majorHAnsi"/>
        </w:rPr>
        <w:t xml:space="preserve">evaluation approach and </w:t>
      </w:r>
      <w:r w:rsidR="00343931" w:rsidRPr="00820C89">
        <w:rPr>
          <w:rFonts w:asciiTheme="majorHAnsi" w:hAnsiTheme="majorHAnsi"/>
        </w:rPr>
        <w:t>report structure.</w:t>
      </w:r>
    </w:p>
    <w:p w14:paraId="232B86B1" w14:textId="77777777" w:rsidR="00850803" w:rsidRPr="00820C89" w:rsidRDefault="00805FF8" w:rsidP="00AF083E">
      <w:pPr>
        <w:pStyle w:val="Heading2"/>
        <w:rPr>
          <w:rFonts w:asciiTheme="majorHAnsi" w:hAnsiTheme="majorHAnsi"/>
        </w:rPr>
      </w:pPr>
      <w:bookmarkStart w:id="26" w:name="_Toc55495114"/>
      <w:bookmarkStart w:id="27" w:name="_Toc57022883"/>
      <w:bookmarkStart w:id="28" w:name="_Toc82710765"/>
      <w:bookmarkStart w:id="29" w:name="_Toc101343280"/>
      <w:bookmarkStart w:id="30" w:name="_Toc54966930"/>
      <w:r w:rsidRPr="00820C89">
        <w:rPr>
          <w:rFonts w:asciiTheme="majorHAnsi" w:hAnsiTheme="majorHAnsi"/>
        </w:rPr>
        <w:t>Indigenous employment outcomes in Australia</w:t>
      </w:r>
      <w:bookmarkEnd w:id="26"/>
      <w:bookmarkEnd w:id="27"/>
      <w:bookmarkEnd w:id="28"/>
      <w:bookmarkEnd w:id="29"/>
      <w:r w:rsidR="008714A4" w:rsidRPr="00820C89">
        <w:rPr>
          <w:rFonts w:asciiTheme="majorHAnsi" w:hAnsiTheme="majorHAnsi"/>
        </w:rPr>
        <w:t xml:space="preserve"> </w:t>
      </w:r>
      <w:bookmarkEnd w:id="25"/>
      <w:bookmarkEnd w:id="30"/>
    </w:p>
    <w:p w14:paraId="57DAF231" w14:textId="77777777" w:rsidR="004752FC" w:rsidRPr="00820C89" w:rsidRDefault="0044472D" w:rsidP="0044472D">
      <w:pPr>
        <w:rPr>
          <w:rFonts w:asciiTheme="majorHAnsi" w:hAnsiTheme="majorHAnsi"/>
        </w:rPr>
      </w:pPr>
      <w:r w:rsidRPr="00820C89">
        <w:rPr>
          <w:rFonts w:asciiTheme="majorHAnsi" w:hAnsiTheme="majorHAnsi"/>
        </w:rPr>
        <w:t>When it comes to traditional employment outcomes, Indigenous Australians are among the most disadvantaged groups within Australian society. Sources of this disadvantage are numerous and systemic</w:t>
      </w:r>
      <w:r w:rsidR="00766FFA" w:rsidRPr="00820C89">
        <w:rPr>
          <w:rFonts w:asciiTheme="majorHAnsi" w:hAnsiTheme="majorHAnsi"/>
        </w:rPr>
        <w:t xml:space="preserve">. </w:t>
      </w:r>
      <w:r w:rsidR="00644535" w:rsidRPr="00820C89">
        <w:rPr>
          <w:rFonts w:asciiTheme="majorHAnsi" w:hAnsiTheme="majorHAnsi"/>
        </w:rPr>
        <w:t xml:space="preserve">Indeed </w:t>
      </w:r>
      <w:r w:rsidR="005B3AAC" w:rsidRPr="00820C89">
        <w:rPr>
          <w:rFonts w:asciiTheme="majorHAnsi" w:hAnsiTheme="majorHAnsi"/>
        </w:rPr>
        <w:t>a ‘systems theoretical’ approach</w:t>
      </w:r>
      <w:r w:rsidR="0073284E" w:rsidRPr="00820C89">
        <w:rPr>
          <w:rFonts w:asciiTheme="majorHAnsi" w:hAnsiTheme="majorHAnsi"/>
        </w:rPr>
        <w:t xml:space="preserve"> that </w:t>
      </w:r>
      <w:r w:rsidR="00956B21" w:rsidRPr="00820C89">
        <w:rPr>
          <w:rFonts w:asciiTheme="majorHAnsi" w:hAnsiTheme="majorHAnsi"/>
        </w:rPr>
        <w:t xml:space="preserve">allows us to recognise </w:t>
      </w:r>
      <w:r w:rsidR="00145B7E" w:rsidRPr="00820C89">
        <w:rPr>
          <w:rFonts w:asciiTheme="majorHAnsi" w:hAnsiTheme="majorHAnsi"/>
        </w:rPr>
        <w:t>the</w:t>
      </w:r>
      <w:r w:rsidR="005B3AAC" w:rsidRPr="00820C89">
        <w:rPr>
          <w:rFonts w:asciiTheme="majorHAnsi" w:hAnsiTheme="majorHAnsi"/>
        </w:rPr>
        <w:t xml:space="preserve"> </w:t>
      </w:r>
      <w:r w:rsidR="000265E7" w:rsidRPr="00820C89">
        <w:rPr>
          <w:rFonts w:asciiTheme="majorHAnsi" w:hAnsiTheme="majorHAnsi"/>
        </w:rPr>
        <w:t>complexity of the context and the system itself</w:t>
      </w:r>
      <w:r w:rsidR="00F91D1B" w:rsidRPr="00820C89">
        <w:rPr>
          <w:rFonts w:asciiTheme="majorHAnsi" w:hAnsiTheme="majorHAnsi"/>
        </w:rPr>
        <w:t xml:space="preserve"> proves a </w:t>
      </w:r>
      <w:r w:rsidR="005B3AAC" w:rsidRPr="00820C89">
        <w:rPr>
          <w:rFonts w:asciiTheme="majorHAnsi" w:hAnsiTheme="majorHAnsi"/>
        </w:rPr>
        <w:t xml:space="preserve">most useful way to </w:t>
      </w:r>
      <w:r w:rsidR="00145B7E" w:rsidRPr="00820C89">
        <w:rPr>
          <w:rFonts w:asciiTheme="majorHAnsi" w:hAnsiTheme="majorHAnsi"/>
        </w:rPr>
        <w:t>understand</w:t>
      </w:r>
      <w:r w:rsidR="005B3AAC" w:rsidRPr="00820C89">
        <w:rPr>
          <w:rFonts w:asciiTheme="majorHAnsi" w:hAnsiTheme="majorHAnsi"/>
        </w:rPr>
        <w:t xml:space="preserve"> the </w:t>
      </w:r>
      <w:r w:rsidR="00145B7E" w:rsidRPr="00820C89">
        <w:rPr>
          <w:rFonts w:asciiTheme="majorHAnsi" w:hAnsiTheme="majorHAnsi"/>
        </w:rPr>
        <w:t>complex intersections between unemployment and Indigenous experience</w:t>
      </w:r>
      <w:r w:rsidR="00141076" w:rsidRPr="00820C89">
        <w:rPr>
          <w:rFonts w:asciiTheme="majorHAnsi" w:hAnsiTheme="majorHAnsi"/>
        </w:rPr>
        <w:t xml:space="preserve">. </w:t>
      </w:r>
    </w:p>
    <w:p w14:paraId="058A1CFE" w14:textId="77777777" w:rsidR="0044472D" w:rsidRPr="00820C89" w:rsidRDefault="00141076" w:rsidP="0044472D">
      <w:pPr>
        <w:rPr>
          <w:rFonts w:asciiTheme="majorHAnsi" w:hAnsiTheme="majorHAnsi"/>
        </w:rPr>
      </w:pPr>
      <w:r w:rsidRPr="00820C89">
        <w:rPr>
          <w:rFonts w:asciiTheme="majorHAnsi" w:hAnsiTheme="majorHAnsi"/>
        </w:rPr>
        <w:t>Rather than traditional perspectives of work motivation</w:t>
      </w:r>
      <w:r w:rsidR="00BC5A14" w:rsidRPr="00820C89">
        <w:rPr>
          <w:rFonts w:asciiTheme="majorHAnsi" w:hAnsiTheme="majorHAnsi"/>
        </w:rPr>
        <w:t xml:space="preserve"> and supply and demand </w:t>
      </w:r>
      <w:r w:rsidR="004E0FC3" w:rsidRPr="00820C89">
        <w:rPr>
          <w:rFonts w:asciiTheme="majorHAnsi" w:hAnsiTheme="majorHAnsi"/>
        </w:rPr>
        <w:t>levers</w:t>
      </w:r>
      <w:r w:rsidR="001D32C8" w:rsidRPr="00820C89">
        <w:rPr>
          <w:rFonts w:asciiTheme="majorHAnsi" w:hAnsiTheme="majorHAnsi"/>
        </w:rPr>
        <w:t xml:space="preserve">, systems theory </w:t>
      </w:r>
      <w:r w:rsidR="00F91D1B" w:rsidRPr="00820C89">
        <w:rPr>
          <w:rFonts w:asciiTheme="majorHAnsi" w:hAnsiTheme="majorHAnsi"/>
        </w:rPr>
        <w:t>is well established</w:t>
      </w:r>
      <w:r w:rsidR="007F69A6" w:rsidRPr="00820C89">
        <w:rPr>
          <w:rStyle w:val="FootnoteReference"/>
          <w:rFonts w:asciiTheme="majorHAnsi" w:hAnsiTheme="majorHAnsi"/>
        </w:rPr>
        <w:footnoteReference w:id="16"/>
      </w:r>
      <w:r w:rsidR="00F91D1B" w:rsidRPr="00820C89">
        <w:rPr>
          <w:rFonts w:asciiTheme="majorHAnsi" w:hAnsiTheme="majorHAnsi"/>
        </w:rPr>
        <w:t xml:space="preserve"> </w:t>
      </w:r>
      <w:r w:rsidR="001C7AAC" w:rsidRPr="00820C89">
        <w:rPr>
          <w:rFonts w:asciiTheme="majorHAnsi" w:hAnsiTheme="majorHAnsi"/>
        </w:rPr>
        <w:t>in recognising that</w:t>
      </w:r>
      <w:r w:rsidR="00175F54" w:rsidRPr="00820C89">
        <w:rPr>
          <w:rFonts w:asciiTheme="majorHAnsi" w:hAnsiTheme="majorHAnsi"/>
        </w:rPr>
        <w:t xml:space="preserve"> </w:t>
      </w:r>
      <w:r w:rsidR="001C7AAC" w:rsidRPr="00820C89">
        <w:rPr>
          <w:rFonts w:asciiTheme="majorHAnsi" w:hAnsiTheme="majorHAnsi"/>
        </w:rPr>
        <w:t>systems are a ‘whole’ where every element</w:t>
      </w:r>
      <w:r w:rsidR="00175F54" w:rsidRPr="00820C89">
        <w:rPr>
          <w:rFonts w:asciiTheme="majorHAnsi" w:hAnsiTheme="majorHAnsi"/>
        </w:rPr>
        <w:t xml:space="preserve"> </w:t>
      </w:r>
      <w:r w:rsidR="001C7AAC" w:rsidRPr="00820C89">
        <w:rPr>
          <w:rFonts w:asciiTheme="majorHAnsi" w:hAnsiTheme="majorHAnsi"/>
        </w:rPr>
        <w:t>plays a vital part in either the wholeness of that system or its decay.</w:t>
      </w:r>
      <w:r w:rsidR="00864911" w:rsidRPr="00820C89">
        <w:rPr>
          <w:rFonts w:asciiTheme="majorHAnsi" w:hAnsiTheme="majorHAnsi"/>
        </w:rPr>
        <w:t xml:space="preserve"> In</w:t>
      </w:r>
      <w:r w:rsidR="00C64394" w:rsidRPr="00820C89">
        <w:rPr>
          <w:rFonts w:asciiTheme="majorHAnsi" w:hAnsiTheme="majorHAnsi"/>
        </w:rPr>
        <w:t xml:space="preserve"> this way In</w:t>
      </w:r>
      <w:r w:rsidR="00864911" w:rsidRPr="00820C89">
        <w:rPr>
          <w:rFonts w:asciiTheme="majorHAnsi" w:hAnsiTheme="majorHAnsi"/>
        </w:rPr>
        <w:t xml:space="preserve">digenous experience of unemployment is a </w:t>
      </w:r>
      <w:r w:rsidR="007F0CE8" w:rsidRPr="00820C89">
        <w:rPr>
          <w:rFonts w:asciiTheme="majorHAnsi" w:hAnsiTheme="majorHAnsi"/>
        </w:rPr>
        <w:t>microcosm of the Indigenous experience of Australia</w:t>
      </w:r>
      <w:r w:rsidR="00C64394" w:rsidRPr="00820C89">
        <w:rPr>
          <w:rFonts w:asciiTheme="majorHAnsi" w:hAnsiTheme="majorHAnsi"/>
        </w:rPr>
        <w:t xml:space="preserve"> as a system</w:t>
      </w:r>
      <w:r w:rsidR="007F0CE8" w:rsidRPr="00820C89">
        <w:rPr>
          <w:rFonts w:asciiTheme="majorHAnsi" w:hAnsiTheme="majorHAnsi"/>
        </w:rPr>
        <w:t xml:space="preserve">, where policies </w:t>
      </w:r>
      <w:r w:rsidR="00C64394" w:rsidRPr="00820C89">
        <w:rPr>
          <w:rFonts w:asciiTheme="majorHAnsi" w:hAnsiTheme="majorHAnsi"/>
        </w:rPr>
        <w:t>of encouragement and incentiv</w:t>
      </w:r>
      <w:r w:rsidR="00B4718D" w:rsidRPr="00820C89">
        <w:rPr>
          <w:rFonts w:asciiTheme="majorHAnsi" w:hAnsiTheme="majorHAnsi"/>
        </w:rPr>
        <w:t xml:space="preserve">isation to </w:t>
      </w:r>
      <w:r w:rsidR="00C64394" w:rsidRPr="00820C89">
        <w:rPr>
          <w:rFonts w:asciiTheme="majorHAnsi" w:hAnsiTheme="majorHAnsi"/>
        </w:rPr>
        <w:t>wo</w:t>
      </w:r>
      <w:r w:rsidR="00B4718D" w:rsidRPr="00820C89">
        <w:rPr>
          <w:rFonts w:asciiTheme="majorHAnsi" w:hAnsiTheme="majorHAnsi"/>
        </w:rPr>
        <w:t>r</w:t>
      </w:r>
      <w:r w:rsidR="00C64394" w:rsidRPr="00820C89">
        <w:rPr>
          <w:rFonts w:asciiTheme="majorHAnsi" w:hAnsiTheme="majorHAnsi"/>
        </w:rPr>
        <w:t>k</w:t>
      </w:r>
      <w:r w:rsidR="006255CD" w:rsidRPr="00820C89">
        <w:rPr>
          <w:rFonts w:asciiTheme="majorHAnsi" w:hAnsiTheme="majorHAnsi"/>
        </w:rPr>
        <w:t>,</w:t>
      </w:r>
      <w:r w:rsidR="00C64394" w:rsidRPr="00820C89">
        <w:rPr>
          <w:rFonts w:asciiTheme="majorHAnsi" w:hAnsiTheme="majorHAnsi"/>
        </w:rPr>
        <w:t xml:space="preserve"> need to also be held in </w:t>
      </w:r>
      <w:r w:rsidR="000D6041" w:rsidRPr="00820C89">
        <w:rPr>
          <w:rFonts w:asciiTheme="majorHAnsi" w:hAnsiTheme="majorHAnsi"/>
        </w:rPr>
        <w:t xml:space="preserve">the same </w:t>
      </w:r>
      <w:r w:rsidR="00B4718D" w:rsidRPr="00820C89">
        <w:rPr>
          <w:rFonts w:asciiTheme="majorHAnsi" w:hAnsiTheme="majorHAnsi"/>
        </w:rPr>
        <w:t xml:space="preserve">context with </w:t>
      </w:r>
      <w:r w:rsidR="00650D49" w:rsidRPr="00820C89">
        <w:rPr>
          <w:rFonts w:asciiTheme="majorHAnsi" w:hAnsiTheme="majorHAnsi"/>
        </w:rPr>
        <w:t xml:space="preserve">practices </w:t>
      </w:r>
      <w:r w:rsidR="0044472D" w:rsidRPr="00820C89">
        <w:rPr>
          <w:rFonts w:asciiTheme="majorHAnsi" w:hAnsiTheme="majorHAnsi"/>
        </w:rPr>
        <w:t xml:space="preserve">of discrimination and </w:t>
      </w:r>
      <w:r w:rsidR="00CE598D" w:rsidRPr="00820C89">
        <w:rPr>
          <w:rFonts w:asciiTheme="majorHAnsi" w:hAnsiTheme="majorHAnsi"/>
        </w:rPr>
        <w:t xml:space="preserve">policy </w:t>
      </w:r>
      <w:r w:rsidR="00702AB0" w:rsidRPr="00820C89">
        <w:rPr>
          <w:rFonts w:asciiTheme="majorHAnsi" w:hAnsiTheme="majorHAnsi"/>
        </w:rPr>
        <w:t xml:space="preserve">perspectives that continue to </w:t>
      </w:r>
      <w:r w:rsidR="003665E4" w:rsidRPr="00820C89">
        <w:rPr>
          <w:rFonts w:asciiTheme="majorHAnsi" w:hAnsiTheme="majorHAnsi"/>
        </w:rPr>
        <w:t xml:space="preserve">support </w:t>
      </w:r>
      <w:r w:rsidR="0044472D" w:rsidRPr="00820C89">
        <w:rPr>
          <w:rFonts w:asciiTheme="majorHAnsi" w:hAnsiTheme="majorHAnsi"/>
        </w:rPr>
        <w:t xml:space="preserve">the ongoing removal of Indigenous children. </w:t>
      </w:r>
    </w:p>
    <w:p w14:paraId="1E86F1ED" w14:textId="77777777" w:rsidR="000D6041" w:rsidRPr="00820C89" w:rsidRDefault="000D6041" w:rsidP="00597CDF">
      <w:pPr>
        <w:ind w:left="426" w:right="662"/>
        <w:rPr>
          <w:rFonts w:eastAsia="+mn-ea" w:cs="+mn-cs"/>
          <w:i/>
          <w:color w:val="000000"/>
          <w:kern w:val="24"/>
          <w:sz w:val="19"/>
          <w:szCs w:val="19"/>
          <w:lang w:eastAsia="en-AU"/>
        </w:rPr>
      </w:pPr>
      <w:bookmarkStart w:id="31" w:name="_Hlk73888833"/>
      <w:r w:rsidRPr="00820C89">
        <w:rPr>
          <w:rFonts w:eastAsia="+mn-ea" w:cs="+mn-cs"/>
          <w:i/>
          <w:iCs/>
          <w:color w:val="000000"/>
          <w:kern w:val="24"/>
          <w:sz w:val="19"/>
          <w:szCs w:val="19"/>
          <w:lang w:eastAsia="en-AU"/>
        </w:rPr>
        <w:t xml:space="preserve">The </w:t>
      </w:r>
      <w:r w:rsidR="003A2972" w:rsidRPr="00820C89">
        <w:rPr>
          <w:rFonts w:eastAsia="+mn-ea" w:cs="+mn-cs"/>
          <w:i/>
          <w:iCs/>
          <w:color w:val="000000"/>
          <w:kern w:val="24"/>
          <w:sz w:val="19"/>
          <w:szCs w:val="19"/>
          <w:lang w:eastAsia="en-AU"/>
        </w:rPr>
        <w:t>p</w:t>
      </w:r>
      <w:r w:rsidR="003A2972" w:rsidRPr="00820C89">
        <w:rPr>
          <w:rFonts w:eastAsia="+mn-ea" w:cs="+mn-cs"/>
          <w:i/>
          <w:color w:val="000000"/>
          <w:kern w:val="24"/>
          <w:sz w:val="19"/>
          <w:szCs w:val="19"/>
          <w:lang w:eastAsia="en-AU"/>
        </w:rPr>
        <w:t xml:space="preserve">ast practices and policies </w:t>
      </w:r>
      <w:r w:rsidR="003A2972" w:rsidRPr="00820C89">
        <w:rPr>
          <w:rFonts w:eastAsia="+mn-ea" w:cs="+mn-cs"/>
          <w:i/>
          <w:iCs/>
          <w:color w:val="000000"/>
          <w:kern w:val="24"/>
          <w:sz w:val="19"/>
          <w:szCs w:val="19"/>
          <w:lang w:eastAsia="en-AU"/>
        </w:rPr>
        <w:t xml:space="preserve">of Australian governments </w:t>
      </w:r>
      <w:r w:rsidR="00C9201C" w:rsidRPr="00820C89">
        <w:rPr>
          <w:rFonts w:eastAsia="+mn-ea" w:cs="+mn-cs"/>
          <w:i/>
          <w:iCs/>
          <w:color w:val="000000"/>
          <w:kern w:val="24"/>
          <w:sz w:val="19"/>
          <w:szCs w:val="19"/>
          <w:lang w:eastAsia="en-AU"/>
        </w:rPr>
        <w:t>ripple through current community. No matter the intention</w:t>
      </w:r>
      <w:r w:rsidR="00B8131F" w:rsidRPr="00820C89">
        <w:rPr>
          <w:rFonts w:eastAsia="+mn-ea" w:cs="+mn-cs"/>
          <w:i/>
          <w:iCs/>
          <w:color w:val="000000"/>
          <w:kern w:val="24"/>
          <w:sz w:val="19"/>
          <w:szCs w:val="19"/>
          <w:lang w:eastAsia="en-AU"/>
        </w:rPr>
        <w:t xml:space="preserve"> of those actions, the</w:t>
      </w:r>
      <w:r w:rsidR="00C9201C" w:rsidRPr="00820C89">
        <w:rPr>
          <w:rFonts w:eastAsia="+mn-ea" w:cs="+mn-cs"/>
          <w:i/>
          <w:iCs/>
          <w:color w:val="000000"/>
          <w:kern w:val="24"/>
          <w:sz w:val="19"/>
          <w:szCs w:val="19"/>
          <w:lang w:eastAsia="en-AU"/>
        </w:rPr>
        <w:t xml:space="preserve"> past </w:t>
      </w:r>
      <w:r w:rsidRPr="00820C89">
        <w:rPr>
          <w:rFonts w:eastAsia="+mn-ea" w:cs="+mn-cs"/>
          <w:i/>
          <w:iCs/>
          <w:color w:val="000000"/>
          <w:kern w:val="24"/>
          <w:sz w:val="19"/>
          <w:szCs w:val="19"/>
          <w:lang w:eastAsia="en-AU"/>
        </w:rPr>
        <w:t xml:space="preserve">affects the relationship we, as Aboriginal and Torres Strait Islander people, and </w:t>
      </w:r>
      <w:r w:rsidR="00B8131F" w:rsidRPr="00820C89">
        <w:rPr>
          <w:rFonts w:eastAsia="+mn-ea" w:cs="+mn-cs"/>
          <w:i/>
          <w:iCs/>
          <w:color w:val="000000"/>
          <w:kern w:val="24"/>
          <w:sz w:val="19"/>
          <w:szCs w:val="19"/>
          <w:lang w:eastAsia="en-AU"/>
        </w:rPr>
        <w:t>truthfully</w:t>
      </w:r>
      <w:r w:rsidRPr="00820C89">
        <w:rPr>
          <w:rFonts w:eastAsia="+mn-ea" w:cs="+mn-cs"/>
          <w:i/>
          <w:iCs/>
          <w:color w:val="000000"/>
          <w:kern w:val="24"/>
          <w:sz w:val="19"/>
          <w:szCs w:val="19"/>
          <w:lang w:eastAsia="en-AU"/>
        </w:rPr>
        <w:t xml:space="preserve"> every citizen, has with policy motivations and political priorities. The </w:t>
      </w:r>
      <w:r w:rsidR="009D6687" w:rsidRPr="00820C89">
        <w:rPr>
          <w:rFonts w:eastAsia="+mn-ea" w:cs="+mn-cs"/>
          <w:i/>
          <w:iCs/>
          <w:color w:val="000000"/>
          <w:kern w:val="24"/>
          <w:sz w:val="19"/>
          <w:szCs w:val="19"/>
          <w:lang w:eastAsia="en-AU"/>
        </w:rPr>
        <w:t xml:space="preserve">past </w:t>
      </w:r>
      <w:r w:rsidR="00F560F3" w:rsidRPr="00820C89">
        <w:rPr>
          <w:rFonts w:eastAsia="+mn-ea" w:cs="+mn-cs"/>
          <w:i/>
          <w:iCs/>
          <w:color w:val="000000"/>
          <w:kern w:val="24"/>
          <w:sz w:val="19"/>
          <w:szCs w:val="19"/>
          <w:lang w:eastAsia="en-AU"/>
        </w:rPr>
        <w:t>stories still haunt dinner table</w:t>
      </w:r>
      <w:r w:rsidR="00F51B93" w:rsidRPr="00820C89">
        <w:rPr>
          <w:rFonts w:eastAsia="+mn-ea" w:cs="+mn-cs"/>
          <w:i/>
          <w:iCs/>
          <w:color w:val="000000"/>
          <w:kern w:val="24"/>
          <w:sz w:val="19"/>
          <w:szCs w:val="19"/>
          <w:lang w:eastAsia="en-AU"/>
        </w:rPr>
        <w:t>s</w:t>
      </w:r>
      <w:r w:rsidR="00F560F3" w:rsidRPr="00820C89">
        <w:rPr>
          <w:rFonts w:eastAsia="+mn-ea" w:cs="+mn-cs"/>
          <w:i/>
          <w:iCs/>
          <w:color w:val="000000"/>
          <w:kern w:val="24"/>
          <w:sz w:val="19"/>
          <w:szCs w:val="19"/>
          <w:lang w:eastAsia="en-AU"/>
        </w:rPr>
        <w:t xml:space="preserve"> and </w:t>
      </w:r>
      <w:r w:rsidR="00AD0EA9" w:rsidRPr="00820C89">
        <w:rPr>
          <w:rFonts w:eastAsia="+mn-ea" w:cs="+mn-cs"/>
          <w:i/>
          <w:iCs/>
          <w:color w:val="000000"/>
          <w:kern w:val="24"/>
          <w:sz w:val="19"/>
          <w:szCs w:val="19"/>
          <w:lang w:eastAsia="en-AU"/>
        </w:rPr>
        <w:t xml:space="preserve">the </w:t>
      </w:r>
      <w:r w:rsidR="009D6687" w:rsidRPr="00820C89">
        <w:rPr>
          <w:rFonts w:eastAsia="+mn-ea" w:cs="+mn-cs"/>
          <w:i/>
          <w:iCs/>
          <w:color w:val="000000"/>
          <w:kern w:val="24"/>
          <w:sz w:val="19"/>
          <w:szCs w:val="19"/>
          <w:lang w:eastAsia="en-AU"/>
        </w:rPr>
        <w:t xml:space="preserve">present </w:t>
      </w:r>
      <w:r w:rsidRPr="00820C89">
        <w:rPr>
          <w:rFonts w:eastAsia="+mn-ea" w:cs="+mn-cs"/>
          <w:i/>
          <w:iCs/>
          <w:color w:val="000000"/>
          <w:kern w:val="24"/>
          <w:sz w:val="19"/>
          <w:szCs w:val="19"/>
          <w:lang w:eastAsia="en-AU"/>
        </w:rPr>
        <w:t xml:space="preserve">evidence of ongoing removal of children from their families </w:t>
      </w:r>
      <w:r w:rsidR="00AD0EA9" w:rsidRPr="00820C89">
        <w:rPr>
          <w:rFonts w:eastAsia="+mn-ea" w:cs="+mn-cs"/>
          <w:i/>
          <w:iCs/>
          <w:color w:val="000000"/>
          <w:kern w:val="24"/>
          <w:sz w:val="19"/>
          <w:szCs w:val="19"/>
          <w:lang w:eastAsia="en-AU"/>
        </w:rPr>
        <w:t xml:space="preserve">or Aboriginal deaths in custody </w:t>
      </w:r>
      <w:r w:rsidR="006E5562" w:rsidRPr="00820C89">
        <w:rPr>
          <w:rFonts w:eastAsia="+mn-ea" w:cs="+mn-cs"/>
          <w:i/>
          <w:iCs/>
          <w:color w:val="000000"/>
          <w:kern w:val="24"/>
          <w:sz w:val="19"/>
          <w:szCs w:val="19"/>
          <w:lang w:eastAsia="en-AU"/>
        </w:rPr>
        <w:t xml:space="preserve">are </w:t>
      </w:r>
      <w:r w:rsidR="003F4E89" w:rsidRPr="00820C89">
        <w:rPr>
          <w:rFonts w:eastAsia="+mn-ea" w:cs="+mn-cs"/>
          <w:i/>
          <w:iCs/>
          <w:color w:val="000000"/>
          <w:kern w:val="24"/>
          <w:sz w:val="19"/>
          <w:szCs w:val="19"/>
          <w:lang w:eastAsia="en-AU"/>
        </w:rPr>
        <w:t>contin</w:t>
      </w:r>
      <w:r w:rsidR="006E5562" w:rsidRPr="00820C89">
        <w:rPr>
          <w:rFonts w:eastAsia="+mn-ea" w:cs="+mn-cs"/>
          <w:i/>
          <w:iCs/>
          <w:color w:val="000000"/>
          <w:kern w:val="24"/>
          <w:sz w:val="19"/>
          <w:szCs w:val="19"/>
          <w:lang w:eastAsia="en-AU"/>
        </w:rPr>
        <w:t xml:space="preserve">uing </w:t>
      </w:r>
      <w:r w:rsidR="00BA6F25" w:rsidRPr="00820C89">
        <w:rPr>
          <w:rFonts w:eastAsia="+mn-ea" w:cs="+mn-cs"/>
          <w:i/>
          <w:iCs/>
          <w:color w:val="000000"/>
          <w:kern w:val="24"/>
          <w:sz w:val="19"/>
          <w:szCs w:val="19"/>
          <w:lang w:eastAsia="en-AU"/>
        </w:rPr>
        <w:t xml:space="preserve">pebbles </w:t>
      </w:r>
      <w:r w:rsidR="0042680B" w:rsidRPr="00820C89">
        <w:rPr>
          <w:rFonts w:eastAsia="+mn-ea" w:cs="+mn-cs"/>
          <w:i/>
          <w:iCs/>
          <w:color w:val="000000"/>
          <w:kern w:val="24"/>
          <w:sz w:val="19"/>
          <w:szCs w:val="19"/>
          <w:lang w:eastAsia="en-AU"/>
        </w:rPr>
        <w:t>with</w:t>
      </w:r>
      <w:r w:rsidR="006E5562" w:rsidRPr="00820C89">
        <w:rPr>
          <w:rFonts w:eastAsia="+mn-ea" w:cs="+mn-cs"/>
          <w:i/>
          <w:iCs/>
          <w:color w:val="000000"/>
          <w:kern w:val="24"/>
          <w:sz w:val="19"/>
          <w:szCs w:val="19"/>
          <w:lang w:eastAsia="en-AU"/>
        </w:rPr>
        <w:t xml:space="preserve"> ever </w:t>
      </w:r>
      <w:r w:rsidR="0042680B" w:rsidRPr="00820C89">
        <w:rPr>
          <w:rFonts w:eastAsia="+mn-ea" w:cs="+mn-cs"/>
          <w:i/>
          <w:iCs/>
          <w:color w:val="000000"/>
          <w:kern w:val="24"/>
          <w:sz w:val="19"/>
          <w:szCs w:val="19"/>
          <w:lang w:eastAsia="en-AU"/>
        </w:rPr>
        <w:t xml:space="preserve">expanding </w:t>
      </w:r>
      <w:r w:rsidRPr="00820C89">
        <w:rPr>
          <w:rFonts w:eastAsia="+mn-ea" w:cs="+mn-cs"/>
          <w:i/>
          <w:iCs/>
          <w:color w:val="000000"/>
          <w:kern w:val="24"/>
          <w:sz w:val="19"/>
          <w:szCs w:val="19"/>
          <w:lang w:eastAsia="en-AU"/>
        </w:rPr>
        <w:t>ripples.”</w:t>
      </w:r>
    </w:p>
    <w:p w14:paraId="39FBC6AC" w14:textId="77777777" w:rsidR="00ED5579" w:rsidRPr="00820C89" w:rsidRDefault="000D6041">
      <w:pPr>
        <w:spacing w:after="0" w:line="240" w:lineRule="auto"/>
        <w:ind w:right="662"/>
        <w:jc w:val="right"/>
        <w:rPr>
          <w:rFonts w:eastAsia="+mn-ea" w:cs="+mn-cs"/>
          <w:b/>
          <w:bCs/>
          <w:i/>
          <w:iCs/>
          <w:color w:val="000000"/>
          <w:kern w:val="24"/>
          <w:sz w:val="19"/>
          <w:szCs w:val="19"/>
          <w:lang w:eastAsia="en-AU"/>
        </w:rPr>
      </w:pPr>
      <w:r w:rsidRPr="00820C89">
        <w:rPr>
          <w:rFonts w:eastAsia="+mn-ea" w:cs="+mn-cs"/>
          <w:b/>
          <w:bCs/>
          <w:i/>
          <w:iCs/>
          <w:color w:val="000000"/>
          <w:kern w:val="24"/>
          <w:sz w:val="19"/>
          <w:szCs w:val="19"/>
          <w:lang w:eastAsia="en-AU"/>
        </w:rPr>
        <w:t>Professor Deen Sanders OAM</w:t>
      </w:r>
    </w:p>
    <w:p w14:paraId="0B018975" w14:textId="77777777" w:rsidR="0042680B" w:rsidRPr="00820C89" w:rsidRDefault="0042680B" w:rsidP="00597CDF">
      <w:pPr>
        <w:spacing w:after="0" w:line="240" w:lineRule="auto"/>
        <w:ind w:right="662"/>
        <w:jc w:val="right"/>
        <w:rPr>
          <w:rFonts w:ascii="Times New Roman" w:eastAsia="Times New Roman" w:hAnsi="Times New Roman" w:cs="Times New Roman"/>
          <w:sz w:val="22"/>
          <w:szCs w:val="22"/>
          <w:lang w:eastAsia="en-AU"/>
        </w:rPr>
      </w:pPr>
      <w:r w:rsidRPr="00820C89">
        <w:rPr>
          <w:rFonts w:eastAsia="+mn-ea" w:cs="+mn-cs"/>
          <w:i/>
          <w:color w:val="000000"/>
          <w:kern w:val="24"/>
          <w:szCs w:val="17"/>
          <w:lang w:eastAsia="en-AU"/>
        </w:rPr>
        <w:t>(Deloitte Partner</w:t>
      </w:r>
      <w:r w:rsidR="00DC24DA" w:rsidRPr="00820C89">
        <w:rPr>
          <w:rFonts w:eastAsia="+mn-ea" w:cs="+mn-cs"/>
          <w:i/>
          <w:color w:val="000000"/>
          <w:kern w:val="24"/>
          <w:szCs w:val="17"/>
          <w:lang w:eastAsia="en-AU"/>
        </w:rPr>
        <w:t xml:space="preserve"> and Worimi man)</w:t>
      </w:r>
    </w:p>
    <w:bookmarkEnd w:id="31"/>
    <w:p w14:paraId="5503003B" w14:textId="77777777" w:rsidR="0044472D" w:rsidRPr="00820C89" w:rsidRDefault="0044472D" w:rsidP="00B50A60">
      <w:pPr>
        <w:spacing w:before="100" w:beforeAutospacing="1" w:after="160" w:line="259" w:lineRule="auto"/>
        <w:rPr>
          <w:rFonts w:asciiTheme="majorHAnsi" w:eastAsia="Calibri" w:hAnsiTheme="majorHAnsi" w:cs="Times New Roman"/>
          <w:color w:val="000000"/>
        </w:rPr>
      </w:pPr>
      <w:r w:rsidRPr="00820C89">
        <w:rPr>
          <w:rFonts w:asciiTheme="majorHAnsi" w:eastAsia="Calibri" w:hAnsiTheme="majorHAnsi" w:cs="Times New Roman"/>
          <w:color w:val="000000"/>
        </w:rPr>
        <w:t xml:space="preserve">For these reasons, Indigenous unemployment rates have persistently remained above the national </w:t>
      </w:r>
      <w:r w:rsidRPr="001A629A">
        <w:rPr>
          <w:rFonts w:asciiTheme="majorHAnsi" w:eastAsia="Calibri" w:hAnsiTheme="majorHAnsi" w:cs="Times New Roman"/>
          <w:color w:val="000000"/>
        </w:rPr>
        <w:t>average. ABS census data, presented in Chart 1.1 below, suggests that high levels of Indigenous unemployment have remained close to triple that of non-Indigenous Australians for the past 20 years. More contemporary</w:t>
      </w:r>
      <w:r w:rsidRPr="00820C89">
        <w:rPr>
          <w:rFonts w:asciiTheme="majorHAnsi" w:eastAsia="Calibri" w:hAnsiTheme="majorHAnsi" w:cs="Times New Roman"/>
          <w:color w:val="000000"/>
        </w:rPr>
        <w:t xml:space="preserve"> data from the National Aboriginal and Torres Strait Islander Health Survey (NATSIHS) suggests that in 2018/19 Indigenous unemployment rates remained at 18 percent.</w:t>
      </w:r>
      <w:r w:rsidRPr="00820C89">
        <w:rPr>
          <w:rFonts w:asciiTheme="majorHAnsi" w:eastAsia="Calibri" w:hAnsiTheme="majorHAnsi" w:cs="Times New Roman"/>
          <w:color w:val="000000"/>
          <w:vertAlign w:val="superscript"/>
        </w:rPr>
        <w:footnoteReference w:id="17"/>
      </w:r>
    </w:p>
    <w:p w14:paraId="6F2CB025" w14:textId="77777777" w:rsidR="00D13D56" w:rsidRPr="001A629A" w:rsidRDefault="001B1D4E" w:rsidP="00085430">
      <w:pPr>
        <w:pStyle w:val="CaptionChart"/>
        <w:rPr>
          <w:rFonts w:asciiTheme="majorHAnsi" w:hAnsiTheme="majorHAnsi"/>
        </w:rPr>
      </w:pPr>
      <w:r w:rsidRPr="001A629A">
        <w:rPr>
          <w:rFonts w:asciiTheme="majorHAnsi" w:hAnsiTheme="majorHAnsi"/>
        </w:rPr>
        <w:lastRenderedPageBreak/>
        <w:t>:</w:t>
      </w:r>
      <w:r w:rsidR="008F0B8C" w:rsidRPr="001A629A">
        <w:rPr>
          <w:rFonts w:asciiTheme="majorHAnsi" w:hAnsiTheme="majorHAnsi"/>
        </w:rPr>
        <w:t xml:space="preserve"> Time-series of Indigenous </w:t>
      </w:r>
      <w:r w:rsidR="00D13D56" w:rsidRPr="001A629A">
        <w:rPr>
          <w:rFonts w:asciiTheme="majorHAnsi" w:hAnsiTheme="majorHAnsi"/>
        </w:rPr>
        <w:t xml:space="preserve">and overall </w:t>
      </w:r>
      <w:r w:rsidR="003D0B55" w:rsidRPr="001A629A">
        <w:rPr>
          <w:rFonts w:asciiTheme="majorHAnsi" w:hAnsiTheme="majorHAnsi"/>
        </w:rPr>
        <w:t>unemployment rates in Australia</w:t>
      </w:r>
    </w:p>
    <w:p w14:paraId="206E7E0B" w14:textId="77777777" w:rsidR="00085430" w:rsidRPr="00820C89" w:rsidRDefault="00085430" w:rsidP="00085430">
      <w:pPr>
        <w:rPr>
          <w:rFonts w:asciiTheme="majorHAnsi" w:hAnsiTheme="majorHAnsi"/>
          <w:b/>
          <w:color w:val="000000" w:themeColor="text1"/>
        </w:rPr>
      </w:pPr>
      <w:r w:rsidRPr="00820C89">
        <w:rPr>
          <w:rFonts w:asciiTheme="majorHAnsi" w:hAnsiTheme="majorHAnsi"/>
          <w:noProof/>
          <w:lang w:eastAsia="en-AU"/>
        </w:rPr>
        <w:drawing>
          <wp:inline distT="0" distB="0" distL="0" distR="0" wp14:anchorId="249CC66B" wp14:editId="05BE5144">
            <wp:extent cx="4935220" cy="2731325"/>
            <wp:effectExtent l="0" t="0" r="17780" b="12065"/>
            <wp:docPr id="41" name="Chart 41" descr=" " title=" .">
              <a:extLst xmlns:a="http://schemas.openxmlformats.org/drawingml/2006/main">
                <a:ext uri="{FF2B5EF4-FFF2-40B4-BE49-F238E27FC236}">
                  <a16:creationId xmlns:a16="http://schemas.microsoft.com/office/drawing/2014/main" id="{3E77C4D0-626C-4CCD-8C89-28FC8CC1A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E6368D" w14:textId="77777777" w:rsidR="00D13D56" w:rsidRPr="00820C89" w:rsidRDefault="00D13D56" w:rsidP="00614191">
      <w:pPr>
        <w:pStyle w:val="Source"/>
        <w:spacing w:before="0"/>
        <w:rPr>
          <w:rFonts w:asciiTheme="majorHAnsi" w:hAnsiTheme="majorHAnsi"/>
        </w:rPr>
      </w:pPr>
      <w:r w:rsidRPr="00820C89">
        <w:rPr>
          <w:rFonts w:asciiTheme="majorHAnsi" w:hAnsiTheme="majorHAnsi"/>
        </w:rPr>
        <w:t>Source: ABS Census of Population and Housing 2001, 2006</w:t>
      </w:r>
      <w:r w:rsidR="00614191" w:rsidRPr="00820C89">
        <w:rPr>
          <w:rFonts w:asciiTheme="majorHAnsi" w:hAnsiTheme="majorHAnsi"/>
        </w:rPr>
        <w:t>,</w:t>
      </w:r>
      <w:r w:rsidRPr="00820C89">
        <w:rPr>
          <w:rFonts w:asciiTheme="majorHAnsi" w:hAnsiTheme="majorHAnsi"/>
        </w:rPr>
        <w:t xml:space="preserve"> 2011 and 201</w:t>
      </w:r>
      <w:r w:rsidR="00472BE4" w:rsidRPr="00820C89">
        <w:rPr>
          <w:rFonts w:asciiTheme="majorHAnsi" w:hAnsiTheme="majorHAnsi"/>
        </w:rPr>
        <w:t>6.</w:t>
      </w:r>
      <w:r w:rsidR="00792C64" w:rsidRPr="00820C89">
        <w:rPr>
          <w:rFonts w:asciiTheme="majorHAnsi" w:hAnsiTheme="majorHAnsi"/>
        </w:rPr>
        <w:t xml:space="preserve"> Note: </w:t>
      </w:r>
      <w:r w:rsidR="00580368" w:rsidRPr="00820C89">
        <w:rPr>
          <w:rFonts w:asciiTheme="majorHAnsi" w:hAnsiTheme="majorHAnsi"/>
        </w:rPr>
        <w:t xml:space="preserve">ABS census data prior to 2009 classified jobseekers participating in </w:t>
      </w:r>
      <w:r w:rsidR="00AB01E3" w:rsidRPr="00820C89">
        <w:rPr>
          <w:rFonts w:asciiTheme="majorHAnsi" w:hAnsiTheme="majorHAnsi"/>
        </w:rPr>
        <w:t>Community Development Employment Projects (CDEP)</w:t>
      </w:r>
      <w:r w:rsidR="00AA66CB" w:rsidRPr="00820C89">
        <w:rPr>
          <w:rFonts w:asciiTheme="majorHAnsi" w:hAnsiTheme="majorHAnsi"/>
        </w:rPr>
        <w:t xml:space="preserve"> </w:t>
      </w:r>
      <w:r w:rsidR="00580368" w:rsidRPr="00820C89">
        <w:rPr>
          <w:rFonts w:asciiTheme="majorHAnsi" w:hAnsiTheme="majorHAnsi"/>
        </w:rPr>
        <w:t xml:space="preserve">as being employed, likely </w:t>
      </w:r>
      <w:r w:rsidR="0069799B" w:rsidRPr="00820C89">
        <w:rPr>
          <w:rFonts w:asciiTheme="majorHAnsi" w:hAnsiTheme="majorHAnsi"/>
        </w:rPr>
        <w:t>overstating</w:t>
      </w:r>
      <w:r w:rsidR="00580368" w:rsidRPr="00820C89">
        <w:rPr>
          <w:rFonts w:asciiTheme="majorHAnsi" w:hAnsiTheme="majorHAnsi"/>
        </w:rPr>
        <w:t xml:space="preserve"> the employment rates in this period</w:t>
      </w:r>
      <w:r w:rsidR="00BD5E40" w:rsidRPr="00820C89">
        <w:rPr>
          <w:rFonts w:asciiTheme="majorHAnsi" w:hAnsiTheme="majorHAnsi"/>
        </w:rPr>
        <w:t>.</w:t>
      </w:r>
    </w:p>
    <w:p w14:paraId="1FC78ECC" w14:textId="77777777" w:rsidR="008963EB" w:rsidRPr="001A629A" w:rsidRDefault="00FB0E82" w:rsidP="00F844A8">
      <w:pPr>
        <w:spacing w:after="160" w:line="259" w:lineRule="auto"/>
        <w:rPr>
          <w:rFonts w:asciiTheme="majorHAnsi" w:eastAsia="Calibri" w:hAnsiTheme="majorHAnsi" w:cs="Times New Roman"/>
          <w:color w:val="000000"/>
        </w:rPr>
      </w:pPr>
      <w:r w:rsidRPr="001A629A">
        <w:rPr>
          <w:rFonts w:asciiTheme="majorHAnsi" w:eastAsia="Calibri" w:hAnsiTheme="majorHAnsi" w:cs="Times New Roman"/>
          <w:color w:val="000000"/>
        </w:rPr>
        <w:t>As seen in Cha</w:t>
      </w:r>
      <w:r w:rsidR="00D276B6" w:rsidRPr="001A629A">
        <w:rPr>
          <w:rFonts w:asciiTheme="majorHAnsi" w:eastAsia="Calibri" w:hAnsiTheme="majorHAnsi" w:cs="Times New Roman"/>
          <w:color w:val="000000"/>
        </w:rPr>
        <w:t>r</w:t>
      </w:r>
      <w:r w:rsidRPr="001A629A">
        <w:rPr>
          <w:rFonts w:asciiTheme="majorHAnsi" w:eastAsia="Calibri" w:hAnsiTheme="majorHAnsi" w:cs="Times New Roman"/>
          <w:color w:val="000000"/>
        </w:rPr>
        <w:t>t 1.2</w:t>
      </w:r>
      <w:r w:rsidR="00611B3D" w:rsidRPr="001A629A">
        <w:rPr>
          <w:rFonts w:asciiTheme="majorHAnsi" w:eastAsia="Calibri" w:hAnsiTheme="majorHAnsi" w:cs="Times New Roman"/>
          <w:color w:val="000000"/>
        </w:rPr>
        <w:t xml:space="preserve"> below</w:t>
      </w:r>
      <w:r w:rsidRPr="001A629A">
        <w:rPr>
          <w:rFonts w:asciiTheme="majorHAnsi" w:eastAsia="Calibri" w:hAnsiTheme="majorHAnsi" w:cs="Times New Roman"/>
          <w:color w:val="000000"/>
        </w:rPr>
        <w:t xml:space="preserve">, </w:t>
      </w:r>
      <w:r w:rsidR="00F844A8" w:rsidRPr="001A629A">
        <w:rPr>
          <w:rFonts w:asciiTheme="majorHAnsi" w:eastAsia="Calibri" w:hAnsiTheme="majorHAnsi" w:cs="Times New Roman"/>
          <w:color w:val="000000"/>
        </w:rPr>
        <w:t>the employment</w:t>
      </w:r>
      <w:r w:rsidR="00F70ABD" w:rsidRPr="001A629A">
        <w:rPr>
          <w:rFonts w:asciiTheme="majorHAnsi" w:eastAsia="Calibri" w:hAnsiTheme="majorHAnsi" w:cs="Times New Roman"/>
          <w:color w:val="000000"/>
        </w:rPr>
        <w:t>-to-population</w:t>
      </w:r>
      <w:r w:rsidR="00F844A8" w:rsidRPr="001A629A">
        <w:rPr>
          <w:rFonts w:asciiTheme="majorHAnsi" w:eastAsia="Calibri" w:hAnsiTheme="majorHAnsi" w:cs="Times New Roman"/>
          <w:color w:val="000000"/>
        </w:rPr>
        <w:t xml:space="preserve"> rate gap between Indigenous and non-Indigenous Australians in 2016 (16 percentage points) is larger than the unemployment rate gap (11 percentage points). This is a result of Indigenous Australians having a lower labour force participation rate than the broader population. In 2016, approximately 44% of Indigenous people were not in the labour force, compared to 35% for the non-Indigenous population. </w:t>
      </w:r>
    </w:p>
    <w:p w14:paraId="45BDFE34" w14:textId="77777777" w:rsidR="00F844A8" w:rsidRPr="001A629A" w:rsidRDefault="001B1D4E" w:rsidP="00A85729">
      <w:pPr>
        <w:pStyle w:val="CaptionChart"/>
        <w:rPr>
          <w:rFonts w:asciiTheme="majorHAnsi" w:hAnsiTheme="majorHAnsi"/>
        </w:rPr>
      </w:pPr>
      <w:r w:rsidRPr="001A629A">
        <w:rPr>
          <w:rFonts w:asciiTheme="majorHAnsi" w:hAnsiTheme="majorHAnsi"/>
        </w:rPr>
        <w:t>:</w:t>
      </w:r>
      <w:r w:rsidR="00F844A8" w:rsidRPr="001A629A">
        <w:rPr>
          <w:rFonts w:asciiTheme="majorHAnsi" w:hAnsiTheme="majorHAnsi"/>
        </w:rPr>
        <w:t xml:space="preserve"> Time series of Indigenous and </w:t>
      </w:r>
      <w:r w:rsidR="00CF2F30" w:rsidRPr="001A629A">
        <w:rPr>
          <w:rFonts w:asciiTheme="majorHAnsi" w:hAnsiTheme="majorHAnsi"/>
        </w:rPr>
        <w:t>n</w:t>
      </w:r>
      <w:r w:rsidR="00F844A8" w:rsidRPr="001A629A">
        <w:rPr>
          <w:rFonts w:asciiTheme="majorHAnsi" w:hAnsiTheme="majorHAnsi"/>
        </w:rPr>
        <w:t>on-Indigenous employment</w:t>
      </w:r>
      <w:r w:rsidR="00BA3E93" w:rsidRPr="001A629A">
        <w:rPr>
          <w:rFonts w:asciiTheme="majorHAnsi" w:hAnsiTheme="majorHAnsi"/>
        </w:rPr>
        <w:t>-to-population rates.</w:t>
      </w:r>
    </w:p>
    <w:p w14:paraId="24CDDF6B" w14:textId="77777777" w:rsidR="00F844A8" w:rsidRPr="00820C89" w:rsidRDefault="00F844A8" w:rsidP="008446DE">
      <w:pPr>
        <w:spacing w:after="160" w:line="259" w:lineRule="auto"/>
        <w:jc w:val="center"/>
        <w:rPr>
          <w:rFonts w:asciiTheme="majorHAnsi" w:eastAsia="Calibri" w:hAnsiTheme="majorHAnsi" w:cs="Times New Roman"/>
          <w:color w:val="A5A5A5"/>
        </w:rPr>
      </w:pPr>
      <w:r w:rsidRPr="00820C89">
        <w:rPr>
          <w:rFonts w:asciiTheme="majorHAnsi" w:eastAsia="Calibri" w:hAnsiTheme="majorHAnsi" w:cs="Times New Roman"/>
          <w:noProof/>
          <w:color w:val="A5A5A5"/>
          <w:lang w:eastAsia="en-AU"/>
        </w:rPr>
        <w:drawing>
          <wp:inline distT="0" distB="0" distL="0" distR="0" wp14:anchorId="735E1FF8" wp14:editId="24D4815F">
            <wp:extent cx="4571439" cy="2725271"/>
            <wp:effectExtent l="0" t="0" r="635" b="18415"/>
            <wp:docPr id="51" name="Chart 51" descr=" " title="  .">
              <a:extLst xmlns:a="http://schemas.openxmlformats.org/drawingml/2006/main">
                <a:ext uri="{FF2B5EF4-FFF2-40B4-BE49-F238E27FC236}">
                  <a16:creationId xmlns:a16="http://schemas.microsoft.com/office/drawing/2014/main" id="{277A6CD1-CA76-40AB-B4A5-34CA61188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00CD23" w14:textId="78CED663" w:rsidR="00F71060" w:rsidRPr="00820C89" w:rsidRDefault="00F844A8" w:rsidP="00F9463C">
      <w:pPr>
        <w:pStyle w:val="Source"/>
        <w:rPr>
          <w:rFonts w:asciiTheme="majorHAnsi" w:hAnsiTheme="majorHAnsi"/>
        </w:rPr>
      </w:pPr>
      <w:r w:rsidRPr="00820C89">
        <w:rPr>
          <w:rFonts w:asciiTheme="majorHAnsi" w:hAnsiTheme="majorHAnsi"/>
        </w:rPr>
        <w:t>Source: ABS Census of Population and Housing 2001, 2006, 2011 and 2016</w:t>
      </w:r>
      <w:r w:rsidR="00C56E13" w:rsidRPr="00820C89">
        <w:rPr>
          <w:rFonts w:asciiTheme="majorHAnsi" w:hAnsiTheme="majorHAnsi"/>
        </w:rPr>
        <w:t>.</w:t>
      </w:r>
      <w:r w:rsidR="00030A4A" w:rsidRPr="00820C89">
        <w:rPr>
          <w:rFonts w:asciiTheme="majorHAnsi" w:hAnsiTheme="majorHAnsi"/>
        </w:rPr>
        <w:t xml:space="preserve"> </w:t>
      </w:r>
      <w:r w:rsidR="001078C0" w:rsidRPr="00820C89">
        <w:rPr>
          <w:rFonts w:asciiTheme="majorHAnsi" w:hAnsiTheme="majorHAnsi"/>
        </w:rPr>
        <w:t>Note: ABS census data prior to 2009 classified jobseekers participating in Community Development Employment Projects (CDEP) as being employed, likely overstating the employment rates in this period.</w:t>
      </w:r>
    </w:p>
    <w:p w14:paraId="7ECA7334" w14:textId="77777777" w:rsidR="00AE6659" w:rsidRPr="00820C89" w:rsidRDefault="00F71060" w:rsidP="00F71060">
      <w:pPr>
        <w:spacing w:after="160" w:line="259" w:lineRule="auto"/>
        <w:rPr>
          <w:rFonts w:asciiTheme="majorHAnsi" w:eastAsia="Calibri" w:hAnsiTheme="majorHAnsi" w:cs="Times New Roman"/>
          <w:b/>
        </w:rPr>
      </w:pPr>
      <w:r w:rsidRPr="00820C89">
        <w:rPr>
          <w:rFonts w:asciiTheme="majorHAnsi" w:eastAsia="Calibri" w:hAnsiTheme="majorHAnsi" w:cs="Times New Roman"/>
        </w:rPr>
        <w:t xml:space="preserve">These employment disparities mean that Indigenous Australians generally have lower levels of income and higher rates of financial </w:t>
      </w:r>
      <w:r w:rsidR="00650C60" w:rsidRPr="00820C89">
        <w:rPr>
          <w:rFonts w:asciiTheme="majorHAnsi" w:eastAsia="Calibri" w:hAnsiTheme="majorHAnsi" w:cs="Times New Roman"/>
        </w:rPr>
        <w:t>insecurity</w:t>
      </w:r>
      <w:r w:rsidRPr="00820C89">
        <w:rPr>
          <w:rFonts w:asciiTheme="majorHAnsi" w:eastAsia="Calibri" w:hAnsiTheme="majorHAnsi" w:cs="Times New Roman"/>
        </w:rPr>
        <w:t xml:space="preserve"> than non-</w:t>
      </w:r>
      <w:r w:rsidR="00650C60" w:rsidRPr="00820C89">
        <w:rPr>
          <w:rFonts w:asciiTheme="majorHAnsi" w:eastAsia="Calibri" w:hAnsiTheme="majorHAnsi" w:cs="Times New Roman"/>
        </w:rPr>
        <w:t>Indigenous</w:t>
      </w:r>
      <w:r w:rsidRPr="00820C89">
        <w:rPr>
          <w:rFonts w:asciiTheme="majorHAnsi" w:eastAsia="Calibri" w:hAnsiTheme="majorHAnsi" w:cs="Times New Roman"/>
        </w:rPr>
        <w:t xml:space="preserve"> Australians.</w:t>
      </w:r>
      <w:r w:rsidR="00650C60" w:rsidRPr="00820C89">
        <w:rPr>
          <w:rFonts w:asciiTheme="majorHAnsi" w:eastAsia="Calibri" w:hAnsiTheme="majorHAnsi" w:cs="Times New Roman"/>
        </w:rPr>
        <w:t xml:space="preserve"> </w:t>
      </w:r>
      <w:r w:rsidRPr="00820C89">
        <w:rPr>
          <w:rFonts w:asciiTheme="majorHAnsi" w:eastAsia="Calibri" w:hAnsiTheme="majorHAnsi" w:cs="Times New Roman"/>
        </w:rPr>
        <w:t xml:space="preserve">The average </w:t>
      </w:r>
      <w:r w:rsidRPr="00820C89">
        <w:rPr>
          <w:rFonts w:asciiTheme="majorHAnsi" w:eastAsia="Calibri" w:hAnsiTheme="majorHAnsi" w:cs="Times New Roman"/>
        </w:rPr>
        <w:lastRenderedPageBreak/>
        <w:t>weekly</w:t>
      </w:r>
      <w:r w:rsidR="00650C60" w:rsidRPr="00820C89">
        <w:rPr>
          <w:rFonts w:asciiTheme="majorHAnsi" w:eastAsia="Calibri" w:hAnsiTheme="majorHAnsi" w:cs="Times New Roman"/>
        </w:rPr>
        <w:t xml:space="preserve"> household</w:t>
      </w:r>
      <w:r w:rsidRPr="00820C89">
        <w:rPr>
          <w:rFonts w:asciiTheme="majorHAnsi" w:eastAsia="Calibri" w:hAnsiTheme="majorHAnsi" w:cs="Times New Roman"/>
        </w:rPr>
        <w:t xml:space="preserve"> income for Indigenous </w:t>
      </w:r>
      <w:r w:rsidR="00650C60" w:rsidRPr="00820C89">
        <w:rPr>
          <w:rFonts w:asciiTheme="majorHAnsi" w:eastAsia="Calibri" w:hAnsiTheme="majorHAnsi" w:cs="Times New Roman"/>
        </w:rPr>
        <w:t>Australians</w:t>
      </w:r>
      <w:r w:rsidRPr="00820C89">
        <w:rPr>
          <w:rFonts w:asciiTheme="majorHAnsi" w:eastAsia="Calibri" w:hAnsiTheme="majorHAnsi" w:cs="Times New Roman"/>
        </w:rPr>
        <w:t xml:space="preserve"> is </w:t>
      </w:r>
      <w:r w:rsidR="00650C60" w:rsidRPr="00820C89">
        <w:rPr>
          <w:rFonts w:asciiTheme="majorHAnsi" w:eastAsia="Calibri" w:hAnsiTheme="majorHAnsi" w:cs="Times New Roman"/>
        </w:rPr>
        <w:t>approximately 16% lower than non-Indigenous Australians.</w:t>
      </w:r>
      <w:r w:rsidR="00C24707" w:rsidRPr="00820C89">
        <w:rPr>
          <w:rStyle w:val="FootnoteReference"/>
          <w:rFonts w:asciiTheme="majorHAnsi" w:eastAsia="Calibri" w:hAnsiTheme="majorHAnsi" w:cs="Times New Roman"/>
        </w:rPr>
        <w:footnoteReference w:id="18"/>
      </w:r>
      <w:r w:rsidR="00650C60" w:rsidRPr="00820C89">
        <w:rPr>
          <w:rFonts w:asciiTheme="majorHAnsi" w:eastAsia="Calibri" w:hAnsiTheme="majorHAnsi" w:cs="Times New Roman"/>
          <w:b/>
        </w:rPr>
        <w:t xml:space="preserve"> </w:t>
      </w:r>
    </w:p>
    <w:p w14:paraId="37B29AA3" w14:textId="77777777" w:rsidR="00AE6659" w:rsidRPr="00820C89" w:rsidRDefault="00AE6659" w:rsidP="00F71060">
      <w:pPr>
        <w:spacing w:after="160" w:line="259" w:lineRule="auto"/>
        <w:rPr>
          <w:rFonts w:asciiTheme="majorHAnsi" w:eastAsia="Calibri" w:hAnsiTheme="majorHAnsi" w:cs="Times New Roman"/>
        </w:rPr>
      </w:pPr>
      <w:r w:rsidRPr="00820C89">
        <w:rPr>
          <w:rFonts w:asciiTheme="majorHAnsi" w:eastAsia="Calibri" w:hAnsiTheme="majorHAnsi" w:cs="Times New Roman"/>
        </w:rPr>
        <w:t>T</w:t>
      </w:r>
      <w:r w:rsidR="000C449D" w:rsidRPr="00820C89">
        <w:rPr>
          <w:rFonts w:asciiTheme="majorHAnsi" w:eastAsia="Calibri" w:hAnsiTheme="majorHAnsi" w:cs="Times New Roman"/>
        </w:rPr>
        <w:t xml:space="preserve">his figure </w:t>
      </w:r>
      <w:r w:rsidR="003774B0" w:rsidRPr="00820C89">
        <w:rPr>
          <w:rFonts w:asciiTheme="majorHAnsi" w:eastAsia="Calibri" w:hAnsiTheme="majorHAnsi" w:cs="Times New Roman"/>
        </w:rPr>
        <w:t>considers</w:t>
      </w:r>
      <w:r w:rsidR="000C449D" w:rsidRPr="00820C89">
        <w:rPr>
          <w:rFonts w:asciiTheme="majorHAnsi" w:eastAsia="Calibri" w:hAnsiTheme="majorHAnsi" w:cs="Times New Roman"/>
        </w:rPr>
        <w:t xml:space="preserve"> the impact of government transfer payments, with </w:t>
      </w:r>
      <w:r w:rsidR="00F71060" w:rsidRPr="00820C89">
        <w:rPr>
          <w:rFonts w:asciiTheme="majorHAnsi" w:eastAsia="Calibri" w:hAnsiTheme="majorHAnsi" w:cs="Times New Roman"/>
        </w:rPr>
        <w:t xml:space="preserve">52% of Indigenous Australian’s </w:t>
      </w:r>
      <w:r w:rsidR="006B310B" w:rsidRPr="00820C89">
        <w:rPr>
          <w:rFonts w:asciiTheme="majorHAnsi" w:eastAsia="Calibri" w:hAnsiTheme="majorHAnsi" w:cs="Times New Roman"/>
        </w:rPr>
        <w:t>reporting</w:t>
      </w:r>
      <w:r w:rsidR="00F71060" w:rsidRPr="00820C89">
        <w:rPr>
          <w:rFonts w:asciiTheme="majorHAnsi" w:eastAsia="Calibri" w:hAnsiTheme="majorHAnsi" w:cs="Times New Roman"/>
        </w:rPr>
        <w:t xml:space="preserve"> their primary source of income as being government </w:t>
      </w:r>
      <w:r w:rsidR="002473E2" w:rsidRPr="00820C89">
        <w:rPr>
          <w:rFonts w:asciiTheme="majorHAnsi" w:eastAsia="Calibri" w:hAnsiTheme="majorHAnsi" w:cs="Times New Roman"/>
        </w:rPr>
        <w:t>payments</w:t>
      </w:r>
      <w:r w:rsidR="00F71060" w:rsidRPr="00820C89">
        <w:rPr>
          <w:rFonts w:asciiTheme="majorHAnsi" w:eastAsia="Calibri" w:hAnsiTheme="majorHAnsi" w:cs="Times New Roman"/>
        </w:rPr>
        <w:t xml:space="preserve"> compared to 25% of non-</w:t>
      </w:r>
      <w:r w:rsidR="00F9463C" w:rsidRPr="00820C89">
        <w:rPr>
          <w:rFonts w:asciiTheme="majorHAnsi" w:eastAsia="Calibri" w:hAnsiTheme="majorHAnsi" w:cs="Times New Roman"/>
        </w:rPr>
        <w:t>Indigenous</w:t>
      </w:r>
      <w:r w:rsidR="00F71060" w:rsidRPr="00820C89">
        <w:rPr>
          <w:rFonts w:asciiTheme="majorHAnsi" w:eastAsia="Calibri" w:hAnsiTheme="majorHAnsi" w:cs="Times New Roman"/>
        </w:rPr>
        <w:t xml:space="preserve"> Australians. This suggests that the difference in income from employment is likely to be even greater than that presented below. </w:t>
      </w:r>
    </w:p>
    <w:p w14:paraId="59E325B9" w14:textId="77777777" w:rsidR="00F71060" w:rsidRPr="00820C89" w:rsidRDefault="00F71060" w:rsidP="00F71060">
      <w:pPr>
        <w:spacing w:after="160" w:line="259" w:lineRule="auto"/>
        <w:rPr>
          <w:rFonts w:asciiTheme="majorHAnsi" w:eastAsia="Calibri" w:hAnsiTheme="majorHAnsi" w:cs="Times New Roman"/>
          <w:b/>
        </w:rPr>
      </w:pPr>
      <w:r w:rsidRPr="00820C89">
        <w:rPr>
          <w:rFonts w:asciiTheme="majorHAnsi" w:eastAsia="Calibri" w:hAnsiTheme="majorHAnsi" w:cs="Times New Roman"/>
        </w:rPr>
        <w:t>Further, this income disparity contributes to financial insecurity</w:t>
      </w:r>
      <w:r w:rsidR="009842E0" w:rsidRPr="00820C89">
        <w:rPr>
          <w:rFonts w:asciiTheme="majorHAnsi" w:eastAsia="Calibri" w:hAnsiTheme="majorHAnsi" w:cs="Times New Roman"/>
        </w:rPr>
        <w:t xml:space="preserve">. In 2014/15, 48 percent of Indigenous Australians reported that no one in their household </w:t>
      </w:r>
      <w:r w:rsidR="00AC3781" w:rsidRPr="00820C89">
        <w:rPr>
          <w:rFonts w:asciiTheme="majorHAnsi" w:eastAsia="Calibri" w:hAnsiTheme="majorHAnsi" w:cs="Times New Roman"/>
        </w:rPr>
        <w:t>could</w:t>
      </w:r>
      <w:r w:rsidR="009842E0" w:rsidRPr="00820C89">
        <w:rPr>
          <w:rFonts w:asciiTheme="majorHAnsi" w:eastAsia="Calibri" w:hAnsiTheme="majorHAnsi" w:cs="Times New Roman"/>
        </w:rPr>
        <w:t xml:space="preserve"> raise $2000 for an emergency in a week, compared to 13</w:t>
      </w:r>
      <w:r w:rsidR="009759AF" w:rsidRPr="00820C89">
        <w:rPr>
          <w:rFonts w:asciiTheme="majorHAnsi" w:eastAsia="Calibri" w:hAnsiTheme="majorHAnsi" w:cs="Times New Roman"/>
        </w:rPr>
        <w:t xml:space="preserve"> percent</w:t>
      </w:r>
      <w:r w:rsidR="009842E0" w:rsidRPr="00820C89">
        <w:rPr>
          <w:rFonts w:asciiTheme="majorHAnsi" w:eastAsia="Calibri" w:hAnsiTheme="majorHAnsi" w:cs="Times New Roman"/>
        </w:rPr>
        <w:t xml:space="preserve"> of non-Indigenous Australians.</w:t>
      </w:r>
      <w:r w:rsidR="00C24707" w:rsidRPr="00820C89">
        <w:rPr>
          <w:rStyle w:val="FootnoteReference"/>
          <w:rFonts w:asciiTheme="majorHAnsi" w:eastAsia="Calibri" w:hAnsiTheme="majorHAnsi" w:cs="Times New Roman"/>
        </w:rPr>
        <w:footnoteReference w:id="19"/>
      </w:r>
    </w:p>
    <w:p w14:paraId="7A2B011F" w14:textId="77777777" w:rsidR="001B1D4E" w:rsidRPr="001A629A" w:rsidRDefault="001B1D4E" w:rsidP="001B1D4E">
      <w:pPr>
        <w:pStyle w:val="CaptionChart"/>
        <w:rPr>
          <w:rFonts w:asciiTheme="majorHAnsi" w:hAnsiTheme="majorHAnsi"/>
        </w:rPr>
      </w:pPr>
      <w:r w:rsidRPr="001A629A">
        <w:rPr>
          <w:rFonts w:asciiTheme="majorHAnsi" w:hAnsiTheme="majorHAnsi"/>
        </w:rPr>
        <w:t>: Median weekly income of Indigenous and non-Indigenous Australians</w:t>
      </w:r>
    </w:p>
    <w:p w14:paraId="5ED6F713" w14:textId="77777777" w:rsidR="00F71060" w:rsidRPr="00820C89" w:rsidRDefault="56BD8363" w:rsidP="00F71060">
      <w:pPr>
        <w:spacing w:after="160" w:line="259" w:lineRule="auto"/>
        <w:rPr>
          <w:rFonts w:asciiTheme="majorHAnsi" w:hAnsiTheme="majorHAnsi"/>
          <w:color w:val="75787B" w:themeColor="accent6"/>
          <w:sz w:val="14"/>
        </w:rPr>
      </w:pPr>
      <w:r w:rsidRPr="00820C89">
        <w:rPr>
          <w:noProof/>
          <w:lang w:eastAsia="en-AU"/>
        </w:rPr>
        <w:drawing>
          <wp:inline distT="0" distB="0" distL="0" distR="0" wp14:anchorId="21C6E964" wp14:editId="03B6FBCD">
            <wp:extent cx="4695824" cy="2768303"/>
            <wp:effectExtent l="0" t="0" r="0" b="0"/>
            <wp:docPr id="65" name="Picture 65" descr="The chart depicts the sizeable differences in the median weekly personal and household incomes between Indigenous and non-Indigenous Australians, with non-indigenous incomes higher. There is a $221 difference in the median weekly personal income and a $235 difference in the household income." title="Chart 1.3: Median weekly income of Indigenous and non-Indigenous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26">
                      <a:extLst>
                        <a:ext uri="{28A0092B-C50C-407E-A947-70E740481C1C}">
                          <a14:useLocalDpi xmlns:a14="http://schemas.microsoft.com/office/drawing/2010/main" val="0"/>
                        </a:ext>
                      </a:extLst>
                    </a:blip>
                    <a:stretch>
                      <a:fillRect/>
                    </a:stretch>
                  </pic:blipFill>
                  <pic:spPr>
                    <a:xfrm>
                      <a:off x="0" y="0"/>
                      <a:ext cx="4695824" cy="2768303"/>
                    </a:xfrm>
                    <a:prstGeom prst="rect">
                      <a:avLst/>
                    </a:prstGeom>
                  </pic:spPr>
                </pic:pic>
              </a:graphicData>
            </a:graphic>
          </wp:inline>
        </w:drawing>
      </w:r>
    </w:p>
    <w:p w14:paraId="77D174A2" w14:textId="77777777" w:rsidR="001B1D4E" w:rsidRPr="00820C89" w:rsidRDefault="001B1D4E" w:rsidP="001B1D4E">
      <w:pPr>
        <w:pStyle w:val="Source"/>
        <w:rPr>
          <w:rFonts w:asciiTheme="majorHAnsi" w:hAnsiTheme="majorHAnsi"/>
        </w:rPr>
      </w:pPr>
      <w:r w:rsidRPr="00820C89">
        <w:rPr>
          <w:rFonts w:asciiTheme="majorHAnsi" w:hAnsiTheme="majorHAnsi"/>
        </w:rPr>
        <w:t>Source: ABS Census of Population and Housing 2001, 2006, 2011 and 2016.</w:t>
      </w:r>
    </w:p>
    <w:p w14:paraId="397457CC" w14:textId="77777777" w:rsidR="00F844A8" w:rsidRPr="00820C89" w:rsidRDefault="00402B27" w:rsidP="00F844A8">
      <w:pPr>
        <w:spacing w:after="160" w:line="259" w:lineRule="auto"/>
        <w:rPr>
          <w:rFonts w:asciiTheme="majorHAnsi" w:eastAsia="Calibri" w:hAnsiTheme="majorHAnsi" w:cs="Times New Roman"/>
          <w:color w:val="000000"/>
        </w:rPr>
      </w:pPr>
      <w:r w:rsidRPr="00820C89">
        <w:rPr>
          <w:rFonts w:asciiTheme="majorHAnsi" w:eastAsia="Calibri" w:hAnsiTheme="majorHAnsi" w:cs="Times New Roman"/>
          <w:color w:val="000000"/>
        </w:rPr>
        <w:t>While cons</w:t>
      </w:r>
      <w:r w:rsidR="00EB15EB" w:rsidRPr="00820C89">
        <w:rPr>
          <w:rFonts w:asciiTheme="majorHAnsi" w:eastAsia="Calibri" w:hAnsiTheme="majorHAnsi" w:cs="Times New Roman"/>
          <w:color w:val="000000"/>
        </w:rPr>
        <w:t xml:space="preserve">istently above the national average, </w:t>
      </w:r>
      <w:r w:rsidR="00F844A8" w:rsidRPr="00820C89">
        <w:rPr>
          <w:rFonts w:asciiTheme="majorHAnsi" w:eastAsia="Calibri" w:hAnsiTheme="majorHAnsi" w:cs="Times New Roman"/>
          <w:color w:val="000000"/>
        </w:rPr>
        <w:t xml:space="preserve">Indigenous unemployment rates vary </w:t>
      </w:r>
      <w:r w:rsidR="00B25046" w:rsidRPr="00820C89">
        <w:rPr>
          <w:rFonts w:asciiTheme="majorHAnsi" w:eastAsia="Calibri" w:hAnsiTheme="majorHAnsi" w:cs="Times New Roman"/>
          <w:color w:val="000000"/>
        </w:rPr>
        <w:t xml:space="preserve">significantly </w:t>
      </w:r>
      <w:r w:rsidR="00F844A8" w:rsidRPr="00820C89">
        <w:rPr>
          <w:rFonts w:asciiTheme="majorHAnsi" w:eastAsia="Calibri" w:hAnsiTheme="majorHAnsi" w:cs="Times New Roman"/>
          <w:color w:val="000000"/>
        </w:rPr>
        <w:t xml:space="preserve">across </w:t>
      </w:r>
      <w:r w:rsidR="005B04BB" w:rsidRPr="00820C89">
        <w:rPr>
          <w:rFonts w:asciiTheme="majorHAnsi" w:eastAsia="Calibri" w:hAnsiTheme="majorHAnsi" w:cs="Times New Roman"/>
          <w:color w:val="000000"/>
        </w:rPr>
        <w:t>different regions in Australia</w:t>
      </w:r>
      <w:r w:rsidR="00F844A8" w:rsidRPr="00820C89">
        <w:rPr>
          <w:rFonts w:asciiTheme="majorHAnsi" w:eastAsia="Calibri" w:hAnsiTheme="majorHAnsi" w:cs="Times New Roman"/>
          <w:color w:val="000000"/>
        </w:rPr>
        <w:t xml:space="preserve">. </w:t>
      </w:r>
      <w:r w:rsidR="007743F9" w:rsidRPr="00820C89">
        <w:rPr>
          <w:rFonts w:asciiTheme="majorHAnsi" w:eastAsia="Calibri" w:hAnsiTheme="majorHAnsi" w:cs="Times New Roman"/>
          <w:color w:val="000000"/>
        </w:rPr>
        <w:t xml:space="preserve">For example, </w:t>
      </w:r>
      <w:r w:rsidR="00C677A9" w:rsidRPr="00820C89">
        <w:rPr>
          <w:rFonts w:asciiTheme="majorHAnsi" w:eastAsia="Calibri" w:hAnsiTheme="majorHAnsi" w:cs="Times New Roman"/>
          <w:color w:val="000000"/>
        </w:rPr>
        <w:t xml:space="preserve">Deloitte Access Economics estimates of the 12 NIAA regions suggests that in 2016 </w:t>
      </w:r>
      <w:r w:rsidR="00F844A8" w:rsidRPr="00820C89">
        <w:rPr>
          <w:rFonts w:asciiTheme="majorHAnsi" w:eastAsia="Calibri" w:hAnsiTheme="majorHAnsi" w:cs="Times New Roman"/>
          <w:color w:val="000000"/>
        </w:rPr>
        <w:t xml:space="preserve"> the Central Australia region</w:t>
      </w:r>
      <w:r w:rsidR="00D5400A" w:rsidRPr="00820C89">
        <w:rPr>
          <w:rFonts w:asciiTheme="majorHAnsi" w:eastAsia="Calibri" w:hAnsiTheme="majorHAnsi" w:cs="Times New Roman"/>
          <w:color w:val="000000"/>
        </w:rPr>
        <w:t xml:space="preserve"> </w:t>
      </w:r>
      <w:r w:rsidR="00C677A9" w:rsidRPr="00820C89">
        <w:rPr>
          <w:rFonts w:asciiTheme="majorHAnsi" w:eastAsia="Calibri" w:hAnsiTheme="majorHAnsi" w:cs="Times New Roman"/>
          <w:color w:val="000000"/>
        </w:rPr>
        <w:t>ha</w:t>
      </w:r>
      <w:r w:rsidR="00E93A17" w:rsidRPr="00820C89">
        <w:rPr>
          <w:rFonts w:asciiTheme="majorHAnsi" w:eastAsia="Calibri" w:hAnsiTheme="majorHAnsi" w:cs="Times New Roman"/>
          <w:color w:val="000000"/>
        </w:rPr>
        <w:t>d</w:t>
      </w:r>
      <w:r w:rsidR="00C677A9" w:rsidRPr="00820C89">
        <w:rPr>
          <w:rFonts w:asciiTheme="majorHAnsi" w:eastAsia="Calibri" w:hAnsiTheme="majorHAnsi" w:cs="Times New Roman"/>
          <w:color w:val="000000"/>
        </w:rPr>
        <w:t xml:space="preserve"> </w:t>
      </w:r>
      <w:r w:rsidR="00F844A8" w:rsidRPr="00820C89">
        <w:rPr>
          <w:rFonts w:asciiTheme="majorHAnsi" w:eastAsia="Calibri" w:hAnsiTheme="majorHAnsi" w:cs="Times New Roman"/>
          <w:color w:val="000000"/>
        </w:rPr>
        <w:t xml:space="preserve">the highest Indigenous unemployment rate in the country (35%), </w:t>
      </w:r>
      <w:r w:rsidR="00CA0AEA" w:rsidRPr="00820C89">
        <w:rPr>
          <w:rFonts w:asciiTheme="majorHAnsi" w:eastAsia="Calibri" w:hAnsiTheme="majorHAnsi" w:cs="Times New Roman"/>
          <w:color w:val="000000"/>
        </w:rPr>
        <w:t>while</w:t>
      </w:r>
      <w:r w:rsidR="00F844A8" w:rsidRPr="00820C89">
        <w:rPr>
          <w:rFonts w:asciiTheme="majorHAnsi" w:eastAsia="Calibri" w:hAnsiTheme="majorHAnsi" w:cs="Times New Roman"/>
          <w:color w:val="000000"/>
        </w:rPr>
        <w:t xml:space="preserve"> the Victoria and Tasmania region </w:t>
      </w:r>
      <w:r w:rsidR="00C677A9" w:rsidRPr="00820C89">
        <w:rPr>
          <w:rFonts w:asciiTheme="majorHAnsi" w:eastAsia="Calibri" w:hAnsiTheme="majorHAnsi" w:cs="Times New Roman"/>
          <w:color w:val="000000"/>
        </w:rPr>
        <w:t xml:space="preserve">had </w:t>
      </w:r>
      <w:r w:rsidR="00F844A8" w:rsidRPr="00820C89">
        <w:rPr>
          <w:rFonts w:asciiTheme="majorHAnsi" w:eastAsia="Calibri" w:hAnsiTheme="majorHAnsi" w:cs="Times New Roman"/>
          <w:color w:val="000000"/>
        </w:rPr>
        <w:t xml:space="preserve">the lowest (14%). </w:t>
      </w:r>
    </w:p>
    <w:p w14:paraId="1E613670" w14:textId="77777777" w:rsidR="004837A8" w:rsidRDefault="00F844A8" w:rsidP="00F844A8">
      <w:pPr>
        <w:spacing w:after="160" w:line="259" w:lineRule="auto"/>
        <w:rPr>
          <w:rFonts w:asciiTheme="majorHAnsi" w:eastAsia="Calibri" w:hAnsiTheme="majorHAnsi" w:cs="Times New Roman"/>
        </w:rPr>
      </w:pPr>
      <w:r w:rsidRPr="00820C89">
        <w:rPr>
          <w:rFonts w:asciiTheme="majorHAnsi" w:eastAsia="Calibri" w:hAnsiTheme="majorHAnsi" w:cs="Times New Roman"/>
          <w:color w:val="000000"/>
        </w:rPr>
        <w:t>These national and regional figures do not tell the full story of employment trends</w:t>
      </w:r>
      <w:r w:rsidR="00B54DF7" w:rsidRPr="00820C89">
        <w:rPr>
          <w:rFonts w:asciiTheme="majorHAnsi" w:eastAsia="Calibri" w:hAnsiTheme="majorHAnsi" w:cs="Times New Roman"/>
          <w:color w:val="000000"/>
        </w:rPr>
        <w:t>,</w:t>
      </w:r>
      <w:r w:rsidRPr="00820C89">
        <w:rPr>
          <w:rFonts w:asciiTheme="majorHAnsi" w:eastAsia="Calibri" w:hAnsiTheme="majorHAnsi" w:cs="Times New Roman"/>
          <w:color w:val="000000"/>
        </w:rPr>
        <w:t xml:space="preserve"> </w:t>
      </w:r>
      <w:r w:rsidR="00C2071A" w:rsidRPr="00820C89">
        <w:rPr>
          <w:rFonts w:asciiTheme="majorHAnsi" w:eastAsia="Calibri" w:hAnsiTheme="majorHAnsi" w:cs="Times New Roman"/>
          <w:color w:val="000000"/>
        </w:rPr>
        <w:t>with</w:t>
      </w:r>
      <w:r w:rsidRPr="00820C89">
        <w:rPr>
          <w:rFonts w:asciiTheme="majorHAnsi" w:eastAsia="Calibri" w:hAnsiTheme="majorHAnsi" w:cs="Times New Roman"/>
          <w:color w:val="000000"/>
        </w:rPr>
        <w:t xml:space="preserve"> employment </w:t>
      </w:r>
      <w:r w:rsidR="00830FFD" w:rsidRPr="00820C89">
        <w:rPr>
          <w:rFonts w:asciiTheme="majorHAnsi" w:eastAsia="Calibri" w:hAnsiTheme="majorHAnsi" w:cs="Times New Roman"/>
          <w:color w:val="000000"/>
        </w:rPr>
        <w:t>rates</w:t>
      </w:r>
      <w:r w:rsidR="00210109" w:rsidRPr="00820C89">
        <w:rPr>
          <w:rFonts w:asciiTheme="majorHAnsi" w:eastAsia="Calibri" w:hAnsiTheme="majorHAnsi" w:cs="Times New Roman"/>
          <w:color w:val="000000"/>
        </w:rPr>
        <w:t xml:space="preserve"> </w:t>
      </w:r>
      <w:r w:rsidR="008E57AF" w:rsidRPr="00820C89">
        <w:rPr>
          <w:rFonts w:asciiTheme="majorHAnsi" w:eastAsia="Calibri" w:hAnsiTheme="majorHAnsi" w:cs="Times New Roman"/>
          <w:color w:val="000000"/>
        </w:rPr>
        <w:t xml:space="preserve">likely being </w:t>
      </w:r>
      <w:r w:rsidR="00210109" w:rsidRPr="00820C89">
        <w:rPr>
          <w:rFonts w:asciiTheme="majorHAnsi" w:eastAsia="Calibri" w:hAnsiTheme="majorHAnsi" w:cs="Times New Roman"/>
          <w:color w:val="000000"/>
        </w:rPr>
        <w:t xml:space="preserve">influenced by a complex </w:t>
      </w:r>
      <w:r w:rsidR="00830FFD" w:rsidRPr="00820C89">
        <w:rPr>
          <w:rFonts w:asciiTheme="majorHAnsi" w:eastAsia="Calibri" w:hAnsiTheme="majorHAnsi" w:cs="Times New Roman"/>
          <w:color w:val="000000"/>
        </w:rPr>
        <w:t>range of economic, social and demographic variables.</w:t>
      </w:r>
      <w:r w:rsidR="00210109" w:rsidRPr="00820C89">
        <w:rPr>
          <w:rFonts w:asciiTheme="majorHAnsi" w:eastAsia="Calibri" w:hAnsiTheme="majorHAnsi" w:cs="Times New Roman"/>
          <w:color w:val="000000"/>
        </w:rPr>
        <w:t xml:space="preserve"> </w:t>
      </w:r>
      <w:r w:rsidR="002A0407" w:rsidRPr="00820C89">
        <w:rPr>
          <w:rFonts w:asciiTheme="majorHAnsi" w:eastAsia="Calibri" w:hAnsiTheme="majorHAnsi" w:cs="Times New Roman"/>
          <w:color w:val="000000"/>
        </w:rPr>
        <w:t xml:space="preserve">For example, </w:t>
      </w:r>
      <w:r w:rsidR="006669D7" w:rsidRPr="00820C89">
        <w:rPr>
          <w:rFonts w:asciiTheme="majorHAnsi" w:eastAsia="Calibri" w:hAnsiTheme="majorHAnsi" w:cs="Times New Roman"/>
          <w:color w:val="000000"/>
        </w:rPr>
        <w:t>Indigenous</w:t>
      </w:r>
      <w:r w:rsidR="002A0407" w:rsidRPr="00820C89">
        <w:rPr>
          <w:rFonts w:asciiTheme="majorHAnsi" w:eastAsia="Calibri" w:hAnsiTheme="majorHAnsi" w:cs="Times New Roman"/>
          <w:color w:val="000000"/>
        </w:rPr>
        <w:t xml:space="preserve"> </w:t>
      </w:r>
      <w:r w:rsidRPr="00820C89">
        <w:rPr>
          <w:rFonts w:asciiTheme="majorHAnsi" w:eastAsia="Calibri" w:hAnsiTheme="majorHAnsi" w:cs="Times New Roman"/>
          <w:color w:val="000000"/>
        </w:rPr>
        <w:t xml:space="preserve">employment rates </w:t>
      </w:r>
      <w:r w:rsidR="00524BC2" w:rsidRPr="00820C89">
        <w:rPr>
          <w:rFonts w:asciiTheme="majorHAnsi" w:eastAsia="Calibri" w:hAnsiTheme="majorHAnsi" w:cs="Times New Roman"/>
          <w:color w:val="000000"/>
        </w:rPr>
        <w:t>vary</w:t>
      </w:r>
      <w:r w:rsidRPr="00820C89">
        <w:rPr>
          <w:rFonts w:asciiTheme="majorHAnsi" w:eastAsia="Calibri" w:hAnsiTheme="majorHAnsi" w:cs="Times New Roman"/>
          <w:color w:val="000000"/>
        </w:rPr>
        <w:t xml:space="preserve"> by gender (with employment rates for women increasing in recent </w:t>
      </w:r>
      <w:r w:rsidR="00B54DF7" w:rsidRPr="00820C89">
        <w:rPr>
          <w:rFonts w:asciiTheme="majorHAnsi" w:eastAsia="Calibri" w:hAnsiTheme="majorHAnsi" w:cs="Times New Roman"/>
          <w:color w:val="000000"/>
        </w:rPr>
        <w:t xml:space="preserve">years </w:t>
      </w:r>
      <w:r w:rsidRPr="00820C89">
        <w:rPr>
          <w:rFonts w:asciiTheme="majorHAnsi" w:eastAsia="Calibri" w:hAnsiTheme="majorHAnsi" w:cs="Times New Roman"/>
          <w:color w:val="000000"/>
        </w:rPr>
        <w:t xml:space="preserve">compared to a slight decline for men), age </w:t>
      </w:r>
      <w:r w:rsidR="00925CC1" w:rsidRPr="00820C89">
        <w:rPr>
          <w:rFonts w:asciiTheme="majorHAnsi" w:eastAsia="Calibri" w:hAnsiTheme="majorHAnsi" w:cs="Times New Roman"/>
          <w:color w:val="000000"/>
        </w:rPr>
        <w:t>(with the</w:t>
      </w:r>
      <w:r w:rsidR="00BA08D2" w:rsidRPr="00820C89">
        <w:rPr>
          <w:rFonts w:asciiTheme="majorHAnsi" w:eastAsia="Calibri" w:hAnsiTheme="majorHAnsi" w:cs="Times New Roman"/>
          <w:color w:val="000000"/>
        </w:rPr>
        <w:t>re</w:t>
      </w:r>
      <w:r w:rsidR="00925CC1" w:rsidRPr="00820C89">
        <w:rPr>
          <w:rFonts w:asciiTheme="majorHAnsi" w:eastAsia="Calibri" w:hAnsiTheme="majorHAnsi" w:cs="Times New Roman"/>
          <w:color w:val="000000"/>
        </w:rPr>
        <w:t xml:space="preserve"> being a significant share of </w:t>
      </w:r>
      <w:r w:rsidR="001373F0" w:rsidRPr="00820C89">
        <w:rPr>
          <w:rFonts w:asciiTheme="majorHAnsi" w:eastAsia="Calibri" w:hAnsiTheme="majorHAnsi" w:cs="Times New Roman"/>
          <w:color w:val="000000"/>
        </w:rPr>
        <w:t xml:space="preserve">young </w:t>
      </w:r>
      <w:r w:rsidR="00A0534B" w:rsidRPr="00820C89">
        <w:rPr>
          <w:rFonts w:asciiTheme="majorHAnsi" w:eastAsia="Calibri" w:hAnsiTheme="majorHAnsi" w:cs="Times New Roman"/>
          <w:color w:val="000000"/>
        </w:rPr>
        <w:t>people</w:t>
      </w:r>
      <w:r w:rsidR="00925CC1" w:rsidRPr="00820C89">
        <w:rPr>
          <w:rFonts w:asciiTheme="majorHAnsi" w:eastAsia="Calibri" w:hAnsiTheme="majorHAnsi" w:cs="Times New Roman"/>
          <w:color w:val="000000"/>
        </w:rPr>
        <w:t xml:space="preserve"> </w:t>
      </w:r>
      <w:r w:rsidR="0013418E" w:rsidRPr="00820C89">
        <w:rPr>
          <w:rFonts w:asciiTheme="majorHAnsi" w:eastAsia="Calibri" w:hAnsiTheme="majorHAnsi" w:cs="Times New Roman"/>
          <w:color w:val="000000"/>
        </w:rPr>
        <w:t xml:space="preserve">not in employment, education or training) </w:t>
      </w:r>
      <w:r w:rsidRPr="00820C89">
        <w:rPr>
          <w:rFonts w:asciiTheme="majorHAnsi" w:eastAsia="Calibri" w:hAnsiTheme="majorHAnsi" w:cs="Times New Roman"/>
          <w:color w:val="000000"/>
        </w:rPr>
        <w:t>and remoteness</w:t>
      </w:r>
      <w:r w:rsidR="0063333E" w:rsidRPr="00820C89">
        <w:rPr>
          <w:rFonts w:asciiTheme="majorHAnsi" w:eastAsia="Calibri" w:hAnsiTheme="majorHAnsi" w:cs="Times New Roman"/>
          <w:color w:val="000000"/>
        </w:rPr>
        <w:t xml:space="preserve"> (with more remote areas generally </w:t>
      </w:r>
      <w:r w:rsidR="008F7F3A" w:rsidRPr="00820C89">
        <w:rPr>
          <w:rFonts w:asciiTheme="majorHAnsi" w:eastAsia="Calibri" w:hAnsiTheme="majorHAnsi" w:cs="Times New Roman"/>
          <w:color w:val="000000"/>
        </w:rPr>
        <w:t>having lower employment rates tha</w:t>
      </w:r>
      <w:r w:rsidR="002843AD" w:rsidRPr="00820C89">
        <w:rPr>
          <w:rFonts w:asciiTheme="majorHAnsi" w:eastAsia="Calibri" w:hAnsiTheme="majorHAnsi" w:cs="Times New Roman"/>
          <w:color w:val="000000"/>
        </w:rPr>
        <w:t>n</w:t>
      </w:r>
      <w:r w:rsidR="008F7F3A" w:rsidRPr="00820C89">
        <w:rPr>
          <w:rFonts w:asciiTheme="majorHAnsi" w:eastAsia="Calibri" w:hAnsiTheme="majorHAnsi" w:cs="Times New Roman"/>
          <w:color w:val="000000"/>
        </w:rPr>
        <w:t xml:space="preserve"> metropolitan</w:t>
      </w:r>
      <w:r w:rsidR="0063333E" w:rsidRPr="00820C89">
        <w:rPr>
          <w:rFonts w:asciiTheme="majorHAnsi" w:eastAsia="Calibri" w:hAnsiTheme="majorHAnsi" w:cs="Times New Roman"/>
          <w:color w:val="000000"/>
        </w:rPr>
        <w:t>)</w:t>
      </w:r>
      <w:r w:rsidRPr="00820C89">
        <w:rPr>
          <w:rFonts w:asciiTheme="majorHAnsi" w:eastAsia="Calibri" w:hAnsiTheme="majorHAnsi" w:cs="Times New Roman"/>
          <w:color w:val="000000"/>
        </w:rPr>
        <w:t>.</w:t>
      </w:r>
      <w:r w:rsidRPr="00820C89">
        <w:rPr>
          <w:rFonts w:asciiTheme="majorHAnsi" w:eastAsia="Calibri" w:hAnsiTheme="majorHAnsi" w:cs="Times New Roman"/>
          <w:color w:val="000000"/>
          <w:vertAlign w:val="superscript"/>
        </w:rPr>
        <w:footnoteReference w:id="20"/>
      </w:r>
      <w:r w:rsidRPr="00820C89">
        <w:rPr>
          <w:rFonts w:asciiTheme="majorHAnsi" w:eastAsia="Calibri" w:hAnsiTheme="majorHAnsi" w:cs="Times New Roman"/>
          <w:color w:val="000000"/>
        </w:rPr>
        <w:t xml:space="preserve"> </w:t>
      </w:r>
    </w:p>
    <w:p w14:paraId="3F90615A" w14:textId="77777777" w:rsidR="004837A8" w:rsidRDefault="004837A8">
      <w:pPr>
        <w:spacing w:after="0"/>
        <w:rPr>
          <w:rFonts w:asciiTheme="majorHAnsi" w:eastAsia="Calibri" w:hAnsiTheme="majorHAnsi" w:cs="Times New Roman"/>
        </w:rPr>
      </w:pPr>
      <w:r>
        <w:rPr>
          <w:rFonts w:asciiTheme="majorHAnsi" w:eastAsia="Calibri" w:hAnsiTheme="majorHAnsi" w:cs="Times New Roman"/>
        </w:rPr>
        <w:br w:type="page"/>
      </w:r>
    </w:p>
    <w:p w14:paraId="3CDDDCC0" w14:textId="77777777" w:rsidR="009A4E61" w:rsidRPr="00820C89" w:rsidRDefault="00CF542F" w:rsidP="00BA1960">
      <w:pPr>
        <w:pStyle w:val="Heading3"/>
      </w:pPr>
      <w:r w:rsidRPr="00820C89">
        <w:lastRenderedPageBreak/>
        <w:t>Current Indigenous Employment Program delivery</w:t>
      </w:r>
    </w:p>
    <w:p w14:paraId="266A7ACF" w14:textId="77777777" w:rsidR="00097732" w:rsidRPr="00820C89" w:rsidRDefault="004E4030" w:rsidP="00F43A29">
      <w:pPr>
        <w:rPr>
          <w:rFonts w:asciiTheme="majorHAnsi" w:hAnsiTheme="majorHAnsi"/>
        </w:rPr>
      </w:pPr>
      <w:r w:rsidRPr="00820C89">
        <w:rPr>
          <w:rFonts w:asciiTheme="majorHAnsi" w:hAnsiTheme="majorHAnsi"/>
        </w:rPr>
        <w:t xml:space="preserve">The </w:t>
      </w:r>
      <w:r w:rsidR="004A034D" w:rsidRPr="00820C89">
        <w:rPr>
          <w:rFonts w:asciiTheme="majorHAnsi" w:hAnsiTheme="majorHAnsi"/>
        </w:rPr>
        <w:t>Commonwealth government</w:t>
      </w:r>
      <w:r w:rsidR="00F11B85" w:rsidRPr="00820C89">
        <w:rPr>
          <w:rFonts w:asciiTheme="majorHAnsi" w:hAnsiTheme="majorHAnsi"/>
        </w:rPr>
        <w:t xml:space="preserve">’s </w:t>
      </w:r>
      <w:r w:rsidR="00124BA4" w:rsidRPr="00820C89">
        <w:rPr>
          <w:rFonts w:asciiTheme="majorHAnsi" w:hAnsiTheme="majorHAnsi"/>
        </w:rPr>
        <w:t xml:space="preserve">current approach to working with Indigenous Australians is outlined in the </w:t>
      </w:r>
      <w:r w:rsidR="00124BA4" w:rsidRPr="00820C89">
        <w:rPr>
          <w:rFonts w:asciiTheme="majorHAnsi" w:hAnsiTheme="majorHAnsi"/>
          <w:i/>
          <w:iCs/>
        </w:rPr>
        <w:t>I</w:t>
      </w:r>
      <w:r w:rsidR="00097732" w:rsidRPr="00820C89">
        <w:rPr>
          <w:rFonts w:asciiTheme="majorHAnsi" w:hAnsiTheme="majorHAnsi"/>
          <w:i/>
          <w:iCs/>
        </w:rPr>
        <w:t>ndigenous Advancement Strategy</w:t>
      </w:r>
      <w:r w:rsidR="00D72A0B" w:rsidRPr="00820C89">
        <w:rPr>
          <w:rFonts w:asciiTheme="majorHAnsi" w:hAnsiTheme="majorHAnsi"/>
          <w:i/>
          <w:iCs/>
        </w:rPr>
        <w:t xml:space="preserve"> </w:t>
      </w:r>
      <w:r w:rsidR="00D72A0B" w:rsidRPr="00820C89">
        <w:rPr>
          <w:rFonts w:asciiTheme="majorHAnsi" w:hAnsiTheme="majorHAnsi"/>
        </w:rPr>
        <w:t xml:space="preserve">– the </w:t>
      </w:r>
      <w:r w:rsidR="00CD0019" w:rsidRPr="00820C89">
        <w:rPr>
          <w:rFonts w:asciiTheme="majorHAnsi" w:hAnsiTheme="majorHAnsi"/>
        </w:rPr>
        <w:t>framework</w:t>
      </w:r>
      <w:r w:rsidR="00DF4999" w:rsidRPr="00820C89">
        <w:rPr>
          <w:rFonts w:asciiTheme="majorHAnsi" w:hAnsiTheme="majorHAnsi"/>
        </w:rPr>
        <w:t xml:space="preserve"> </w:t>
      </w:r>
      <w:r w:rsidR="00D72A0B" w:rsidRPr="00820C89">
        <w:rPr>
          <w:rFonts w:asciiTheme="majorHAnsi" w:hAnsiTheme="majorHAnsi"/>
        </w:rPr>
        <w:t xml:space="preserve">that </w:t>
      </w:r>
      <w:r w:rsidR="00DF4999" w:rsidRPr="00820C89">
        <w:rPr>
          <w:rFonts w:asciiTheme="majorHAnsi" w:hAnsiTheme="majorHAnsi"/>
        </w:rPr>
        <w:t xml:space="preserve">consolidates </w:t>
      </w:r>
      <w:r w:rsidR="00D72A0B" w:rsidRPr="00820C89">
        <w:rPr>
          <w:rFonts w:asciiTheme="majorHAnsi" w:hAnsiTheme="majorHAnsi"/>
        </w:rPr>
        <w:t xml:space="preserve">the many different Indigenous policies and programs the government delivers into </w:t>
      </w:r>
      <w:r w:rsidR="00933A27" w:rsidRPr="00820C89">
        <w:rPr>
          <w:rFonts w:asciiTheme="majorHAnsi" w:hAnsiTheme="majorHAnsi"/>
        </w:rPr>
        <w:t>five overarching</w:t>
      </w:r>
      <w:r w:rsidR="00C32E78" w:rsidRPr="00820C89">
        <w:rPr>
          <w:rFonts w:asciiTheme="majorHAnsi" w:hAnsiTheme="majorHAnsi"/>
        </w:rPr>
        <w:t xml:space="preserve"> programs</w:t>
      </w:r>
      <w:r w:rsidR="007E6287" w:rsidRPr="00820C89">
        <w:rPr>
          <w:rFonts w:asciiTheme="majorHAnsi" w:hAnsiTheme="majorHAnsi"/>
        </w:rPr>
        <w:t xml:space="preserve">, including: </w:t>
      </w:r>
    </w:p>
    <w:p w14:paraId="5DF60E7F" w14:textId="77777777" w:rsidR="007E6287" w:rsidRPr="00820C89" w:rsidRDefault="007E6287" w:rsidP="00715F70">
      <w:pPr>
        <w:numPr>
          <w:ilvl w:val="0"/>
          <w:numId w:val="65"/>
        </w:numPr>
        <w:shd w:val="clear" w:color="auto" w:fill="FFFFFF"/>
        <w:spacing w:after="0" w:line="240" w:lineRule="auto"/>
        <w:ind w:left="426"/>
        <w:rPr>
          <w:rFonts w:asciiTheme="majorHAnsi" w:hAnsiTheme="majorHAnsi"/>
        </w:rPr>
      </w:pPr>
      <w:r w:rsidRPr="00820C89">
        <w:rPr>
          <w:rFonts w:asciiTheme="majorHAnsi" w:hAnsiTheme="majorHAnsi"/>
        </w:rPr>
        <w:t>Jobs, Land and Economy</w:t>
      </w:r>
    </w:p>
    <w:p w14:paraId="4396F9ED" w14:textId="77777777" w:rsidR="007E6287" w:rsidRPr="00820C89" w:rsidRDefault="007E6287" w:rsidP="00715F70">
      <w:pPr>
        <w:numPr>
          <w:ilvl w:val="0"/>
          <w:numId w:val="65"/>
        </w:numPr>
        <w:shd w:val="clear" w:color="auto" w:fill="FFFFFF"/>
        <w:spacing w:after="0" w:line="240" w:lineRule="auto"/>
        <w:ind w:left="426"/>
        <w:rPr>
          <w:rFonts w:asciiTheme="majorHAnsi" w:hAnsiTheme="majorHAnsi"/>
        </w:rPr>
      </w:pPr>
      <w:r w:rsidRPr="00820C89">
        <w:rPr>
          <w:rFonts w:asciiTheme="majorHAnsi" w:hAnsiTheme="majorHAnsi"/>
        </w:rPr>
        <w:t>Children and Schooling</w:t>
      </w:r>
    </w:p>
    <w:p w14:paraId="11FEC022" w14:textId="77777777" w:rsidR="007E6287" w:rsidRPr="00820C89" w:rsidRDefault="007E6287" w:rsidP="00715F70">
      <w:pPr>
        <w:numPr>
          <w:ilvl w:val="0"/>
          <w:numId w:val="65"/>
        </w:numPr>
        <w:shd w:val="clear" w:color="auto" w:fill="FFFFFF"/>
        <w:spacing w:after="0" w:line="240" w:lineRule="auto"/>
        <w:ind w:left="426"/>
        <w:rPr>
          <w:rFonts w:asciiTheme="majorHAnsi" w:hAnsiTheme="majorHAnsi"/>
        </w:rPr>
      </w:pPr>
      <w:r w:rsidRPr="00820C89">
        <w:rPr>
          <w:rFonts w:asciiTheme="majorHAnsi" w:hAnsiTheme="majorHAnsi"/>
        </w:rPr>
        <w:t>Safety and Wellbeing</w:t>
      </w:r>
    </w:p>
    <w:p w14:paraId="751D9351" w14:textId="77777777" w:rsidR="007E6287" w:rsidRPr="00820C89" w:rsidRDefault="007E6287" w:rsidP="00715F70">
      <w:pPr>
        <w:numPr>
          <w:ilvl w:val="0"/>
          <w:numId w:val="65"/>
        </w:numPr>
        <w:shd w:val="clear" w:color="auto" w:fill="FFFFFF"/>
        <w:spacing w:after="0" w:line="240" w:lineRule="auto"/>
        <w:ind w:left="426"/>
        <w:rPr>
          <w:rFonts w:asciiTheme="majorHAnsi" w:hAnsiTheme="majorHAnsi"/>
        </w:rPr>
      </w:pPr>
      <w:r w:rsidRPr="00820C89">
        <w:rPr>
          <w:rFonts w:asciiTheme="majorHAnsi" w:hAnsiTheme="majorHAnsi"/>
        </w:rPr>
        <w:t>Culture and Capability</w:t>
      </w:r>
    </w:p>
    <w:p w14:paraId="0AA988C2" w14:textId="77777777" w:rsidR="00420657" w:rsidRPr="00820C89" w:rsidRDefault="007E6287" w:rsidP="00715F70">
      <w:pPr>
        <w:numPr>
          <w:ilvl w:val="0"/>
          <w:numId w:val="65"/>
        </w:numPr>
        <w:shd w:val="clear" w:color="auto" w:fill="FFFFFF"/>
        <w:spacing w:line="240" w:lineRule="auto"/>
        <w:ind w:left="426"/>
        <w:rPr>
          <w:rFonts w:asciiTheme="majorHAnsi" w:hAnsiTheme="majorHAnsi"/>
        </w:rPr>
      </w:pPr>
      <w:r w:rsidRPr="00820C89">
        <w:rPr>
          <w:rFonts w:asciiTheme="majorHAnsi" w:hAnsiTheme="majorHAnsi"/>
        </w:rPr>
        <w:t>Remote Australia Strategies</w:t>
      </w:r>
    </w:p>
    <w:p w14:paraId="24F0378C" w14:textId="77777777" w:rsidR="00CC2FB5" w:rsidRPr="00820C89" w:rsidRDefault="00420657" w:rsidP="00AC22F2">
      <w:r w:rsidRPr="00820C89">
        <w:t>Within the ‘Jobs, Land and Economy’ stream</w:t>
      </w:r>
      <w:r w:rsidR="00837D2A" w:rsidRPr="00820C89">
        <w:t>,</w:t>
      </w:r>
      <w:r w:rsidRPr="00820C89">
        <w:t xml:space="preserve"> t</w:t>
      </w:r>
      <w:r w:rsidR="006506CA" w:rsidRPr="00820C89">
        <w:t>he current Commonwealth government approach to increasing Indigenous employment, which includ</w:t>
      </w:r>
      <w:r w:rsidR="00CF542F" w:rsidRPr="00820C89">
        <w:t>es</w:t>
      </w:r>
      <w:r w:rsidR="006506CA" w:rsidRPr="00820C89">
        <w:t xml:space="preserve"> the in-scope programs for this evaluation, is heavily shaped by the </w:t>
      </w:r>
      <w:r w:rsidR="006506CA" w:rsidRPr="00820C89">
        <w:rPr>
          <w:i/>
        </w:rPr>
        <w:t>Creating Parity: the Forrest Review</w:t>
      </w:r>
      <w:r w:rsidR="006506CA" w:rsidRPr="00820C89">
        <w:t xml:space="preserve"> (2014) (the </w:t>
      </w:r>
      <w:r w:rsidR="006506CA" w:rsidRPr="00820C89">
        <w:rPr>
          <w:i/>
        </w:rPr>
        <w:t>Forrest Review</w:t>
      </w:r>
      <w:r w:rsidR="006506CA" w:rsidRPr="00820C89">
        <w:t xml:space="preserve">). The </w:t>
      </w:r>
      <w:r w:rsidR="006506CA" w:rsidRPr="00820C89">
        <w:rPr>
          <w:i/>
        </w:rPr>
        <w:t xml:space="preserve">Forrest Review </w:t>
      </w:r>
      <w:r w:rsidR="006506CA" w:rsidRPr="00820C89">
        <w:t>was deeply critical of the mainstream employment system’s ability to suitably support Indigenous jobseekers and provide stability for employers</w:t>
      </w:r>
      <w:r w:rsidR="008447BA" w:rsidRPr="00820C89">
        <w:t>. As such, the review</w:t>
      </w:r>
      <w:r w:rsidR="006506CA" w:rsidRPr="00820C89">
        <w:t xml:space="preserve"> promoted a demand-driven approach to employment services that focused on sustainable employment outcomes, as opposed to training outcomes.</w:t>
      </w:r>
      <w:r w:rsidR="006506CA" w:rsidRPr="00820C89">
        <w:rPr>
          <w:rStyle w:val="FootnoteReference"/>
          <w:rFonts w:asciiTheme="majorHAnsi" w:hAnsiTheme="majorHAnsi"/>
        </w:rPr>
        <w:footnoteReference w:id="21"/>
      </w:r>
    </w:p>
    <w:p w14:paraId="2E8FAAC3" w14:textId="18D343C0" w:rsidR="00124BB1" w:rsidRPr="00820C89" w:rsidRDefault="00C85CC9" w:rsidP="009A4E61">
      <w:pPr>
        <w:rPr>
          <w:rFonts w:asciiTheme="majorHAnsi" w:hAnsiTheme="majorHAnsi"/>
        </w:rPr>
      </w:pPr>
      <w:r w:rsidRPr="00820C89">
        <w:rPr>
          <w:rFonts w:asciiTheme="majorHAnsi" w:hAnsiTheme="majorHAnsi"/>
        </w:rPr>
        <w:t>j</w:t>
      </w:r>
      <w:r w:rsidR="009A4E61" w:rsidRPr="00820C89">
        <w:rPr>
          <w:rFonts w:asciiTheme="majorHAnsi" w:hAnsiTheme="majorHAnsi"/>
        </w:rPr>
        <w:t>obactive and CDP are the mainstream</w:t>
      </w:r>
      <w:r w:rsidR="00C2644F" w:rsidRPr="00820C89">
        <w:rPr>
          <w:rFonts w:asciiTheme="majorHAnsi" w:hAnsiTheme="majorHAnsi"/>
        </w:rPr>
        <w:t xml:space="preserve"> employment services</w:t>
      </w:r>
      <w:r w:rsidR="009A4E61" w:rsidRPr="00820C89">
        <w:rPr>
          <w:rFonts w:asciiTheme="majorHAnsi" w:hAnsiTheme="majorHAnsi"/>
        </w:rPr>
        <w:t xml:space="preserve"> that are currently in operation</w:t>
      </w:r>
      <w:r w:rsidR="00C2644F" w:rsidRPr="00820C89">
        <w:rPr>
          <w:rFonts w:asciiTheme="majorHAnsi" w:hAnsiTheme="majorHAnsi"/>
        </w:rPr>
        <w:t xml:space="preserve"> in non-remote and remote Australia</w:t>
      </w:r>
      <w:r w:rsidR="009A4E61" w:rsidRPr="00820C89">
        <w:rPr>
          <w:rFonts w:asciiTheme="majorHAnsi" w:hAnsiTheme="majorHAnsi"/>
        </w:rPr>
        <w:t xml:space="preserve">. The Australian Government announced in March 2019 that </w:t>
      </w:r>
      <w:r w:rsidR="00CE39A0" w:rsidRPr="00820C89">
        <w:rPr>
          <w:rFonts w:asciiTheme="majorHAnsi" w:hAnsiTheme="majorHAnsi"/>
        </w:rPr>
        <w:t>from the 1</w:t>
      </w:r>
      <w:r w:rsidR="00CE39A0" w:rsidRPr="00820C89">
        <w:rPr>
          <w:rFonts w:asciiTheme="majorHAnsi" w:hAnsiTheme="majorHAnsi"/>
          <w:vertAlign w:val="superscript"/>
        </w:rPr>
        <w:t>st</w:t>
      </w:r>
      <w:r w:rsidR="00CE39A0" w:rsidRPr="00820C89">
        <w:rPr>
          <w:rFonts w:asciiTheme="majorHAnsi" w:hAnsiTheme="majorHAnsi"/>
        </w:rPr>
        <w:t xml:space="preserve"> July </w:t>
      </w:r>
      <w:r w:rsidR="00CA7A70" w:rsidRPr="00820C89">
        <w:rPr>
          <w:rFonts w:asciiTheme="majorHAnsi" w:hAnsiTheme="majorHAnsi"/>
        </w:rPr>
        <w:t xml:space="preserve">2022 </w:t>
      </w:r>
      <w:r w:rsidR="009A4E61" w:rsidRPr="00820C89">
        <w:rPr>
          <w:rFonts w:asciiTheme="majorHAnsi" w:hAnsiTheme="majorHAnsi"/>
        </w:rPr>
        <w:t xml:space="preserve">the </w:t>
      </w:r>
      <w:r w:rsidR="00CA7A70" w:rsidRPr="00820C89">
        <w:rPr>
          <w:rFonts w:asciiTheme="majorHAnsi" w:hAnsiTheme="majorHAnsi"/>
        </w:rPr>
        <w:t xml:space="preserve">new employment services model </w:t>
      </w:r>
      <w:r w:rsidR="009A4E61" w:rsidRPr="00820C89">
        <w:rPr>
          <w:rFonts w:asciiTheme="majorHAnsi" w:hAnsiTheme="majorHAnsi"/>
        </w:rPr>
        <w:t xml:space="preserve">will replace </w:t>
      </w:r>
      <w:r w:rsidR="00A45A79" w:rsidRPr="00820C89">
        <w:rPr>
          <w:rFonts w:asciiTheme="majorHAnsi" w:hAnsiTheme="majorHAnsi"/>
        </w:rPr>
        <w:t>j</w:t>
      </w:r>
      <w:r w:rsidR="009A4E61" w:rsidRPr="00820C89">
        <w:rPr>
          <w:rFonts w:asciiTheme="majorHAnsi" w:hAnsiTheme="majorHAnsi"/>
        </w:rPr>
        <w:t>obactive.</w:t>
      </w:r>
      <w:r w:rsidR="00FA0B9E" w:rsidRPr="00820C89">
        <w:rPr>
          <w:rFonts w:asciiTheme="majorHAnsi" w:hAnsiTheme="majorHAnsi"/>
        </w:rPr>
        <w:t xml:space="preserve"> </w:t>
      </w:r>
    </w:p>
    <w:p w14:paraId="5896B775" w14:textId="77777777" w:rsidR="009A4E61" w:rsidRPr="00820C89" w:rsidRDefault="00FA0B9E" w:rsidP="009A4E61">
      <w:pPr>
        <w:rPr>
          <w:rFonts w:asciiTheme="majorHAnsi" w:hAnsiTheme="majorHAnsi"/>
        </w:rPr>
      </w:pPr>
      <w:r w:rsidRPr="00820C89">
        <w:rPr>
          <w:rFonts w:asciiTheme="majorHAnsi" w:hAnsiTheme="majorHAnsi"/>
        </w:rPr>
        <w:t xml:space="preserve">Further, </w:t>
      </w:r>
      <w:r w:rsidR="002C4D3B" w:rsidRPr="00820C89">
        <w:rPr>
          <w:rFonts w:asciiTheme="majorHAnsi" w:hAnsiTheme="majorHAnsi"/>
        </w:rPr>
        <w:t xml:space="preserve">in the 2021-22 Federal Budget the government announced that </w:t>
      </w:r>
      <w:r w:rsidR="00BC4B6A" w:rsidRPr="00820C89">
        <w:rPr>
          <w:rFonts w:asciiTheme="majorHAnsi" w:hAnsiTheme="majorHAnsi"/>
        </w:rPr>
        <w:t xml:space="preserve">the new </w:t>
      </w:r>
      <w:r w:rsidR="00D26E68" w:rsidRPr="00820C89">
        <w:rPr>
          <w:rFonts w:asciiTheme="majorHAnsi" w:hAnsiTheme="majorHAnsi"/>
        </w:rPr>
        <w:t xml:space="preserve">Indigenous </w:t>
      </w:r>
      <w:r w:rsidR="00BC4B6A" w:rsidRPr="00820C89">
        <w:rPr>
          <w:rFonts w:asciiTheme="majorHAnsi" w:hAnsiTheme="majorHAnsi"/>
        </w:rPr>
        <w:t>Skills and Employment Program (</w:t>
      </w:r>
      <w:r w:rsidR="004276C3" w:rsidRPr="00820C89">
        <w:rPr>
          <w:rFonts w:asciiTheme="majorHAnsi" w:hAnsiTheme="majorHAnsi"/>
        </w:rPr>
        <w:t>I</w:t>
      </w:r>
      <w:r w:rsidR="00BC4B6A" w:rsidRPr="00820C89">
        <w:rPr>
          <w:rFonts w:asciiTheme="majorHAnsi" w:hAnsiTheme="majorHAnsi"/>
        </w:rPr>
        <w:t>SEP) will replace the VTEC, TAEG and EPI programs from the 1</w:t>
      </w:r>
      <w:r w:rsidR="00BC4B6A" w:rsidRPr="00820C89">
        <w:rPr>
          <w:rFonts w:asciiTheme="majorHAnsi" w:hAnsiTheme="majorHAnsi"/>
          <w:vertAlign w:val="superscript"/>
        </w:rPr>
        <w:t>st</w:t>
      </w:r>
      <w:r w:rsidR="00BC4B6A" w:rsidRPr="00820C89">
        <w:rPr>
          <w:rFonts w:asciiTheme="majorHAnsi" w:hAnsiTheme="majorHAnsi"/>
        </w:rPr>
        <w:t xml:space="preserve"> July 2022</w:t>
      </w:r>
      <w:r w:rsidR="00AA183D" w:rsidRPr="00820C89">
        <w:rPr>
          <w:rFonts w:asciiTheme="majorHAnsi" w:hAnsiTheme="majorHAnsi"/>
        </w:rPr>
        <w:t>, as well as reforms to CDP from 1 July 2023</w:t>
      </w:r>
      <w:r w:rsidR="00BC4B6A" w:rsidRPr="00820C89">
        <w:rPr>
          <w:rFonts w:asciiTheme="majorHAnsi" w:hAnsiTheme="majorHAnsi"/>
        </w:rPr>
        <w:t>.</w:t>
      </w:r>
      <w:r w:rsidR="00230C50" w:rsidRPr="00820C89">
        <w:rPr>
          <w:rFonts w:asciiTheme="majorHAnsi" w:hAnsiTheme="majorHAnsi"/>
        </w:rPr>
        <w:t xml:space="preserve"> </w:t>
      </w:r>
    </w:p>
    <w:p w14:paraId="2908DB52" w14:textId="77777777" w:rsidR="009E4077" w:rsidRPr="00820C89" w:rsidRDefault="009E4077" w:rsidP="00AF083E">
      <w:pPr>
        <w:pStyle w:val="Heading2"/>
        <w:rPr>
          <w:rFonts w:asciiTheme="majorHAnsi" w:hAnsiTheme="majorHAnsi"/>
        </w:rPr>
      </w:pPr>
      <w:bookmarkStart w:id="32" w:name="_Toc82710766"/>
      <w:bookmarkStart w:id="33" w:name="_Toc101343281"/>
      <w:bookmarkStart w:id="34" w:name="_Toc54966937"/>
      <w:bookmarkStart w:id="35" w:name="_Toc57022889"/>
      <w:bookmarkStart w:id="36" w:name="_Toc55495121"/>
      <w:r w:rsidRPr="00820C89">
        <w:rPr>
          <w:rFonts w:asciiTheme="majorHAnsi" w:hAnsiTheme="majorHAnsi"/>
        </w:rPr>
        <w:t xml:space="preserve">Overview of </w:t>
      </w:r>
      <w:r w:rsidR="00B06B1B" w:rsidRPr="00820C89">
        <w:rPr>
          <w:rFonts w:asciiTheme="majorHAnsi" w:hAnsiTheme="majorHAnsi"/>
        </w:rPr>
        <w:t>the IEP</w:t>
      </w:r>
      <w:bookmarkEnd w:id="32"/>
      <w:bookmarkEnd w:id="33"/>
      <w:r w:rsidR="00B06B1B" w:rsidRPr="00820C89">
        <w:rPr>
          <w:rFonts w:asciiTheme="majorHAnsi" w:hAnsiTheme="majorHAnsi"/>
        </w:rPr>
        <w:t xml:space="preserve"> </w:t>
      </w:r>
      <w:bookmarkEnd w:id="34"/>
      <w:bookmarkEnd w:id="35"/>
      <w:bookmarkEnd w:id="36"/>
    </w:p>
    <w:p w14:paraId="53D2AE22" w14:textId="77777777" w:rsidR="009E4077" w:rsidRPr="00820C89" w:rsidRDefault="009E4077" w:rsidP="009E4077">
      <w:pPr>
        <w:rPr>
          <w:rFonts w:asciiTheme="majorHAnsi" w:hAnsiTheme="majorHAnsi"/>
        </w:rPr>
      </w:pPr>
      <w:r w:rsidRPr="00820C89">
        <w:rPr>
          <w:rFonts w:asciiTheme="majorHAnsi" w:hAnsiTheme="majorHAnsi"/>
        </w:rPr>
        <w:t xml:space="preserve">The three </w:t>
      </w:r>
      <w:r w:rsidR="0000666F" w:rsidRPr="00820C89">
        <w:rPr>
          <w:rFonts w:asciiTheme="majorHAnsi" w:hAnsiTheme="majorHAnsi"/>
        </w:rPr>
        <w:t>sub-programs</w:t>
      </w:r>
      <w:r w:rsidRPr="00820C89">
        <w:rPr>
          <w:rFonts w:asciiTheme="majorHAnsi" w:hAnsiTheme="majorHAnsi"/>
        </w:rPr>
        <w:t xml:space="preserve"> in-scope for </w:t>
      </w:r>
      <w:r w:rsidR="00AA53FA" w:rsidRPr="00820C89">
        <w:rPr>
          <w:rFonts w:asciiTheme="majorHAnsi" w:hAnsiTheme="majorHAnsi"/>
        </w:rPr>
        <w:t>evaluation</w:t>
      </w:r>
      <w:r w:rsidRPr="00820C89">
        <w:rPr>
          <w:rFonts w:asciiTheme="majorHAnsi" w:hAnsiTheme="majorHAnsi"/>
        </w:rPr>
        <w:t xml:space="preserve"> are all initiatives within the Indigenous Advancement Strategy (IAS) Jobs, Land and Economy Program (JLEP).  They are stand-alone programs, which are complementary to mainstream employment services, with each having a different focus. </w:t>
      </w:r>
      <w:r w:rsidR="00AA53FA" w:rsidRPr="00820C89">
        <w:rPr>
          <w:rFonts w:asciiTheme="majorHAnsi" w:hAnsiTheme="majorHAnsi"/>
        </w:rPr>
        <w:t>The three programs include:</w:t>
      </w:r>
    </w:p>
    <w:p w14:paraId="546F23EB" w14:textId="77777777" w:rsidR="00AA53FA" w:rsidRPr="00820C89" w:rsidRDefault="00AA53FA" w:rsidP="00715F70">
      <w:pPr>
        <w:pStyle w:val="ListParagraph"/>
        <w:numPr>
          <w:ilvl w:val="0"/>
          <w:numId w:val="44"/>
        </w:numPr>
        <w:spacing w:before="60" w:after="60"/>
        <w:ind w:left="357" w:hanging="357"/>
        <w:contextualSpacing w:val="0"/>
        <w:rPr>
          <w:rFonts w:asciiTheme="majorHAnsi" w:hAnsiTheme="majorHAnsi"/>
        </w:rPr>
      </w:pPr>
      <w:r w:rsidRPr="00820C89">
        <w:rPr>
          <w:rFonts w:asciiTheme="majorHAnsi" w:hAnsiTheme="majorHAnsi"/>
          <w:b/>
        </w:rPr>
        <w:t xml:space="preserve">VTEC </w:t>
      </w:r>
      <w:r w:rsidRPr="00820C89">
        <w:rPr>
          <w:rFonts w:asciiTheme="majorHAnsi" w:hAnsiTheme="majorHAnsi"/>
        </w:rPr>
        <w:t>– this initiative seeks to connect Indigenous jobseekers with guaranteed employment by providing necessary support services to prepare jobseekers for long-term employment, as well as training through industry employers. This program model was originally designed by Fortescue Metal Group, championed by GenerationOne, and then adopted by the Commonwealth Government.</w:t>
      </w:r>
    </w:p>
    <w:p w14:paraId="46C1D8D8" w14:textId="77777777" w:rsidR="00AA53FA" w:rsidRPr="00820C89" w:rsidRDefault="00AA53FA" w:rsidP="00715F70">
      <w:pPr>
        <w:pStyle w:val="ListParagraph"/>
        <w:numPr>
          <w:ilvl w:val="0"/>
          <w:numId w:val="44"/>
        </w:numPr>
        <w:spacing w:before="60" w:after="60"/>
        <w:ind w:left="357" w:hanging="357"/>
        <w:contextualSpacing w:val="0"/>
        <w:rPr>
          <w:rFonts w:asciiTheme="majorHAnsi" w:hAnsiTheme="majorHAnsi"/>
        </w:rPr>
      </w:pPr>
      <w:r w:rsidRPr="00820C89">
        <w:rPr>
          <w:rFonts w:asciiTheme="majorHAnsi" w:hAnsiTheme="majorHAnsi"/>
          <w:b/>
        </w:rPr>
        <w:t>EPI</w:t>
      </w:r>
      <w:r w:rsidRPr="00820C89">
        <w:rPr>
          <w:rFonts w:asciiTheme="majorHAnsi" w:hAnsiTheme="majorHAnsi"/>
        </w:rPr>
        <w:t xml:space="preserve"> – this initiative works alongside large Australian companies, encouraging them to commit to Indigenous workforce targets and embed recruitment and retention strategies within their organisation. This program was included as part of the Forrest Review’s recommendations.</w:t>
      </w:r>
    </w:p>
    <w:p w14:paraId="15A8B495" w14:textId="77777777" w:rsidR="00AA53FA" w:rsidRPr="00820C89" w:rsidRDefault="00AA53FA" w:rsidP="00715F70">
      <w:pPr>
        <w:pStyle w:val="ListParagraph"/>
        <w:numPr>
          <w:ilvl w:val="0"/>
          <w:numId w:val="44"/>
        </w:numPr>
        <w:spacing w:before="60" w:after="60"/>
        <w:ind w:left="357" w:hanging="357"/>
        <w:contextualSpacing w:val="0"/>
        <w:rPr>
          <w:rFonts w:asciiTheme="majorHAnsi" w:hAnsiTheme="majorHAnsi"/>
        </w:rPr>
      </w:pPr>
      <w:r w:rsidRPr="00820C89">
        <w:rPr>
          <w:rFonts w:asciiTheme="majorHAnsi" w:hAnsiTheme="majorHAnsi"/>
          <w:b/>
        </w:rPr>
        <w:t xml:space="preserve">TAEG </w:t>
      </w:r>
      <w:r w:rsidRPr="00820C89">
        <w:rPr>
          <w:rFonts w:asciiTheme="majorHAnsi" w:hAnsiTheme="majorHAnsi"/>
        </w:rPr>
        <w:t>– this program provides supports activities that seek to support Indigenous jobseekers with sustainable jobs and providing employer support to assist with attracting and retaining Indigenous Australians.</w:t>
      </w:r>
      <w:r w:rsidRPr="00820C89">
        <w:rPr>
          <w:rStyle w:val="FootnoteReference"/>
        </w:rPr>
        <w:footnoteReference w:id="22"/>
      </w:r>
      <w:r w:rsidRPr="00820C89">
        <w:rPr>
          <w:rStyle w:val="FootnoteReference"/>
        </w:rPr>
        <w:t xml:space="preserve"> </w:t>
      </w:r>
      <w:r w:rsidR="00813B69" w:rsidRPr="00820C89">
        <w:rPr>
          <w:rStyle w:val="FootnoteReference"/>
        </w:rPr>
        <w:t xml:space="preserve"> </w:t>
      </w:r>
      <w:r w:rsidRPr="00820C89">
        <w:rPr>
          <w:rFonts w:asciiTheme="majorHAnsi" w:hAnsiTheme="majorHAnsi"/>
        </w:rPr>
        <w:t>Refinements to this program, which was previously a part of the Indigenous Employment Programme, were recommended as part of the Forrest Review.</w:t>
      </w:r>
    </w:p>
    <w:p w14:paraId="04247101" w14:textId="77777777" w:rsidR="00BA1960" w:rsidRPr="00820C89" w:rsidRDefault="00BA1960" w:rsidP="00BA1960">
      <w:pPr>
        <w:spacing w:before="170"/>
        <w:rPr>
          <w:rFonts w:asciiTheme="majorHAnsi" w:hAnsiTheme="majorHAnsi"/>
        </w:rPr>
      </w:pPr>
      <w:r w:rsidRPr="00820C89">
        <w:rPr>
          <w:rFonts w:asciiTheme="majorHAnsi" w:hAnsiTheme="majorHAnsi"/>
        </w:rPr>
        <w:t xml:space="preserve">This section gives a </w:t>
      </w:r>
      <w:r w:rsidR="00564CF3" w:rsidRPr="00820C89">
        <w:rPr>
          <w:rFonts w:asciiTheme="majorHAnsi" w:hAnsiTheme="majorHAnsi"/>
        </w:rPr>
        <w:t>high-level</w:t>
      </w:r>
      <w:r w:rsidRPr="00820C89">
        <w:rPr>
          <w:rFonts w:asciiTheme="majorHAnsi" w:hAnsiTheme="majorHAnsi"/>
        </w:rPr>
        <w:t xml:space="preserve"> overview of the programs and their design. This discussion is then built upon in subsequent chapters, where program design and implementation are considered more fulsomely. </w:t>
      </w:r>
    </w:p>
    <w:p w14:paraId="050FE1AC" w14:textId="7BDAE6C7" w:rsidR="009E4077" w:rsidRPr="001A629A" w:rsidRDefault="009E4077" w:rsidP="009E4077">
      <w:pPr>
        <w:rPr>
          <w:rFonts w:asciiTheme="majorHAnsi" w:hAnsiTheme="majorHAnsi"/>
        </w:rPr>
      </w:pPr>
      <w:r w:rsidRPr="001A629A">
        <w:rPr>
          <w:rFonts w:asciiTheme="majorHAnsi" w:hAnsiTheme="majorHAnsi"/>
        </w:rPr>
        <w:t>The three programs have collectively had over 2</w:t>
      </w:r>
      <w:r w:rsidR="00F62258" w:rsidRPr="001A629A">
        <w:rPr>
          <w:rFonts w:asciiTheme="majorHAnsi" w:hAnsiTheme="majorHAnsi"/>
        </w:rPr>
        <w:t>7</w:t>
      </w:r>
      <w:r w:rsidRPr="001A629A">
        <w:rPr>
          <w:rFonts w:asciiTheme="majorHAnsi" w:hAnsiTheme="majorHAnsi"/>
        </w:rPr>
        <w:t>,000 employment commencements during the scope of the evaluation timeframe –</w:t>
      </w:r>
      <w:r w:rsidR="00420F65" w:rsidRPr="001A629A">
        <w:rPr>
          <w:rFonts w:asciiTheme="majorHAnsi" w:hAnsiTheme="majorHAnsi"/>
        </w:rPr>
        <w:t xml:space="preserve"> </w:t>
      </w:r>
      <w:r w:rsidRPr="001A629A">
        <w:rPr>
          <w:rFonts w:asciiTheme="majorHAnsi" w:hAnsiTheme="majorHAnsi"/>
        </w:rPr>
        <w:t xml:space="preserve">with activities operating across every state and territory in </w:t>
      </w:r>
      <w:r w:rsidRPr="001A629A">
        <w:rPr>
          <w:rFonts w:asciiTheme="majorHAnsi" w:hAnsiTheme="majorHAnsi"/>
        </w:rPr>
        <w:lastRenderedPageBreak/>
        <w:t xml:space="preserve">Australia (Figure </w:t>
      </w:r>
      <w:r w:rsidR="001F60AA" w:rsidRPr="001A629A">
        <w:rPr>
          <w:rFonts w:asciiTheme="majorHAnsi" w:hAnsiTheme="majorHAnsi"/>
        </w:rPr>
        <w:t>1.</w:t>
      </w:r>
      <w:r w:rsidR="00047526" w:rsidRPr="001A629A">
        <w:rPr>
          <w:rFonts w:asciiTheme="majorHAnsi" w:hAnsiTheme="majorHAnsi"/>
        </w:rPr>
        <w:t>1</w:t>
      </w:r>
      <w:r w:rsidRPr="001A629A">
        <w:rPr>
          <w:rFonts w:asciiTheme="majorHAnsi" w:hAnsiTheme="majorHAnsi"/>
        </w:rPr>
        <w:t>). An overview of the program objectives, key features and summary statistics is provided below.</w:t>
      </w:r>
    </w:p>
    <w:p w14:paraId="412BFC3A" w14:textId="1CCE4DD2" w:rsidR="009E4077" w:rsidRPr="001A629A" w:rsidRDefault="009E4077" w:rsidP="001656D4">
      <w:pPr>
        <w:pStyle w:val="CaptionFigure"/>
      </w:pPr>
      <w:r w:rsidRPr="001A629A">
        <w:rPr>
          <w:rFonts w:asciiTheme="majorHAnsi" w:hAnsiTheme="majorHAnsi"/>
        </w:rPr>
        <w:t xml:space="preserve">: Summary of IEP </w:t>
      </w:r>
      <w:r w:rsidR="00715A06" w:rsidRPr="001A629A">
        <w:rPr>
          <w:rFonts w:asciiTheme="majorHAnsi" w:hAnsiTheme="majorHAnsi"/>
        </w:rPr>
        <w:t>participation</w:t>
      </w:r>
      <w:r w:rsidRPr="001A629A">
        <w:rPr>
          <w:rFonts w:asciiTheme="majorHAnsi" w:hAnsiTheme="majorHAnsi"/>
        </w:rPr>
        <w:t xml:space="preserve"> (from project inception to December 2019)</w:t>
      </w:r>
    </w:p>
    <w:p w14:paraId="4F7817CF" w14:textId="77777777" w:rsidR="009E4077" w:rsidRPr="00820C89" w:rsidRDefault="008714F5" w:rsidP="009E4077">
      <w:pPr>
        <w:rPr>
          <w:rFonts w:asciiTheme="majorHAnsi" w:hAnsiTheme="majorHAnsi"/>
        </w:rPr>
      </w:pPr>
      <w:r w:rsidRPr="00820C89">
        <w:rPr>
          <w:noProof/>
          <w:lang w:eastAsia="en-AU"/>
        </w:rPr>
        <w:drawing>
          <wp:inline distT="0" distB="0" distL="0" distR="0" wp14:anchorId="4757A9A5" wp14:editId="03B82B87">
            <wp:extent cx="5963840" cy="3328442"/>
            <wp:effectExtent l="0" t="0" r="0" b="5715"/>
            <wp:docPr id="463" name="Picture 463" descr=" " title="Figure 1.1: Summary of IEP participation (from project inception to 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63840" cy="3328442"/>
                    </a:xfrm>
                    <a:prstGeom prst="rect">
                      <a:avLst/>
                    </a:prstGeom>
                  </pic:spPr>
                </pic:pic>
              </a:graphicData>
            </a:graphic>
          </wp:inline>
        </w:drawing>
      </w:r>
    </w:p>
    <w:p w14:paraId="4D3638C4" w14:textId="3C4ED174" w:rsidR="009E4077" w:rsidRPr="00820C89" w:rsidRDefault="009E4077" w:rsidP="009E4077">
      <w:pPr>
        <w:pStyle w:val="Source"/>
        <w:rPr>
          <w:rFonts w:asciiTheme="majorHAnsi" w:hAnsiTheme="majorHAnsi"/>
        </w:rPr>
      </w:pPr>
      <w:r w:rsidRPr="00820C89">
        <w:rPr>
          <w:rFonts w:asciiTheme="majorHAnsi" w:hAnsiTheme="majorHAnsi"/>
        </w:rPr>
        <w:t>Source: NIAA Program data (2014-2019). Note: ‘Employment commencements’ refers to the total number of instances where a participant commenced an employment placement (irrespective of whether they ultimately met specific employment milestones or not). This figure includes instances where a single participant has commenced employment multiple times. ‘Total payments’ refers to the total outcome payments that have been recorded in a given state</w:t>
      </w:r>
      <w:r w:rsidR="00FB4329" w:rsidRPr="00820C89">
        <w:rPr>
          <w:rFonts w:asciiTheme="majorHAnsi" w:hAnsiTheme="majorHAnsi"/>
        </w:rPr>
        <w:t>.</w:t>
      </w:r>
      <w:r w:rsidR="003E07BC" w:rsidRPr="00820C89">
        <w:rPr>
          <w:rFonts w:asciiTheme="majorHAnsi" w:hAnsiTheme="majorHAnsi"/>
        </w:rPr>
        <w:t xml:space="preserve"> </w:t>
      </w:r>
      <w:r w:rsidR="00B02E68" w:rsidRPr="00820C89">
        <w:rPr>
          <w:rFonts w:asciiTheme="majorHAnsi" w:hAnsiTheme="majorHAnsi"/>
        </w:rPr>
        <w:t xml:space="preserve">Total outcome payments include those made until mid-2020, to allow </w:t>
      </w:r>
      <w:r w:rsidR="001C2DA8" w:rsidRPr="00820C89">
        <w:rPr>
          <w:rFonts w:asciiTheme="majorHAnsi" w:hAnsiTheme="majorHAnsi"/>
        </w:rPr>
        <w:t>for participants who commenced in late 2019 to achieved employment milestones in 2020.</w:t>
      </w:r>
    </w:p>
    <w:p w14:paraId="342C8581" w14:textId="77777777" w:rsidR="009E4077" w:rsidRPr="00820C89" w:rsidRDefault="009E4077" w:rsidP="009E4077">
      <w:pPr>
        <w:rPr>
          <w:rFonts w:asciiTheme="majorHAnsi" w:hAnsiTheme="majorHAnsi"/>
        </w:rPr>
      </w:pPr>
      <w:r w:rsidRPr="00820C89">
        <w:rPr>
          <w:rFonts w:asciiTheme="majorHAnsi" w:hAnsiTheme="majorHAnsi"/>
        </w:rPr>
        <w:t>While the high-level design features of each program are articulated below, the programs share several commonalities including:</w:t>
      </w:r>
    </w:p>
    <w:p w14:paraId="2B0A7896" w14:textId="77777777" w:rsidR="009E4077" w:rsidRPr="00820C89" w:rsidRDefault="009E4077" w:rsidP="00715F70">
      <w:pPr>
        <w:pStyle w:val="ListParagraph"/>
        <w:numPr>
          <w:ilvl w:val="0"/>
          <w:numId w:val="32"/>
        </w:numPr>
        <w:spacing w:before="60" w:after="60"/>
        <w:ind w:left="357" w:hanging="357"/>
        <w:contextualSpacing w:val="0"/>
        <w:rPr>
          <w:rFonts w:asciiTheme="majorHAnsi" w:hAnsiTheme="majorHAnsi"/>
        </w:rPr>
      </w:pPr>
      <w:r w:rsidRPr="00820C89">
        <w:rPr>
          <w:rFonts w:asciiTheme="majorHAnsi" w:hAnsiTheme="majorHAnsi"/>
        </w:rPr>
        <w:t xml:space="preserve">All three programs are targeted exclusively towards Indigenous jobseekers. </w:t>
      </w:r>
    </w:p>
    <w:p w14:paraId="4BC0DA59" w14:textId="77777777" w:rsidR="009E4077" w:rsidRPr="00820C89" w:rsidRDefault="009E4077" w:rsidP="00715F70">
      <w:pPr>
        <w:pStyle w:val="ListParagraph"/>
        <w:numPr>
          <w:ilvl w:val="0"/>
          <w:numId w:val="32"/>
        </w:numPr>
        <w:spacing w:before="60" w:after="60"/>
        <w:ind w:left="357" w:hanging="357"/>
        <w:contextualSpacing w:val="0"/>
        <w:rPr>
          <w:rFonts w:asciiTheme="majorHAnsi" w:hAnsiTheme="majorHAnsi"/>
        </w:rPr>
      </w:pPr>
      <w:r w:rsidRPr="00820C89">
        <w:rPr>
          <w:rFonts w:asciiTheme="majorHAnsi" w:hAnsiTheme="majorHAnsi"/>
        </w:rPr>
        <w:t xml:space="preserve">The programs all use outcomes-based funding to incentivise provider performance. Providers must meet performance milestone payments, primarily linked to retention of participants in employment. </w:t>
      </w:r>
    </w:p>
    <w:p w14:paraId="40856997" w14:textId="77777777" w:rsidR="009E4077" w:rsidRPr="00820C89" w:rsidRDefault="009E4077" w:rsidP="00715F70">
      <w:pPr>
        <w:pStyle w:val="ListParagraph"/>
        <w:numPr>
          <w:ilvl w:val="0"/>
          <w:numId w:val="32"/>
        </w:numPr>
        <w:spacing w:before="60" w:after="60"/>
        <w:ind w:left="357" w:hanging="357"/>
        <w:contextualSpacing w:val="0"/>
        <w:rPr>
          <w:rFonts w:asciiTheme="majorHAnsi" w:hAnsiTheme="majorHAnsi"/>
        </w:rPr>
      </w:pPr>
      <w:r w:rsidRPr="00820C89">
        <w:rPr>
          <w:rFonts w:asciiTheme="majorHAnsi" w:hAnsiTheme="majorHAnsi"/>
        </w:rPr>
        <w:t>Insofar as possible, the programs are intended to be complementary to one another, and to other employment and community services.</w:t>
      </w:r>
    </w:p>
    <w:p w14:paraId="593096DA" w14:textId="77777777" w:rsidR="009E4077" w:rsidRPr="00820C89" w:rsidRDefault="009E4077" w:rsidP="009E4077">
      <w:pPr>
        <w:pStyle w:val="Heading3"/>
        <w:spacing w:before="170"/>
        <w:rPr>
          <w:rFonts w:asciiTheme="majorHAnsi" w:hAnsiTheme="majorHAnsi"/>
        </w:rPr>
      </w:pPr>
      <w:r w:rsidRPr="00820C89">
        <w:rPr>
          <w:rFonts w:asciiTheme="majorHAnsi" w:hAnsiTheme="majorHAnsi"/>
        </w:rPr>
        <w:t>VTEC</w:t>
      </w:r>
    </w:p>
    <w:p w14:paraId="38181099" w14:textId="77777777" w:rsidR="009E4077" w:rsidRPr="00820C89" w:rsidRDefault="009E4077" w:rsidP="009E4077">
      <w:pPr>
        <w:rPr>
          <w:rFonts w:asciiTheme="majorHAnsi" w:hAnsiTheme="majorHAnsi"/>
        </w:rPr>
      </w:pPr>
      <w:r w:rsidRPr="00820C89">
        <w:rPr>
          <w:rFonts w:asciiTheme="majorHAnsi" w:hAnsiTheme="majorHAnsi"/>
        </w:rPr>
        <w:t xml:space="preserve">The VTEC initiative was launched in 2014 to match Indigenous jobseekers with guaranteed jobs. The overarching objectives of the VTEC program are to reduce the gap in employment outcomes for Indigenous Australians, and to place more Indigenous Australians in sustainable employment.  </w:t>
      </w:r>
    </w:p>
    <w:p w14:paraId="0E418A89" w14:textId="77777777" w:rsidR="009E4077" w:rsidRPr="00820C89" w:rsidRDefault="009E4077" w:rsidP="009E4077">
      <w:pPr>
        <w:rPr>
          <w:rFonts w:asciiTheme="majorHAnsi" w:hAnsiTheme="majorHAnsi"/>
        </w:rPr>
      </w:pPr>
      <w:r w:rsidRPr="00820C89">
        <w:rPr>
          <w:rFonts w:asciiTheme="majorHAnsi" w:hAnsiTheme="majorHAnsi"/>
        </w:rPr>
        <w:t>VTECs are specialised training providers that deliver pre-employment training that is linked to guaranteed job opportunities for Indigenous Australians.</w:t>
      </w:r>
      <w:r w:rsidR="00540793" w:rsidRPr="00820C89">
        <w:rPr>
          <w:rFonts w:asciiTheme="majorHAnsi" w:hAnsiTheme="majorHAnsi"/>
        </w:rPr>
        <w:t xml:space="preserve"> </w:t>
      </w:r>
      <w:r w:rsidR="00A3022D" w:rsidRPr="00820C89">
        <w:rPr>
          <w:rFonts w:asciiTheme="majorHAnsi" w:hAnsiTheme="majorHAnsi"/>
        </w:rPr>
        <w:t>The</w:t>
      </w:r>
      <w:r w:rsidR="00A71509" w:rsidRPr="00820C89">
        <w:rPr>
          <w:rFonts w:asciiTheme="majorHAnsi" w:hAnsiTheme="majorHAnsi"/>
        </w:rPr>
        <w:t xml:space="preserve"> approach is intended to be ‘demand-driven’ in that it </w:t>
      </w:r>
      <w:r w:rsidR="00E51AE8" w:rsidRPr="00820C89">
        <w:rPr>
          <w:rFonts w:asciiTheme="majorHAnsi" w:hAnsiTheme="majorHAnsi"/>
        </w:rPr>
        <w:t xml:space="preserve">matches jobseekers </w:t>
      </w:r>
      <w:r w:rsidR="003D5456" w:rsidRPr="00820C89">
        <w:rPr>
          <w:rFonts w:asciiTheme="majorHAnsi" w:hAnsiTheme="majorHAnsi"/>
        </w:rPr>
        <w:t xml:space="preserve">to </w:t>
      </w:r>
      <w:r w:rsidR="002D4EB5" w:rsidRPr="00820C89">
        <w:rPr>
          <w:rFonts w:asciiTheme="majorHAnsi" w:hAnsiTheme="majorHAnsi"/>
        </w:rPr>
        <w:t xml:space="preserve">available employment opportunities in the labour market, as opposed to ‘supply-driven’ models that prioritise first supporting participants to overcome their barriers to employment and then </w:t>
      </w:r>
      <w:r w:rsidR="008D7A34" w:rsidRPr="00820C89">
        <w:rPr>
          <w:rFonts w:asciiTheme="majorHAnsi" w:hAnsiTheme="majorHAnsi"/>
        </w:rPr>
        <w:t>attempt</w:t>
      </w:r>
      <w:r w:rsidR="002D4EB5" w:rsidRPr="00820C89">
        <w:rPr>
          <w:rFonts w:asciiTheme="majorHAnsi" w:hAnsiTheme="majorHAnsi"/>
        </w:rPr>
        <w:t xml:space="preserve"> to find a</w:t>
      </w:r>
      <w:r w:rsidR="00A86538" w:rsidRPr="00820C89">
        <w:rPr>
          <w:rFonts w:asciiTheme="majorHAnsi" w:hAnsiTheme="majorHAnsi"/>
        </w:rPr>
        <w:t xml:space="preserve"> suitable</w:t>
      </w:r>
      <w:r w:rsidR="002D4EB5" w:rsidRPr="00820C89">
        <w:rPr>
          <w:rFonts w:asciiTheme="majorHAnsi" w:hAnsiTheme="majorHAnsi"/>
        </w:rPr>
        <w:t xml:space="preserve"> employment opportunity (if it exists)</w:t>
      </w:r>
      <w:r w:rsidR="00406B9D" w:rsidRPr="00820C89">
        <w:rPr>
          <w:rFonts w:asciiTheme="majorHAnsi" w:hAnsiTheme="majorHAnsi"/>
        </w:rPr>
        <w:t>.</w:t>
      </w:r>
      <w:r w:rsidR="00A86538" w:rsidRPr="00820C89">
        <w:rPr>
          <w:rStyle w:val="FootnoteReference"/>
          <w:rFonts w:asciiTheme="majorHAnsi" w:hAnsiTheme="majorHAnsi"/>
        </w:rPr>
        <w:footnoteReference w:id="23"/>
      </w:r>
      <w:r w:rsidR="00406B9D" w:rsidRPr="00820C89">
        <w:rPr>
          <w:rFonts w:asciiTheme="majorHAnsi" w:hAnsiTheme="majorHAnsi"/>
        </w:rPr>
        <w:t xml:space="preserve"> To </w:t>
      </w:r>
      <w:r w:rsidRPr="00820C89">
        <w:rPr>
          <w:rFonts w:asciiTheme="majorHAnsi" w:hAnsiTheme="majorHAnsi"/>
        </w:rPr>
        <w:t xml:space="preserve">further promote engagement with Indigenous Australian communities, a requirement was introduced in 2018 for VTEC to either be, or have a joint venture with, an Indigenous organisation.  </w:t>
      </w:r>
    </w:p>
    <w:p w14:paraId="036C7227" w14:textId="77777777" w:rsidR="001C6EB0" w:rsidRPr="00820C89" w:rsidRDefault="001C6EB0" w:rsidP="009E4077">
      <w:pPr>
        <w:rPr>
          <w:rFonts w:asciiTheme="majorHAnsi" w:hAnsiTheme="majorHAnsi"/>
        </w:rPr>
      </w:pPr>
    </w:p>
    <w:p w14:paraId="72640779" w14:textId="77777777" w:rsidR="009E4077" w:rsidRPr="00820C89" w:rsidRDefault="009E4077" w:rsidP="009E4077">
      <w:pPr>
        <w:pStyle w:val="Heading3"/>
        <w:rPr>
          <w:rFonts w:asciiTheme="majorHAnsi" w:hAnsiTheme="majorHAnsi"/>
        </w:rPr>
      </w:pPr>
      <w:r w:rsidRPr="00820C89">
        <w:rPr>
          <w:rFonts w:asciiTheme="majorHAnsi" w:hAnsiTheme="majorHAnsi"/>
        </w:rPr>
        <w:t>TAEG</w:t>
      </w:r>
    </w:p>
    <w:p w14:paraId="027FADD6" w14:textId="77777777" w:rsidR="009E4077" w:rsidRPr="00820C89" w:rsidRDefault="009E4077" w:rsidP="009E4077">
      <w:pPr>
        <w:rPr>
          <w:rFonts w:asciiTheme="majorHAnsi" w:hAnsiTheme="majorHAnsi"/>
        </w:rPr>
      </w:pPr>
      <w:r w:rsidRPr="00820C89">
        <w:rPr>
          <w:rFonts w:asciiTheme="majorHAnsi" w:hAnsiTheme="majorHAnsi"/>
        </w:rPr>
        <w:t xml:space="preserve">The TAEG program was initially launched in 2009 but has existed in its current form since 1 July 2016.  </w:t>
      </w:r>
    </w:p>
    <w:p w14:paraId="773CAE66" w14:textId="77777777" w:rsidR="009E4077" w:rsidRPr="00820C89" w:rsidRDefault="009E4077" w:rsidP="009E4077">
      <w:pPr>
        <w:rPr>
          <w:rFonts w:asciiTheme="majorHAnsi" w:hAnsiTheme="majorHAnsi"/>
        </w:rPr>
      </w:pPr>
      <w:r w:rsidRPr="00820C89">
        <w:rPr>
          <w:rFonts w:asciiTheme="majorHAnsi" w:hAnsiTheme="majorHAnsi"/>
        </w:rPr>
        <w:t xml:space="preserve">TAEG connects Indigenous Australians with real and sustainable jobs via three streams of flexible grant funding, including ’Employment’, ’School-based traineeships’ and ’Cadetships’. However, only the Employment stream is in-scope for this evaluation.  </w:t>
      </w:r>
    </w:p>
    <w:p w14:paraId="6DFB8015" w14:textId="77777777" w:rsidR="009E4077" w:rsidRPr="00820C89" w:rsidRDefault="009E4077" w:rsidP="009E4077">
      <w:pPr>
        <w:rPr>
          <w:rFonts w:asciiTheme="majorHAnsi" w:hAnsiTheme="majorHAnsi"/>
        </w:rPr>
      </w:pPr>
      <w:r w:rsidRPr="00820C89">
        <w:rPr>
          <w:rFonts w:asciiTheme="majorHAnsi" w:hAnsiTheme="majorHAnsi"/>
        </w:rPr>
        <w:t>The overarching objectives of the TAEG Employment program are the same as the VTEC program: to reduce the gap in employment outcomes for Indigenous Australians, and to ensure that more Indigenous Australians are in sustainable employment.</w:t>
      </w:r>
    </w:p>
    <w:p w14:paraId="646D8E4D" w14:textId="77777777" w:rsidR="009E4077" w:rsidRPr="00820C89" w:rsidRDefault="009E4077" w:rsidP="009E4077">
      <w:pPr>
        <w:rPr>
          <w:rFonts w:asciiTheme="majorHAnsi" w:hAnsiTheme="majorHAnsi"/>
        </w:rPr>
      </w:pPr>
      <w:r w:rsidRPr="00820C89">
        <w:rPr>
          <w:rFonts w:asciiTheme="majorHAnsi" w:hAnsiTheme="majorHAnsi"/>
        </w:rPr>
        <w:t xml:space="preserve">TAEG Employment funds projects that seek to deliver sustainable employment opportunities for Indigenous Australians (including high school students transitioning into the workforce) and meet job market demands. TAEG Employment offers a flexible avenue for providers to assist Indigenous Australians into employment, when access to VTEC funds is either unavailable or inappropriate. </w:t>
      </w:r>
      <w:r w:rsidR="00746C99" w:rsidRPr="00820C89">
        <w:rPr>
          <w:rFonts w:asciiTheme="majorHAnsi" w:hAnsiTheme="majorHAnsi"/>
        </w:rPr>
        <w:t xml:space="preserve">TAEG providers have the ability to deliver a </w:t>
      </w:r>
      <w:r w:rsidR="0042724E" w:rsidRPr="00820C89">
        <w:rPr>
          <w:rFonts w:asciiTheme="majorHAnsi" w:hAnsiTheme="majorHAnsi"/>
        </w:rPr>
        <w:t>wide</w:t>
      </w:r>
      <w:r w:rsidR="00746C99" w:rsidRPr="00820C89">
        <w:rPr>
          <w:rFonts w:asciiTheme="majorHAnsi" w:hAnsiTheme="majorHAnsi"/>
        </w:rPr>
        <w:t xml:space="preserve"> range of pre-employment and employment support activities</w:t>
      </w:r>
      <w:r w:rsidR="00132DCD" w:rsidRPr="00820C89">
        <w:rPr>
          <w:rFonts w:asciiTheme="majorHAnsi" w:hAnsiTheme="majorHAnsi"/>
        </w:rPr>
        <w:t xml:space="preserve"> that are broadly similar in nature to that of VTEC providers.</w:t>
      </w:r>
    </w:p>
    <w:p w14:paraId="59F916BC" w14:textId="77777777" w:rsidR="009E4077" w:rsidRPr="00820C89" w:rsidRDefault="009E4077" w:rsidP="009E4077">
      <w:pPr>
        <w:pStyle w:val="Heading3"/>
        <w:rPr>
          <w:rFonts w:asciiTheme="majorHAnsi" w:hAnsiTheme="majorHAnsi"/>
        </w:rPr>
      </w:pPr>
      <w:r w:rsidRPr="00820C89">
        <w:rPr>
          <w:rFonts w:asciiTheme="majorHAnsi" w:hAnsiTheme="majorHAnsi"/>
        </w:rPr>
        <w:t>EPI</w:t>
      </w:r>
    </w:p>
    <w:p w14:paraId="43EA0051" w14:textId="77777777" w:rsidR="009E4077" w:rsidRPr="00820C89" w:rsidRDefault="009E4077" w:rsidP="009E4077">
      <w:pPr>
        <w:rPr>
          <w:rFonts w:asciiTheme="majorHAnsi" w:hAnsiTheme="majorHAnsi"/>
        </w:rPr>
      </w:pPr>
      <w:r w:rsidRPr="00820C89">
        <w:rPr>
          <w:rFonts w:asciiTheme="majorHAnsi" w:hAnsiTheme="majorHAnsi"/>
        </w:rPr>
        <w:t xml:space="preserve">The EPI was launched in March 2015. The program aims to increase Indigenous employment in large Australian companies (ASX Top 200) to reflect the proportion of the Indigenous population nationally – approximately three per cent.  </w:t>
      </w:r>
    </w:p>
    <w:p w14:paraId="031AEAFD" w14:textId="77777777" w:rsidR="009E4077" w:rsidRPr="00820C89" w:rsidRDefault="009E4077" w:rsidP="009E4077">
      <w:pPr>
        <w:rPr>
          <w:rFonts w:asciiTheme="majorHAnsi" w:hAnsiTheme="majorHAnsi"/>
        </w:rPr>
      </w:pPr>
      <w:r w:rsidRPr="00820C89">
        <w:rPr>
          <w:rFonts w:asciiTheme="majorHAnsi" w:hAnsiTheme="majorHAnsi"/>
        </w:rPr>
        <w:t xml:space="preserve">The overarching objectives of the EPI are to improve employment outcomes for Indigenous Australians, moving towards employment parity for Indigenous Australians and improved cultural inclusion strategies among Australian companies.  The EPI funds participating employers (EPI partners) to recruit, train and support Indigenous jobseekers. </w:t>
      </w:r>
    </w:p>
    <w:p w14:paraId="3AB58AEE" w14:textId="77777777" w:rsidR="005B7126" w:rsidRPr="00820C89" w:rsidRDefault="005B7126" w:rsidP="00AF083E">
      <w:pPr>
        <w:pStyle w:val="Heading2"/>
        <w:rPr>
          <w:rFonts w:asciiTheme="majorHAnsi" w:hAnsiTheme="majorHAnsi"/>
        </w:rPr>
      </w:pPr>
      <w:bookmarkStart w:id="37" w:name="_Ref53401563"/>
      <w:bookmarkStart w:id="38" w:name="_Toc54966934"/>
      <w:bookmarkStart w:id="39" w:name="_Toc55495118"/>
      <w:bookmarkStart w:id="40" w:name="_Toc57022886"/>
      <w:bookmarkStart w:id="41" w:name="_Toc82710767"/>
      <w:bookmarkStart w:id="42" w:name="_Toc101343282"/>
      <w:r w:rsidRPr="00820C89">
        <w:rPr>
          <w:rFonts w:asciiTheme="majorHAnsi" w:hAnsiTheme="majorHAnsi"/>
        </w:rPr>
        <w:t>This evaluation</w:t>
      </w:r>
      <w:bookmarkEnd w:id="37"/>
      <w:bookmarkEnd w:id="38"/>
      <w:bookmarkEnd w:id="39"/>
      <w:bookmarkEnd w:id="40"/>
      <w:bookmarkEnd w:id="41"/>
      <w:bookmarkEnd w:id="42"/>
    </w:p>
    <w:p w14:paraId="619FADF1" w14:textId="77777777" w:rsidR="00D33EDB" w:rsidRPr="00820C89" w:rsidRDefault="00D33EDB" w:rsidP="002076DA">
      <w:pPr>
        <w:pStyle w:val="Heading3"/>
        <w:rPr>
          <w:rFonts w:asciiTheme="majorHAnsi" w:hAnsiTheme="majorHAnsi"/>
        </w:rPr>
      </w:pPr>
      <w:r w:rsidRPr="00820C89">
        <w:rPr>
          <w:rFonts w:asciiTheme="majorHAnsi" w:hAnsiTheme="majorHAnsi"/>
        </w:rPr>
        <w:t xml:space="preserve">Evaluation scope and questions </w:t>
      </w:r>
    </w:p>
    <w:p w14:paraId="45E0F375" w14:textId="77777777" w:rsidR="00D33EDB" w:rsidRPr="00820C89" w:rsidRDefault="00D33EDB" w:rsidP="00D33EDB">
      <w:pPr>
        <w:rPr>
          <w:rFonts w:asciiTheme="majorHAnsi" w:hAnsiTheme="majorHAnsi"/>
        </w:rPr>
      </w:pPr>
      <w:r w:rsidRPr="00820C89">
        <w:rPr>
          <w:rFonts w:asciiTheme="majorHAnsi" w:hAnsiTheme="majorHAnsi"/>
        </w:rPr>
        <w:t xml:space="preserve">This evaluation is concerned with three distinct </w:t>
      </w:r>
      <w:r w:rsidR="00CD4940" w:rsidRPr="00820C89">
        <w:rPr>
          <w:rFonts w:asciiTheme="majorHAnsi" w:hAnsiTheme="majorHAnsi"/>
        </w:rPr>
        <w:t>sub-programs</w:t>
      </w:r>
      <w:r w:rsidRPr="00820C89">
        <w:rPr>
          <w:rFonts w:asciiTheme="majorHAnsi" w:hAnsiTheme="majorHAnsi"/>
        </w:rPr>
        <w:t xml:space="preserve"> and considers each program’s implementation, effectiveness and impact individually as well as within the broader Indigenous employment system. Utilising a nested evaluation approach, the programs are considered holistically, with comparisons drawn across each. This facilitates a strategic assessment of how the programs are operating together to support Indigenous Australians to gain, and retain, sustainable employment. </w:t>
      </w:r>
      <w:r w:rsidR="009B5519" w:rsidRPr="00820C89">
        <w:rPr>
          <w:rFonts w:asciiTheme="majorHAnsi" w:hAnsiTheme="majorHAnsi"/>
        </w:rPr>
        <w:t xml:space="preserve">Further, </w:t>
      </w:r>
      <w:r w:rsidR="00A607EE" w:rsidRPr="00820C89">
        <w:rPr>
          <w:rFonts w:asciiTheme="majorHAnsi" w:hAnsiTheme="majorHAnsi"/>
        </w:rPr>
        <w:t xml:space="preserve">it is intended that this assessment can be used to help inform the development of the future </w:t>
      </w:r>
      <w:r w:rsidR="00853C1D" w:rsidRPr="00820C89">
        <w:rPr>
          <w:rFonts w:asciiTheme="majorHAnsi" w:hAnsiTheme="majorHAnsi"/>
        </w:rPr>
        <w:t xml:space="preserve">Indigenous </w:t>
      </w:r>
      <w:r w:rsidR="00114B13" w:rsidRPr="00820C89">
        <w:rPr>
          <w:rFonts w:asciiTheme="majorHAnsi" w:hAnsiTheme="majorHAnsi"/>
        </w:rPr>
        <w:t>Skills and Employment Program (ISEP).</w:t>
      </w:r>
    </w:p>
    <w:p w14:paraId="61E8A179" w14:textId="067D012B" w:rsidR="00A33FE9" w:rsidRPr="00820C89" w:rsidRDefault="00A33FE9" w:rsidP="00D33EDB">
      <w:pPr>
        <w:rPr>
          <w:rFonts w:asciiTheme="majorHAnsi" w:hAnsiTheme="majorHAnsi"/>
        </w:rPr>
      </w:pPr>
      <w:r w:rsidRPr="00820C89">
        <w:rPr>
          <w:rFonts w:asciiTheme="majorHAnsi" w:hAnsiTheme="majorHAnsi"/>
        </w:rPr>
        <w:t xml:space="preserve">As outlined is Section </w:t>
      </w:r>
      <w:r w:rsidR="00897FB3" w:rsidRPr="00820C89">
        <w:rPr>
          <w:rFonts w:asciiTheme="majorHAnsi" w:hAnsiTheme="majorHAnsi"/>
        </w:rPr>
        <w:t>1.3</w:t>
      </w:r>
      <w:r w:rsidRPr="00820C89">
        <w:rPr>
          <w:rFonts w:asciiTheme="majorHAnsi" w:hAnsiTheme="majorHAnsi"/>
        </w:rPr>
        <w:t>, the IEP include</w:t>
      </w:r>
      <w:r w:rsidR="00CD4940" w:rsidRPr="00820C89">
        <w:rPr>
          <w:rFonts w:asciiTheme="majorHAnsi" w:hAnsiTheme="majorHAnsi"/>
        </w:rPr>
        <w:t>s</w:t>
      </w:r>
      <w:r w:rsidRPr="00820C89">
        <w:rPr>
          <w:rFonts w:asciiTheme="majorHAnsi" w:hAnsiTheme="majorHAnsi"/>
        </w:rPr>
        <w:t xml:space="preserve"> a suite of three </w:t>
      </w:r>
      <w:r w:rsidR="004702B2" w:rsidRPr="00820C89">
        <w:rPr>
          <w:rFonts w:asciiTheme="majorHAnsi" w:hAnsiTheme="majorHAnsi"/>
        </w:rPr>
        <w:t>sub-</w:t>
      </w:r>
      <w:r w:rsidRPr="00820C89">
        <w:rPr>
          <w:rFonts w:asciiTheme="majorHAnsi" w:hAnsiTheme="majorHAnsi"/>
        </w:rPr>
        <w:t>programs: VTEC, TAEG and EPI. While TAEG includes three streams of funding across programs for employment, school-based traineeships and cadetships, only the employment funding is in-scope for this evaluation.</w:t>
      </w:r>
    </w:p>
    <w:p w14:paraId="34879439" w14:textId="77777777" w:rsidR="00846546" w:rsidRPr="00820C89" w:rsidRDefault="00846546" w:rsidP="00846546">
      <w:pPr>
        <w:rPr>
          <w:rFonts w:asciiTheme="majorHAnsi" w:hAnsiTheme="majorHAnsi"/>
        </w:rPr>
      </w:pPr>
      <w:r w:rsidRPr="00820C89">
        <w:rPr>
          <w:rFonts w:asciiTheme="majorHAnsi" w:hAnsiTheme="majorHAnsi"/>
        </w:rPr>
        <w:t xml:space="preserve">Both TAEG Employment and the VTEC initiatives have undergone significant changes since their establishment, and previous iterations of the programs are out of scope for this evaluation. This evaluation will consider each of the in-scope programs in their current form, which includes:   </w:t>
      </w:r>
    </w:p>
    <w:p w14:paraId="504E0C73" w14:textId="77777777" w:rsidR="00846546" w:rsidRPr="00820C89" w:rsidRDefault="00846546" w:rsidP="00715F70">
      <w:pPr>
        <w:pStyle w:val="ListParagraph"/>
        <w:numPr>
          <w:ilvl w:val="0"/>
          <w:numId w:val="44"/>
        </w:numPr>
        <w:rPr>
          <w:rFonts w:asciiTheme="majorHAnsi" w:hAnsiTheme="majorHAnsi"/>
          <w:b/>
        </w:rPr>
      </w:pPr>
      <w:r w:rsidRPr="00820C89">
        <w:rPr>
          <w:rFonts w:asciiTheme="majorHAnsi" w:hAnsiTheme="majorHAnsi"/>
        </w:rPr>
        <w:t>VTEC – January 201</w:t>
      </w:r>
      <w:r w:rsidR="00520C1D" w:rsidRPr="00820C89">
        <w:rPr>
          <w:rFonts w:asciiTheme="majorHAnsi" w:hAnsiTheme="majorHAnsi"/>
        </w:rPr>
        <w:t>4</w:t>
      </w:r>
      <w:r w:rsidRPr="00820C89">
        <w:rPr>
          <w:rFonts w:asciiTheme="majorHAnsi" w:hAnsiTheme="majorHAnsi"/>
        </w:rPr>
        <w:t xml:space="preserve"> (</w:t>
      </w:r>
      <w:r w:rsidR="00D22EC8" w:rsidRPr="00820C89">
        <w:rPr>
          <w:rFonts w:asciiTheme="majorHAnsi" w:hAnsiTheme="majorHAnsi"/>
        </w:rPr>
        <w:t>launch date</w:t>
      </w:r>
      <w:r w:rsidRPr="00820C89">
        <w:rPr>
          <w:rFonts w:asciiTheme="majorHAnsi" w:hAnsiTheme="majorHAnsi"/>
        </w:rPr>
        <w:t>) onwards</w:t>
      </w:r>
    </w:p>
    <w:p w14:paraId="5D406507" w14:textId="36FE7AC0" w:rsidR="00846546" w:rsidRPr="00820C89" w:rsidRDefault="00846546" w:rsidP="00715F70">
      <w:pPr>
        <w:pStyle w:val="ListParagraph"/>
        <w:numPr>
          <w:ilvl w:val="0"/>
          <w:numId w:val="44"/>
        </w:numPr>
        <w:rPr>
          <w:rFonts w:asciiTheme="majorHAnsi" w:hAnsiTheme="majorHAnsi"/>
          <w:b/>
        </w:rPr>
      </w:pPr>
      <w:r w:rsidRPr="00820C89">
        <w:rPr>
          <w:rFonts w:asciiTheme="majorHAnsi" w:hAnsiTheme="majorHAnsi"/>
        </w:rPr>
        <w:t xml:space="preserve">TAEG Employment </w:t>
      </w:r>
      <w:r w:rsidR="00376245" w:rsidRPr="00820C89">
        <w:rPr>
          <w:rFonts w:asciiTheme="majorHAnsi" w:hAnsiTheme="majorHAnsi"/>
        </w:rPr>
        <w:t>–</w:t>
      </w:r>
      <w:r w:rsidRPr="00820C89">
        <w:rPr>
          <w:rFonts w:asciiTheme="majorHAnsi" w:hAnsiTheme="majorHAnsi"/>
        </w:rPr>
        <w:t xml:space="preserve"> January 2016 (revised program date) onwards</w:t>
      </w:r>
    </w:p>
    <w:p w14:paraId="0A70A1CD" w14:textId="77777777" w:rsidR="00846546" w:rsidRPr="00820C89" w:rsidRDefault="00846546" w:rsidP="00715F70">
      <w:pPr>
        <w:pStyle w:val="ListParagraph"/>
        <w:numPr>
          <w:ilvl w:val="0"/>
          <w:numId w:val="44"/>
        </w:numPr>
        <w:rPr>
          <w:rFonts w:asciiTheme="majorHAnsi" w:hAnsiTheme="majorHAnsi"/>
          <w:b/>
        </w:rPr>
      </w:pPr>
      <w:r w:rsidRPr="00820C89">
        <w:rPr>
          <w:rFonts w:asciiTheme="majorHAnsi" w:hAnsiTheme="majorHAnsi"/>
        </w:rPr>
        <w:t xml:space="preserve">EPI – March 2015 (launch date) onwards. </w:t>
      </w:r>
    </w:p>
    <w:p w14:paraId="1DFBEA4D" w14:textId="77777777" w:rsidR="00846546" w:rsidRPr="00820C89" w:rsidRDefault="00C03CCC" w:rsidP="00D33EDB">
      <w:pPr>
        <w:rPr>
          <w:rFonts w:asciiTheme="majorHAnsi" w:hAnsiTheme="majorHAnsi"/>
        </w:rPr>
      </w:pPr>
      <w:r w:rsidRPr="00820C89">
        <w:rPr>
          <w:rFonts w:asciiTheme="majorHAnsi" w:hAnsiTheme="majorHAnsi"/>
        </w:rPr>
        <w:t>The</w:t>
      </w:r>
      <w:r w:rsidR="002D600B" w:rsidRPr="00820C89">
        <w:rPr>
          <w:rFonts w:asciiTheme="majorHAnsi" w:hAnsiTheme="majorHAnsi"/>
        </w:rPr>
        <w:t xml:space="preserve"> </w:t>
      </w:r>
      <w:r w:rsidR="002E57DA" w:rsidRPr="00820C89">
        <w:rPr>
          <w:rFonts w:asciiTheme="majorHAnsi" w:hAnsiTheme="majorHAnsi"/>
        </w:rPr>
        <w:t xml:space="preserve">evaluation will </w:t>
      </w:r>
      <w:r w:rsidRPr="00820C89">
        <w:rPr>
          <w:rFonts w:asciiTheme="majorHAnsi" w:hAnsiTheme="majorHAnsi"/>
        </w:rPr>
        <w:t xml:space="preserve">examine these programs from the dates listed above until the </w:t>
      </w:r>
      <w:r w:rsidR="00726809" w:rsidRPr="00820C89">
        <w:rPr>
          <w:rFonts w:asciiTheme="majorHAnsi" w:hAnsiTheme="majorHAnsi"/>
        </w:rPr>
        <w:t>end</w:t>
      </w:r>
      <w:r w:rsidRPr="00820C89">
        <w:rPr>
          <w:rFonts w:asciiTheme="majorHAnsi" w:hAnsiTheme="majorHAnsi"/>
        </w:rPr>
        <w:t xml:space="preserve"> of 2019.</w:t>
      </w:r>
      <w:r w:rsidR="00BC1B6C" w:rsidRPr="00820C89">
        <w:rPr>
          <w:rFonts w:asciiTheme="majorHAnsi" w:hAnsiTheme="majorHAnsi"/>
        </w:rPr>
        <w:t xml:space="preserve"> In doing so, this evaluation will not </w:t>
      </w:r>
      <w:r w:rsidR="00943331" w:rsidRPr="00820C89">
        <w:rPr>
          <w:rFonts w:asciiTheme="majorHAnsi" w:hAnsiTheme="majorHAnsi"/>
        </w:rPr>
        <w:t xml:space="preserve">systematically </w:t>
      </w:r>
      <w:r w:rsidR="00F703C1" w:rsidRPr="00820C89">
        <w:rPr>
          <w:rFonts w:asciiTheme="majorHAnsi" w:hAnsiTheme="majorHAnsi"/>
        </w:rPr>
        <w:t>examine the impacts of COVID-19 on these programs.</w:t>
      </w:r>
      <w:r w:rsidR="008E7A9B" w:rsidRPr="00820C89">
        <w:rPr>
          <w:rFonts w:asciiTheme="majorHAnsi" w:hAnsiTheme="majorHAnsi"/>
        </w:rPr>
        <w:t xml:space="preserve"> </w:t>
      </w:r>
      <w:r w:rsidR="00A57D8A" w:rsidRPr="00820C89">
        <w:rPr>
          <w:rFonts w:asciiTheme="majorHAnsi" w:hAnsiTheme="majorHAnsi"/>
        </w:rPr>
        <w:t xml:space="preserve">This </w:t>
      </w:r>
      <w:r w:rsidR="00E047A0" w:rsidRPr="00820C89">
        <w:rPr>
          <w:rFonts w:asciiTheme="majorHAnsi" w:hAnsiTheme="majorHAnsi"/>
        </w:rPr>
        <w:t>is because</w:t>
      </w:r>
      <w:r w:rsidR="00C223E8" w:rsidRPr="00820C89">
        <w:rPr>
          <w:rFonts w:asciiTheme="majorHAnsi" w:hAnsiTheme="majorHAnsi"/>
        </w:rPr>
        <w:t xml:space="preserve"> </w:t>
      </w:r>
      <w:r w:rsidR="00386463" w:rsidRPr="00820C89">
        <w:rPr>
          <w:rFonts w:asciiTheme="majorHAnsi" w:hAnsiTheme="majorHAnsi"/>
        </w:rPr>
        <w:t xml:space="preserve">the </w:t>
      </w:r>
      <w:r w:rsidR="00C223E8" w:rsidRPr="00820C89">
        <w:rPr>
          <w:rFonts w:asciiTheme="majorHAnsi" w:hAnsiTheme="majorHAnsi"/>
        </w:rPr>
        <w:t xml:space="preserve">consequences of COVID-19 </w:t>
      </w:r>
      <w:r w:rsidR="00691BD8" w:rsidRPr="00820C89">
        <w:rPr>
          <w:rFonts w:asciiTheme="majorHAnsi" w:hAnsiTheme="majorHAnsi"/>
        </w:rPr>
        <w:t xml:space="preserve">are still unfolding, and </w:t>
      </w:r>
      <w:r w:rsidR="00483942" w:rsidRPr="00820C89">
        <w:rPr>
          <w:rFonts w:asciiTheme="majorHAnsi" w:hAnsiTheme="majorHAnsi"/>
        </w:rPr>
        <w:t>the</w:t>
      </w:r>
      <w:r w:rsidR="00710C20" w:rsidRPr="00820C89">
        <w:rPr>
          <w:rFonts w:asciiTheme="majorHAnsi" w:hAnsiTheme="majorHAnsi"/>
        </w:rPr>
        <w:t xml:space="preserve">re is insufficient information available to effectively evaluate the impact that the pandemic has had on the programs. </w:t>
      </w:r>
      <w:r w:rsidR="00CB1565" w:rsidRPr="00820C89">
        <w:rPr>
          <w:rFonts w:asciiTheme="majorHAnsi" w:hAnsiTheme="majorHAnsi"/>
        </w:rPr>
        <w:t xml:space="preserve">Further, </w:t>
      </w:r>
      <w:r w:rsidR="00203C0A" w:rsidRPr="00820C89">
        <w:rPr>
          <w:rFonts w:asciiTheme="majorHAnsi" w:hAnsiTheme="majorHAnsi"/>
        </w:rPr>
        <w:t xml:space="preserve">this evaluation </w:t>
      </w:r>
      <w:r w:rsidR="001B7F57" w:rsidRPr="00820C89">
        <w:rPr>
          <w:rFonts w:asciiTheme="majorHAnsi" w:hAnsiTheme="majorHAnsi"/>
        </w:rPr>
        <w:t xml:space="preserve">seeks to understand how these programs have operated </w:t>
      </w:r>
      <w:r w:rsidR="00ED141A" w:rsidRPr="00820C89">
        <w:rPr>
          <w:rFonts w:asciiTheme="majorHAnsi" w:hAnsiTheme="majorHAnsi"/>
        </w:rPr>
        <w:t xml:space="preserve">in comparatively stable conditions, as opposed </w:t>
      </w:r>
      <w:r w:rsidR="002D5CE1" w:rsidRPr="00820C89">
        <w:rPr>
          <w:rFonts w:asciiTheme="majorHAnsi" w:hAnsiTheme="majorHAnsi"/>
        </w:rPr>
        <w:t xml:space="preserve">to during </w:t>
      </w:r>
      <w:r w:rsidR="006726E1" w:rsidRPr="00820C89">
        <w:rPr>
          <w:rFonts w:asciiTheme="majorHAnsi" w:hAnsiTheme="majorHAnsi"/>
        </w:rPr>
        <w:t xml:space="preserve">the </w:t>
      </w:r>
      <w:r w:rsidR="00FF4916" w:rsidRPr="00820C89">
        <w:rPr>
          <w:rFonts w:asciiTheme="majorHAnsi" w:hAnsiTheme="majorHAnsi"/>
        </w:rPr>
        <w:t xml:space="preserve">unforeseen circumstances of the pandemic, which </w:t>
      </w:r>
      <w:r w:rsidR="007C3D99" w:rsidRPr="00820C89">
        <w:rPr>
          <w:rFonts w:asciiTheme="majorHAnsi" w:hAnsiTheme="majorHAnsi"/>
        </w:rPr>
        <w:t>has</w:t>
      </w:r>
      <w:r w:rsidR="00FF4916" w:rsidRPr="00820C89">
        <w:rPr>
          <w:rFonts w:asciiTheme="majorHAnsi" w:hAnsiTheme="majorHAnsi"/>
        </w:rPr>
        <w:t xml:space="preserve"> required a suite </w:t>
      </w:r>
      <w:r w:rsidR="00F2672D" w:rsidRPr="00820C89">
        <w:rPr>
          <w:rFonts w:asciiTheme="majorHAnsi" w:hAnsiTheme="majorHAnsi"/>
        </w:rPr>
        <w:t>of exception</w:t>
      </w:r>
      <w:r w:rsidR="007C3D99" w:rsidRPr="00820C89">
        <w:rPr>
          <w:rFonts w:asciiTheme="majorHAnsi" w:hAnsiTheme="majorHAnsi"/>
        </w:rPr>
        <w:t>al</w:t>
      </w:r>
      <w:r w:rsidR="00F2672D" w:rsidRPr="00820C89">
        <w:rPr>
          <w:rFonts w:asciiTheme="majorHAnsi" w:hAnsiTheme="majorHAnsi"/>
        </w:rPr>
        <w:t xml:space="preserve"> new policy measures.</w:t>
      </w:r>
      <w:r w:rsidR="00E25D55" w:rsidRPr="00820C89">
        <w:rPr>
          <w:rFonts w:asciiTheme="majorHAnsi" w:hAnsiTheme="majorHAnsi"/>
        </w:rPr>
        <w:t xml:space="preserve"> </w:t>
      </w:r>
    </w:p>
    <w:p w14:paraId="6458419F" w14:textId="77777777" w:rsidR="00D33EDB" w:rsidRPr="00820C89" w:rsidRDefault="00D33EDB" w:rsidP="002076DA">
      <w:pPr>
        <w:pStyle w:val="Heading3"/>
        <w:rPr>
          <w:rFonts w:asciiTheme="majorHAnsi" w:hAnsiTheme="majorHAnsi"/>
        </w:rPr>
      </w:pPr>
      <w:r w:rsidRPr="00820C89">
        <w:rPr>
          <w:rFonts w:asciiTheme="majorHAnsi" w:hAnsiTheme="majorHAnsi"/>
        </w:rPr>
        <w:lastRenderedPageBreak/>
        <w:t xml:space="preserve">Overview of analytical approach </w:t>
      </w:r>
    </w:p>
    <w:p w14:paraId="28DA4CB3" w14:textId="2D703EF0" w:rsidR="00B436C2" w:rsidRPr="00820C89" w:rsidRDefault="00B436C2" w:rsidP="00B436C2">
      <w:pPr>
        <w:rPr>
          <w:rFonts w:asciiTheme="majorHAnsi" w:hAnsiTheme="majorHAnsi"/>
        </w:rPr>
      </w:pPr>
      <w:r w:rsidRPr="00820C89">
        <w:rPr>
          <w:rFonts w:asciiTheme="majorHAnsi" w:hAnsiTheme="majorHAnsi"/>
        </w:rPr>
        <w:t xml:space="preserve">This evaluation of the IEP has been undertaken in accordance with a defined </w:t>
      </w:r>
      <w:r w:rsidR="00272933" w:rsidRPr="00820C89">
        <w:rPr>
          <w:rFonts w:asciiTheme="majorHAnsi" w:hAnsiTheme="majorHAnsi"/>
        </w:rPr>
        <w:t>evaluation framework</w:t>
      </w:r>
      <w:r w:rsidRPr="00820C89">
        <w:rPr>
          <w:rFonts w:asciiTheme="majorHAnsi" w:hAnsiTheme="majorHAnsi"/>
        </w:rPr>
        <w:t>, which has provided a robust and structured foundation for this analysis</w:t>
      </w:r>
      <w:r w:rsidR="00376245" w:rsidRPr="00820C89">
        <w:rPr>
          <w:rFonts w:asciiTheme="majorHAnsi" w:hAnsiTheme="majorHAnsi"/>
        </w:rPr>
        <w:t xml:space="preserve"> (Appendix D)</w:t>
      </w:r>
      <w:r w:rsidRPr="00820C89">
        <w:rPr>
          <w:rFonts w:asciiTheme="majorHAnsi" w:hAnsiTheme="majorHAnsi"/>
        </w:rPr>
        <w:t>. The domains of the analytical plan align with the scope and objectives of this evaluation, as described below.</w:t>
      </w:r>
    </w:p>
    <w:p w14:paraId="59BD43FF" w14:textId="77777777" w:rsidR="00A33FE9" w:rsidRPr="00820C89" w:rsidRDefault="00A33FE9" w:rsidP="00DE5573">
      <w:pPr>
        <w:pStyle w:val="ListBullet"/>
        <w:numPr>
          <w:ilvl w:val="0"/>
          <w:numId w:val="0"/>
        </w:numPr>
        <w:spacing w:before="170" w:after="170"/>
        <w:ind w:left="340" w:hanging="340"/>
        <w:contextualSpacing w:val="0"/>
        <w:rPr>
          <w:rFonts w:asciiTheme="majorHAnsi" w:hAnsiTheme="majorHAnsi"/>
        </w:rPr>
      </w:pPr>
      <w:r w:rsidRPr="00820C89">
        <w:rPr>
          <w:rFonts w:asciiTheme="majorHAnsi" w:hAnsiTheme="majorHAnsi"/>
          <w:b/>
        </w:rPr>
        <w:t>Appropriateness of program design and implementation:</w:t>
      </w:r>
    </w:p>
    <w:p w14:paraId="4CE666BA" w14:textId="77777777" w:rsidR="00A33FE9" w:rsidRPr="00820C89" w:rsidRDefault="00D561F3"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a</w:t>
      </w:r>
      <w:r w:rsidR="00A33FE9" w:rsidRPr="00820C89">
        <w:rPr>
          <w:rFonts w:asciiTheme="majorHAnsi" w:hAnsiTheme="majorHAnsi"/>
        </w:rPr>
        <w:t>nalysis of program design considers the extent to which the program design process and design of the IEP reflect</w:t>
      </w:r>
      <w:r w:rsidR="004B73C4" w:rsidRPr="00820C89">
        <w:rPr>
          <w:rFonts w:asciiTheme="majorHAnsi" w:hAnsiTheme="majorHAnsi"/>
        </w:rPr>
        <w:t>s</w:t>
      </w:r>
      <w:r w:rsidR="00A33FE9" w:rsidRPr="00820C89">
        <w:rPr>
          <w:rFonts w:asciiTheme="majorHAnsi" w:hAnsiTheme="majorHAnsi"/>
        </w:rPr>
        <w:t xml:space="preserve"> best practice in employment assistance programs and alignment with Indigenous Australian perspectives and values</w:t>
      </w:r>
    </w:p>
    <w:p w14:paraId="3DFFC649" w14:textId="5D2C708F" w:rsidR="00A33FE9" w:rsidRPr="00820C89" w:rsidRDefault="00D561F3"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a</w:t>
      </w:r>
      <w:r w:rsidR="00A33FE9" w:rsidRPr="00820C89">
        <w:rPr>
          <w:rFonts w:asciiTheme="majorHAnsi" w:hAnsiTheme="majorHAnsi"/>
        </w:rPr>
        <w:t xml:space="preserve">nalysis of program implementation </w:t>
      </w:r>
      <w:r w:rsidR="00FA2D83" w:rsidRPr="00820C89">
        <w:rPr>
          <w:rFonts w:asciiTheme="majorHAnsi" w:hAnsiTheme="majorHAnsi"/>
        </w:rPr>
        <w:t>considers whether the programs have been implemented as intended, how the programs have been administered and governed and to what extent Indigenous Australians perceive the programs to be respectful and strengths-based</w:t>
      </w:r>
      <w:r w:rsidRPr="00820C89">
        <w:rPr>
          <w:rFonts w:asciiTheme="majorHAnsi" w:hAnsiTheme="majorHAnsi"/>
        </w:rPr>
        <w:t>.</w:t>
      </w:r>
    </w:p>
    <w:p w14:paraId="1866BAC2" w14:textId="77777777" w:rsidR="00A33FE9" w:rsidRPr="00820C89" w:rsidRDefault="00A33FE9" w:rsidP="00DE5573">
      <w:pPr>
        <w:pStyle w:val="ListBullet"/>
        <w:numPr>
          <w:ilvl w:val="0"/>
          <w:numId w:val="0"/>
        </w:numPr>
        <w:spacing w:before="170" w:after="170"/>
        <w:contextualSpacing w:val="0"/>
        <w:rPr>
          <w:rFonts w:asciiTheme="majorHAnsi" w:hAnsiTheme="majorHAnsi"/>
          <w:b/>
        </w:rPr>
      </w:pPr>
      <w:r w:rsidRPr="00820C89">
        <w:rPr>
          <w:rFonts w:asciiTheme="majorHAnsi" w:hAnsiTheme="majorHAnsi"/>
          <w:b/>
        </w:rPr>
        <w:t>Program effectiveness and impact:</w:t>
      </w:r>
      <w:r w:rsidR="00B436C2" w:rsidRPr="00820C89">
        <w:rPr>
          <w:rFonts w:asciiTheme="majorHAnsi" w:hAnsiTheme="majorHAnsi"/>
          <w:b/>
        </w:rPr>
        <w:t xml:space="preserve"> </w:t>
      </w:r>
    </w:p>
    <w:p w14:paraId="38176EF5" w14:textId="77777777" w:rsidR="00A33FE9" w:rsidRPr="00820C89" w:rsidRDefault="00D561F3"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e</w:t>
      </w:r>
      <w:r w:rsidR="00A33FE9" w:rsidRPr="00820C89">
        <w:rPr>
          <w:rFonts w:asciiTheme="majorHAnsi" w:hAnsiTheme="majorHAnsi"/>
        </w:rPr>
        <w:t>ffectiveness analysis considers the extent to which the intended objectives have been met (or are on track to being met) for the time period relevant to this evaluation and the contexts in which the programs are more or less effective</w:t>
      </w:r>
      <w:r w:rsidR="005D2D6D" w:rsidRPr="00820C89">
        <w:rPr>
          <w:rFonts w:asciiTheme="majorHAnsi" w:hAnsiTheme="majorHAnsi"/>
        </w:rPr>
        <w:t>.</w:t>
      </w:r>
    </w:p>
    <w:p w14:paraId="7608759B" w14:textId="77777777" w:rsidR="00B436C2" w:rsidRPr="00820C89" w:rsidRDefault="00D561F3"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i</w:t>
      </w:r>
      <w:r w:rsidR="00A33FE9" w:rsidRPr="00820C89">
        <w:rPr>
          <w:rFonts w:asciiTheme="majorHAnsi" w:hAnsiTheme="majorHAnsi"/>
        </w:rPr>
        <w:t>mpact analysis considers the a</w:t>
      </w:r>
      <w:r w:rsidR="00B436C2" w:rsidRPr="00820C89">
        <w:rPr>
          <w:rFonts w:asciiTheme="majorHAnsi" w:hAnsiTheme="majorHAnsi"/>
        </w:rPr>
        <w:t xml:space="preserve">dditional (relative to a counterfactual) workforce participation and employment attributable to </w:t>
      </w:r>
      <w:r w:rsidR="00A33FE9" w:rsidRPr="00820C89">
        <w:rPr>
          <w:rFonts w:asciiTheme="majorHAnsi" w:hAnsiTheme="majorHAnsi"/>
        </w:rPr>
        <w:t xml:space="preserve">the </w:t>
      </w:r>
      <w:r w:rsidR="009105DF" w:rsidRPr="00820C89">
        <w:rPr>
          <w:rFonts w:asciiTheme="majorHAnsi" w:hAnsiTheme="majorHAnsi"/>
        </w:rPr>
        <w:t>IEP</w:t>
      </w:r>
      <w:r w:rsidR="00B436C2" w:rsidRPr="00820C89">
        <w:rPr>
          <w:rFonts w:asciiTheme="majorHAnsi" w:hAnsiTheme="majorHAnsi"/>
        </w:rPr>
        <w:t xml:space="preserve"> </w:t>
      </w:r>
      <w:r w:rsidR="00A33FE9" w:rsidRPr="00820C89">
        <w:rPr>
          <w:rFonts w:asciiTheme="majorHAnsi" w:hAnsiTheme="majorHAnsi"/>
        </w:rPr>
        <w:t>the drivers of those impacts</w:t>
      </w:r>
      <w:r w:rsidRPr="00820C89">
        <w:rPr>
          <w:rFonts w:asciiTheme="majorHAnsi" w:hAnsiTheme="majorHAnsi"/>
        </w:rPr>
        <w:t>.</w:t>
      </w:r>
    </w:p>
    <w:p w14:paraId="3D94BBE3" w14:textId="77777777" w:rsidR="00FA2D83" w:rsidRPr="00820C89" w:rsidRDefault="00BB7403" w:rsidP="00BB7403">
      <w:pPr>
        <w:spacing w:before="170"/>
        <w:rPr>
          <w:rFonts w:asciiTheme="majorHAnsi" w:hAnsiTheme="majorHAnsi"/>
        </w:rPr>
      </w:pPr>
      <w:r w:rsidRPr="00820C89">
        <w:rPr>
          <w:rFonts w:asciiTheme="majorHAnsi" w:hAnsiTheme="majorHAnsi"/>
        </w:rPr>
        <w:t>The above</w:t>
      </w:r>
      <w:r w:rsidR="00D33EDB" w:rsidRPr="00820C89">
        <w:rPr>
          <w:rFonts w:asciiTheme="majorHAnsi" w:hAnsiTheme="majorHAnsi"/>
        </w:rPr>
        <w:t xml:space="preserve"> series of evaluation objectives were developed in collaboration with the NIAA, including from the Evaluation Reference Group (ERG) and the Indigenous Evaluation Committee (IEC). These high-level evaluation </w:t>
      </w:r>
      <w:r w:rsidR="00FA2D83" w:rsidRPr="00820C89">
        <w:rPr>
          <w:rFonts w:asciiTheme="majorHAnsi" w:hAnsiTheme="majorHAnsi"/>
        </w:rPr>
        <w:t>objectives</w:t>
      </w:r>
      <w:r w:rsidR="00D33EDB" w:rsidRPr="00820C89">
        <w:rPr>
          <w:rFonts w:asciiTheme="majorHAnsi" w:hAnsiTheme="majorHAnsi"/>
        </w:rPr>
        <w:t xml:space="preserve"> are tied to a series of evaluation questions that focus the evaluation process and ensure the relevancy of the findings and analysis. </w:t>
      </w:r>
      <w:r w:rsidR="00AE5BEC" w:rsidRPr="00820C89">
        <w:rPr>
          <w:rFonts w:asciiTheme="majorHAnsi" w:hAnsiTheme="majorHAnsi"/>
        </w:rPr>
        <w:t xml:space="preserve">These evaluation questions are included in </w:t>
      </w:r>
      <w:r w:rsidR="00C576D7" w:rsidRPr="00820C89">
        <w:rPr>
          <w:rFonts w:asciiTheme="majorHAnsi" w:hAnsiTheme="majorHAnsi"/>
        </w:rPr>
        <w:t>Table 1.1 below, alongside the relevant sections of the report where they are each considered.</w:t>
      </w:r>
    </w:p>
    <w:p w14:paraId="0DF8C19E" w14:textId="77777777" w:rsidR="00D33EDB" w:rsidRPr="001A629A" w:rsidRDefault="00D33EDB" w:rsidP="005976FE">
      <w:pPr>
        <w:pStyle w:val="CaptionTable"/>
        <w:ind w:left="0"/>
        <w:rPr>
          <w:rFonts w:asciiTheme="majorHAnsi" w:hAnsiTheme="majorHAnsi"/>
        </w:rPr>
      </w:pPr>
      <w:bookmarkStart w:id="43" w:name="_Ref55248059"/>
      <w:r w:rsidRPr="001A629A">
        <w:rPr>
          <w:rFonts w:asciiTheme="majorHAnsi" w:hAnsiTheme="majorHAnsi"/>
        </w:rPr>
        <w:t>: Key evaluation domains, headline questions and relevant sections of this report</w:t>
      </w:r>
      <w:bookmarkEnd w:id="43"/>
    </w:p>
    <w:tbl>
      <w:tblPr>
        <w:tblStyle w:val="Deloittetable"/>
        <w:tblW w:w="9101" w:type="dxa"/>
        <w:tblLook w:val="04A0" w:firstRow="1" w:lastRow="0" w:firstColumn="1" w:lastColumn="0" w:noHBand="0" w:noVBand="1"/>
      </w:tblPr>
      <w:tblGrid>
        <w:gridCol w:w="1630"/>
        <w:gridCol w:w="4156"/>
        <w:gridCol w:w="3315"/>
      </w:tblGrid>
      <w:tr w:rsidR="00D33EDB" w:rsidRPr="00820C89" w14:paraId="39CB0FD1" w14:textId="77777777" w:rsidTr="00923FCD">
        <w:trPr>
          <w:cnfStyle w:val="100000000000" w:firstRow="1" w:lastRow="0" w:firstColumn="0" w:lastColumn="0" w:oddVBand="0" w:evenVBand="0" w:oddHBand="0" w:evenHBand="0" w:firstRowFirstColumn="0" w:firstRowLastColumn="0" w:lastRowFirstColumn="0" w:lastRowLastColumn="0"/>
          <w:trHeight w:val="525"/>
          <w:tblHeader/>
        </w:trPr>
        <w:tc>
          <w:tcPr>
            <w:tcW w:w="1480" w:type="dxa"/>
            <w:shd w:val="clear" w:color="auto" w:fill="DFF0F9" w:themeFill="accent3" w:themeFillTint="33"/>
          </w:tcPr>
          <w:p w14:paraId="1B288F2F" w14:textId="77777777" w:rsidR="00D33EDB" w:rsidRPr="00820C89" w:rsidRDefault="00D33EDB" w:rsidP="00C576D7">
            <w:pPr>
              <w:spacing w:after="0"/>
              <w:rPr>
                <w:rFonts w:asciiTheme="majorHAnsi" w:hAnsiTheme="majorHAnsi"/>
                <w:b/>
              </w:rPr>
            </w:pPr>
            <w:r w:rsidRPr="00820C89">
              <w:rPr>
                <w:rFonts w:asciiTheme="majorHAnsi" w:hAnsiTheme="majorHAnsi"/>
                <w:b/>
              </w:rPr>
              <w:t xml:space="preserve">Evaluation </w:t>
            </w:r>
            <w:r w:rsidR="00A33FE9" w:rsidRPr="00820C89">
              <w:rPr>
                <w:rFonts w:asciiTheme="majorHAnsi" w:hAnsiTheme="majorHAnsi"/>
                <w:b/>
              </w:rPr>
              <w:t>objective</w:t>
            </w:r>
            <w:r w:rsidRPr="00820C89">
              <w:rPr>
                <w:rFonts w:asciiTheme="majorHAnsi" w:hAnsiTheme="majorHAnsi"/>
                <w:b/>
              </w:rPr>
              <w:t xml:space="preserve"> </w:t>
            </w:r>
          </w:p>
        </w:tc>
        <w:tc>
          <w:tcPr>
            <w:tcW w:w="4254" w:type="dxa"/>
          </w:tcPr>
          <w:p w14:paraId="7E09CE2B" w14:textId="77777777" w:rsidR="00D33EDB" w:rsidRPr="00820C89" w:rsidRDefault="00D33EDB" w:rsidP="00C576D7">
            <w:pPr>
              <w:spacing w:after="0"/>
              <w:rPr>
                <w:rFonts w:asciiTheme="majorHAnsi" w:hAnsiTheme="majorHAnsi"/>
                <w:b/>
              </w:rPr>
            </w:pPr>
            <w:r w:rsidRPr="00820C89">
              <w:rPr>
                <w:rFonts w:asciiTheme="majorHAnsi" w:hAnsiTheme="majorHAnsi"/>
                <w:b/>
              </w:rPr>
              <w:t xml:space="preserve">Headline evaluation questions </w:t>
            </w:r>
          </w:p>
        </w:tc>
        <w:tc>
          <w:tcPr>
            <w:tcW w:w="3367" w:type="dxa"/>
          </w:tcPr>
          <w:p w14:paraId="59374E7E" w14:textId="77777777" w:rsidR="00D33EDB" w:rsidRPr="00820C89" w:rsidRDefault="00D33EDB" w:rsidP="00C576D7">
            <w:pPr>
              <w:spacing w:after="0"/>
              <w:rPr>
                <w:rFonts w:asciiTheme="majorHAnsi" w:hAnsiTheme="majorHAnsi"/>
                <w:b/>
                <w:i/>
              </w:rPr>
            </w:pPr>
            <w:r w:rsidRPr="00820C89">
              <w:rPr>
                <w:rFonts w:asciiTheme="majorHAnsi" w:hAnsiTheme="majorHAnsi"/>
                <w:b/>
                <w:i/>
              </w:rPr>
              <w:t>Relevant sections of this report</w:t>
            </w:r>
          </w:p>
        </w:tc>
      </w:tr>
      <w:tr w:rsidR="00D33EDB" w:rsidRPr="00820C89" w14:paraId="4B485A59" w14:textId="77777777" w:rsidTr="00351DDF">
        <w:trPr>
          <w:trHeight w:val="784"/>
        </w:trPr>
        <w:tc>
          <w:tcPr>
            <w:tcW w:w="1480" w:type="dxa"/>
            <w:shd w:val="clear" w:color="auto" w:fill="DFF0F9" w:themeFill="accent3" w:themeFillTint="33"/>
          </w:tcPr>
          <w:p w14:paraId="3E2A88D0" w14:textId="77777777" w:rsidR="00D33EDB" w:rsidRPr="00820C89" w:rsidRDefault="00A33FE9" w:rsidP="00C576D7">
            <w:pPr>
              <w:spacing w:after="0"/>
              <w:ind w:left="0"/>
              <w:rPr>
                <w:rFonts w:asciiTheme="majorHAnsi" w:hAnsiTheme="majorHAnsi"/>
                <w:b/>
              </w:rPr>
            </w:pPr>
            <w:r w:rsidRPr="00820C89">
              <w:rPr>
                <w:rFonts w:asciiTheme="majorHAnsi" w:hAnsiTheme="majorHAnsi"/>
                <w:b/>
              </w:rPr>
              <w:t>Appropriateness of p</w:t>
            </w:r>
            <w:r w:rsidR="00D33EDB" w:rsidRPr="00820C89">
              <w:rPr>
                <w:rFonts w:asciiTheme="majorHAnsi" w:hAnsiTheme="majorHAnsi"/>
                <w:b/>
              </w:rPr>
              <w:t xml:space="preserve">rogram design and </w:t>
            </w:r>
            <w:r w:rsidRPr="00820C89">
              <w:rPr>
                <w:rFonts w:asciiTheme="majorHAnsi" w:hAnsiTheme="majorHAnsi"/>
                <w:b/>
              </w:rPr>
              <w:t>implementation</w:t>
            </w:r>
          </w:p>
        </w:tc>
        <w:tc>
          <w:tcPr>
            <w:tcW w:w="4254" w:type="dxa"/>
          </w:tcPr>
          <w:p w14:paraId="00CF5CC6" w14:textId="77777777" w:rsidR="00D33EDB" w:rsidRPr="00820C89" w:rsidRDefault="00D33EDB" w:rsidP="00715F70">
            <w:pPr>
              <w:pStyle w:val="ListParagraph"/>
              <w:numPr>
                <w:ilvl w:val="0"/>
                <w:numId w:val="11"/>
              </w:numPr>
              <w:rPr>
                <w:rFonts w:asciiTheme="majorHAnsi" w:hAnsiTheme="majorHAnsi"/>
              </w:rPr>
            </w:pPr>
            <w:r w:rsidRPr="00820C89">
              <w:rPr>
                <w:rFonts w:asciiTheme="majorHAnsi" w:hAnsiTheme="majorHAnsi"/>
              </w:rPr>
              <w:t>To what extent is the program design based on evidence?</w:t>
            </w:r>
          </w:p>
          <w:p w14:paraId="2E26B6CD" w14:textId="77777777" w:rsidR="00D33EDB" w:rsidRPr="00820C89" w:rsidRDefault="00D33EDB" w:rsidP="00715F70">
            <w:pPr>
              <w:pStyle w:val="ListParagraph"/>
              <w:numPr>
                <w:ilvl w:val="0"/>
                <w:numId w:val="11"/>
              </w:numPr>
              <w:rPr>
                <w:rFonts w:asciiTheme="majorHAnsi" w:hAnsiTheme="majorHAnsi"/>
              </w:rPr>
            </w:pPr>
            <w:r w:rsidRPr="00820C89">
              <w:rPr>
                <w:rFonts w:asciiTheme="majorHAnsi" w:hAnsiTheme="majorHAnsi"/>
              </w:rPr>
              <w:t>To what extent has the program been implemented by NIAA (/PM&amp;C) in line with its design parameters?</w:t>
            </w:r>
          </w:p>
          <w:p w14:paraId="1E3FAA05" w14:textId="77777777" w:rsidR="00D33EDB" w:rsidRPr="00820C89" w:rsidRDefault="00D33EDB" w:rsidP="00715F70">
            <w:pPr>
              <w:pStyle w:val="ListParagraph"/>
              <w:numPr>
                <w:ilvl w:val="0"/>
                <w:numId w:val="11"/>
              </w:numPr>
              <w:rPr>
                <w:rFonts w:asciiTheme="majorHAnsi" w:hAnsiTheme="majorHAnsi"/>
              </w:rPr>
            </w:pPr>
            <w:r w:rsidRPr="00820C89">
              <w:rPr>
                <w:rFonts w:asciiTheme="majorHAnsi" w:hAnsiTheme="majorHAnsi"/>
              </w:rPr>
              <w:t>To what extent have the programs been delivered in a respectful, strengths-based and place-based way?</w:t>
            </w:r>
          </w:p>
        </w:tc>
        <w:tc>
          <w:tcPr>
            <w:tcW w:w="3367" w:type="dxa"/>
          </w:tcPr>
          <w:p w14:paraId="0B6A551A" w14:textId="77777777" w:rsidR="00C576D7" w:rsidRPr="00820C89" w:rsidRDefault="00C576D7" w:rsidP="00715F70">
            <w:pPr>
              <w:pStyle w:val="ListParagraph"/>
              <w:numPr>
                <w:ilvl w:val="0"/>
                <w:numId w:val="11"/>
              </w:numPr>
              <w:rPr>
                <w:rFonts w:asciiTheme="majorHAnsi" w:hAnsiTheme="majorHAnsi"/>
                <w:i/>
              </w:rPr>
            </w:pPr>
            <w:r w:rsidRPr="00820C89">
              <w:rPr>
                <w:rFonts w:asciiTheme="majorHAnsi" w:hAnsiTheme="majorHAnsi"/>
                <w:i/>
              </w:rPr>
              <w:t xml:space="preserve">Chapter </w:t>
            </w:r>
            <w:r w:rsidR="00F46F65" w:rsidRPr="00820C89">
              <w:rPr>
                <w:rFonts w:asciiTheme="majorHAnsi" w:hAnsiTheme="majorHAnsi"/>
                <w:i/>
              </w:rPr>
              <w:t>2</w:t>
            </w:r>
            <w:r w:rsidRPr="00820C89">
              <w:rPr>
                <w:rFonts w:asciiTheme="majorHAnsi" w:hAnsiTheme="majorHAnsi"/>
                <w:i/>
              </w:rPr>
              <w:t>: Program design</w:t>
            </w:r>
            <w:r w:rsidR="008C4EE3" w:rsidRPr="00820C89">
              <w:rPr>
                <w:rFonts w:asciiTheme="majorHAnsi" w:hAnsiTheme="majorHAnsi"/>
                <w:i/>
              </w:rPr>
              <w:t xml:space="preserve"> </w:t>
            </w:r>
          </w:p>
          <w:p w14:paraId="094F8906" w14:textId="77777777" w:rsidR="00D33EDB" w:rsidRPr="00820C89" w:rsidRDefault="00C82F11" w:rsidP="00715F70">
            <w:pPr>
              <w:pStyle w:val="ListParagraph"/>
              <w:numPr>
                <w:ilvl w:val="0"/>
                <w:numId w:val="11"/>
              </w:numPr>
              <w:rPr>
                <w:rFonts w:asciiTheme="majorHAnsi" w:hAnsiTheme="majorHAnsi"/>
                <w:i/>
              </w:rPr>
            </w:pPr>
            <w:r w:rsidRPr="00820C89">
              <w:rPr>
                <w:rFonts w:asciiTheme="majorHAnsi" w:hAnsiTheme="majorHAnsi"/>
                <w:i/>
              </w:rPr>
              <w:t>Chapter 3: Program implementation</w:t>
            </w:r>
          </w:p>
        </w:tc>
      </w:tr>
      <w:tr w:rsidR="00D33EDB" w:rsidRPr="00820C89" w14:paraId="41AE81C1" w14:textId="77777777" w:rsidTr="002C3D4D">
        <w:trPr>
          <w:trHeight w:val="887"/>
        </w:trPr>
        <w:tc>
          <w:tcPr>
            <w:tcW w:w="1480" w:type="dxa"/>
            <w:shd w:val="clear" w:color="auto" w:fill="DFF0F9" w:themeFill="accent3" w:themeFillTint="33"/>
          </w:tcPr>
          <w:p w14:paraId="31BEDC24" w14:textId="77777777" w:rsidR="00D33EDB" w:rsidRPr="00820C89" w:rsidRDefault="00D33EDB" w:rsidP="00C576D7">
            <w:pPr>
              <w:ind w:left="0"/>
              <w:rPr>
                <w:rFonts w:asciiTheme="majorHAnsi" w:hAnsiTheme="majorHAnsi"/>
                <w:b/>
              </w:rPr>
            </w:pPr>
            <w:r w:rsidRPr="00820C89">
              <w:rPr>
                <w:rFonts w:asciiTheme="majorHAnsi" w:hAnsiTheme="majorHAnsi"/>
                <w:b/>
              </w:rPr>
              <w:t>Program effectiveness</w:t>
            </w:r>
            <w:r w:rsidR="00A33FE9" w:rsidRPr="00820C89">
              <w:rPr>
                <w:rFonts w:asciiTheme="majorHAnsi" w:hAnsiTheme="majorHAnsi"/>
                <w:b/>
              </w:rPr>
              <w:t xml:space="preserve"> and impact</w:t>
            </w:r>
          </w:p>
        </w:tc>
        <w:tc>
          <w:tcPr>
            <w:tcW w:w="4254" w:type="dxa"/>
          </w:tcPr>
          <w:p w14:paraId="02101E1C" w14:textId="77777777" w:rsidR="00D33EDB" w:rsidRPr="00820C89" w:rsidRDefault="00D33EDB" w:rsidP="00715F70">
            <w:pPr>
              <w:pStyle w:val="ListParagraph"/>
              <w:numPr>
                <w:ilvl w:val="0"/>
                <w:numId w:val="11"/>
              </w:numPr>
              <w:rPr>
                <w:rFonts w:asciiTheme="majorHAnsi" w:hAnsiTheme="majorHAnsi"/>
              </w:rPr>
            </w:pPr>
            <w:r w:rsidRPr="00820C89">
              <w:rPr>
                <w:rFonts w:asciiTheme="majorHAnsi" w:hAnsiTheme="majorHAnsi"/>
              </w:rPr>
              <w:t xml:space="preserve">To what extent are the activities achieving their intended outcomes, in the short, medium and long term? </w:t>
            </w:r>
          </w:p>
          <w:p w14:paraId="3F5FC128" w14:textId="77777777" w:rsidR="00D33EDB" w:rsidRPr="00820C89" w:rsidRDefault="00D33EDB" w:rsidP="00715F70">
            <w:pPr>
              <w:pStyle w:val="ListParagraph"/>
              <w:numPr>
                <w:ilvl w:val="0"/>
                <w:numId w:val="11"/>
              </w:numPr>
              <w:rPr>
                <w:rFonts w:asciiTheme="majorHAnsi" w:hAnsiTheme="majorHAnsi"/>
              </w:rPr>
            </w:pPr>
            <w:r w:rsidRPr="00820C89">
              <w:rPr>
                <w:rFonts w:asciiTheme="majorHAnsi" w:hAnsiTheme="majorHAnsi"/>
              </w:rPr>
              <w:t>In what contexts has the program been more or less successful?</w:t>
            </w:r>
          </w:p>
        </w:tc>
        <w:tc>
          <w:tcPr>
            <w:tcW w:w="3367" w:type="dxa"/>
          </w:tcPr>
          <w:p w14:paraId="57820315" w14:textId="77777777" w:rsidR="00ED4DB1" w:rsidRPr="00820C89" w:rsidRDefault="00C576D7" w:rsidP="00715F70">
            <w:pPr>
              <w:pStyle w:val="ListParagraph"/>
              <w:numPr>
                <w:ilvl w:val="0"/>
                <w:numId w:val="11"/>
              </w:numPr>
              <w:rPr>
                <w:rFonts w:asciiTheme="majorHAnsi" w:hAnsiTheme="majorHAnsi"/>
                <w:i/>
              </w:rPr>
            </w:pPr>
            <w:r w:rsidRPr="00820C89">
              <w:rPr>
                <w:rFonts w:asciiTheme="majorHAnsi" w:hAnsiTheme="majorHAnsi"/>
                <w:i/>
              </w:rPr>
              <w:t xml:space="preserve">Chapter </w:t>
            </w:r>
            <w:r w:rsidR="00ED4DB1" w:rsidRPr="00820C89">
              <w:rPr>
                <w:rFonts w:asciiTheme="majorHAnsi" w:hAnsiTheme="majorHAnsi"/>
                <w:i/>
              </w:rPr>
              <w:t>4</w:t>
            </w:r>
            <w:r w:rsidRPr="00820C89">
              <w:rPr>
                <w:rFonts w:asciiTheme="majorHAnsi" w:hAnsiTheme="majorHAnsi"/>
                <w:i/>
              </w:rPr>
              <w:t>: Program effectiveness</w:t>
            </w:r>
          </w:p>
          <w:p w14:paraId="31BD2E85" w14:textId="77777777" w:rsidR="00D33EDB" w:rsidRPr="00820C89" w:rsidRDefault="00C576D7" w:rsidP="00715F70">
            <w:pPr>
              <w:pStyle w:val="ListParagraph"/>
              <w:numPr>
                <w:ilvl w:val="0"/>
                <w:numId w:val="11"/>
              </w:numPr>
              <w:rPr>
                <w:rFonts w:asciiTheme="majorHAnsi" w:hAnsiTheme="majorHAnsi"/>
                <w:i/>
              </w:rPr>
            </w:pPr>
            <w:r w:rsidRPr="00820C89">
              <w:rPr>
                <w:rFonts w:asciiTheme="majorHAnsi" w:hAnsiTheme="majorHAnsi"/>
                <w:i/>
              </w:rPr>
              <w:t xml:space="preserve">Chapter </w:t>
            </w:r>
            <w:r w:rsidR="00ED4DB1" w:rsidRPr="00820C89">
              <w:rPr>
                <w:rFonts w:asciiTheme="majorHAnsi" w:hAnsiTheme="majorHAnsi"/>
                <w:i/>
              </w:rPr>
              <w:t>5</w:t>
            </w:r>
            <w:r w:rsidRPr="00820C89">
              <w:rPr>
                <w:rFonts w:asciiTheme="majorHAnsi" w:hAnsiTheme="majorHAnsi"/>
                <w:i/>
              </w:rPr>
              <w:t xml:space="preserve">: </w:t>
            </w:r>
            <w:r w:rsidR="006E5554" w:rsidRPr="00820C89">
              <w:rPr>
                <w:rFonts w:asciiTheme="majorHAnsi" w:hAnsiTheme="majorHAnsi"/>
                <w:i/>
              </w:rPr>
              <w:t>Impact</w:t>
            </w:r>
          </w:p>
        </w:tc>
      </w:tr>
      <w:tr w:rsidR="00D33EDB" w:rsidRPr="00820C89" w14:paraId="5B09E190" w14:textId="77777777" w:rsidTr="002C3D4D">
        <w:trPr>
          <w:trHeight w:val="1194"/>
        </w:trPr>
        <w:tc>
          <w:tcPr>
            <w:tcW w:w="1480" w:type="dxa"/>
            <w:shd w:val="clear" w:color="auto" w:fill="DFF0F9" w:themeFill="accent3" w:themeFillTint="33"/>
          </w:tcPr>
          <w:p w14:paraId="5EB48FFE" w14:textId="77777777" w:rsidR="00D33EDB" w:rsidRPr="00820C89" w:rsidRDefault="00D33EDB" w:rsidP="00C576D7">
            <w:pPr>
              <w:ind w:left="0"/>
              <w:rPr>
                <w:rFonts w:asciiTheme="majorHAnsi" w:hAnsiTheme="majorHAnsi"/>
                <w:b/>
              </w:rPr>
            </w:pPr>
            <w:r w:rsidRPr="00820C89">
              <w:rPr>
                <w:rFonts w:asciiTheme="majorHAnsi" w:hAnsiTheme="majorHAnsi"/>
                <w:b/>
              </w:rPr>
              <w:t>Policy implications and potential for future impact</w:t>
            </w:r>
          </w:p>
        </w:tc>
        <w:tc>
          <w:tcPr>
            <w:tcW w:w="4254" w:type="dxa"/>
          </w:tcPr>
          <w:p w14:paraId="5004FD08" w14:textId="77777777" w:rsidR="00D33EDB" w:rsidRPr="00820C89" w:rsidRDefault="00D33EDB" w:rsidP="00715F70">
            <w:pPr>
              <w:pStyle w:val="ListParagraph"/>
              <w:numPr>
                <w:ilvl w:val="0"/>
                <w:numId w:val="10"/>
              </w:numPr>
              <w:spacing w:after="0"/>
              <w:rPr>
                <w:rFonts w:asciiTheme="majorHAnsi" w:hAnsiTheme="majorHAnsi"/>
              </w:rPr>
            </w:pPr>
            <w:r w:rsidRPr="00820C89">
              <w:rPr>
                <w:rFonts w:asciiTheme="majorHAnsi" w:hAnsiTheme="majorHAnsi"/>
              </w:rPr>
              <w:t>What do program outcomes tell us about effective and ineffective investment?</w:t>
            </w:r>
          </w:p>
          <w:p w14:paraId="6A6BFC1D" w14:textId="77777777" w:rsidR="00D33EDB" w:rsidRPr="00820C89" w:rsidRDefault="00D33EDB" w:rsidP="00715F70">
            <w:pPr>
              <w:pStyle w:val="ListParagraph"/>
              <w:numPr>
                <w:ilvl w:val="0"/>
                <w:numId w:val="10"/>
              </w:numPr>
              <w:spacing w:after="0"/>
              <w:rPr>
                <w:rFonts w:asciiTheme="majorHAnsi" w:hAnsiTheme="majorHAnsi"/>
              </w:rPr>
            </w:pPr>
            <w:r w:rsidRPr="00820C89">
              <w:rPr>
                <w:rFonts w:asciiTheme="majorHAnsi" w:hAnsiTheme="majorHAnsi"/>
              </w:rPr>
              <w:t>How can the value of each program be optimised within the broader IEP and other employment assistance programs?</w:t>
            </w:r>
          </w:p>
        </w:tc>
        <w:tc>
          <w:tcPr>
            <w:tcW w:w="3367" w:type="dxa"/>
          </w:tcPr>
          <w:p w14:paraId="4BB3C711" w14:textId="77777777" w:rsidR="00E2669C" w:rsidRPr="00820C89" w:rsidRDefault="00E2669C" w:rsidP="00715F70">
            <w:pPr>
              <w:pStyle w:val="ListParagraph"/>
              <w:numPr>
                <w:ilvl w:val="0"/>
                <w:numId w:val="10"/>
              </w:numPr>
              <w:rPr>
                <w:rFonts w:asciiTheme="majorHAnsi" w:hAnsiTheme="majorHAnsi"/>
                <w:i/>
              </w:rPr>
            </w:pPr>
            <w:r w:rsidRPr="00820C89">
              <w:rPr>
                <w:rFonts w:asciiTheme="majorHAnsi" w:hAnsiTheme="majorHAnsi"/>
                <w:i/>
              </w:rPr>
              <w:t>Chapter 4: Program effectiveness</w:t>
            </w:r>
          </w:p>
          <w:p w14:paraId="4AE8AB8B" w14:textId="77777777" w:rsidR="006976CB" w:rsidRPr="00820C89" w:rsidRDefault="006976CB" w:rsidP="00935FDF">
            <w:pPr>
              <w:pStyle w:val="ListParagraph"/>
              <w:spacing w:after="0"/>
              <w:rPr>
                <w:rFonts w:asciiTheme="majorHAnsi" w:hAnsiTheme="majorHAnsi"/>
                <w:i/>
              </w:rPr>
            </w:pPr>
          </w:p>
        </w:tc>
      </w:tr>
    </w:tbl>
    <w:p w14:paraId="251F4AFF" w14:textId="77777777" w:rsidR="00D33EDB" w:rsidRPr="00820C89" w:rsidRDefault="00D33EDB" w:rsidP="00D33EDB">
      <w:pPr>
        <w:pStyle w:val="Source"/>
        <w:rPr>
          <w:rFonts w:asciiTheme="majorHAnsi" w:hAnsiTheme="majorHAnsi"/>
        </w:rPr>
      </w:pPr>
      <w:r w:rsidRPr="00820C89">
        <w:rPr>
          <w:rFonts w:asciiTheme="majorHAnsi" w:hAnsiTheme="majorHAnsi"/>
        </w:rPr>
        <w:t>Source: Deloitte Access Economics (2020).</w:t>
      </w:r>
    </w:p>
    <w:p w14:paraId="106A3C63" w14:textId="38C711E0" w:rsidR="003D39DD" w:rsidRPr="00820C89" w:rsidRDefault="003D39DD" w:rsidP="006C0E8A">
      <w:pPr>
        <w:spacing w:before="60" w:after="60"/>
        <w:rPr>
          <w:rFonts w:asciiTheme="majorHAnsi" w:hAnsiTheme="majorHAnsi"/>
        </w:rPr>
      </w:pPr>
      <w:r w:rsidRPr="00820C89">
        <w:rPr>
          <w:rFonts w:asciiTheme="majorHAnsi" w:hAnsiTheme="majorHAnsi"/>
        </w:rPr>
        <w:lastRenderedPageBreak/>
        <w:t xml:space="preserve">In addition to directly addressing the evaluation framework questions, the consultation processes and thoughtful timelines for this project allowed for different pathways of inquiry to be investigated, adding usefully to the evaluation framework. Through this approach the key findings of ‘relationality’ and ‘governance’ emerged as consistent self-initiated themes from consultations with stakeholders. In particular, we have created a specific topic on ‘governance arrangements’ as a result of stakeholders repeated emphasis on this point being a critical element in the program’s overall implementation. </w:t>
      </w:r>
    </w:p>
    <w:p w14:paraId="72CEED8C" w14:textId="77777777" w:rsidR="006C0E8A" w:rsidRPr="00820C89" w:rsidRDefault="006C0E8A" w:rsidP="001656D4">
      <w:pPr>
        <w:spacing w:before="60" w:after="60"/>
        <w:rPr>
          <w:rFonts w:asciiTheme="majorHAnsi" w:hAnsiTheme="majorHAnsi"/>
        </w:rPr>
      </w:pPr>
    </w:p>
    <w:p w14:paraId="3C8CF1E0" w14:textId="77777777" w:rsidR="0063147F" w:rsidRPr="00820C89" w:rsidRDefault="0063147F" w:rsidP="0063147F">
      <w:pPr>
        <w:pStyle w:val="Heading3"/>
        <w:rPr>
          <w:rFonts w:asciiTheme="majorHAnsi" w:hAnsiTheme="majorHAnsi"/>
        </w:rPr>
      </w:pPr>
      <w:r w:rsidRPr="00820C89">
        <w:rPr>
          <w:rFonts w:asciiTheme="majorHAnsi" w:hAnsiTheme="majorHAnsi"/>
        </w:rPr>
        <w:t>Evaluation principles</w:t>
      </w:r>
    </w:p>
    <w:p w14:paraId="06280508" w14:textId="69809BB9" w:rsidR="001F4099" w:rsidRPr="00820C89" w:rsidRDefault="007A2E5A" w:rsidP="0035225A">
      <w:r w:rsidRPr="00820C89">
        <w:t>This evaluation has been informed by</w:t>
      </w:r>
      <w:r w:rsidR="00576417" w:rsidRPr="00820C89">
        <w:t xml:space="preserve"> best-practice principles of </w:t>
      </w:r>
      <w:r w:rsidR="009C4F64" w:rsidRPr="00820C89">
        <w:t>Indigenous</w:t>
      </w:r>
      <w:r w:rsidR="00576417" w:rsidRPr="00820C89">
        <w:t xml:space="preserve"> evaluation</w:t>
      </w:r>
      <w:r w:rsidR="001F4099" w:rsidRPr="00820C89">
        <w:t>, including those outlined by both the Productivity Commission and the Department of Prime Minister and Cabinet.</w:t>
      </w:r>
    </w:p>
    <w:p w14:paraId="4855B18A" w14:textId="77777777" w:rsidR="00A72A2C" w:rsidRPr="00820C89" w:rsidRDefault="00A72A2C" w:rsidP="0004192D">
      <w:r w:rsidRPr="00820C89">
        <w:t>Most notably, the Productivity Commission’s report sets out the following principles</w:t>
      </w:r>
      <w:r w:rsidR="006873BD" w:rsidRPr="00820C89">
        <w:t>,</w:t>
      </w:r>
      <w:r w:rsidRPr="00820C89">
        <w:t xml:space="preserve"> </w:t>
      </w:r>
      <w:r w:rsidR="001B60BD" w:rsidRPr="00820C89">
        <w:t xml:space="preserve">which have heavily </w:t>
      </w:r>
      <w:r w:rsidR="00115DCA" w:rsidRPr="00820C89">
        <w:t xml:space="preserve">influenced </w:t>
      </w:r>
      <w:r w:rsidR="0045006E" w:rsidRPr="00820C89">
        <w:t>t</w:t>
      </w:r>
      <w:r w:rsidR="00115DCA" w:rsidRPr="00820C89">
        <w:t>his evaluation</w:t>
      </w:r>
      <w:r w:rsidRPr="00820C89">
        <w:t>:</w:t>
      </w:r>
      <w:r w:rsidR="00C812A1" w:rsidRPr="00820C89">
        <w:rPr>
          <w:rStyle w:val="FootnoteReference"/>
        </w:rPr>
        <w:footnoteReference w:id="24"/>
      </w:r>
    </w:p>
    <w:p w14:paraId="1A88C65D" w14:textId="77777777" w:rsidR="00A72A2C" w:rsidRPr="00820C89" w:rsidRDefault="00A72A2C" w:rsidP="00715F70">
      <w:pPr>
        <w:pStyle w:val="ListParagraph"/>
        <w:numPr>
          <w:ilvl w:val="0"/>
          <w:numId w:val="41"/>
        </w:numPr>
        <w:rPr>
          <w:rFonts w:asciiTheme="majorHAnsi" w:hAnsiTheme="majorHAnsi"/>
        </w:rPr>
      </w:pPr>
      <w:r w:rsidRPr="00820C89">
        <w:rPr>
          <w:rFonts w:asciiTheme="majorHAnsi" w:hAnsiTheme="majorHAnsi"/>
        </w:rPr>
        <w:t>Indigenous policies and programs should prioritise Indigenous peoples, perspectives, priorities and knowledges. This principle is the core of the Productivity Commission strategy, and suggests that Indigenous perspectives and lived experiences need to be reflected in how policies are designed, implemented and evaluated.</w:t>
      </w:r>
    </w:p>
    <w:p w14:paraId="0C2E9F5A" w14:textId="77777777" w:rsidR="00A72A2C" w:rsidRPr="00820C89" w:rsidRDefault="00A72A2C" w:rsidP="00715F70">
      <w:pPr>
        <w:pStyle w:val="ListParagraph"/>
        <w:numPr>
          <w:ilvl w:val="0"/>
          <w:numId w:val="41"/>
        </w:numPr>
        <w:spacing w:before="170"/>
        <w:rPr>
          <w:rFonts w:asciiTheme="majorHAnsi" w:hAnsiTheme="majorHAnsi"/>
        </w:rPr>
      </w:pPr>
      <w:r w:rsidRPr="00820C89">
        <w:rPr>
          <w:rFonts w:asciiTheme="majorHAnsi" w:hAnsiTheme="majorHAnsi"/>
        </w:rPr>
        <w:t xml:space="preserve">Indigenous evaluations should be credible, useful, ethical and transparent. These principles suggest that Indigenous evaluations should be analytically rigorous, culturally competent, practical (in the sense they guide real-world decision making), open for critique and continuously ethical.  </w:t>
      </w:r>
    </w:p>
    <w:p w14:paraId="73A3F0B2" w14:textId="77777777" w:rsidR="00EA64DC" w:rsidRPr="00820C89" w:rsidRDefault="00EA64DC" w:rsidP="0004192D">
      <w:r w:rsidRPr="00820C89">
        <w:t xml:space="preserve">Further, these principles strongly align with those set out in </w:t>
      </w:r>
      <w:r w:rsidRPr="00820C89">
        <w:rPr>
          <w:i/>
          <w:iCs/>
        </w:rPr>
        <w:t>Indigenous Advancement Strategy: Evaluation Framework</w:t>
      </w:r>
      <w:r w:rsidR="00950CC4" w:rsidRPr="00820C89">
        <w:rPr>
          <w:i/>
          <w:iCs/>
        </w:rPr>
        <w:t xml:space="preserve">. </w:t>
      </w:r>
      <w:r w:rsidR="00950CC4" w:rsidRPr="00820C89">
        <w:t xml:space="preserve">This </w:t>
      </w:r>
      <w:r w:rsidR="00480E81" w:rsidRPr="00820C89">
        <w:t xml:space="preserve">framework emphasises that effective evaluation should be relevant, robust, credible and appropriate, </w:t>
      </w:r>
      <w:r w:rsidR="00CB0680" w:rsidRPr="00820C89">
        <w:t xml:space="preserve">and that this should be underpinned by core values of respect, collaboration and </w:t>
      </w:r>
      <w:r w:rsidR="00E54E45" w:rsidRPr="00820C89">
        <w:t>building on</w:t>
      </w:r>
      <w:r w:rsidR="00CB0680" w:rsidRPr="00820C89">
        <w:t xml:space="preserve"> strengths.</w:t>
      </w:r>
      <w:r w:rsidR="0041484E" w:rsidRPr="00820C89">
        <w:rPr>
          <w:rStyle w:val="FootnoteReference"/>
        </w:rPr>
        <w:footnoteReference w:id="25"/>
      </w:r>
    </w:p>
    <w:p w14:paraId="7355D4EC" w14:textId="77777777" w:rsidR="00A72A2C" w:rsidRPr="00820C89" w:rsidRDefault="00A72A2C" w:rsidP="00A72A2C">
      <w:pPr>
        <w:spacing w:after="70"/>
      </w:pPr>
      <w:r w:rsidRPr="00820C89">
        <w:t>In this project we have taken steps to reflect the</w:t>
      </w:r>
      <w:r w:rsidR="00E72EBF" w:rsidRPr="00820C89">
        <w:t>se</w:t>
      </w:r>
      <w:r w:rsidRPr="00820C89">
        <w:t xml:space="preserve"> </w:t>
      </w:r>
      <w:r w:rsidR="00714155" w:rsidRPr="00820C89">
        <w:t>principles</w:t>
      </w:r>
      <w:r w:rsidRPr="00820C89">
        <w:t>,</w:t>
      </w:r>
      <w:r w:rsidR="00714155" w:rsidRPr="00820C89">
        <w:t xml:space="preserve"> while</w:t>
      </w:r>
      <w:r w:rsidRPr="00820C89">
        <w:t xml:space="preserve"> bringing our own dedication to innovation and Indigenous-led evaluation. Specifically, we have achieved this by:</w:t>
      </w:r>
    </w:p>
    <w:p w14:paraId="3ED6501B" w14:textId="77777777" w:rsidR="00A72A2C" w:rsidRPr="00820C89" w:rsidRDefault="00A72A2C" w:rsidP="00715F70">
      <w:pPr>
        <w:pStyle w:val="ListParagraph"/>
        <w:numPr>
          <w:ilvl w:val="0"/>
          <w:numId w:val="88"/>
        </w:numPr>
      </w:pPr>
      <w:r w:rsidRPr="00820C89">
        <w:t>Involving Indigenous leaders (from both Deloitte and the Gaimaragal Group) in every stage of the evaluation journey.</w:t>
      </w:r>
    </w:p>
    <w:p w14:paraId="3ECBE4B7" w14:textId="77777777" w:rsidR="00A72A2C" w:rsidRPr="00820C89" w:rsidRDefault="00A72A2C" w:rsidP="00715F70">
      <w:pPr>
        <w:pStyle w:val="ListParagraph"/>
        <w:numPr>
          <w:ilvl w:val="0"/>
          <w:numId w:val="88"/>
        </w:numPr>
      </w:pPr>
      <w:r w:rsidRPr="00820C89">
        <w:t>Consulting with a broad range of Indigenous stakeholders, including employers, participants, community members, community leaders and academics.</w:t>
      </w:r>
    </w:p>
    <w:p w14:paraId="2F121035" w14:textId="77777777" w:rsidR="00A72A2C" w:rsidRPr="00820C89" w:rsidRDefault="00A72A2C" w:rsidP="00715F70">
      <w:pPr>
        <w:pStyle w:val="ListParagraph"/>
        <w:numPr>
          <w:ilvl w:val="0"/>
          <w:numId w:val="88"/>
        </w:numPr>
      </w:pPr>
      <w:r w:rsidRPr="00820C89">
        <w:t>Emphasising and highlighting Indigenous perspectives throughout the evaluation and ensuring that these views are not marginalised or deprioritised in favour of traditional Western-economic frameworks.</w:t>
      </w:r>
    </w:p>
    <w:p w14:paraId="63047EEB" w14:textId="77777777" w:rsidR="00A72A2C" w:rsidRPr="00820C89" w:rsidRDefault="00A72A2C" w:rsidP="00715F70">
      <w:pPr>
        <w:pStyle w:val="ListParagraph"/>
        <w:numPr>
          <w:ilvl w:val="0"/>
          <w:numId w:val="88"/>
        </w:numPr>
      </w:pPr>
      <w:r w:rsidRPr="00820C89">
        <w:t>Consistently engaging with stakeholders in a culturally competent manner, by empowering Indigenous team members to lead consultations and ensuring that all evaluators display basic cultural competency skills.</w:t>
      </w:r>
    </w:p>
    <w:p w14:paraId="3E85EA04" w14:textId="11B93B49" w:rsidR="00A72A2C" w:rsidRPr="00820C89" w:rsidRDefault="00A72A2C" w:rsidP="00715F70">
      <w:pPr>
        <w:pStyle w:val="ListParagraph"/>
        <w:numPr>
          <w:ilvl w:val="0"/>
          <w:numId w:val="88"/>
        </w:numPr>
      </w:pPr>
      <w:r w:rsidRPr="00820C89">
        <w:t>Working closely with the NIAA to ensure the relevancy and usefulness of the evaluation findings.</w:t>
      </w:r>
    </w:p>
    <w:p w14:paraId="0A241792" w14:textId="26C1ACF2" w:rsidR="000B58F6" w:rsidRPr="00820C89" w:rsidRDefault="000B58F6" w:rsidP="00715F70">
      <w:pPr>
        <w:pStyle w:val="ListParagraph"/>
        <w:numPr>
          <w:ilvl w:val="0"/>
          <w:numId w:val="88"/>
        </w:numPr>
      </w:pPr>
      <w:r w:rsidRPr="00820C89">
        <w:t xml:space="preserve">Committing to sharing </w:t>
      </w:r>
      <w:r w:rsidR="00276853" w:rsidRPr="00820C89">
        <w:t>the key results from this evaluation back to key stakeholders and communities that were consulted in a meaningful and accessible way.</w:t>
      </w:r>
    </w:p>
    <w:p w14:paraId="326F83D4" w14:textId="0FA3B68F" w:rsidR="00624D24" w:rsidRPr="00820C89" w:rsidRDefault="00624D24" w:rsidP="001656D4">
      <w:pPr>
        <w:pStyle w:val="ListParagraph"/>
        <w:numPr>
          <w:ilvl w:val="0"/>
          <w:numId w:val="88"/>
        </w:numPr>
      </w:pPr>
      <w:r w:rsidRPr="00820C89">
        <w:t>Incorporating the conventional elements of robust evaluation</w:t>
      </w:r>
      <w:r w:rsidR="007A4859" w:rsidRPr="00820C89">
        <w:t>,</w:t>
      </w:r>
      <w:r w:rsidRPr="00820C89">
        <w:t xml:space="preserve"> such as a program logic</w:t>
      </w:r>
      <w:r w:rsidR="00990667" w:rsidRPr="00820C89">
        <w:t>, clearly defined evaluation questions and impact-focus.</w:t>
      </w:r>
    </w:p>
    <w:p w14:paraId="7B2136D3" w14:textId="5D55BA5C" w:rsidR="00D33EDB" w:rsidRPr="00820C89" w:rsidRDefault="00D33EDB" w:rsidP="002076DA">
      <w:pPr>
        <w:pStyle w:val="Heading3"/>
        <w:rPr>
          <w:rFonts w:asciiTheme="majorHAnsi" w:hAnsiTheme="majorHAnsi"/>
        </w:rPr>
      </w:pPr>
      <w:bookmarkStart w:id="44" w:name="_Ref55248712"/>
      <w:r w:rsidRPr="00820C89">
        <w:rPr>
          <w:rFonts w:asciiTheme="majorHAnsi" w:hAnsiTheme="majorHAnsi"/>
        </w:rPr>
        <w:t xml:space="preserve">Data </w:t>
      </w:r>
      <w:r w:rsidR="00912A77" w:rsidRPr="00820C89">
        <w:rPr>
          <w:rFonts w:asciiTheme="majorHAnsi" w:hAnsiTheme="majorHAnsi"/>
        </w:rPr>
        <w:t>collection</w:t>
      </w:r>
      <w:bookmarkEnd w:id="44"/>
    </w:p>
    <w:p w14:paraId="4441428D" w14:textId="77777777" w:rsidR="009F1F88" w:rsidRPr="00820C89" w:rsidRDefault="0010123C" w:rsidP="00786848">
      <w:pPr>
        <w:rPr>
          <w:rFonts w:asciiTheme="majorHAnsi" w:hAnsiTheme="majorHAnsi"/>
        </w:rPr>
      </w:pPr>
      <w:r w:rsidRPr="00820C89">
        <w:rPr>
          <w:rFonts w:asciiTheme="majorHAnsi" w:hAnsiTheme="majorHAnsi"/>
        </w:rPr>
        <w:t>The evaluation has been informed by a variety of primary and secondary data</w:t>
      </w:r>
      <w:r w:rsidR="00936CE6" w:rsidRPr="00820C89">
        <w:rPr>
          <w:rFonts w:asciiTheme="majorHAnsi" w:hAnsiTheme="majorHAnsi"/>
        </w:rPr>
        <w:t xml:space="preserve"> sources,</w:t>
      </w:r>
      <w:r w:rsidR="009F1F88" w:rsidRPr="00820C89">
        <w:rPr>
          <w:rFonts w:asciiTheme="majorHAnsi" w:hAnsiTheme="majorHAnsi"/>
        </w:rPr>
        <w:t xml:space="preserve"> including:</w:t>
      </w:r>
    </w:p>
    <w:p w14:paraId="16A2E57B" w14:textId="77777777" w:rsidR="00F26073" w:rsidRPr="00820C89" w:rsidRDefault="009F1F88"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IEP participant</w:t>
      </w:r>
      <w:r w:rsidR="002E2667" w:rsidRPr="00820C89">
        <w:rPr>
          <w:rFonts w:asciiTheme="majorHAnsi" w:hAnsiTheme="majorHAnsi"/>
        </w:rPr>
        <w:t>, activity and funding level data</w:t>
      </w:r>
    </w:p>
    <w:p w14:paraId="024A5363" w14:textId="77777777" w:rsidR="005A2EF4" w:rsidRPr="00820C89" w:rsidRDefault="00312441"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Primary data collected from the VTEC and TAEG provider survey</w:t>
      </w:r>
    </w:p>
    <w:p w14:paraId="786DBD2D" w14:textId="77777777" w:rsidR="0000716B" w:rsidRPr="00820C89" w:rsidRDefault="0000716B"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Data from the Research Evaluation Database (RED)</w:t>
      </w:r>
    </w:p>
    <w:p w14:paraId="24FF5ABE" w14:textId="77777777" w:rsidR="00A725A4" w:rsidRPr="00820C89" w:rsidRDefault="00DD7C45"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lastRenderedPageBreak/>
        <w:t xml:space="preserve">Stakeholder consultations with participants, providers, </w:t>
      </w:r>
      <w:r w:rsidR="00797338" w:rsidRPr="00820C89">
        <w:rPr>
          <w:rFonts w:asciiTheme="majorHAnsi" w:hAnsiTheme="majorHAnsi"/>
        </w:rPr>
        <w:t xml:space="preserve">employers, community representatives, NIAA staff and </w:t>
      </w:r>
      <w:r w:rsidR="005E2593" w:rsidRPr="00820C89">
        <w:rPr>
          <w:rFonts w:asciiTheme="majorHAnsi" w:hAnsiTheme="majorHAnsi"/>
        </w:rPr>
        <w:t>other government officials</w:t>
      </w:r>
    </w:p>
    <w:p w14:paraId="7348EB16" w14:textId="77777777" w:rsidR="001E7FC5" w:rsidRPr="00820C89" w:rsidRDefault="001E7FC5"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Broader academic lite</w:t>
      </w:r>
      <w:r w:rsidR="00096A60" w:rsidRPr="00820C89">
        <w:rPr>
          <w:rFonts w:asciiTheme="majorHAnsi" w:hAnsiTheme="majorHAnsi"/>
        </w:rPr>
        <w:t>rature, as synthesised in the literature scan</w:t>
      </w:r>
    </w:p>
    <w:p w14:paraId="4F6F9072" w14:textId="77777777" w:rsidR="00096A60" w:rsidRPr="00820C89" w:rsidRDefault="00F23C2C"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publicly available data sources, such as those published by the Australian Bureau of Statistics (ABS)</w:t>
      </w:r>
    </w:p>
    <w:p w14:paraId="06053D29" w14:textId="77777777" w:rsidR="00EB0A07" w:rsidRPr="00820C89" w:rsidRDefault="00EB0A07" w:rsidP="00003C3D">
      <w:pPr>
        <w:pStyle w:val="Heading4un-numbered"/>
        <w:spacing w:before="170"/>
        <w:rPr>
          <w:rFonts w:asciiTheme="majorHAnsi" w:hAnsiTheme="majorHAnsi"/>
        </w:rPr>
      </w:pPr>
      <w:r w:rsidRPr="00820C89">
        <w:rPr>
          <w:rFonts w:asciiTheme="majorHAnsi" w:hAnsiTheme="majorHAnsi"/>
        </w:rPr>
        <w:t>Stakeholder consultations</w:t>
      </w:r>
    </w:p>
    <w:p w14:paraId="1207F5E9" w14:textId="77777777" w:rsidR="00201BC4" w:rsidRPr="00820C89" w:rsidRDefault="00EB0A07" w:rsidP="00EB0A07">
      <w:pPr>
        <w:rPr>
          <w:rFonts w:asciiTheme="majorHAnsi" w:hAnsiTheme="majorHAnsi"/>
        </w:rPr>
      </w:pPr>
      <w:r w:rsidRPr="00820C89">
        <w:rPr>
          <w:rFonts w:asciiTheme="majorHAnsi" w:hAnsiTheme="majorHAnsi"/>
        </w:rPr>
        <w:t xml:space="preserve">During </w:t>
      </w:r>
      <w:r w:rsidR="00B01F3D" w:rsidRPr="00820C89">
        <w:rPr>
          <w:rFonts w:asciiTheme="majorHAnsi" w:hAnsiTheme="majorHAnsi"/>
        </w:rPr>
        <w:t>this</w:t>
      </w:r>
      <w:r w:rsidRPr="00820C89">
        <w:rPr>
          <w:rFonts w:asciiTheme="majorHAnsi" w:hAnsiTheme="majorHAnsi"/>
        </w:rPr>
        <w:t xml:space="preserve"> evaluation, Deloitte Access Economics and the Gaimaragal Group have undertaken an extensive </w:t>
      </w:r>
      <w:r w:rsidR="00C10F88" w:rsidRPr="00820C89">
        <w:rPr>
          <w:rFonts w:asciiTheme="majorHAnsi" w:hAnsiTheme="majorHAnsi"/>
        </w:rPr>
        <w:t xml:space="preserve">stakeholder </w:t>
      </w:r>
      <w:r w:rsidRPr="00820C89">
        <w:rPr>
          <w:rFonts w:asciiTheme="majorHAnsi" w:hAnsiTheme="majorHAnsi"/>
        </w:rPr>
        <w:t xml:space="preserve">consultation process. This has included </w:t>
      </w:r>
      <w:r w:rsidR="00201BC4" w:rsidRPr="00820C89">
        <w:rPr>
          <w:rFonts w:asciiTheme="majorHAnsi" w:hAnsiTheme="majorHAnsi"/>
        </w:rPr>
        <w:t>consultation</w:t>
      </w:r>
      <w:r w:rsidR="00301AC3" w:rsidRPr="00820C89">
        <w:rPr>
          <w:rFonts w:asciiTheme="majorHAnsi" w:hAnsiTheme="majorHAnsi"/>
        </w:rPr>
        <w:t>s</w:t>
      </w:r>
      <w:r w:rsidR="00201BC4" w:rsidRPr="00820C89">
        <w:rPr>
          <w:rFonts w:asciiTheme="majorHAnsi" w:hAnsiTheme="majorHAnsi"/>
        </w:rPr>
        <w:t xml:space="preserve"> with a </w:t>
      </w:r>
      <w:r w:rsidR="009F1D70" w:rsidRPr="00820C89">
        <w:rPr>
          <w:rFonts w:asciiTheme="majorHAnsi" w:hAnsiTheme="majorHAnsi"/>
        </w:rPr>
        <w:t>diverse range of</w:t>
      </w:r>
      <w:r w:rsidR="00201BC4" w:rsidRPr="00820C89">
        <w:rPr>
          <w:rFonts w:asciiTheme="majorHAnsi" w:hAnsiTheme="majorHAnsi"/>
        </w:rPr>
        <w:t xml:space="preserve"> stakeholder groups, as outlined in Table 1.</w:t>
      </w:r>
      <w:r w:rsidR="00FA4481" w:rsidRPr="00820C89">
        <w:rPr>
          <w:rFonts w:asciiTheme="majorHAnsi" w:hAnsiTheme="majorHAnsi"/>
        </w:rPr>
        <w:t>2</w:t>
      </w:r>
      <w:r w:rsidR="005941E3" w:rsidRPr="00820C89">
        <w:rPr>
          <w:rFonts w:asciiTheme="majorHAnsi" w:hAnsiTheme="majorHAnsi"/>
        </w:rPr>
        <w:t xml:space="preserve">. </w:t>
      </w:r>
    </w:p>
    <w:p w14:paraId="56719EF8" w14:textId="77777777" w:rsidR="00BF0EAA" w:rsidRPr="001A629A" w:rsidRDefault="00B43722" w:rsidP="0004192D">
      <w:pPr>
        <w:pStyle w:val="CaptionChart"/>
      </w:pPr>
      <w:bookmarkStart w:id="45" w:name="_Ref56927523"/>
      <w:r w:rsidRPr="001A629A">
        <w:t>: Summary of stakeholder consultation</w:t>
      </w:r>
      <w:r w:rsidR="00257133" w:rsidRPr="001A629A">
        <w:t xml:space="preserve"> progress</w:t>
      </w:r>
      <w:bookmarkEnd w:id="45"/>
    </w:p>
    <w:tbl>
      <w:tblPr>
        <w:tblStyle w:val="Deloittetable"/>
        <w:tblpPr w:leftFromText="180" w:rightFromText="180" w:vertAnchor="text" w:horzAnchor="margin" w:tblpY="72"/>
        <w:tblW w:w="9072" w:type="dxa"/>
        <w:tblLayout w:type="fixed"/>
        <w:tblLook w:val="04A0" w:firstRow="1" w:lastRow="0" w:firstColumn="1" w:lastColumn="0" w:noHBand="0" w:noVBand="1"/>
      </w:tblPr>
      <w:tblGrid>
        <w:gridCol w:w="2127"/>
        <w:gridCol w:w="4819"/>
        <w:gridCol w:w="2126"/>
      </w:tblGrid>
      <w:tr w:rsidR="002A4389" w:rsidRPr="00820C89" w14:paraId="383B0145" w14:textId="77777777" w:rsidTr="00923FCD">
        <w:trPr>
          <w:cnfStyle w:val="100000000000" w:firstRow="1" w:lastRow="0" w:firstColumn="0" w:lastColumn="0" w:oddVBand="0" w:evenVBand="0" w:oddHBand="0" w:evenHBand="0" w:firstRowFirstColumn="0" w:firstRowLastColumn="0" w:lastRowFirstColumn="0" w:lastRowLastColumn="0"/>
          <w:trHeight w:val="16"/>
          <w:tblHeader/>
        </w:trPr>
        <w:tc>
          <w:tcPr>
            <w:tcW w:w="2127" w:type="dxa"/>
            <w:noWrap/>
            <w:hideMark/>
          </w:tcPr>
          <w:p w14:paraId="5FEC7A31" w14:textId="77777777" w:rsidR="002A4389" w:rsidRPr="00820C89" w:rsidRDefault="002A4389" w:rsidP="00257133">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Stakeholder group</w:t>
            </w:r>
          </w:p>
        </w:tc>
        <w:tc>
          <w:tcPr>
            <w:tcW w:w="4819" w:type="dxa"/>
          </w:tcPr>
          <w:p w14:paraId="0E188B70" w14:textId="77777777" w:rsidR="002A4389" w:rsidRPr="00820C89" w:rsidRDefault="002A4389" w:rsidP="00257133">
            <w:pPr>
              <w:spacing w:after="0" w:line="240" w:lineRule="auto"/>
              <w:rPr>
                <w:rFonts w:asciiTheme="majorHAnsi" w:hAnsiTheme="majorHAnsi"/>
                <w:b/>
              </w:rPr>
            </w:pPr>
            <w:r w:rsidRPr="00820C89">
              <w:rPr>
                <w:rFonts w:asciiTheme="majorHAnsi" w:hAnsiTheme="majorHAnsi"/>
                <w:b/>
              </w:rPr>
              <w:t>Consultation purpose</w:t>
            </w:r>
          </w:p>
        </w:tc>
        <w:tc>
          <w:tcPr>
            <w:tcW w:w="2126" w:type="dxa"/>
            <w:noWrap/>
          </w:tcPr>
          <w:p w14:paraId="5EA9EECC" w14:textId="77777777" w:rsidR="002A4389" w:rsidRPr="00820C89" w:rsidRDefault="002A4389" w:rsidP="00257133">
            <w:pPr>
              <w:spacing w:after="0" w:line="240" w:lineRule="auto"/>
              <w:jc w:val="center"/>
              <w:rPr>
                <w:rFonts w:asciiTheme="majorHAnsi" w:eastAsia="Times New Roman" w:hAnsiTheme="majorHAnsi" w:cs="Times New Roman"/>
                <w:b/>
                <w:color w:val="000000"/>
                <w:lang w:eastAsia="en-AU"/>
              </w:rPr>
            </w:pPr>
            <w:r w:rsidRPr="00820C89">
              <w:rPr>
                <w:rFonts w:asciiTheme="majorHAnsi" w:hAnsiTheme="majorHAnsi"/>
                <w:b/>
              </w:rPr>
              <w:t>Consultations completed</w:t>
            </w:r>
          </w:p>
        </w:tc>
      </w:tr>
      <w:tr w:rsidR="002A4389" w:rsidRPr="00820C89" w14:paraId="0BCF3354" w14:textId="77777777" w:rsidTr="000C7BE8">
        <w:trPr>
          <w:trHeight w:val="16"/>
        </w:trPr>
        <w:tc>
          <w:tcPr>
            <w:tcW w:w="2127" w:type="dxa"/>
            <w:noWrap/>
          </w:tcPr>
          <w:p w14:paraId="4AAC82E4" w14:textId="77777777" w:rsidR="002A4389" w:rsidRPr="00820C89" w:rsidRDefault="002A4389" w:rsidP="00257133">
            <w:pPr>
              <w:ind w:left="0"/>
              <w:rPr>
                <w:rFonts w:asciiTheme="majorHAnsi" w:hAnsiTheme="majorHAnsi"/>
              </w:rPr>
            </w:pPr>
            <w:r w:rsidRPr="00820C89">
              <w:rPr>
                <w:rFonts w:asciiTheme="majorHAnsi" w:hAnsiTheme="majorHAnsi"/>
              </w:rPr>
              <w:t>State and territory government stakeholders</w:t>
            </w:r>
          </w:p>
        </w:tc>
        <w:tc>
          <w:tcPr>
            <w:tcW w:w="4819" w:type="dxa"/>
            <w:vAlign w:val="center"/>
          </w:tcPr>
          <w:p w14:paraId="572641F7"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existing state and territory Indigenous employment programs, their interaction with commonwealth programs and potential ideas for improvement.</w:t>
            </w:r>
          </w:p>
        </w:tc>
        <w:tc>
          <w:tcPr>
            <w:tcW w:w="2126" w:type="dxa"/>
            <w:noWrap/>
            <w:vAlign w:val="center"/>
          </w:tcPr>
          <w:p w14:paraId="71BD721A" w14:textId="77777777" w:rsidR="002A4389" w:rsidRPr="00820C89" w:rsidRDefault="00030C57"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5</w:t>
            </w:r>
          </w:p>
        </w:tc>
      </w:tr>
      <w:tr w:rsidR="002A4389" w:rsidRPr="00820C89" w14:paraId="3F2E6DF2" w14:textId="77777777" w:rsidTr="000C7BE8">
        <w:trPr>
          <w:trHeight w:val="16"/>
        </w:trPr>
        <w:tc>
          <w:tcPr>
            <w:tcW w:w="2127" w:type="dxa"/>
            <w:noWrap/>
            <w:vAlign w:val="center"/>
          </w:tcPr>
          <w:p w14:paraId="26F0D5F0" w14:textId="77777777" w:rsidR="002A4389" w:rsidRPr="00820C89" w:rsidRDefault="002A4389" w:rsidP="00257133">
            <w:pPr>
              <w:ind w:left="0"/>
              <w:rPr>
                <w:rFonts w:asciiTheme="majorHAnsi" w:hAnsiTheme="majorHAnsi"/>
              </w:rPr>
            </w:pPr>
            <w:r w:rsidRPr="00820C89">
              <w:rPr>
                <w:rFonts w:asciiTheme="majorHAnsi" w:hAnsiTheme="majorHAnsi"/>
              </w:rPr>
              <w:t xml:space="preserve">NIAA </w:t>
            </w:r>
            <w:r w:rsidR="00174737" w:rsidRPr="00820C89">
              <w:rPr>
                <w:rFonts w:asciiTheme="majorHAnsi" w:hAnsiTheme="majorHAnsi"/>
              </w:rPr>
              <w:t>representative</w:t>
            </w:r>
            <w:r w:rsidR="00247751" w:rsidRPr="00820C89">
              <w:rPr>
                <w:rFonts w:asciiTheme="majorHAnsi" w:hAnsiTheme="majorHAnsi"/>
              </w:rPr>
              <w:t>s</w:t>
            </w:r>
          </w:p>
        </w:tc>
        <w:tc>
          <w:tcPr>
            <w:tcW w:w="4819" w:type="dxa"/>
            <w:vAlign w:val="center"/>
          </w:tcPr>
          <w:p w14:paraId="004C296A"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the design and implementation of the IEP, their interaction with other employment programs and potential ideas for improvement.</w:t>
            </w:r>
          </w:p>
        </w:tc>
        <w:tc>
          <w:tcPr>
            <w:tcW w:w="2126" w:type="dxa"/>
            <w:noWrap/>
            <w:vAlign w:val="center"/>
          </w:tcPr>
          <w:p w14:paraId="04DD7717" w14:textId="77777777" w:rsidR="00A61B98" w:rsidRPr="00820C89" w:rsidRDefault="00A2387A"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18 (NIAA Regional Offices)</w:t>
            </w:r>
            <w:r w:rsidRPr="00820C89">
              <w:rPr>
                <w:rStyle w:val="FootnoteReference"/>
                <w:rFonts w:asciiTheme="majorHAnsi" w:eastAsia="Times New Roman" w:hAnsiTheme="majorHAnsi" w:cs="Times New Roman"/>
                <w:color w:val="000000"/>
                <w:lang w:eastAsia="en-AU"/>
              </w:rPr>
              <w:footnoteReference w:id="26"/>
            </w:r>
            <w:r w:rsidR="005F38F6" w:rsidRPr="00820C89">
              <w:rPr>
                <w:rFonts w:asciiTheme="majorHAnsi" w:eastAsia="Times New Roman" w:hAnsiTheme="majorHAnsi" w:cs="Times New Roman"/>
                <w:color w:val="000000"/>
                <w:lang w:eastAsia="en-AU"/>
              </w:rPr>
              <w:br/>
            </w:r>
            <w:r w:rsidR="005F38F6" w:rsidRPr="00820C89">
              <w:rPr>
                <w:rFonts w:asciiTheme="majorHAnsi" w:eastAsia="Times New Roman" w:hAnsiTheme="majorHAnsi" w:cs="Times New Roman"/>
                <w:color w:val="000000"/>
                <w:lang w:eastAsia="en-AU"/>
              </w:rPr>
              <w:br/>
              <w:t>4 (DESE/ NIAA central staff)</w:t>
            </w:r>
          </w:p>
        </w:tc>
      </w:tr>
      <w:tr w:rsidR="002A4389" w:rsidRPr="00820C89" w14:paraId="5419CF55" w14:textId="77777777" w:rsidTr="000C7BE8">
        <w:trPr>
          <w:trHeight w:val="16"/>
        </w:trPr>
        <w:tc>
          <w:tcPr>
            <w:tcW w:w="2127" w:type="dxa"/>
            <w:noWrap/>
            <w:vAlign w:val="center"/>
          </w:tcPr>
          <w:p w14:paraId="733CB4CA" w14:textId="77777777" w:rsidR="002A4389" w:rsidRPr="00820C89" w:rsidRDefault="002A4389" w:rsidP="00257133">
            <w:pPr>
              <w:ind w:left="0"/>
              <w:rPr>
                <w:rFonts w:asciiTheme="majorHAnsi" w:hAnsiTheme="majorHAnsi"/>
              </w:rPr>
            </w:pPr>
            <w:r w:rsidRPr="00820C89">
              <w:rPr>
                <w:rFonts w:asciiTheme="majorHAnsi" w:hAnsiTheme="majorHAnsi"/>
              </w:rPr>
              <w:t>VTEC/TAEG providers</w:t>
            </w:r>
          </w:p>
        </w:tc>
        <w:tc>
          <w:tcPr>
            <w:tcW w:w="4819" w:type="dxa"/>
            <w:vAlign w:val="center"/>
          </w:tcPr>
          <w:p w14:paraId="7AF09534"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the programs implementation, outcomes and potential areas for improvement.</w:t>
            </w:r>
          </w:p>
        </w:tc>
        <w:tc>
          <w:tcPr>
            <w:tcW w:w="2126" w:type="dxa"/>
            <w:noWrap/>
            <w:vAlign w:val="center"/>
          </w:tcPr>
          <w:p w14:paraId="7A98D46A" w14:textId="77777777" w:rsidR="002A4389" w:rsidRPr="00820C89" w:rsidRDefault="00B03B3A"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12 (VTEC)</w:t>
            </w:r>
            <w:r w:rsidRPr="00820C89">
              <w:rPr>
                <w:rFonts w:asciiTheme="majorHAnsi" w:eastAsia="Times New Roman" w:hAnsiTheme="majorHAnsi" w:cs="Times New Roman"/>
                <w:color w:val="000000"/>
                <w:lang w:eastAsia="en-AU"/>
              </w:rPr>
              <w:br/>
            </w:r>
            <w:r w:rsidRPr="00820C89">
              <w:rPr>
                <w:rFonts w:asciiTheme="majorHAnsi" w:eastAsia="Times New Roman" w:hAnsiTheme="majorHAnsi" w:cs="Times New Roman"/>
                <w:color w:val="000000"/>
                <w:lang w:eastAsia="en-AU"/>
              </w:rPr>
              <w:br/>
              <w:t>8 (TAEG)</w:t>
            </w:r>
          </w:p>
        </w:tc>
      </w:tr>
      <w:tr w:rsidR="002A4389" w:rsidRPr="00820C89" w14:paraId="66587819" w14:textId="77777777" w:rsidTr="000C7BE8">
        <w:trPr>
          <w:trHeight w:val="16"/>
        </w:trPr>
        <w:tc>
          <w:tcPr>
            <w:tcW w:w="2127" w:type="dxa"/>
            <w:noWrap/>
            <w:vAlign w:val="center"/>
          </w:tcPr>
          <w:p w14:paraId="7D33CE36" w14:textId="77777777" w:rsidR="002A4389" w:rsidRPr="00820C89" w:rsidRDefault="002A4389" w:rsidP="00257133">
            <w:pPr>
              <w:ind w:left="0"/>
              <w:rPr>
                <w:rFonts w:asciiTheme="majorHAnsi" w:hAnsiTheme="majorHAnsi"/>
              </w:rPr>
            </w:pPr>
            <w:r w:rsidRPr="00820C89">
              <w:rPr>
                <w:rFonts w:asciiTheme="majorHAnsi" w:hAnsiTheme="majorHAnsi"/>
              </w:rPr>
              <w:t>EPI partners</w:t>
            </w:r>
          </w:p>
        </w:tc>
        <w:tc>
          <w:tcPr>
            <w:tcW w:w="4819" w:type="dxa"/>
            <w:vAlign w:val="center"/>
          </w:tcPr>
          <w:p w14:paraId="477AE1C2"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the programs implementation, outcomes and potential areas for improvement.</w:t>
            </w:r>
          </w:p>
        </w:tc>
        <w:tc>
          <w:tcPr>
            <w:tcW w:w="2126" w:type="dxa"/>
            <w:noWrap/>
            <w:vAlign w:val="center"/>
          </w:tcPr>
          <w:p w14:paraId="503397EE" w14:textId="77777777" w:rsidR="002A4389" w:rsidRPr="00820C89" w:rsidRDefault="00B03B3A"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12</w:t>
            </w:r>
          </w:p>
        </w:tc>
      </w:tr>
      <w:tr w:rsidR="002A4389" w:rsidRPr="00820C89" w14:paraId="16E88EB4" w14:textId="77777777" w:rsidTr="000C7BE8">
        <w:trPr>
          <w:trHeight w:val="16"/>
        </w:trPr>
        <w:tc>
          <w:tcPr>
            <w:tcW w:w="2127" w:type="dxa"/>
            <w:noWrap/>
            <w:vAlign w:val="center"/>
          </w:tcPr>
          <w:p w14:paraId="6B0453D6" w14:textId="77777777" w:rsidR="002A4389" w:rsidRPr="00820C89" w:rsidRDefault="002A4389" w:rsidP="00257133">
            <w:pPr>
              <w:ind w:left="0"/>
              <w:rPr>
                <w:rFonts w:asciiTheme="majorHAnsi" w:hAnsiTheme="majorHAnsi"/>
              </w:rPr>
            </w:pPr>
            <w:r w:rsidRPr="00820C89">
              <w:rPr>
                <w:rFonts w:asciiTheme="majorHAnsi" w:hAnsiTheme="majorHAnsi"/>
              </w:rPr>
              <w:t>TAEG/VTEC employers</w:t>
            </w:r>
          </w:p>
        </w:tc>
        <w:tc>
          <w:tcPr>
            <w:tcW w:w="4819" w:type="dxa"/>
            <w:vAlign w:val="center"/>
          </w:tcPr>
          <w:p w14:paraId="20112325"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employers’ motivations, outcomes (both participant and employer) and improvement ideas.</w:t>
            </w:r>
          </w:p>
        </w:tc>
        <w:tc>
          <w:tcPr>
            <w:tcW w:w="2126" w:type="dxa"/>
            <w:noWrap/>
            <w:vAlign w:val="center"/>
          </w:tcPr>
          <w:p w14:paraId="4C7DF338" w14:textId="77777777" w:rsidR="002A4389" w:rsidRPr="00820C89" w:rsidRDefault="00B03B3A"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20</w:t>
            </w:r>
          </w:p>
        </w:tc>
      </w:tr>
      <w:tr w:rsidR="002A4389" w:rsidRPr="00820C89" w14:paraId="50E9CB01" w14:textId="77777777" w:rsidTr="000C7BE8">
        <w:trPr>
          <w:trHeight w:val="16"/>
        </w:trPr>
        <w:tc>
          <w:tcPr>
            <w:tcW w:w="2127" w:type="dxa"/>
            <w:noWrap/>
            <w:vAlign w:val="center"/>
          </w:tcPr>
          <w:p w14:paraId="72B73D52" w14:textId="77777777" w:rsidR="002A4389" w:rsidRPr="00820C89" w:rsidRDefault="002A4389" w:rsidP="00257133">
            <w:pPr>
              <w:ind w:left="0"/>
              <w:rPr>
                <w:rFonts w:asciiTheme="majorHAnsi" w:hAnsiTheme="majorHAnsi"/>
              </w:rPr>
            </w:pPr>
            <w:r w:rsidRPr="00820C89">
              <w:rPr>
                <w:rFonts w:asciiTheme="majorHAnsi" w:hAnsiTheme="majorHAnsi"/>
              </w:rPr>
              <w:t>Program participants</w:t>
            </w:r>
          </w:p>
        </w:tc>
        <w:tc>
          <w:tcPr>
            <w:tcW w:w="4819" w:type="dxa"/>
            <w:vAlign w:val="center"/>
          </w:tcPr>
          <w:p w14:paraId="7AB859E3"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participants’ lived experience, the programs outcomes and their improvement ideas.</w:t>
            </w:r>
          </w:p>
        </w:tc>
        <w:tc>
          <w:tcPr>
            <w:tcW w:w="2126" w:type="dxa"/>
            <w:noWrap/>
            <w:vAlign w:val="center"/>
          </w:tcPr>
          <w:p w14:paraId="0D5D5746" w14:textId="77777777" w:rsidR="002A4389" w:rsidRPr="00820C89" w:rsidRDefault="00BD557F"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17</w:t>
            </w:r>
          </w:p>
        </w:tc>
      </w:tr>
      <w:tr w:rsidR="002A4389" w:rsidRPr="00820C89" w14:paraId="21B406AE" w14:textId="77777777" w:rsidTr="000C7BE8">
        <w:trPr>
          <w:trHeight w:val="16"/>
        </w:trPr>
        <w:tc>
          <w:tcPr>
            <w:tcW w:w="2127" w:type="dxa"/>
            <w:noWrap/>
            <w:vAlign w:val="center"/>
          </w:tcPr>
          <w:p w14:paraId="341DD682" w14:textId="77777777" w:rsidR="002A4389" w:rsidRPr="00820C89" w:rsidRDefault="002A4389" w:rsidP="00257133">
            <w:pPr>
              <w:ind w:left="0"/>
              <w:rPr>
                <w:rFonts w:asciiTheme="majorHAnsi" w:hAnsiTheme="majorHAnsi"/>
              </w:rPr>
            </w:pPr>
            <w:r w:rsidRPr="00820C89">
              <w:rPr>
                <w:rFonts w:asciiTheme="majorHAnsi" w:hAnsiTheme="majorHAnsi"/>
              </w:rPr>
              <w:t>Indigenous community members</w:t>
            </w:r>
          </w:p>
        </w:tc>
        <w:tc>
          <w:tcPr>
            <w:tcW w:w="4819" w:type="dxa"/>
            <w:vAlign w:val="center"/>
          </w:tcPr>
          <w:p w14:paraId="77BAF757"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an Indigenous perspective on the role of employment and employment policy.</w:t>
            </w:r>
          </w:p>
        </w:tc>
        <w:tc>
          <w:tcPr>
            <w:tcW w:w="2126" w:type="dxa"/>
            <w:noWrap/>
            <w:vAlign w:val="center"/>
          </w:tcPr>
          <w:p w14:paraId="5AAFB4B2" w14:textId="77777777" w:rsidR="002A4389" w:rsidRPr="00820C89" w:rsidRDefault="008E3BB9"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2</w:t>
            </w:r>
          </w:p>
        </w:tc>
      </w:tr>
      <w:tr w:rsidR="002A4389" w:rsidRPr="00820C89" w14:paraId="6C6CFBC1" w14:textId="77777777" w:rsidTr="000C7BE8">
        <w:trPr>
          <w:trHeight w:val="16"/>
        </w:trPr>
        <w:tc>
          <w:tcPr>
            <w:tcW w:w="2127" w:type="dxa"/>
            <w:noWrap/>
            <w:vAlign w:val="center"/>
          </w:tcPr>
          <w:p w14:paraId="1270F7E9" w14:textId="77777777" w:rsidR="002A4389" w:rsidRPr="00820C89" w:rsidRDefault="002A4389" w:rsidP="00257133">
            <w:pPr>
              <w:rPr>
                <w:rFonts w:asciiTheme="majorHAnsi" w:hAnsiTheme="majorHAnsi"/>
              </w:rPr>
            </w:pPr>
            <w:r w:rsidRPr="00820C89">
              <w:rPr>
                <w:rFonts w:asciiTheme="majorHAnsi" w:hAnsiTheme="majorHAnsi"/>
              </w:rPr>
              <w:t>Academic consultations</w:t>
            </w:r>
          </w:p>
        </w:tc>
        <w:tc>
          <w:tcPr>
            <w:tcW w:w="4819" w:type="dxa"/>
            <w:vAlign w:val="center"/>
          </w:tcPr>
          <w:p w14:paraId="12E3700D"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academic views on the appropriateness of the design of the IEP. Indigenous perspectives will be prioritised for these consultations.</w:t>
            </w:r>
          </w:p>
        </w:tc>
        <w:tc>
          <w:tcPr>
            <w:tcW w:w="2126" w:type="dxa"/>
            <w:noWrap/>
            <w:vAlign w:val="center"/>
          </w:tcPr>
          <w:p w14:paraId="3A4E645C" w14:textId="77777777" w:rsidR="002A4389" w:rsidRPr="00820C89" w:rsidRDefault="00BD557F"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2</w:t>
            </w:r>
          </w:p>
        </w:tc>
      </w:tr>
    </w:tbl>
    <w:p w14:paraId="2C030F41" w14:textId="77777777" w:rsidR="00E10D4F" w:rsidRPr="00820C89" w:rsidRDefault="00AB748F" w:rsidP="00AB748F">
      <w:pPr>
        <w:pStyle w:val="Source"/>
        <w:rPr>
          <w:rFonts w:asciiTheme="majorHAnsi" w:hAnsiTheme="majorHAnsi"/>
        </w:rPr>
      </w:pPr>
      <w:r w:rsidRPr="00820C89">
        <w:rPr>
          <w:rFonts w:asciiTheme="majorHAnsi" w:hAnsiTheme="majorHAnsi"/>
        </w:rPr>
        <w:t>Source: Deloitte Access Economics (2020).</w:t>
      </w:r>
    </w:p>
    <w:p w14:paraId="0C6CF913" w14:textId="77777777" w:rsidR="00851FAD" w:rsidRPr="00820C89" w:rsidRDefault="00851FAD" w:rsidP="00851FAD">
      <w:pPr>
        <w:pStyle w:val="Heading4un-numbered"/>
        <w:rPr>
          <w:rFonts w:asciiTheme="majorHAnsi" w:hAnsiTheme="majorHAnsi"/>
        </w:rPr>
      </w:pPr>
      <w:r w:rsidRPr="00820C89">
        <w:rPr>
          <w:rFonts w:asciiTheme="majorHAnsi" w:hAnsiTheme="majorHAnsi"/>
        </w:rPr>
        <w:t>Provider survey</w:t>
      </w:r>
    </w:p>
    <w:p w14:paraId="4B9BF3D1" w14:textId="77777777" w:rsidR="00786848" w:rsidRPr="00820C89" w:rsidRDefault="00851FAD" w:rsidP="00786848">
      <w:pPr>
        <w:rPr>
          <w:rFonts w:asciiTheme="majorHAnsi" w:hAnsiTheme="majorHAnsi"/>
        </w:rPr>
      </w:pPr>
      <w:r w:rsidRPr="00820C89">
        <w:rPr>
          <w:rFonts w:asciiTheme="majorHAnsi" w:hAnsiTheme="majorHAnsi"/>
        </w:rPr>
        <w:t>An online survey of VTEC and TAEG providers was developed and deployed to obtain information on the implementation, effectiveness, success factors and areas for improvement</w:t>
      </w:r>
      <w:r w:rsidR="00942502" w:rsidRPr="00820C89">
        <w:rPr>
          <w:rFonts w:asciiTheme="majorHAnsi" w:hAnsiTheme="majorHAnsi"/>
        </w:rPr>
        <w:t xml:space="preserve"> for the programs</w:t>
      </w:r>
      <w:r w:rsidRPr="00820C89">
        <w:rPr>
          <w:rFonts w:asciiTheme="majorHAnsi" w:hAnsiTheme="majorHAnsi"/>
        </w:rPr>
        <w:t xml:space="preserve">. The survey was sent to </w:t>
      </w:r>
      <w:r w:rsidR="003442F1" w:rsidRPr="00820C89">
        <w:rPr>
          <w:rFonts w:asciiTheme="majorHAnsi" w:hAnsiTheme="majorHAnsi"/>
        </w:rPr>
        <w:t>11</w:t>
      </w:r>
      <w:r w:rsidR="009451FB" w:rsidRPr="00820C89">
        <w:rPr>
          <w:rFonts w:asciiTheme="majorHAnsi" w:hAnsiTheme="majorHAnsi"/>
        </w:rPr>
        <w:t>6 TAEG and VTEC</w:t>
      </w:r>
      <w:r w:rsidRPr="00820C89">
        <w:rPr>
          <w:rFonts w:asciiTheme="majorHAnsi" w:hAnsiTheme="majorHAnsi"/>
        </w:rPr>
        <w:t xml:space="preserve"> providers, </w:t>
      </w:r>
      <w:r w:rsidR="00AF50C3" w:rsidRPr="00820C89">
        <w:rPr>
          <w:rFonts w:asciiTheme="majorHAnsi" w:hAnsiTheme="majorHAnsi"/>
        </w:rPr>
        <w:t xml:space="preserve">with </w:t>
      </w:r>
      <w:r w:rsidR="00960CC7" w:rsidRPr="00820C89">
        <w:rPr>
          <w:rFonts w:asciiTheme="majorHAnsi" w:hAnsiTheme="majorHAnsi"/>
        </w:rPr>
        <w:t>18 TAEG, 17 VTEC and 2 providers that deliver both programs completing the survey</w:t>
      </w:r>
      <w:r w:rsidRPr="00820C89">
        <w:rPr>
          <w:rFonts w:asciiTheme="majorHAnsi" w:hAnsiTheme="majorHAnsi"/>
        </w:rPr>
        <w:t>. The survey asked providers questions about the specific activities they deliver, the proportion of participants they deliver these activities to, as well as questions about the effectiveness of these activities.</w:t>
      </w:r>
    </w:p>
    <w:p w14:paraId="38E56F52" w14:textId="77777777" w:rsidR="00903A81" w:rsidRPr="00820C89" w:rsidRDefault="00AE42DC" w:rsidP="00A674D5">
      <w:pPr>
        <w:rPr>
          <w:rFonts w:asciiTheme="majorHAnsi" w:hAnsiTheme="majorHAnsi"/>
        </w:rPr>
      </w:pPr>
      <w:r w:rsidRPr="00820C89">
        <w:rPr>
          <w:rFonts w:asciiTheme="majorHAnsi" w:hAnsiTheme="majorHAnsi"/>
        </w:rPr>
        <w:lastRenderedPageBreak/>
        <w:t xml:space="preserve">In total, the survey </w:t>
      </w:r>
      <w:r w:rsidR="00133480" w:rsidRPr="00820C89">
        <w:rPr>
          <w:rFonts w:asciiTheme="majorHAnsi" w:hAnsiTheme="majorHAnsi"/>
        </w:rPr>
        <w:t>collected</w:t>
      </w:r>
      <w:r w:rsidR="00903A81" w:rsidRPr="00820C89">
        <w:rPr>
          <w:rFonts w:asciiTheme="majorHAnsi" w:hAnsiTheme="majorHAnsi"/>
        </w:rPr>
        <w:t xml:space="preserve"> 37 </w:t>
      </w:r>
      <w:r w:rsidR="00133480" w:rsidRPr="00820C89">
        <w:rPr>
          <w:rFonts w:asciiTheme="majorHAnsi" w:hAnsiTheme="majorHAnsi"/>
        </w:rPr>
        <w:t xml:space="preserve">responses, covering </w:t>
      </w:r>
      <w:r w:rsidR="00903A81" w:rsidRPr="00820C89">
        <w:rPr>
          <w:rFonts w:asciiTheme="majorHAnsi" w:hAnsiTheme="majorHAnsi"/>
        </w:rPr>
        <w:t>approximately 25 percent of all current and historical providers. As with all surveys</w:t>
      </w:r>
      <w:r w:rsidR="006F0009" w:rsidRPr="00820C89">
        <w:rPr>
          <w:rFonts w:asciiTheme="majorHAnsi" w:hAnsiTheme="majorHAnsi"/>
        </w:rPr>
        <w:t xml:space="preserve"> </w:t>
      </w:r>
      <w:r w:rsidR="00C611D0" w:rsidRPr="00820C89">
        <w:rPr>
          <w:rFonts w:asciiTheme="majorHAnsi" w:hAnsiTheme="majorHAnsi"/>
        </w:rPr>
        <w:t>that</w:t>
      </w:r>
      <w:r w:rsidR="006F0009" w:rsidRPr="00820C89">
        <w:rPr>
          <w:rFonts w:asciiTheme="majorHAnsi" w:hAnsiTheme="majorHAnsi"/>
        </w:rPr>
        <w:t xml:space="preserve"> sample a portion of the total </w:t>
      </w:r>
      <w:r w:rsidR="00C30304" w:rsidRPr="00820C89">
        <w:rPr>
          <w:rFonts w:asciiTheme="majorHAnsi" w:hAnsiTheme="majorHAnsi"/>
        </w:rPr>
        <w:t>population</w:t>
      </w:r>
      <w:r w:rsidR="00903A81" w:rsidRPr="00820C89">
        <w:rPr>
          <w:rFonts w:asciiTheme="majorHAnsi" w:hAnsiTheme="majorHAnsi"/>
        </w:rPr>
        <w:t xml:space="preserve">, caution must be exercised when generalising these results. </w:t>
      </w:r>
    </w:p>
    <w:p w14:paraId="54EC60D3" w14:textId="77777777" w:rsidR="00903A81" w:rsidRPr="00820C89" w:rsidRDefault="00903A81" w:rsidP="00903A81">
      <w:pPr>
        <w:pStyle w:val="Heading4un-numbered"/>
        <w:rPr>
          <w:rFonts w:asciiTheme="majorHAnsi" w:hAnsiTheme="majorHAnsi"/>
        </w:rPr>
      </w:pPr>
      <w:r w:rsidRPr="00820C89">
        <w:rPr>
          <w:rFonts w:asciiTheme="majorHAnsi" w:hAnsiTheme="majorHAnsi"/>
        </w:rPr>
        <w:t xml:space="preserve">IEP </w:t>
      </w:r>
      <w:r w:rsidR="00EC128D" w:rsidRPr="00820C89">
        <w:rPr>
          <w:rFonts w:asciiTheme="majorHAnsi" w:hAnsiTheme="majorHAnsi"/>
        </w:rPr>
        <w:t>P</w:t>
      </w:r>
      <w:r w:rsidRPr="00820C89">
        <w:rPr>
          <w:rFonts w:asciiTheme="majorHAnsi" w:hAnsiTheme="majorHAnsi"/>
        </w:rPr>
        <w:t xml:space="preserve">rogram </w:t>
      </w:r>
      <w:r w:rsidR="00EC128D" w:rsidRPr="00820C89">
        <w:rPr>
          <w:rFonts w:asciiTheme="majorHAnsi" w:hAnsiTheme="majorHAnsi"/>
        </w:rPr>
        <w:t>D</w:t>
      </w:r>
      <w:r w:rsidRPr="00820C89">
        <w:rPr>
          <w:rFonts w:asciiTheme="majorHAnsi" w:hAnsiTheme="majorHAnsi"/>
        </w:rPr>
        <w:t>ata</w:t>
      </w:r>
    </w:p>
    <w:p w14:paraId="0B4B55CC" w14:textId="77777777" w:rsidR="00903A81" w:rsidRPr="00820C89" w:rsidRDefault="006F709C" w:rsidP="002F383A">
      <w:pPr>
        <w:rPr>
          <w:rFonts w:asciiTheme="majorHAnsi" w:hAnsiTheme="majorHAnsi"/>
        </w:rPr>
      </w:pPr>
      <w:r w:rsidRPr="00820C89">
        <w:rPr>
          <w:rFonts w:asciiTheme="majorHAnsi" w:hAnsiTheme="majorHAnsi"/>
        </w:rPr>
        <w:t>As part of the evaluation process, t</w:t>
      </w:r>
      <w:r w:rsidR="00C630CD" w:rsidRPr="00820C89">
        <w:rPr>
          <w:rFonts w:asciiTheme="majorHAnsi" w:hAnsiTheme="majorHAnsi"/>
        </w:rPr>
        <w:t xml:space="preserve">he NIAA </w:t>
      </w:r>
      <w:r w:rsidR="00DF0429" w:rsidRPr="00820C89">
        <w:rPr>
          <w:rFonts w:asciiTheme="majorHAnsi" w:hAnsiTheme="majorHAnsi"/>
        </w:rPr>
        <w:t xml:space="preserve">has </w:t>
      </w:r>
      <w:r w:rsidR="00C630CD" w:rsidRPr="00820C89">
        <w:rPr>
          <w:rFonts w:asciiTheme="majorHAnsi" w:hAnsiTheme="majorHAnsi"/>
        </w:rPr>
        <w:t>provided participant, act</w:t>
      </w:r>
      <w:r w:rsidR="00FB42E9" w:rsidRPr="00820C89">
        <w:rPr>
          <w:rFonts w:asciiTheme="majorHAnsi" w:hAnsiTheme="majorHAnsi"/>
        </w:rPr>
        <w:t xml:space="preserve">ivity and funding </w:t>
      </w:r>
      <w:r w:rsidR="00B93903" w:rsidRPr="00820C89">
        <w:rPr>
          <w:rFonts w:asciiTheme="majorHAnsi" w:hAnsiTheme="majorHAnsi"/>
        </w:rPr>
        <w:t xml:space="preserve">level </w:t>
      </w:r>
      <w:r w:rsidR="00FB42E9" w:rsidRPr="00820C89">
        <w:rPr>
          <w:rFonts w:asciiTheme="majorHAnsi" w:hAnsiTheme="majorHAnsi"/>
        </w:rPr>
        <w:t>datasets</w:t>
      </w:r>
      <w:r w:rsidR="00903A81" w:rsidRPr="00820C89">
        <w:rPr>
          <w:rFonts w:asciiTheme="majorHAnsi" w:hAnsiTheme="majorHAnsi"/>
        </w:rPr>
        <w:t xml:space="preserve">. </w:t>
      </w:r>
      <w:r w:rsidR="00C3269A" w:rsidRPr="00820C89">
        <w:rPr>
          <w:rFonts w:asciiTheme="majorHAnsi" w:hAnsiTheme="majorHAnsi"/>
        </w:rPr>
        <w:t xml:space="preserve">These datasets </w:t>
      </w:r>
      <w:r w:rsidR="00E34E23" w:rsidRPr="00820C89">
        <w:rPr>
          <w:rFonts w:asciiTheme="majorHAnsi" w:hAnsiTheme="majorHAnsi"/>
        </w:rPr>
        <w:t>form</w:t>
      </w:r>
      <w:r w:rsidR="00C3269A" w:rsidRPr="00820C89">
        <w:rPr>
          <w:rFonts w:asciiTheme="majorHAnsi" w:hAnsiTheme="majorHAnsi"/>
        </w:rPr>
        <w:t xml:space="preserve"> the basis for the majority of the quantitative analysis </w:t>
      </w:r>
      <w:r w:rsidR="00C25BDD" w:rsidRPr="00820C89">
        <w:rPr>
          <w:rFonts w:asciiTheme="majorHAnsi" w:hAnsiTheme="majorHAnsi"/>
        </w:rPr>
        <w:t>contained in this report</w:t>
      </w:r>
      <w:r w:rsidR="008554D7" w:rsidRPr="00820C89">
        <w:rPr>
          <w:rFonts w:asciiTheme="majorHAnsi" w:hAnsiTheme="majorHAnsi"/>
        </w:rPr>
        <w:t xml:space="preserve">. </w:t>
      </w:r>
      <w:r w:rsidR="00AE0EDA" w:rsidRPr="00820C89">
        <w:rPr>
          <w:rFonts w:asciiTheme="majorHAnsi" w:hAnsiTheme="majorHAnsi"/>
        </w:rPr>
        <w:t xml:space="preserve">Principally, the </w:t>
      </w:r>
      <w:r w:rsidR="00E34E23" w:rsidRPr="00820C89">
        <w:rPr>
          <w:rFonts w:asciiTheme="majorHAnsi" w:hAnsiTheme="majorHAnsi"/>
        </w:rPr>
        <w:t>participant</w:t>
      </w:r>
      <w:r w:rsidR="007112E9" w:rsidRPr="00820C89">
        <w:rPr>
          <w:rFonts w:asciiTheme="majorHAnsi" w:hAnsiTheme="majorHAnsi"/>
        </w:rPr>
        <w:t>-level</w:t>
      </w:r>
      <w:r w:rsidR="00A30D74" w:rsidRPr="00820C89">
        <w:rPr>
          <w:rFonts w:asciiTheme="majorHAnsi" w:hAnsiTheme="majorHAnsi"/>
        </w:rPr>
        <w:t xml:space="preserve"> dataset </w:t>
      </w:r>
      <w:r w:rsidR="00426C2D" w:rsidRPr="00820C89">
        <w:rPr>
          <w:rFonts w:asciiTheme="majorHAnsi" w:hAnsiTheme="majorHAnsi"/>
        </w:rPr>
        <w:t xml:space="preserve">has been used to </w:t>
      </w:r>
      <w:r w:rsidR="00B8163B" w:rsidRPr="00820C89">
        <w:rPr>
          <w:rFonts w:asciiTheme="majorHAnsi" w:hAnsiTheme="majorHAnsi"/>
        </w:rPr>
        <w:t xml:space="preserve">analyse the </w:t>
      </w:r>
      <w:r w:rsidR="00082D90" w:rsidRPr="00820C89">
        <w:rPr>
          <w:rFonts w:asciiTheme="majorHAnsi" w:hAnsiTheme="majorHAnsi"/>
        </w:rPr>
        <w:t>characteristics</w:t>
      </w:r>
      <w:r w:rsidR="00532CFB" w:rsidRPr="00820C89">
        <w:rPr>
          <w:rFonts w:asciiTheme="majorHAnsi" w:hAnsiTheme="majorHAnsi"/>
        </w:rPr>
        <w:t xml:space="preserve"> of program participants</w:t>
      </w:r>
      <w:r w:rsidR="00082D90" w:rsidRPr="00820C89">
        <w:rPr>
          <w:rFonts w:asciiTheme="majorHAnsi" w:hAnsiTheme="majorHAnsi"/>
        </w:rPr>
        <w:t>, their</w:t>
      </w:r>
      <w:r w:rsidR="00532CFB" w:rsidRPr="00820C89">
        <w:rPr>
          <w:rFonts w:asciiTheme="majorHAnsi" w:hAnsiTheme="majorHAnsi"/>
        </w:rPr>
        <w:t xml:space="preserve"> </w:t>
      </w:r>
      <w:r w:rsidR="00B8163B" w:rsidRPr="00820C89">
        <w:rPr>
          <w:rFonts w:asciiTheme="majorHAnsi" w:hAnsiTheme="majorHAnsi"/>
        </w:rPr>
        <w:t xml:space="preserve">ability </w:t>
      </w:r>
      <w:r w:rsidR="00532717" w:rsidRPr="00820C89">
        <w:rPr>
          <w:rFonts w:asciiTheme="majorHAnsi" w:hAnsiTheme="majorHAnsi"/>
        </w:rPr>
        <w:t xml:space="preserve">to </w:t>
      </w:r>
      <w:r w:rsidR="00082D90" w:rsidRPr="00820C89">
        <w:rPr>
          <w:rFonts w:asciiTheme="majorHAnsi" w:hAnsiTheme="majorHAnsi"/>
        </w:rPr>
        <w:t xml:space="preserve">meet specific employment milestones, and the funds </w:t>
      </w:r>
      <w:r w:rsidR="00391B47" w:rsidRPr="00820C89">
        <w:rPr>
          <w:rFonts w:asciiTheme="majorHAnsi" w:hAnsiTheme="majorHAnsi"/>
        </w:rPr>
        <w:t>spent</w:t>
      </w:r>
      <w:r w:rsidR="00082D90" w:rsidRPr="00820C89">
        <w:rPr>
          <w:rFonts w:asciiTheme="majorHAnsi" w:hAnsiTheme="majorHAnsi"/>
        </w:rPr>
        <w:t xml:space="preserve"> </w:t>
      </w:r>
      <w:r w:rsidR="002F383A" w:rsidRPr="00820C89">
        <w:rPr>
          <w:rFonts w:asciiTheme="majorHAnsi" w:hAnsiTheme="majorHAnsi"/>
        </w:rPr>
        <w:t>to support them.</w:t>
      </w:r>
      <w:r w:rsidR="00B8163B" w:rsidRPr="00820C89">
        <w:rPr>
          <w:rFonts w:asciiTheme="majorHAnsi" w:hAnsiTheme="majorHAnsi"/>
        </w:rPr>
        <w:t xml:space="preserve"> </w:t>
      </w:r>
    </w:p>
    <w:p w14:paraId="64273019" w14:textId="77777777" w:rsidR="00903A81" w:rsidRPr="00820C89" w:rsidRDefault="00903A81" w:rsidP="00A674D5">
      <w:pPr>
        <w:rPr>
          <w:rFonts w:asciiTheme="majorHAnsi" w:hAnsiTheme="majorHAnsi"/>
        </w:rPr>
      </w:pPr>
      <w:r w:rsidRPr="00820C89">
        <w:rPr>
          <w:rFonts w:asciiTheme="majorHAnsi" w:hAnsiTheme="majorHAnsi"/>
        </w:rPr>
        <w:t xml:space="preserve">All program data analysis that has been conducted is subject to the reliability of the data that has been provided. It is understood that elements of this data </w:t>
      </w:r>
      <w:r w:rsidR="00C029B5" w:rsidRPr="00820C89">
        <w:rPr>
          <w:rFonts w:asciiTheme="majorHAnsi" w:hAnsiTheme="majorHAnsi"/>
        </w:rPr>
        <w:t>may be</w:t>
      </w:r>
      <w:r w:rsidRPr="00820C89">
        <w:rPr>
          <w:rFonts w:asciiTheme="majorHAnsi" w:hAnsiTheme="majorHAnsi"/>
        </w:rPr>
        <w:t xml:space="preserve"> inputted by individual providers, and therefore influenced by the accuracy of their data entry.</w:t>
      </w:r>
    </w:p>
    <w:p w14:paraId="4E6D29BD" w14:textId="77777777" w:rsidR="00903A81" w:rsidRPr="00820C89" w:rsidRDefault="003B12EF" w:rsidP="00903A81">
      <w:pPr>
        <w:pStyle w:val="Heading4un-numbered"/>
        <w:rPr>
          <w:rFonts w:asciiTheme="majorHAnsi" w:hAnsiTheme="majorHAnsi"/>
        </w:rPr>
      </w:pPr>
      <w:r w:rsidRPr="00820C89">
        <w:rPr>
          <w:rFonts w:asciiTheme="majorHAnsi" w:hAnsiTheme="majorHAnsi"/>
        </w:rPr>
        <w:t>Research Evaluation Database</w:t>
      </w:r>
    </w:p>
    <w:p w14:paraId="4CE71EC3" w14:textId="77777777" w:rsidR="00922458" w:rsidRPr="00820C89" w:rsidRDefault="005B404A" w:rsidP="00A674D5">
      <w:pPr>
        <w:rPr>
          <w:rFonts w:asciiTheme="majorHAnsi" w:hAnsiTheme="majorHAnsi"/>
        </w:rPr>
      </w:pPr>
      <w:r w:rsidRPr="00820C89">
        <w:rPr>
          <w:rFonts w:asciiTheme="majorHAnsi" w:hAnsiTheme="majorHAnsi"/>
        </w:rPr>
        <w:t>T</w:t>
      </w:r>
      <w:r w:rsidR="00D17926" w:rsidRPr="00820C89">
        <w:rPr>
          <w:rFonts w:asciiTheme="majorHAnsi" w:hAnsiTheme="majorHAnsi"/>
        </w:rPr>
        <w:t xml:space="preserve">he RED contains </w:t>
      </w:r>
      <w:r w:rsidR="00A139E6" w:rsidRPr="00820C89">
        <w:rPr>
          <w:rFonts w:asciiTheme="majorHAnsi" w:hAnsiTheme="majorHAnsi"/>
        </w:rPr>
        <w:t>detailed information on the</w:t>
      </w:r>
      <w:r w:rsidR="00061D57" w:rsidRPr="00820C89">
        <w:rPr>
          <w:rFonts w:asciiTheme="majorHAnsi" w:hAnsiTheme="majorHAnsi"/>
        </w:rPr>
        <w:t xml:space="preserve"> income support history </w:t>
      </w:r>
      <w:r w:rsidR="004B547A" w:rsidRPr="00820C89">
        <w:rPr>
          <w:rFonts w:asciiTheme="majorHAnsi" w:hAnsiTheme="majorHAnsi"/>
        </w:rPr>
        <w:t>of welfare recipients.</w:t>
      </w:r>
      <w:r w:rsidR="00A94F2E" w:rsidRPr="00820C89">
        <w:rPr>
          <w:rFonts w:asciiTheme="majorHAnsi" w:hAnsiTheme="majorHAnsi"/>
        </w:rPr>
        <w:t xml:space="preserve"> This dataset </w:t>
      </w:r>
      <w:r w:rsidR="00033551" w:rsidRPr="00820C89">
        <w:rPr>
          <w:rFonts w:asciiTheme="majorHAnsi" w:hAnsiTheme="majorHAnsi"/>
        </w:rPr>
        <w:t>is</w:t>
      </w:r>
      <w:r w:rsidR="00A94F2E" w:rsidRPr="00820C89">
        <w:rPr>
          <w:rFonts w:asciiTheme="majorHAnsi" w:hAnsiTheme="majorHAnsi"/>
        </w:rPr>
        <w:t xml:space="preserve"> used to</w:t>
      </w:r>
      <w:r w:rsidR="00670E5D" w:rsidRPr="00820C89">
        <w:rPr>
          <w:rFonts w:asciiTheme="majorHAnsi" w:hAnsiTheme="majorHAnsi"/>
        </w:rPr>
        <w:t xml:space="preserve"> obtain </w:t>
      </w:r>
      <w:r w:rsidR="00E321E7" w:rsidRPr="00820C89">
        <w:rPr>
          <w:rFonts w:asciiTheme="majorHAnsi" w:hAnsiTheme="majorHAnsi"/>
        </w:rPr>
        <w:t>additional</w:t>
      </w:r>
      <w:r w:rsidR="00670E5D" w:rsidRPr="00820C89">
        <w:rPr>
          <w:rFonts w:asciiTheme="majorHAnsi" w:hAnsiTheme="majorHAnsi"/>
        </w:rPr>
        <w:t xml:space="preserve"> information on the characteristics and long</w:t>
      </w:r>
      <w:r w:rsidR="00851871" w:rsidRPr="00820C89">
        <w:rPr>
          <w:rFonts w:asciiTheme="majorHAnsi" w:hAnsiTheme="majorHAnsi"/>
        </w:rPr>
        <w:t>-term</w:t>
      </w:r>
      <w:r w:rsidR="00670E5D" w:rsidRPr="00820C89">
        <w:rPr>
          <w:rFonts w:asciiTheme="majorHAnsi" w:hAnsiTheme="majorHAnsi"/>
        </w:rPr>
        <w:t xml:space="preserve"> </w:t>
      </w:r>
      <w:r w:rsidR="00CA5ED5" w:rsidRPr="00820C89">
        <w:rPr>
          <w:rFonts w:asciiTheme="majorHAnsi" w:hAnsiTheme="majorHAnsi"/>
        </w:rPr>
        <w:t xml:space="preserve">employment status of IEP </w:t>
      </w:r>
      <w:r w:rsidR="001B69F3" w:rsidRPr="00820C89">
        <w:rPr>
          <w:rFonts w:asciiTheme="majorHAnsi" w:hAnsiTheme="majorHAnsi"/>
        </w:rPr>
        <w:t>participants</w:t>
      </w:r>
      <w:r w:rsidR="00851871" w:rsidRPr="00820C89">
        <w:rPr>
          <w:rFonts w:asciiTheme="majorHAnsi" w:hAnsiTheme="majorHAnsi"/>
        </w:rPr>
        <w:t xml:space="preserve"> (i.e. beyond </w:t>
      </w:r>
      <w:r w:rsidR="00910F50" w:rsidRPr="00820C89">
        <w:rPr>
          <w:rFonts w:asciiTheme="majorHAnsi" w:hAnsiTheme="majorHAnsi"/>
        </w:rPr>
        <w:t>the employment milestones that are captured in</w:t>
      </w:r>
      <w:r w:rsidR="00C90433" w:rsidRPr="00820C89">
        <w:rPr>
          <w:rFonts w:asciiTheme="majorHAnsi" w:hAnsiTheme="majorHAnsi"/>
        </w:rPr>
        <w:t xml:space="preserve"> the</w:t>
      </w:r>
      <w:r w:rsidR="00910F50" w:rsidRPr="00820C89">
        <w:rPr>
          <w:rFonts w:asciiTheme="majorHAnsi" w:hAnsiTheme="majorHAnsi"/>
        </w:rPr>
        <w:t xml:space="preserve"> NIAA program data).</w:t>
      </w:r>
    </w:p>
    <w:p w14:paraId="5993F648" w14:textId="77777777" w:rsidR="00C44AD9" w:rsidRPr="00820C89" w:rsidRDefault="00C44AD9" w:rsidP="005F08E3">
      <w:pPr>
        <w:pStyle w:val="ListBullet"/>
        <w:numPr>
          <w:ilvl w:val="0"/>
          <w:numId w:val="0"/>
        </w:numPr>
        <w:ind w:left="340" w:hanging="340"/>
        <w:rPr>
          <w:rFonts w:asciiTheme="majorHAnsi" w:eastAsiaTheme="majorEastAsia" w:hAnsiTheme="majorHAnsi" w:cstheme="majorBidi"/>
          <w:b/>
          <w:color w:val="75787B" w:themeColor="accent6"/>
          <w:szCs w:val="18"/>
        </w:rPr>
      </w:pPr>
      <w:r w:rsidRPr="00820C89">
        <w:rPr>
          <w:rFonts w:asciiTheme="majorHAnsi" w:eastAsiaTheme="majorEastAsia" w:hAnsiTheme="majorHAnsi" w:cstheme="majorBidi"/>
          <w:b/>
          <w:color w:val="75787B" w:themeColor="accent6"/>
          <w:szCs w:val="18"/>
        </w:rPr>
        <w:t>Australian Bureau of Statistics (ABS) data</w:t>
      </w:r>
    </w:p>
    <w:p w14:paraId="1C5C0106" w14:textId="77777777" w:rsidR="00BF7126" w:rsidRPr="00820C89" w:rsidRDefault="007F3E2C" w:rsidP="00BF7126">
      <w:pPr>
        <w:rPr>
          <w:rFonts w:asciiTheme="majorHAnsi" w:hAnsiTheme="majorHAnsi"/>
        </w:rPr>
      </w:pPr>
      <w:r w:rsidRPr="00820C89">
        <w:rPr>
          <w:rFonts w:asciiTheme="majorHAnsi" w:hAnsiTheme="majorHAnsi"/>
        </w:rPr>
        <w:t xml:space="preserve">ABS data was used in </w:t>
      </w:r>
      <w:r w:rsidR="008A20C9" w:rsidRPr="00820C89">
        <w:rPr>
          <w:rFonts w:asciiTheme="majorHAnsi" w:hAnsiTheme="majorHAnsi"/>
        </w:rPr>
        <w:t xml:space="preserve">the analysis </w:t>
      </w:r>
      <w:r w:rsidR="00BF7126" w:rsidRPr="00820C89">
        <w:rPr>
          <w:rFonts w:asciiTheme="majorHAnsi" w:hAnsiTheme="majorHAnsi"/>
        </w:rPr>
        <w:t>to undertake descriptive analysis of employment outcomes for Indigenous and non-Indigenous unemployed cohorts</w:t>
      </w:r>
      <w:r w:rsidR="00027DDE" w:rsidRPr="00820C89">
        <w:rPr>
          <w:rFonts w:asciiTheme="majorHAnsi" w:hAnsiTheme="majorHAnsi"/>
        </w:rPr>
        <w:t xml:space="preserve">. This analysis gives an indication of </w:t>
      </w:r>
      <w:r w:rsidR="00776240" w:rsidRPr="00820C89">
        <w:rPr>
          <w:rFonts w:asciiTheme="majorHAnsi" w:hAnsiTheme="majorHAnsi"/>
        </w:rPr>
        <w:t>regional variation across Australia</w:t>
      </w:r>
      <w:r w:rsidR="00BF7126" w:rsidRPr="00820C89">
        <w:rPr>
          <w:rFonts w:asciiTheme="majorHAnsi" w:hAnsiTheme="majorHAnsi"/>
        </w:rPr>
        <w:t>.</w:t>
      </w:r>
      <w:r w:rsidR="00BF7126" w:rsidRPr="00820C89" w:rsidDel="00921CCF">
        <w:rPr>
          <w:rFonts w:asciiTheme="majorHAnsi" w:hAnsiTheme="majorHAnsi"/>
        </w:rPr>
        <w:t xml:space="preserve"> </w:t>
      </w:r>
    </w:p>
    <w:p w14:paraId="10A006FE" w14:textId="77777777" w:rsidR="00706D10" w:rsidRPr="00820C89" w:rsidRDefault="00706D10" w:rsidP="00706D10">
      <w:pPr>
        <w:pStyle w:val="Heading4un-numbered"/>
        <w:rPr>
          <w:rFonts w:asciiTheme="majorHAnsi" w:hAnsiTheme="majorHAnsi"/>
        </w:rPr>
      </w:pPr>
      <w:r w:rsidRPr="00820C89">
        <w:rPr>
          <w:rFonts w:asciiTheme="majorHAnsi" w:hAnsiTheme="majorHAnsi"/>
        </w:rPr>
        <w:t xml:space="preserve">Literature </w:t>
      </w:r>
      <w:r w:rsidR="00E55783" w:rsidRPr="00820C89">
        <w:rPr>
          <w:rFonts w:asciiTheme="majorHAnsi" w:hAnsiTheme="majorHAnsi"/>
        </w:rPr>
        <w:t>scan</w:t>
      </w:r>
    </w:p>
    <w:p w14:paraId="66390082" w14:textId="77777777" w:rsidR="00E55783" w:rsidRPr="00820C89" w:rsidRDefault="00706D10" w:rsidP="00706D10">
      <w:pPr>
        <w:rPr>
          <w:rFonts w:asciiTheme="majorHAnsi" w:hAnsiTheme="majorHAnsi"/>
        </w:rPr>
      </w:pPr>
      <w:r w:rsidRPr="00820C89">
        <w:rPr>
          <w:rFonts w:asciiTheme="majorHAnsi" w:hAnsiTheme="majorHAnsi"/>
        </w:rPr>
        <w:t xml:space="preserve">At the commencement of the evaluation, a literature </w:t>
      </w:r>
      <w:r w:rsidR="00E55783" w:rsidRPr="00820C89">
        <w:rPr>
          <w:rFonts w:asciiTheme="majorHAnsi" w:hAnsiTheme="majorHAnsi"/>
        </w:rPr>
        <w:t>scan</w:t>
      </w:r>
      <w:r w:rsidRPr="00820C89">
        <w:rPr>
          <w:rFonts w:asciiTheme="majorHAnsi" w:hAnsiTheme="majorHAnsi"/>
        </w:rPr>
        <w:t xml:space="preserve"> was undertaken to identify the </w:t>
      </w:r>
      <w:r w:rsidR="00E55783" w:rsidRPr="00820C89">
        <w:rPr>
          <w:rFonts w:asciiTheme="majorHAnsi" w:hAnsiTheme="majorHAnsi"/>
        </w:rPr>
        <w:t>key</w:t>
      </w:r>
      <w:r w:rsidRPr="00820C89">
        <w:rPr>
          <w:rFonts w:asciiTheme="majorHAnsi" w:hAnsiTheme="majorHAnsi"/>
        </w:rPr>
        <w:t xml:space="preserve"> design </w:t>
      </w:r>
      <w:r w:rsidR="00E55783" w:rsidRPr="00820C89">
        <w:rPr>
          <w:rFonts w:asciiTheme="majorHAnsi" w:hAnsiTheme="majorHAnsi"/>
        </w:rPr>
        <w:t xml:space="preserve">and implementation </w:t>
      </w:r>
      <w:r w:rsidRPr="00820C89">
        <w:rPr>
          <w:rFonts w:asciiTheme="majorHAnsi" w:hAnsiTheme="majorHAnsi"/>
        </w:rPr>
        <w:t xml:space="preserve">features </w:t>
      </w:r>
      <w:r w:rsidR="00E55783" w:rsidRPr="00820C89">
        <w:rPr>
          <w:rFonts w:asciiTheme="majorHAnsi" w:hAnsiTheme="majorHAnsi"/>
        </w:rPr>
        <w:t xml:space="preserve">of </w:t>
      </w:r>
      <w:r w:rsidR="007734ED" w:rsidRPr="00820C89">
        <w:rPr>
          <w:rFonts w:asciiTheme="majorHAnsi" w:hAnsiTheme="majorHAnsi"/>
        </w:rPr>
        <w:t xml:space="preserve">an </w:t>
      </w:r>
      <w:r w:rsidR="00E55783" w:rsidRPr="00820C89">
        <w:rPr>
          <w:rFonts w:asciiTheme="majorHAnsi" w:hAnsiTheme="majorHAnsi"/>
        </w:rPr>
        <w:t>effective</w:t>
      </w:r>
      <w:r w:rsidRPr="00820C89">
        <w:rPr>
          <w:rFonts w:asciiTheme="majorHAnsi" w:hAnsiTheme="majorHAnsi"/>
        </w:rPr>
        <w:t xml:space="preserve"> Indigenous </w:t>
      </w:r>
      <w:r w:rsidR="00E55783" w:rsidRPr="00820C89">
        <w:rPr>
          <w:rFonts w:asciiTheme="majorHAnsi" w:hAnsiTheme="majorHAnsi"/>
        </w:rPr>
        <w:t>employment program</w:t>
      </w:r>
      <w:r w:rsidRPr="00820C89">
        <w:rPr>
          <w:rFonts w:asciiTheme="majorHAnsi" w:hAnsiTheme="majorHAnsi"/>
        </w:rPr>
        <w:t>.</w:t>
      </w:r>
      <w:r w:rsidR="00E55783" w:rsidRPr="00820C89">
        <w:rPr>
          <w:rFonts w:asciiTheme="majorHAnsi" w:hAnsiTheme="majorHAnsi"/>
        </w:rPr>
        <w:t xml:space="preserve"> This research focused on understanding:</w:t>
      </w:r>
    </w:p>
    <w:p w14:paraId="33D56AF2" w14:textId="77777777" w:rsidR="00E55783" w:rsidRPr="00820C89" w:rsidRDefault="00E55783"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 xml:space="preserve">key learning from past Indigenous </w:t>
      </w:r>
      <w:r w:rsidR="00706D10" w:rsidRPr="00820C89">
        <w:rPr>
          <w:rFonts w:asciiTheme="majorHAnsi" w:hAnsiTheme="majorHAnsi"/>
        </w:rPr>
        <w:t>employment programs</w:t>
      </w:r>
    </w:p>
    <w:p w14:paraId="1D749916" w14:textId="77777777" w:rsidR="00706D10" w:rsidRPr="00820C89" w:rsidRDefault="00E55783"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the perspectives of Indigenous Australian jobseekers and employees as well as employers regarding their IEP experience</w:t>
      </w:r>
    </w:p>
    <w:p w14:paraId="1D21AC4C" w14:textId="77777777" w:rsidR="00E55783" w:rsidRPr="00820C89" w:rsidRDefault="00E55783"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key success factors and principles underpinning successful initiatives for Indigenous Australians</w:t>
      </w:r>
    </w:p>
    <w:p w14:paraId="2FDBA824" w14:textId="77777777" w:rsidR="00D16BC9" w:rsidRPr="00820C89" w:rsidRDefault="00D16BC9" w:rsidP="00D16BC9">
      <w:pPr>
        <w:spacing w:before="170"/>
        <w:rPr>
          <w:rFonts w:asciiTheme="majorHAnsi" w:hAnsiTheme="majorHAnsi"/>
        </w:rPr>
      </w:pPr>
      <w:r w:rsidRPr="00820C89">
        <w:rPr>
          <w:rFonts w:asciiTheme="majorHAnsi" w:hAnsiTheme="majorHAnsi"/>
        </w:rPr>
        <w:t xml:space="preserve">The detailed literature scan is included in Appendix </w:t>
      </w:r>
      <w:r w:rsidR="001C3799" w:rsidRPr="00820C89">
        <w:rPr>
          <w:rFonts w:asciiTheme="majorHAnsi" w:hAnsiTheme="majorHAnsi"/>
        </w:rPr>
        <w:t>A</w:t>
      </w:r>
      <w:r w:rsidRPr="00820C89">
        <w:rPr>
          <w:rFonts w:asciiTheme="majorHAnsi" w:hAnsiTheme="majorHAnsi"/>
        </w:rPr>
        <w:t>.</w:t>
      </w:r>
    </w:p>
    <w:p w14:paraId="18CE4054" w14:textId="77777777" w:rsidR="00903A81" w:rsidRPr="00820C89" w:rsidRDefault="001421AA" w:rsidP="00903A81">
      <w:pPr>
        <w:pStyle w:val="Heading4un-numbered"/>
        <w:rPr>
          <w:rFonts w:asciiTheme="majorHAnsi" w:hAnsiTheme="majorHAnsi"/>
        </w:rPr>
      </w:pPr>
      <w:r w:rsidRPr="00820C89">
        <w:rPr>
          <w:rFonts w:asciiTheme="majorHAnsi" w:hAnsiTheme="majorHAnsi"/>
        </w:rPr>
        <w:t>Program documentation</w:t>
      </w:r>
    </w:p>
    <w:p w14:paraId="3B86826D" w14:textId="77777777" w:rsidR="003D1876" w:rsidRPr="00820C89" w:rsidRDefault="00EB0A07" w:rsidP="00EB0A07">
      <w:pPr>
        <w:rPr>
          <w:rFonts w:asciiTheme="majorHAnsi" w:hAnsiTheme="majorHAnsi"/>
        </w:rPr>
      </w:pPr>
      <w:r w:rsidRPr="00820C89">
        <w:rPr>
          <w:rFonts w:asciiTheme="majorHAnsi" w:hAnsiTheme="majorHAnsi"/>
        </w:rPr>
        <w:t xml:space="preserve">Program documentation provided by the NIAA informs an understanding of </w:t>
      </w:r>
      <w:r w:rsidR="003376CF" w:rsidRPr="00820C89">
        <w:rPr>
          <w:rFonts w:asciiTheme="majorHAnsi" w:hAnsiTheme="majorHAnsi"/>
        </w:rPr>
        <w:t>how the programs have been designed, implemented and changed over time</w:t>
      </w:r>
      <w:r w:rsidRPr="00820C89">
        <w:rPr>
          <w:rFonts w:asciiTheme="majorHAnsi" w:hAnsiTheme="majorHAnsi"/>
        </w:rPr>
        <w:t>.</w:t>
      </w:r>
      <w:r w:rsidR="003D1876" w:rsidRPr="00820C89">
        <w:rPr>
          <w:rFonts w:asciiTheme="majorHAnsi" w:hAnsiTheme="majorHAnsi"/>
        </w:rPr>
        <w:t xml:space="preserve"> These documents </w:t>
      </w:r>
      <w:r w:rsidR="004819A9" w:rsidRPr="00820C89">
        <w:rPr>
          <w:rFonts w:asciiTheme="majorHAnsi" w:hAnsiTheme="majorHAnsi"/>
        </w:rPr>
        <w:t>include</w:t>
      </w:r>
      <w:r w:rsidR="003D1876" w:rsidRPr="00820C89">
        <w:rPr>
          <w:rFonts w:asciiTheme="majorHAnsi" w:hAnsiTheme="majorHAnsi"/>
        </w:rPr>
        <w:t xml:space="preserve"> the program factsheets, application kits, handbooks, operational guidance documents, health checks </w:t>
      </w:r>
      <w:r w:rsidR="0007419F" w:rsidRPr="00820C89">
        <w:rPr>
          <w:rFonts w:asciiTheme="majorHAnsi" w:hAnsiTheme="majorHAnsi"/>
        </w:rPr>
        <w:t>and previous evaluations.</w:t>
      </w:r>
    </w:p>
    <w:p w14:paraId="32465402" w14:textId="77777777" w:rsidR="003F067A" w:rsidRPr="00820C89" w:rsidRDefault="003F067A" w:rsidP="00AF083E">
      <w:pPr>
        <w:pStyle w:val="Heading2"/>
        <w:rPr>
          <w:rFonts w:asciiTheme="majorHAnsi" w:hAnsiTheme="majorHAnsi"/>
        </w:rPr>
      </w:pPr>
      <w:bookmarkStart w:id="46" w:name="_Toc54966935"/>
      <w:bookmarkStart w:id="47" w:name="_Toc55495119"/>
      <w:bookmarkStart w:id="48" w:name="_Toc57022887"/>
      <w:bookmarkStart w:id="49" w:name="_Toc82710768"/>
      <w:bookmarkStart w:id="50" w:name="_Toc101343283"/>
      <w:r w:rsidRPr="00820C89">
        <w:rPr>
          <w:rFonts w:asciiTheme="majorHAnsi" w:hAnsiTheme="majorHAnsi"/>
        </w:rPr>
        <w:t>This report</w:t>
      </w:r>
      <w:bookmarkEnd w:id="46"/>
      <w:bookmarkEnd w:id="47"/>
      <w:bookmarkEnd w:id="48"/>
      <w:bookmarkEnd w:id="49"/>
      <w:bookmarkEnd w:id="50"/>
    </w:p>
    <w:p w14:paraId="4F11A459" w14:textId="77777777" w:rsidR="00143EDE" w:rsidRPr="00820C89" w:rsidRDefault="00143EDE" w:rsidP="00143EDE">
      <w:pPr>
        <w:rPr>
          <w:rFonts w:asciiTheme="majorHAnsi" w:hAnsiTheme="majorHAnsi"/>
        </w:rPr>
      </w:pPr>
      <w:r w:rsidRPr="00820C89">
        <w:rPr>
          <w:rFonts w:asciiTheme="majorHAnsi" w:hAnsiTheme="majorHAnsi"/>
        </w:rPr>
        <w:t xml:space="preserve">This </w:t>
      </w:r>
      <w:r w:rsidR="00814AB6" w:rsidRPr="00820C89">
        <w:rPr>
          <w:rFonts w:asciiTheme="majorHAnsi" w:hAnsiTheme="majorHAnsi"/>
        </w:rPr>
        <w:t xml:space="preserve">report presents the method and findings relating to the evaluation of the IEP. The </w:t>
      </w:r>
      <w:r w:rsidRPr="00820C89">
        <w:rPr>
          <w:rFonts w:asciiTheme="majorHAnsi" w:hAnsiTheme="majorHAnsi"/>
        </w:rPr>
        <w:t>report is structured as follows:</w:t>
      </w:r>
    </w:p>
    <w:p w14:paraId="72DAB914" w14:textId="77777777" w:rsidR="00971DB0" w:rsidRPr="00820C89" w:rsidRDefault="007D2CD3"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b/>
        </w:rPr>
        <w:t>Chapter</w:t>
      </w:r>
      <w:r w:rsidR="00143EDE" w:rsidRPr="00820C89">
        <w:rPr>
          <w:rFonts w:asciiTheme="majorHAnsi" w:hAnsiTheme="majorHAnsi"/>
          <w:b/>
        </w:rPr>
        <w:t xml:space="preserve"> 2:</w:t>
      </w:r>
      <w:r w:rsidR="00143EDE" w:rsidRPr="00820C89">
        <w:rPr>
          <w:rFonts w:asciiTheme="majorHAnsi" w:hAnsiTheme="majorHAnsi"/>
        </w:rPr>
        <w:t xml:space="preserve"> </w:t>
      </w:r>
      <w:r w:rsidR="003732A4" w:rsidRPr="00820C89">
        <w:rPr>
          <w:rFonts w:asciiTheme="majorHAnsi" w:hAnsiTheme="majorHAnsi"/>
        </w:rPr>
        <w:t>provides</w:t>
      </w:r>
      <w:r w:rsidR="00143EDE" w:rsidRPr="00820C89">
        <w:rPr>
          <w:rFonts w:asciiTheme="majorHAnsi" w:hAnsiTheme="majorHAnsi"/>
        </w:rPr>
        <w:t xml:space="preserve"> a </w:t>
      </w:r>
      <w:r w:rsidR="002320AE" w:rsidRPr="00820C89">
        <w:rPr>
          <w:rFonts w:asciiTheme="majorHAnsi" w:hAnsiTheme="majorHAnsi"/>
        </w:rPr>
        <w:t>high-level</w:t>
      </w:r>
      <w:r w:rsidR="00143EDE" w:rsidRPr="00820C89">
        <w:rPr>
          <w:rFonts w:asciiTheme="majorHAnsi" w:hAnsiTheme="majorHAnsi"/>
        </w:rPr>
        <w:t xml:space="preserve"> overview of the three in-scope </w:t>
      </w:r>
      <w:r w:rsidR="007F5A18" w:rsidRPr="00820C89">
        <w:rPr>
          <w:rFonts w:asciiTheme="majorHAnsi" w:hAnsiTheme="majorHAnsi"/>
        </w:rPr>
        <w:t>sub-</w:t>
      </w:r>
      <w:r w:rsidR="00143EDE" w:rsidRPr="00820C89">
        <w:rPr>
          <w:rFonts w:asciiTheme="majorHAnsi" w:hAnsiTheme="majorHAnsi"/>
        </w:rPr>
        <w:t xml:space="preserve">programs for this evaluation, </w:t>
      </w:r>
      <w:r w:rsidR="007E456E" w:rsidRPr="00820C89">
        <w:rPr>
          <w:rFonts w:asciiTheme="majorHAnsi" w:hAnsiTheme="majorHAnsi"/>
        </w:rPr>
        <w:t xml:space="preserve">including their design, </w:t>
      </w:r>
      <w:r w:rsidR="002320AE" w:rsidRPr="00820C89">
        <w:rPr>
          <w:rFonts w:asciiTheme="majorHAnsi" w:hAnsiTheme="majorHAnsi"/>
        </w:rPr>
        <w:t>intended purpose and key characteristics.</w:t>
      </w:r>
    </w:p>
    <w:p w14:paraId="4BFB30CC" w14:textId="77777777" w:rsidR="00971DB0" w:rsidRPr="00820C89" w:rsidRDefault="00971DB0"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b/>
          <w:bCs/>
        </w:rPr>
        <w:t xml:space="preserve">Chapter </w:t>
      </w:r>
      <w:r w:rsidR="008B7A57" w:rsidRPr="00820C89">
        <w:rPr>
          <w:rFonts w:asciiTheme="majorHAnsi" w:hAnsiTheme="majorHAnsi"/>
          <w:b/>
          <w:bCs/>
        </w:rPr>
        <w:t>3</w:t>
      </w:r>
      <w:r w:rsidR="008B7A57" w:rsidRPr="00820C89">
        <w:rPr>
          <w:rFonts w:asciiTheme="majorHAnsi" w:hAnsiTheme="majorHAnsi"/>
        </w:rPr>
        <w:t xml:space="preserve">: </w:t>
      </w:r>
      <w:r w:rsidR="007962A8" w:rsidRPr="00820C89">
        <w:rPr>
          <w:rFonts w:asciiTheme="majorHAnsi" w:hAnsiTheme="majorHAnsi"/>
        </w:rPr>
        <w:t xml:space="preserve">considers whether the program </w:t>
      </w:r>
      <w:r w:rsidR="00F117A0" w:rsidRPr="00820C89">
        <w:rPr>
          <w:rFonts w:asciiTheme="majorHAnsi" w:hAnsiTheme="majorHAnsi"/>
        </w:rPr>
        <w:t xml:space="preserve">has </w:t>
      </w:r>
      <w:r w:rsidR="007962A8" w:rsidRPr="00820C89">
        <w:rPr>
          <w:rFonts w:asciiTheme="majorHAnsi" w:hAnsiTheme="majorHAnsi"/>
        </w:rPr>
        <w:t xml:space="preserve">been implemented as originally intended, as well as any challenges faced by providers and partners in implementing the </w:t>
      </w:r>
      <w:r w:rsidR="00A01A42" w:rsidRPr="00820C89">
        <w:rPr>
          <w:rFonts w:asciiTheme="majorHAnsi" w:hAnsiTheme="majorHAnsi"/>
        </w:rPr>
        <w:t>sub-</w:t>
      </w:r>
      <w:r w:rsidR="007962A8" w:rsidRPr="00820C89">
        <w:rPr>
          <w:rFonts w:asciiTheme="majorHAnsi" w:hAnsiTheme="majorHAnsi"/>
        </w:rPr>
        <w:t>programs</w:t>
      </w:r>
      <w:r w:rsidR="00087211" w:rsidRPr="00820C89">
        <w:rPr>
          <w:rFonts w:asciiTheme="majorHAnsi" w:hAnsiTheme="majorHAnsi"/>
        </w:rPr>
        <w:t>.</w:t>
      </w:r>
    </w:p>
    <w:p w14:paraId="7E8BD7C0" w14:textId="77777777" w:rsidR="00143EDE" w:rsidRPr="00820C89" w:rsidRDefault="002320AE"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b/>
        </w:rPr>
        <w:t>Chapter</w:t>
      </w:r>
      <w:r w:rsidR="006C5B4F" w:rsidRPr="00820C89">
        <w:rPr>
          <w:rFonts w:asciiTheme="majorHAnsi" w:hAnsiTheme="majorHAnsi"/>
          <w:b/>
        </w:rPr>
        <w:t xml:space="preserve"> </w:t>
      </w:r>
      <w:r w:rsidR="00C82FEB" w:rsidRPr="00820C89">
        <w:rPr>
          <w:rFonts w:asciiTheme="majorHAnsi" w:hAnsiTheme="majorHAnsi"/>
          <w:b/>
        </w:rPr>
        <w:t>4</w:t>
      </w:r>
      <w:r w:rsidR="00143EDE" w:rsidRPr="00820C89">
        <w:rPr>
          <w:rFonts w:asciiTheme="majorHAnsi" w:hAnsiTheme="majorHAnsi"/>
          <w:b/>
        </w:rPr>
        <w:t>:</w:t>
      </w:r>
      <w:r w:rsidR="00143EDE" w:rsidRPr="00820C89">
        <w:rPr>
          <w:rFonts w:asciiTheme="majorHAnsi" w:hAnsiTheme="majorHAnsi"/>
        </w:rPr>
        <w:t xml:space="preserve"> </w:t>
      </w:r>
      <w:r w:rsidR="00953518" w:rsidRPr="00820C89">
        <w:rPr>
          <w:rFonts w:asciiTheme="majorHAnsi" w:hAnsiTheme="majorHAnsi"/>
        </w:rPr>
        <w:t xml:space="preserve">examines the effectiveness of the </w:t>
      </w:r>
      <w:r w:rsidR="00A01A42" w:rsidRPr="00820C89">
        <w:rPr>
          <w:rFonts w:asciiTheme="majorHAnsi" w:hAnsiTheme="majorHAnsi"/>
        </w:rPr>
        <w:t>sub-</w:t>
      </w:r>
      <w:r w:rsidR="00953518" w:rsidRPr="00820C89">
        <w:rPr>
          <w:rFonts w:asciiTheme="majorHAnsi" w:hAnsiTheme="majorHAnsi"/>
        </w:rPr>
        <w:t>programs in meeting their intended short, medium and long-term outcomes as defined by the program logic.</w:t>
      </w:r>
      <w:r w:rsidR="00741280" w:rsidRPr="00820C89">
        <w:rPr>
          <w:rFonts w:asciiTheme="majorHAnsi" w:hAnsiTheme="majorHAnsi"/>
        </w:rPr>
        <w:t xml:space="preserve"> This includes analysis of the contextual factors associated with outcomes realisation. </w:t>
      </w:r>
    </w:p>
    <w:p w14:paraId="55E0D231" w14:textId="77777777" w:rsidR="00953518" w:rsidRPr="00820C89" w:rsidRDefault="005808E4"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b/>
        </w:rPr>
        <w:t>Chapter</w:t>
      </w:r>
      <w:r w:rsidR="006C5B4F" w:rsidRPr="00820C89">
        <w:rPr>
          <w:rFonts w:asciiTheme="majorHAnsi" w:hAnsiTheme="majorHAnsi"/>
          <w:b/>
        </w:rPr>
        <w:t xml:space="preserve"> </w:t>
      </w:r>
      <w:r w:rsidRPr="00820C89">
        <w:rPr>
          <w:rFonts w:asciiTheme="majorHAnsi" w:hAnsiTheme="majorHAnsi"/>
          <w:b/>
        </w:rPr>
        <w:t>5</w:t>
      </w:r>
      <w:r w:rsidR="00953518" w:rsidRPr="00820C89">
        <w:rPr>
          <w:rFonts w:asciiTheme="majorHAnsi" w:hAnsiTheme="majorHAnsi"/>
          <w:b/>
        </w:rPr>
        <w:t>:</w:t>
      </w:r>
      <w:r w:rsidR="00953518" w:rsidRPr="00820C89">
        <w:rPr>
          <w:rFonts w:asciiTheme="majorHAnsi" w:hAnsiTheme="majorHAnsi"/>
        </w:rPr>
        <w:t xml:space="preserve"> </w:t>
      </w:r>
      <w:r w:rsidR="00741280" w:rsidRPr="00820C89">
        <w:rPr>
          <w:rFonts w:asciiTheme="majorHAnsi" w:hAnsiTheme="majorHAnsi"/>
        </w:rPr>
        <w:t xml:space="preserve">extends this effectiveness analysis to </w:t>
      </w:r>
      <w:r w:rsidR="00953518" w:rsidRPr="00820C89">
        <w:rPr>
          <w:rFonts w:asciiTheme="majorHAnsi" w:hAnsiTheme="majorHAnsi"/>
        </w:rPr>
        <w:t xml:space="preserve">consider the impact of the </w:t>
      </w:r>
      <w:r w:rsidR="004611C3" w:rsidRPr="00820C89">
        <w:rPr>
          <w:rFonts w:asciiTheme="majorHAnsi" w:hAnsiTheme="majorHAnsi"/>
        </w:rPr>
        <w:t>sub-</w:t>
      </w:r>
      <w:r w:rsidR="00953518" w:rsidRPr="00820C89">
        <w:rPr>
          <w:rFonts w:asciiTheme="majorHAnsi" w:hAnsiTheme="majorHAnsi"/>
        </w:rPr>
        <w:t xml:space="preserve">programs </w:t>
      </w:r>
      <w:r w:rsidR="00FC06DB" w:rsidRPr="00820C89">
        <w:rPr>
          <w:rFonts w:asciiTheme="majorHAnsi" w:hAnsiTheme="majorHAnsi"/>
        </w:rPr>
        <w:t xml:space="preserve">in generating benefits </w:t>
      </w:r>
      <w:r w:rsidR="00BD6125" w:rsidRPr="00820C89">
        <w:rPr>
          <w:rFonts w:asciiTheme="majorHAnsi" w:hAnsiTheme="majorHAnsi"/>
        </w:rPr>
        <w:t xml:space="preserve">above and beyond what would be expected under a counterfactual scenario. </w:t>
      </w:r>
    </w:p>
    <w:p w14:paraId="2CEC7BF1" w14:textId="7C82C384" w:rsidR="005B7126" w:rsidRPr="00820C89" w:rsidRDefault="00F1362E" w:rsidP="00715F70">
      <w:pPr>
        <w:pStyle w:val="ListParagraph"/>
        <w:numPr>
          <w:ilvl w:val="0"/>
          <w:numId w:val="30"/>
        </w:numPr>
        <w:spacing w:before="60" w:after="60"/>
        <w:ind w:left="357" w:hanging="357"/>
        <w:contextualSpacing w:val="0"/>
        <w:rPr>
          <w:rFonts w:asciiTheme="majorHAnsi" w:hAnsiTheme="majorHAnsi"/>
        </w:rPr>
      </w:pPr>
      <w:hyperlink w:anchor="Appendix_B" w:history="1">
        <w:r w:rsidR="00143EDE" w:rsidRPr="00820C89">
          <w:rPr>
            <w:rFonts w:asciiTheme="majorHAnsi" w:hAnsiTheme="majorHAnsi"/>
            <w:b/>
          </w:rPr>
          <w:t xml:space="preserve">Appendix </w:t>
        </w:r>
        <w:r w:rsidR="00454885" w:rsidRPr="00820C89">
          <w:rPr>
            <w:rFonts w:asciiTheme="majorHAnsi" w:hAnsiTheme="majorHAnsi"/>
            <w:b/>
          </w:rPr>
          <w:t>A</w:t>
        </w:r>
      </w:hyperlink>
      <w:r w:rsidR="00143EDE" w:rsidRPr="00820C89">
        <w:rPr>
          <w:rFonts w:asciiTheme="majorHAnsi" w:hAnsiTheme="majorHAnsi"/>
          <w:b/>
        </w:rPr>
        <w:t>:</w:t>
      </w:r>
      <w:r w:rsidR="00143EDE" w:rsidRPr="00820C89">
        <w:rPr>
          <w:rFonts w:asciiTheme="majorHAnsi" w:hAnsiTheme="majorHAnsi"/>
        </w:rPr>
        <w:t xml:space="preserve"> </w:t>
      </w:r>
      <w:r w:rsidR="009E258D" w:rsidRPr="00820C89">
        <w:rPr>
          <w:rFonts w:asciiTheme="majorHAnsi" w:hAnsiTheme="majorHAnsi"/>
        </w:rPr>
        <w:t>provides</w:t>
      </w:r>
      <w:r w:rsidR="00953518" w:rsidRPr="00820C89">
        <w:rPr>
          <w:rFonts w:asciiTheme="majorHAnsi" w:hAnsiTheme="majorHAnsi"/>
        </w:rPr>
        <w:t xml:space="preserve"> the accompanying literature scan</w:t>
      </w:r>
      <w:r w:rsidR="0086068A" w:rsidRPr="00820C89">
        <w:rPr>
          <w:rFonts w:asciiTheme="majorHAnsi" w:hAnsiTheme="majorHAnsi"/>
        </w:rPr>
        <w:t>.</w:t>
      </w:r>
    </w:p>
    <w:p w14:paraId="075B93BD" w14:textId="14BBB7DB" w:rsidR="006C5B4F" w:rsidRPr="00820C89" w:rsidRDefault="006C5B4F"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b/>
        </w:rPr>
        <w:t xml:space="preserve">Appendix </w:t>
      </w:r>
      <w:r w:rsidR="00454885" w:rsidRPr="00820C89">
        <w:rPr>
          <w:rFonts w:asciiTheme="majorHAnsi" w:hAnsiTheme="majorHAnsi"/>
          <w:b/>
        </w:rPr>
        <w:t>B</w:t>
      </w:r>
      <w:r w:rsidRPr="00820C89">
        <w:rPr>
          <w:rFonts w:asciiTheme="majorHAnsi" w:hAnsiTheme="majorHAnsi"/>
          <w:b/>
        </w:rPr>
        <w:t>:</w:t>
      </w:r>
      <w:r w:rsidRPr="00820C89">
        <w:rPr>
          <w:rFonts w:asciiTheme="majorHAnsi" w:hAnsiTheme="majorHAnsi"/>
        </w:rPr>
        <w:t xml:space="preserve"> provides a high-level summary of </w:t>
      </w:r>
      <w:r w:rsidR="002B61D2" w:rsidRPr="00820C89">
        <w:rPr>
          <w:rFonts w:asciiTheme="majorHAnsi" w:hAnsiTheme="majorHAnsi"/>
        </w:rPr>
        <w:t>the</w:t>
      </w:r>
      <w:r w:rsidRPr="00820C89">
        <w:rPr>
          <w:rFonts w:asciiTheme="majorHAnsi" w:hAnsiTheme="majorHAnsi"/>
        </w:rPr>
        <w:t xml:space="preserve"> </w:t>
      </w:r>
      <w:r w:rsidR="0086068A" w:rsidRPr="00820C89">
        <w:rPr>
          <w:rFonts w:asciiTheme="majorHAnsi" w:hAnsiTheme="majorHAnsi"/>
        </w:rPr>
        <w:t>S</w:t>
      </w:r>
      <w:r w:rsidR="00961BB2" w:rsidRPr="00820C89">
        <w:rPr>
          <w:rFonts w:asciiTheme="majorHAnsi" w:hAnsiTheme="majorHAnsi"/>
        </w:rPr>
        <w:t xml:space="preserve">tate and </w:t>
      </w:r>
      <w:r w:rsidR="0086068A" w:rsidRPr="00820C89">
        <w:rPr>
          <w:rFonts w:asciiTheme="majorHAnsi" w:hAnsiTheme="majorHAnsi"/>
        </w:rPr>
        <w:t>T</w:t>
      </w:r>
      <w:r w:rsidR="00961BB2" w:rsidRPr="00820C89">
        <w:rPr>
          <w:rFonts w:asciiTheme="majorHAnsi" w:hAnsiTheme="majorHAnsi"/>
        </w:rPr>
        <w:t xml:space="preserve">erritory Indigenous employment </w:t>
      </w:r>
      <w:r w:rsidR="0086068A" w:rsidRPr="00820C89">
        <w:rPr>
          <w:rFonts w:asciiTheme="majorHAnsi" w:hAnsiTheme="majorHAnsi"/>
        </w:rPr>
        <w:t>programs</w:t>
      </w:r>
      <w:r w:rsidR="00961BB2" w:rsidRPr="00820C89">
        <w:rPr>
          <w:rFonts w:asciiTheme="majorHAnsi" w:hAnsiTheme="majorHAnsi"/>
        </w:rPr>
        <w:t>.</w:t>
      </w:r>
    </w:p>
    <w:p w14:paraId="5F3F5C33" w14:textId="62BC91ED" w:rsidR="002120B6" w:rsidRPr="00820C89" w:rsidRDefault="002120B6"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b/>
        </w:rPr>
        <w:t>Append</w:t>
      </w:r>
      <w:r w:rsidR="00344C53" w:rsidRPr="00820C89">
        <w:rPr>
          <w:rFonts w:asciiTheme="majorHAnsi" w:hAnsiTheme="majorHAnsi"/>
          <w:b/>
        </w:rPr>
        <w:t>ix</w:t>
      </w:r>
      <w:r w:rsidRPr="00820C89">
        <w:rPr>
          <w:rFonts w:asciiTheme="majorHAnsi" w:hAnsiTheme="majorHAnsi"/>
          <w:b/>
        </w:rPr>
        <w:t xml:space="preserve"> </w:t>
      </w:r>
      <w:r w:rsidR="00454885" w:rsidRPr="00820C89">
        <w:rPr>
          <w:rFonts w:asciiTheme="majorHAnsi" w:hAnsiTheme="majorHAnsi"/>
          <w:b/>
        </w:rPr>
        <w:t>C</w:t>
      </w:r>
      <w:r w:rsidRPr="00820C89">
        <w:rPr>
          <w:rFonts w:asciiTheme="majorHAnsi" w:hAnsiTheme="majorHAnsi"/>
          <w:b/>
        </w:rPr>
        <w:t>:</w:t>
      </w:r>
      <w:r w:rsidRPr="00820C89">
        <w:rPr>
          <w:rFonts w:asciiTheme="majorHAnsi" w:hAnsiTheme="majorHAnsi"/>
        </w:rPr>
        <w:t xml:space="preserve"> </w:t>
      </w:r>
      <w:r w:rsidR="005E66C0" w:rsidRPr="00820C89">
        <w:rPr>
          <w:rFonts w:asciiTheme="majorHAnsi" w:hAnsiTheme="majorHAnsi"/>
        </w:rPr>
        <w:t xml:space="preserve">provide an overview of the </w:t>
      </w:r>
      <w:r w:rsidR="001C5C10" w:rsidRPr="00820C89">
        <w:rPr>
          <w:rFonts w:asciiTheme="majorHAnsi" w:hAnsiTheme="majorHAnsi"/>
        </w:rPr>
        <w:t>econometric</w:t>
      </w:r>
      <w:r w:rsidR="004C2451" w:rsidRPr="00820C89">
        <w:rPr>
          <w:rFonts w:asciiTheme="majorHAnsi" w:hAnsiTheme="majorHAnsi"/>
        </w:rPr>
        <w:t xml:space="preserve"> methods</w:t>
      </w:r>
      <w:r w:rsidR="001C5C10" w:rsidRPr="00820C89">
        <w:rPr>
          <w:rFonts w:asciiTheme="majorHAnsi" w:hAnsiTheme="majorHAnsi"/>
        </w:rPr>
        <w:t xml:space="preserve"> </w:t>
      </w:r>
      <w:r w:rsidR="00AE0951" w:rsidRPr="00820C89">
        <w:rPr>
          <w:rFonts w:asciiTheme="majorHAnsi" w:hAnsiTheme="majorHAnsi"/>
        </w:rPr>
        <w:t>and</w:t>
      </w:r>
      <w:r w:rsidR="001C5C10" w:rsidRPr="00820C89">
        <w:rPr>
          <w:rFonts w:asciiTheme="majorHAnsi" w:hAnsiTheme="majorHAnsi"/>
        </w:rPr>
        <w:t xml:space="preserve"> </w:t>
      </w:r>
      <w:r w:rsidR="005E66C0" w:rsidRPr="00820C89">
        <w:rPr>
          <w:rFonts w:asciiTheme="majorHAnsi" w:hAnsiTheme="majorHAnsi"/>
        </w:rPr>
        <w:t xml:space="preserve">RED </w:t>
      </w:r>
      <w:r w:rsidRPr="00820C89">
        <w:rPr>
          <w:rFonts w:asciiTheme="majorHAnsi" w:hAnsiTheme="majorHAnsi"/>
        </w:rPr>
        <w:t>data</w:t>
      </w:r>
      <w:r w:rsidR="005E66C0" w:rsidRPr="00820C89">
        <w:rPr>
          <w:rFonts w:asciiTheme="majorHAnsi" w:hAnsiTheme="majorHAnsi"/>
        </w:rPr>
        <w:t xml:space="preserve"> analysis </w:t>
      </w:r>
      <w:r w:rsidR="004C2451" w:rsidRPr="00820C89">
        <w:rPr>
          <w:rFonts w:asciiTheme="majorHAnsi" w:hAnsiTheme="majorHAnsi"/>
        </w:rPr>
        <w:t>included in the report</w:t>
      </w:r>
      <w:r w:rsidR="001C5C10" w:rsidRPr="00820C89">
        <w:rPr>
          <w:rFonts w:asciiTheme="majorHAnsi" w:hAnsiTheme="majorHAnsi"/>
        </w:rPr>
        <w:t>.</w:t>
      </w:r>
    </w:p>
    <w:p w14:paraId="11747174" w14:textId="21206734" w:rsidR="00344C53" w:rsidRPr="00820C89" w:rsidRDefault="007F2025" w:rsidP="00715F70">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b/>
          <w:bCs/>
        </w:rPr>
        <w:t>Appendix D</w:t>
      </w:r>
      <w:r w:rsidRPr="00820C89">
        <w:rPr>
          <w:rFonts w:asciiTheme="majorHAnsi" w:hAnsiTheme="majorHAnsi"/>
        </w:rPr>
        <w:t>:</w:t>
      </w:r>
      <w:r w:rsidR="00D01372" w:rsidRPr="00820C89">
        <w:rPr>
          <w:rFonts w:asciiTheme="majorHAnsi" w:hAnsiTheme="majorHAnsi"/>
        </w:rPr>
        <w:t xml:space="preserve"> includes the Evaluation Strategy for this project, in its original form as finalised in November 2020.</w:t>
      </w:r>
    </w:p>
    <w:p w14:paraId="34279911" w14:textId="77777777" w:rsidR="000651DC" w:rsidRPr="00820C89" w:rsidRDefault="009E4077" w:rsidP="008F7E18">
      <w:pPr>
        <w:spacing w:before="170" w:after="0"/>
        <w:rPr>
          <w:rFonts w:asciiTheme="majorHAnsi" w:hAnsiTheme="majorHAnsi"/>
        </w:rPr>
      </w:pPr>
      <w:bookmarkStart w:id="51" w:name="_Toc55495136"/>
      <w:bookmarkStart w:id="52" w:name="_Toc57022901"/>
      <w:r w:rsidRPr="00820C89">
        <w:rPr>
          <w:rFonts w:asciiTheme="majorHAnsi" w:hAnsiTheme="majorHAnsi"/>
        </w:rPr>
        <w:br w:type="page"/>
      </w:r>
    </w:p>
    <w:p w14:paraId="6E27E775" w14:textId="77777777" w:rsidR="004618FA" w:rsidRPr="00820C89" w:rsidRDefault="004618FA" w:rsidP="004618FA">
      <w:pPr>
        <w:pStyle w:val="Heading1"/>
        <w:rPr>
          <w:rFonts w:asciiTheme="majorHAnsi" w:hAnsiTheme="majorHAnsi"/>
        </w:rPr>
      </w:pPr>
      <w:bookmarkStart w:id="53" w:name="_Toc82710769"/>
      <w:bookmarkStart w:id="54" w:name="_Toc101343284"/>
      <w:r w:rsidRPr="00820C89">
        <w:rPr>
          <w:rFonts w:asciiTheme="majorHAnsi" w:hAnsiTheme="majorHAnsi"/>
        </w:rPr>
        <w:lastRenderedPageBreak/>
        <w:t>Program design</w:t>
      </w:r>
      <w:bookmarkEnd w:id="51"/>
      <w:bookmarkEnd w:id="52"/>
      <w:bookmarkEnd w:id="53"/>
      <w:bookmarkEnd w:id="54"/>
    </w:p>
    <w:p w14:paraId="0BE75BE2" w14:textId="77777777" w:rsidR="004618FA" w:rsidRPr="00820C89" w:rsidRDefault="00CA6361" w:rsidP="004618FA">
      <w:pPr>
        <w:rPr>
          <w:rFonts w:asciiTheme="majorHAnsi" w:hAnsiTheme="majorHAnsi"/>
        </w:rPr>
      </w:pPr>
      <w:r w:rsidRPr="00820C89">
        <w:rPr>
          <w:rFonts w:asciiTheme="majorHAnsi" w:hAnsiTheme="majorHAnsi"/>
        </w:rPr>
        <w:t>T</w:t>
      </w:r>
      <w:r w:rsidR="00CB00AA" w:rsidRPr="00820C89">
        <w:rPr>
          <w:rFonts w:asciiTheme="majorHAnsi" w:hAnsiTheme="majorHAnsi"/>
        </w:rPr>
        <w:t>his</w:t>
      </w:r>
      <w:r w:rsidR="004618FA" w:rsidRPr="00820C89">
        <w:rPr>
          <w:rFonts w:asciiTheme="majorHAnsi" w:hAnsiTheme="majorHAnsi"/>
        </w:rPr>
        <w:t xml:space="preserve"> chapter considers the appropriateness of the design of the IEP</w:t>
      </w:r>
      <w:r w:rsidR="001562F2" w:rsidRPr="00820C89">
        <w:rPr>
          <w:rFonts w:asciiTheme="majorHAnsi" w:hAnsiTheme="majorHAnsi"/>
        </w:rPr>
        <w:t>, specifically,</w:t>
      </w:r>
      <w:r w:rsidR="002727F5" w:rsidRPr="00820C89">
        <w:rPr>
          <w:rFonts w:asciiTheme="majorHAnsi" w:hAnsiTheme="majorHAnsi"/>
        </w:rPr>
        <w:t xml:space="preserve"> respond</w:t>
      </w:r>
      <w:r w:rsidR="00532E2B" w:rsidRPr="00820C89">
        <w:rPr>
          <w:rFonts w:asciiTheme="majorHAnsi" w:hAnsiTheme="majorHAnsi"/>
        </w:rPr>
        <w:t>ing</w:t>
      </w:r>
      <w:r w:rsidR="002727F5" w:rsidRPr="00820C89">
        <w:rPr>
          <w:rFonts w:asciiTheme="majorHAnsi" w:hAnsiTheme="majorHAnsi"/>
        </w:rPr>
        <w:t xml:space="preserve"> to the following evaluation question</w:t>
      </w:r>
      <w:r w:rsidR="004B38A7" w:rsidRPr="00820C89">
        <w:rPr>
          <w:rFonts w:asciiTheme="majorHAnsi" w:hAnsiTheme="majorHAnsi"/>
        </w:rPr>
        <w:t>:</w:t>
      </w:r>
    </w:p>
    <w:p w14:paraId="45BCA1A0" w14:textId="77777777" w:rsidR="004618FA" w:rsidRPr="00820C89" w:rsidRDefault="004618FA" w:rsidP="00715F70">
      <w:pPr>
        <w:pStyle w:val="ListParagraph"/>
        <w:numPr>
          <w:ilvl w:val="0"/>
          <w:numId w:val="41"/>
        </w:numPr>
        <w:spacing w:before="60" w:after="60"/>
        <w:ind w:left="357" w:hanging="357"/>
        <w:contextualSpacing w:val="0"/>
        <w:rPr>
          <w:rFonts w:asciiTheme="majorHAnsi" w:hAnsiTheme="majorHAnsi"/>
          <w:i/>
        </w:rPr>
      </w:pPr>
      <w:r w:rsidRPr="00820C89">
        <w:rPr>
          <w:rFonts w:asciiTheme="majorHAnsi" w:hAnsiTheme="majorHAnsi"/>
          <w:i/>
        </w:rPr>
        <w:t>to what extent is the program design based on evidence?</w:t>
      </w:r>
    </w:p>
    <w:p w14:paraId="70915DA0" w14:textId="77777777" w:rsidR="000621C1" w:rsidRPr="00820C89" w:rsidRDefault="000621C1" w:rsidP="000621C1">
      <w:pPr>
        <w:spacing w:before="170"/>
        <w:rPr>
          <w:rFonts w:asciiTheme="majorHAnsi" w:hAnsiTheme="majorHAnsi"/>
        </w:rPr>
      </w:pPr>
      <w:r w:rsidRPr="00820C89">
        <w:rPr>
          <w:rFonts w:asciiTheme="majorHAnsi" w:hAnsiTheme="majorHAnsi"/>
        </w:rPr>
        <w:t xml:space="preserve">In answering this evaluation question, this chapter </w:t>
      </w:r>
      <w:r w:rsidR="004F01B4" w:rsidRPr="00820C89">
        <w:rPr>
          <w:rFonts w:asciiTheme="majorHAnsi" w:hAnsiTheme="majorHAnsi"/>
        </w:rPr>
        <w:t xml:space="preserve">draws on insights </w:t>
      </w:r>
      <w:r w:rsidR="00870EEB" w:rsidRPr="00820C89">
        <w:rPr>
          <w:rFonts w:asciiTheme="majorHAnsi" w:hAnsiTheme="majorHAnsi"/>
        </w:rPr>
        <w:t xml:space="preserve">gained through </w:t>
      </w:r>
      <w:r w:rsidR="004F01B4" w:rsidRPr="00820C89">
        <w:rPr>
          <w:rFonts w:asciiTheme="majorHAnsi" w:hAnsiTheme="majorHAnsi"/>
        </w:rPr>
        <w:t>the literature scan and stakeholder consultations</w:t>
      </w:r>
      <w:r w:rsidR="001562F2" w:rsidRPr="00820C89">
        <w:rPr>
          <w:rFonts w:asciiTheme="majorHAnsi" w:hAnsiTheme="majorHAnsi"/>
        </w:rPr>
        <w:t>,</w:t>
      </w:r>
      <w:r w:rsidR="004F01B4" w:rsidRPr="00820C89">
        <w:rPr>
          <w:rFonts w:asciiTheme="majorHAnsi" w:hAnsiTheme="majorHAnsi"/>
        </w:rPr>
        <w:t xml:space="preserve"> to analyse the following elements</w:t>
      </w:r>
      <w:r w:rsidRPr="00820C89">
        <w:rPr>
          <w:rFonts w:asciiTheme="majorHAnsi" w:hAnsiTheme="majorHAnsi"/>
        </w:rPr>
        <w:t>:</w:t>
      </w:r>
    </w:p>
    <w:p w14:paraId="13C1AF8D" w14:textId="77777777" w:rsidR="000621C1" w:rsidRPr="00820C89" w:rsidRDefault="000621C1" w:rsidP="00715F70">
      <w:pPr>
        <w:pStyle w:val="ListParagraph"/>
        <w:numPr>
          <w:ilvl w:val="0"/>
          <w:numId w:val="41"/>
        </w:numPr>
        <w:spacing w:before="170"/>
        <w:rPr>
          <w:rFonts w:asciiTheme="majorHAnsi" w:hAnsiTheme="majorHAnsi"/>
        </w:rPr>
      </w:pPr>
      <w:r w:rsidRPr="00820C89">
        <w:rPr>
          <w:rFonts w:asciiTheme="majorHAnsi" w:hAnsiTheme="majorHAnsi"/>
        </w:rPr>
        <w:t>the evidence that informed the design of the IEP programs</w:t>
      </w:r>
      <w:r w:rsidR="003D2F84" w:rsidRPr="00820C89">
        <w:rPr>
          <w:rFonts w:asciiTheme="majorHAnsi" w:hAnsiTheme="majorHAnsi"/>
        </w:rPr>
        <w:t>,</w:t>
      </w:r>
    </w:p>
    <w:p w14:paraId="08786168" w14:textId="77777777" w:rsidR="000621C1" w:rsidRPr="00820C89" w:rsidRDefault="000621C1" w:rsidP="00715F70">
      <w:pPr>
        <w:pStyle w:val="ListParagraph"/>
        <w:numPr>
          <w:ilvl w:val="0"/>
          <w:numId w:val="41"/>
        </w:numPr>
        <w:spacing w:before="170"/>
        <w:rPr>
          <w:rFonts w:asciiTheme="majorHAnsi" w:hAnsiTheme="majorHAnsi"/>
        </w:rPr>
      </w:pPr>
      <w:r w:rsidRPr="00820C89">
        <w:rPr>
          <w:rFonts w:asciiTheme="majorHAnsi" w:hAnsiTheme="majorHAnsi"/>
        </w:rPr>
        <w:t>the extent that the design of the programs has changed over time to reflect new evidence</w:t>
      </w:r>
      <w:r w:rsidR="003D2F84" w:rsidRPr="00820C89">
        <w:rPr>
          <w:rFonts w:asciiTheme="majorHAnsi" w:hAnsiTheme="majorHAnsi"/>
        </w:rPr>
        <w:t>, and</w:t>
      </w:r>
    </w:p>
    <w:p w14:paraId="0D3D9A91" w14:textId="77777777" w:rsidR="00FD293D" w:rsidRPr="00820C89" w:rsidRDefault="000621C1" w:rsidP="00715F70">
      <w:pPr>
        <w:pStyle w:val="ListParagraph"/>
        <w:numPr>
          <w:ilvl w:val="0"/>
          <w:numId w:val="41"/>
        </w:numPr>
        <w:spacing w:before="170"/>
      </w:pPr>
      <w:r w:rsidRPr="00820C89">
        <w:rPr>
          <w:rFonts w:asciiTheme="majorHAnsi" w:hAnsiTheme="majorHAnsi"/>
        </w:rPr>
        <w:t>the extent that the programs have been designed in collaboration with Indigenous Australians and refined with feedback from Indigenous Australians.</w:t>
      </w:r>
    </w:p>
    <w:p w14:paraId="0F5F609B" w14:textId="77777777" w:rsidR="006079F5" w:rsidRPr="00820C89" w:rsidRDefault="006079F5" w:rsidP="00471ED9">
      <w:pPr>
        <w:spacing w:before="170"/>
        <w:sectPr w:rsidR="006079F5" w:rsidRPr="00820C89" w:rsidSect="00723458">
          <w:headerReference w:type="default" r:id="rId28"/>
          <w:footerReference w:type="default" r:id="rId29"/>
          <w:pgSz w:w="11906" w:h="16838" w:code="9"/>
          <w:pgMar w:top="1440" w:right="1440" w:bottom="1440" w:left="1440" w:header="680" w:footer="425" w:gutter="0"/>
          <w:pgNumType w:start="1"/>
          <w:cols w:space="284"/>
          <w:docGrid w:linePitch="360"/>
        </w:sectPr>
      </w:pPr>
    </w:p>
    <w:p w14:paraId="6A6C1F3E" w14:textId="77777777" w:rsidR="000224AE" w:rsidRPr="00F242BE" w:rsidRDefault="000224AE"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sz w:val="32"/>
          <w:szCs w:val="32"/>
        </w:rPr>
      </w:pPr>
      <w:r w:rsidRPr="00F242BE">
        <w:rPr>
          <w:b/>
          <w:bCs/>
          <w:i/>
          <w:iCs/>
          <w:color w:val="62B5E5" w:themeColor="accent3"/>
          <w:sz w:val="32"/>
          <w:szCs w:val="32"/>
        </w:rPr>
        <w:lastRenderedPageBreak/>
        <w:t>Chapter 2: Program Design</w:t>
      </w:r>
    </w:p>
    <w:p w14:paraId="50F76C28" w14:textId="77777777" w:rsidR="000224AE" w:rsidRDefault="000224AE"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rPr>
      </w:pPr>
    </w:p>
    <w:p w14:paraId="3EFD242E" w14:textId="77777777" w:rsidR="000224AE" w:rsidRDefault="000224AE"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rPr>
      </w:pPr>
      <w:r>
        <w:rPr>
          <w:b/>
          <w:bCs/>
          <w:i/>
          <w:iCs/>
          <w:color w:val="62B5E5" w:themeColor="accent3"/>
        </w:rPr>
        <w:t>Focus</w:t>
      </w:r>
    </w:p>
    <w:p w14:paraId="147DF566" w14:textId="018AA1D6" w:rsidR="000224AE" w:rsidRPr="00EE003F" w:rsidRDefault="000224AE" w:rsidP="00715F70">
      <w:pPr>
        <w:pStyle w:val="ListParagraph"/>
        <w:numPr>
          <w:ilvl w:val="0"/>
          <w:numId w:val="91"/>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rFonts w:asciiTheme="majorHAnsi" w:hAnsiTheme="majorHAnsi"/>
        </w:rPr>
      </w:pPr>
      <w:r w:rsidRPr="0049529E">
        <w:rPr>
          <w:rFonts w:asciiTheme="majorHAnsi" w:hAnsiTheme="majorHAnsi"/>
        </w:rPr>
        <w:t xml:space="preserve">This chapter considers the appropriateness of the design of the IEP, specifically responding to the evaluation question: </w:t>
      </w:r>
      <w:r w:rsidRPr="0049529E">
        <w:rPr>
          <w:rFonts w:asciiTheme="majorHAnsi" w:hAnsiTheme="majorHAnsi"/>
          <w:i/>
        </w:rPr>
        <w:t>to what extent is the program design based on evidence?</w:t>
      </w:r>
    </w:p>
    <w:p w14:paraId="3E6F4D02" w14:textId="77777777" w:rsidR="00EE003F" w:rsidRPr="00EE003F" w:rsidRDefault="00EE003F"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rFonts w:asciiTheme="majorHAnsi" w:hAnsiTheme="majorHAnsi"/>
        </w:rPr>
      </w:pPr>
    </w:p>
    <w:p w14:paraId="3F3BF43D" w14:textId="77777777" w:rsidR="000224AE" w:rsidRDefault="000224AE"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rPr>
      </w:pPr>
      <w:r>
        <w:rPr>
          <w:b/>
          <w:bCs/>
          <w:i/>
          <w:iCs/>
          <w:color w:val="62B5E5" w:themeColor="accent3"/>
        </w:rPr>
        <w:t>Data sources</w:t>
      </w:r>
    </w:p>
    <w:p w14:paraId="7A15AC1C" w14:textId="77777777" w:rsidR="000224AE" w:rsidRPr="009E7C72" w:rsidRDefault="000224AE" w:rsidP="00715F70">
      <w:pPr>
        <w:pStyle w:val="ListParagraph"/>
        <w:numPr>
          <w:ilvl w:val="0"/>
          <w:numId w:val="91"/>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rFonts w:asciiTheme="majorHAnsi" w:hAnsiTheme="majorHAnsi"/>
        </w:rPr>
      </w:pPr>
      <w:r w:rsidRPr="009E7C72">
        <w:rPr>
          <w:rFonts w:asciiTheme="majorHAnsi" w:hAnsiTheme="majorHAnsi"/>
        </w:rPr>
        <w:t xml:space="preserve">Previous evaluations, such as </w:t>
      </w:r>
      <w:r w:rsidRPr="0004192D">
        <w:rPr>
          <w:rFonts w:asciiTheme="majorHAnsi" w:hAnsiTheme="majorHAnsi"/>
          <w:i/>
          <w:iCs/>
        </w:rPr>
        <w:t>The Forrest Review</w:t>
      </w:r>
      <w:r w:rsidRPr="009E7C72">
        <w:rPr>
          <w:rFonts w:asciiTheme="majorHAnsi" w:hAnsiTheme="majorHAnsi"/>
        </w:rPr>
        <w:t xml:space="preserve"> (2014) and the </w:t>
      </w:r>
      <w:r w:rsidRPr="0004192D">
        <w:rPr>
          <w:rFonts w:asciiTheme="majorHAnsi" w:hAnsiTheme="majorHAnsi"/>
          <w:i/>
          <w:iCs/>
        </w:rPr>
        <w:t>Progress Evaluation of the Vocational Training and Employment Centre Programme</w:t>
      </w:r>
      <w:r w:rsidRPr="009E7C72">
        <w:rPr>
          <w:rFonts w:asciiTheme="majorHAnsi" w:hAnsiTheme="majorHAnsi"/>
        </w:rPr>
        <w:t xml:space="preserve"> (2015).</w:t>
      </w:r>
    </w:p>
    <w:p w14:paraId="2C78BA37" w14:textId="77777777" w:rsidR="000224AE" w:rsidRPr="009E7C72" w:rsidRDefault="000224AE" w:rsidP="00715F70">
      <w:pPr>
        <w:pStyle w:val="ListParagraph"/>
        <w:numPr>
          <w:ilvl w:val="0"/>
          <w:numId w:val="91"/>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rFonts w:asciiTheme="majorHAnsi" w:hAnsiTheme="majorHAnsi"/>
        </w:rPr>
      </w:pPr>
      <w:r w:rsidRPr="009E7C72">
        <w:rPr>
          <w:rFonts w:asciiTheme="majorHAnsi" w:hAnsiTheme="majorHAnsi"/>
        </w:rPr>
        <w:t xml:space="preserve">The literature scan completed for this evaluation (Appendix </w:t>
      </w:r>
      <w:r>
        <w:rPr>
          <w:rFonts w:asciiTheme="majorHAnsi" w:hAnsiTheme="majorHAnsi"/>
        </w:rPr>
        <w:t>A</w:t>
      </w:r>
      <w:r w:rsidRPr="009E7C72">
        <w:rPr>
          <w:rFonts w:asciiTheme="majorHAnsi" w:hAnsiTheme="majorHAnsi"/>
        </w:rPr>
        <w:t>).</w:t>
      </w:r>
    </w:p>
    <w:p w14:paraId="626A90D8" w14:textId="22FACED5" w:rsidR="000224AE" w:rsidRDefault="000224AE" w:rsidP="00715F70">
      <w:pPr>
        <w:pStyle w:val="ListParagraph"/>
        <w:numPr>
          <w:ilvl w:val="0"/>
          <w:numId w:val="91"/>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rFonts w:asciiTheme="majorHAnsi" w:hAnsiTheme="majorHAnsi"/>
        </w:rPr>
      </w:pPr>
      <w:r>
        <w:rPr>
          <w:rFonts w:asciiTheme="majorHAnsi" w:hAnsiTheme="majorHAnsi"/>
        </w:rPr>
        <w:t>Provider consultations</w:t>
      </w:r>
      <w:r w:rsidRPr="009E7C72">
        <w:rPr>
          <w:rFonts w:asciiTheme="majorHAnsi" w:hAnsiTheme="majorHAnsi"/>
        </w:rPr>
        <w:t>.</w:t>
      </w:r>
    </w:p>
    <w:p w14:paraId="0ADD8EB5" w14:textId="77777777" w:rsidR="00EE003F" w:rsidRPr="00EE003F" w:rsidRDefault="00EE003F"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rFonts w:asciiTheme="majorHAnsi" w:hAnsiTheme="majorHAnsi"/>
        </w:rPr>
      </w:pPr>
    </w:p>
    <w:p w14:paraId="13948794" w14:textId="5F4ED499" w:rsidR="000224AE" w:rsidRDefault="000224AE"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rPr>
      </w:pPr>
      <w:r>
        <w:rPr>
          <w:b/>
          <w:bCs/>
          <w:i/>
          <w:iCs/>
          <w:color w:val="62B5E5" w:themeColor="accent3"/>
        </w:rPr>
        <w:t>K</w:t>
      </w:r>
      <w:r w:rsidR="00EE003F">
        <w:rPr>
          <w:b/>
          <w:bCs/>
          <w:i/>
          <w:iCs/>
          <w:color w:val="62B5E5" w:themeColor="accent3"/>
        </w:rPr>
        <w:t>ey findings</w:t>
      </w:r>
    </w:p>
    <w:p w14:paraId="44220677" w14:textId="77777777" w:rsidR="000224AE" w:rsidRPr="00343C62" w:rsidRDefault="000224AE"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rPr>
      </w:pPr>
      <w:r>
        <w:rPr>
          <w:b/>
          <w:bCs/>
        </w:rPr>
        <w:t>Program design</w:t>
      </w:r>
    </w:p>
    <w:p w14:paraId="685EEAEE" w14:textId="77777777" w:rsidR="000224AE" w:rsidRPr="00343C62" w:rsidRDefault="000224AE" w:rsidP="00715F70">
      <w:pPr>
        <w:pStyle w:val="ListParagraph"/>
        <w:numPr>
          <w:ilvl w:val="0"/>
          <w:numId w:val="83"/>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343C62">
        <w:t>There is little evidence that the Forrest Review itself, and its associated program design recommendations, were developed using a</w:t>
      </w:r>
      <w:r>
        <w:t xml:space="preserve"> comprehensive</w:t>
      </w:r>
      <w:r w:rsidRPr="00343C62">
        <w:t xml:space="preserve"> evidence-based process.</w:t>
      </w:r>
    </w:p>
    <w:p w14:paraId="1C67954A" w14:textId="77777777" w:rsidR="000224AE" w:rsidRDefault="000224AE" w:rsidP="00715F70">
      <w:pPr>
        <w:pStyle w:val="ListParagraph"/>
        <w:numPr>
          <w:ilvl w:val="0"/>
          <w:numId w:val="83"/>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343C62">
        <w:t>Beyond the Forrest Review (2014), which informed the program design of VTEC and EPI, the available data did not reveal what evidence was utilised to design the programs.</w:t>
      </w:r>
    </w:p>
    <w:p w14:paraId="4CD6EFC7" w14:textId="77777777" w:rsidR="000224AE" w:rsidRPr="00343C62" w:rsidRDefault="000224AE" w:rsidP="00715F70">
      <w:pPr>
        <w:pStyle w:val="ListParagraph"/>
        <w:numPr>
          <w:ilvl w:val="0"/>
          <w:numId w:val="83"/>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565980">
        <w:t>The design of the IEP broadly aligns with an accumulated evidence base of what works for disadvantaged jobseekers. However, literature pertaining specifically to Indigenous Australians and employment services is weak and there are limited Indigenous perspectives in the research to date.</w:t>
      </w:r>
    </w:p>
    <w:p w14:paraId="6CB99276" w14:textId="77777777" w:rsidR="000224AE" w:rsidRPr="00343C62" w:rsidRDefault="000224AE"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rPr>
      </w:pPr>
      <w:r w:rsidRPr="00343C62">
        <w:rPr>
          <w:b/>
          <w:bCs/>
        </w:rPr>
        <w:t>Changes over time</w:t>
      </w:r>
    </w:p>
    <w:p w14:paraId="4DAA305C" w14:textId="0C4857BC" w:rsidR="000224AE" w:rsidRPr="00EE003F" w:rsidRDefault="000224AE" w:rsidP="00715F70">
      <w:pPr>
        <w:pStyle w:val="ListParagraph"/>
        <w:numPr>
          <w:ilvl w:val="0"/>
          <w:numId w:val="83"/>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343C62">
        <w:t xml:space="preserve">There is limited evidence to suggest these programs have been subject to regular, rigorous evaluation and data-informed refinement. </w:t>
      </w:r>
    </w:p>
    <w:p w14:paraId="150E1B95" w14:textId="77777777" w:rsidR="000224AE" w:rsidRPr="00343C62" w:rsidRDefault="000224AE"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rPr>
      </w:pPr>
      <w:r w:rsidRPr="00343C62">
        <w:rPr>
          <w:b/>
          <w:bCs/>
        </w:rPr>
        <w:t>Collaboration with Indigenous people</w:t>
      </w:r>
    </w:p>
    <w:p w14:paraId="5944D4A8" w14:textId="77777777" w:rsidR="000224AE" w:rsidRPr="00F242BE" w:rsidRDefault="000224AE" w:rsidP="00715F70">
      <w:pPr>
        <w:pStyle w:val="ListParagraph"/>
        <w:numPr>
          <w:ilvl w:val="0"/>
          <w:numId w:val="83"/>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B0559A">
        <w:t>There is limited evidence to suggest that the process for originally designing and then continually refining the IEP has involved deliberate collaboration with Indigenous Australians.</w:t>
      </w:r>
    </w:p>
    <w:p w14:paraId="409F0D58" w14:textId="77777777" w:rsidR="000224AE" w:rsidRDefault="000224AE"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rPr>
      </w:pPr>
      <w:r>
        <w:rPr>
          <w:b/>
          <w:bCs/>
          <w:i/>
          <w:iCs/>
          <w:color w:val="62B5E5" w:themeColor="accent3"/>
        </w:rPr>
        <w:t>Suggestions</w:t>
      </w:r>
    </w:p>
    <w:p w14:paraId="30CFBA6B" w14:textId="77777777" w:rsidR="000224AE" w:rsidRPr="0004192D" w:rsidRDefault="000224AE" w:rsidP="00715F70">
      <w:pPr>
        <w:pStyle w:val="ListParagraph"/>
        <w:numPr>
          <w:ilvl w:val="0"/>
          <w:numId w:val="95"/>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04192D">
        <w:t>Future programs should establish clear evaluation principles and procedures prior to their inception</w:t>
      </w:r>
      <w:r>
        <w:t>,</w:t>
      </w:r>
      <w:r w:rsidRPr="0004192D">
        <w:t xml:space="preserve"> and implement rigorous evaluation on a</w:t>
      </w:r>
      <w:r>
        <w:t>n</w:t>
      </w:r>
      <w:r w:rsidRPr="0004192D">
        <w:t xml:space="preserve"> </w:t>
      </w:r>
      <w:r>
        <w:t>ongoing</w:t>
      </w:r>
      <w:r w:rsidRPr="0004192D">
        <w:t xml:space="preserve"> basis</w:t>
      </w:r>
      <w:r>
        <w:t xml:space="preserve"> from that point</w:t>
      </w:r>
      <w:r w:rsidRPr="0004192D">
        <w:t>.</w:t>
      </w:r>
    </w:p>
    <w:p w14:paraId="677351D6" w14:textId="1B99545A" w:rsidR="006079F5" w:rsidRPr="00820C89" w:rsidRDefault="000224AE" w:rsidP="004837A8">
      <w:pPr>
        <w:pStyle w:val="ListParagraph"/>
        <w:numPr>
          <w:ilvl w:val="0"/>
          <w:numId w:val="95"/>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before="170"/>
      </w:pPr>
      <w:r w:rsidRPr="0004192D">
        <w:t xml:space="preserve">Future iterations of the program should be </w:t>
      </w:r>
      <w:r>
        <w:t xml:space="preserve">genuinely </w:t>
      </w:r>
      <w:r w:rsidRPr="0004192D">
        <w:t>co-designed with Indigenous Australians</w:t>
      </w:r>
    </w:p>
    <w:p w14:paraId="4E177594" w14:textId="77777777" w:rsidR="006079F5" w:rsidRPr="00820C89" w:rsidRDefault="006079F5" w:rsidP="00471ED9">
      <w:pPr>
        <w:spacing w:before="170"/>
      </w:pPr>
    </w:p>
    <w:p w14:paraId="75068BC0" w14:textId="77777777" w:rsidR="006079F5" w:rsidRPr="00820C89" w:rsidRDefault="006079F5" w:rsidP="00471ED9">
      <w:pPr>
        <w:spacing w:before="170"/>
        <w:sectPr w:rsidR="006079F5" w:rsidRPr="00820C89" w:rsidSect="00094496">
          <w:pgSz w:w="11906" w:h="16838" w:code="9"/>
          <w:pgMar w:top="1440" w:right="1440" w:bottom="1440" w:left="1440" w:header="680" w:footer="425" w:gutter="0"/>
          <w:cols w:space="284"/>
          <w:docGrid w:linePitch="360"/>
        </w:sectPr>
      </w:pPr>
    </w:p>
    <w:p w14:paraId="172C2E8D" w14:textId="77777777" w:rsidR="006079F5" w:rsidRPr="00820C89" w:rsidRDefault="006079F5" w:rsidP="00471ED9">
      <w:pPr>
        <w:spacing w:before="170"/>
      </w:pPr>
    </w:p>
    <w:p w14:paraId="15029CFC" w14:textId="77777777" w:rsidR="00FD293D" w:rsidRPr="00820C89" w:rsidRDefault="00FD293D" w:rsidP="00A75A2E">
      <w:pPr>
        <w:pStyle w:val="Heading2"/>
      </w:pPr>
      <w:bookmarkStart w:id="55" w:name="_Toc82710770"/>
      <w:bookmarkStart w:id="56" w:name="_Toc101343285"/>
      <w:r w:rsidRPr="00820C89">
        <w:t>Best Practice Guidelines for program design and evaluation</w:t>
      </w:r>
      <w:bookmarkEnd w:id="55"/>
      <w:bookmarkEnd w:id="56"/>
      <w:r w:rsidRPr="00820C89">
        <w:t xml:space="preserve"> </w:t>
      </w:r>
    </w:p>
    <w:p w14:paraId="204D2725" w14:textId="77777777" w:rsidR="00FD293D" w:rsidRPr="00820C89" w:rsidRDefault="00FD293D" w:rsidP="00FD293D">
      <w:r w:rsidRPr="00820C89">
        <w:t>We note that best practice principles for evaluation, which also bears on policy design, have only recently been articulated by the Productivity Commission</w:t>
      </w:r>
      <w:r w:rsidR="00A92427" w:rsidRPr="00820C89">
        <w:t xml:space="preserve"> </w:t>
      </w:r>
      <w:r w:rsidR="009C071F" w:rsidRPr="00820C89">
        <w:t xml:space="preserve">and the Department of Prime Minister and </w:t>
      </w:r>
      <w:r w:rsidR="00467A2E" w:rsidRPr="00820C89">
        <w:t>Cabinet</w:t>
      </w:r>
      <w:r w:rsidR="009C071F" w:rsidRPr="00820C89">
        <w:t xml:space="preserve"> </w:t>
      </w:r>
      <w:r w:rsidRPr="00820C89">
        <w:t>and were not available as a basis of policy testing at the time of the IEP program formation.</w:t>
      </w:r>
      <w:r w:rsidR="00A92427" w:rsidRPr="00820C89">
        <w:rPr>
          <w:rStyle w:val="FootnoteReference"/>
        </w:rPr>
        <w:footnoteReference w:id="27"/>
      </w:r>
    </w:p>
    <w:p w14:paraId="15DB3A93" w14:textId="17D13D0E" w:rsidR="00A531ED" w:rsidRPr="00820C89" w:rsidRDefault="519C1862" w:rsidP="00EE003F">
      <w:pPr>
        <w:pStyle w:val="Heading2"/>
        <w:spacing w:after="240"/>
      </w:pPr>
      <w:bookmarkStart w:id="57" w:name="_Toc101343286"/>
      <w:r w:rsidRPr="00820C89">
        <w:t>E</w:t>
      </w:r>
      <w:r w:rsidR="037ADB44" w:rsidRPr="00820C89">
        <w:t>vi</w:t>
      </w:r>
      <w:r w:rsidR="7E57D8A6" w:rsidRPr="00820C89">
        <w:t>dence</w:t>
      </w:r>
      <w:r w:rsidR="6B9D7255" w:rsidRPr="00820C89">
        <w:t>-based program design</w:t>
      </w:r>
      <w:bookmarkEnd w:id="57"/>
      <w:r w:rsidR="6B9D7255" w:rsidRPr="00820C89">
        <w:t xml:space="preserve"> </w:t>
      </w:r>
    </w:p>
    <w:p w14:paraId="382C338F" w14:textId="679980CD" w:rsidR="000224AE" w:rsidRPr="00BC7EC7" w:rsidRDefault="000224AE" w:rsidP="00120948">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w:t>
      </w:r>
    </w:p>
    <w:p w14:paraId="12C2B7CA" w14:textId="77777777" w:rsidR="000224AE" w:rsidRDefault="000224AE" w:rsidP="00715F70">
      <w:pPr>
        <w:pStyle w:val="ListParagraph"/>
        <w:numPr>
          <w:ilvl w:val="0"/>
          <w:numId w:val="71"/>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Pr>
          <w:b/>
          <w:bCs/>
          <w:i/>
          <w:iCs/>
          <w:color w:val="62B5E5" w:themeColor="accent3"/>
        </w:rPr>
        <w:t>There is little evidence that the Forrest Review itself, and its associated program design recommendations, were developed using a comprehensive evidence-based process.</w:t>
      </w:r>
      <w:r>
        <w:rPr>
          <w:b/>
          <w:bCs/>
          <w:i/>
          <w:iCs/>
          <w:color w:val="62B5E5" w:themeColor="accent3"/>
        </w:rPr>
        <w:br/>
      </w:r>
    </w:p>
    <w:p w14:paraId="46414C26" w14:textId="6E0B32C6" w:rsidR="000224AE" w:rsidRPr="000224AE" w:rsidRDefault="000224AE" w:rsidP="00715F70">
      <w:pPr>
        <w:pStyle w:val="ListParagraph"/>
        <w:numPr>
          <w:ilvl w:val="0"/>
          <w:numId w:val="71"/>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sidRPr="00266D59">
        <w:rPr>
          <w:b/>
          <w:bCs/>
          <w:i/>
          <w:iCs/>
          <w:color w:val="62B5E5" w:themeColor="accent3"/>
        </w:rPr>
        <w:t>Beyond the Forrest Review (2014), which informed the program design of VTEC and EPI, the available data did not reveal what evidence was utilised to design the programs.</w:t>
      </w:r>
    </w:p>
    <w:p w14:paraId="1662D5DF" w14:textId="2BA078A6" w:rsidR="00F87A73" w:rsidRPr="00820C89" w:rsidRDefault="007811B8" w:rsidP="003E146E">
      <w:r w:rsidRPr="00820C89">
        <w:t xml:space="preserve">The following section </w:t>
      </w:r>
      <w:r w:rsidR="00805616" w:rsidRPr="00820C89">
        <w:t>assesses</w:t>
      </w:r>
      <w:r w:rsidR="0072180A" w:rsidRPr="00820C89">
        <w:t xml:space="preserve"> </w:t>
      </w:r>
      <w:r w:rsidRPr="00820C89">
        <w:t xml:space="preserve">the </w:t>
      </w:r>
      <w:r w:rsidR="00B60E1C" w:rsidRPr="00820C89">
        <w:t>evidence base behind</w:t>
      </w:r>
      <w:r w:rsidR="0072180A" w:rsidRPr="00820C89">
        <w:t xml:space="preserve"> the IEP </w:t>
      </w:r>
      <w:r w:rsidR="00A67A74" w:rsidRPr="00820C89">
        <w:t>program</w:t>
      </w:r>
      <w:r w:rsidR="005C0DD6" w:rsidRPr="00820C89">
        <w:t>s’</w:t>
      </w:r>
      <w:r w:rsidR="0072180A" w:rsidRPr="00820C89">
        <w:t xml:space="preserve"> design </w:t>
      </w:r>
      <w:r w:rsidR="009E28A4" w:rsidRPr="00820C89">
        <w:t>through consideration of</w:t>
      </w:r>
      <w:r w:rsidR="00F87A73" w:rsidRPr="00820C89">
        <w:t xml:space="preserve">: </w:t>
      </w:r>
    </w:p>
    <w:p w14:paraId="68B395E4" w14:textId="77777777" w:rsidR="003315AE" w:rsidRPr="00820C89" w:rsidRDefault="00586D66" w:rsidP="00715F70">
      <w:pPr>
        <w:pStyle w:val="ListParagraph"/>
        <w:numPr>
          <w:ilvl w:val="0"/>
          <w:numId w:val="70"/>
        </w:numPr>
      </w:pPr>
      <w:r w:rsidRPr="00820C89">
        <w:t>t</w:t>
      </w:r>
      <w:r w:rsidR="001D2D79" w:rsidRPr="00820C89">
        <w:t>he design i</w:t>
      </w:r>
      <w:r w:rsidR="00F87A73" w:rsidRPr="00820C89">
        <w:t xml:space="preserve">ntent </w:t>
      </w:r>
      <w:r w:rsidR="00C82FCA" w:rsidRPr="00820C89">
        <w:t>(i.e. the extent to w</w:t>
      </w:r>
      <w:r w:rsidR="006C0CC3" w:rsidRPr="00820C89">
        <w:t>h</w:t>
      </w:r>
      <w:r w:rsidR="00C82FCA" w:rsidRPr="00820C89">
        <w:t>ich</w:t>
      </w:r>
      <w:r w:rsidR="00F87A73" w:rsidRPr="00820C89">
        <w:t xml:space="preserve"> </w:t>
      </w:r>
      <w:r w:rsidR="004F2EEA" w:rsidRPr="00820C89">
        <w:t>a robust</w:t>
      </w:r>
      <w:r w:rsidR="00F87A73" w:rsidRPr="00820C89">
        <w:t xml:space="preserve"> evidence</w:t>
      </w:r>
      <w:r w:rsidR="003315AE" w:rsidRPr="00820C89">
        <w:t xml:space="preserve"> base</w:t>
      </w:r>
      <w:r w:rsidR="00F87A73" w:rsidRPr="00820C89">
        <w:t xml:space="preserve"> was used</w:t>
      </w:r>
      <w:r w:rsidR="003315AE" w:rsidRPr="00820C89">
        <w:t xml:space="preserve"> to inform the design of the</w:t>
      </w:r>
      <w:r w:rsidR="00004AA1" w:rsidRPr="00820C89">
        <w:t xml:space="preserve"> IEP</w:t>
      </w:r>
      <w:r w:rsidR="003315AE" w:rsidRPr="00820C89">
        <w:t xml:space="preserve"> programs</w:t>
      </w:r>
      <w:r w:rsidR="00C82FCA" w:rsidRPr="00820C89">
        <w:t>)</w:t>
      </w:r>
      <w:r w:rsidRPr="00820C89">
        <w:t>, and</w:t>
      </w:r>
    </w:p>
    <w:p w14:paraId="4C8A296A" w14:textId="77777777" w:rsidR="0000098B" w:rsidRPr="00820C89" w:rsidRDefault="00586D66" w:rsidP="00715F70">
      <w:pPr>
        <w:pStyle w:val="ListParagraph"/>
        <w:numPr>
          <w:ilvl w:val="0"/>
          <w:numId w:val="70"/>
        </w:numPr>
      </w:pPr>
      <w:r w:rsidRPr="00820C89">
        <w:t>t</w:t>
      </w:r>
      <w:r w:rsidR="00C82FCA" w:rsidRPr="00820C89">
        <w:t xml:space="preserve">he </w:t>
      </w:r>
      <w:r w:rsidR="00663947" w:rsidRPr="00820C89">
        <w:t>pro</w:t>
      </w:r>
      <w:r w:rsidR="006B3156" w:rsidRPr="00820C89">
        <w:t>gram design features themselves</w:t>
      </w:r>
      <w:r w:rsidR="00C82FCA" w:rsidRPr="00820C89">
        <w:t xml:space="preserve"> (i.e.</w:t>
      </w:r>
      <w:r w:rsidR="003315AE" w:rsidRPr="00820C89">
        <w:t xml:space="preserve"> </w:t>
      </w:r>
      <w:r w:rsidR="00A67A74" w:rsidRPr="00820C89">
        <w:t>the</w:t>
      </w:r>
      <w:r w:rsidR="00384C49" w:rsidRPr="00820C89">
        <w:t xml:space="preserve"> extent </w:t>
      </w:r>
      <w:r w:rsidR="00A67A74" w:rsidRPr="00820C89">
        <w:t>to which</w:t>
      </w:r>
      <w:r w:rsidR="00384C49" w:rsidRPr="00820C89">
        <w:t xml:space="preserve"> IEP</w:t>
      </w:r>
      <w:r w:rsidR="00B01916" w:rsidRPr="00820C89">
        <w:t xml:space="preserve"> programs’ design</w:t>
      </w:r>
      <w:r w:rsidR="00384C49" w:rsidRPr="00820C89">
        <w:t xml:space="preserve"> align</w:t>
      </w:r>
      <w:r w:rsidR="00B01916" w:rsidRPr="00820C89">
        <w:t xml:space="preserve"> with best practice</w:t>
      </w:r>
      <w:r w:rsidR="00C82FCA" w:rsidRPr="00820C89">
        <w:t>)</w:t>
      </w:r>
      <w:r w:rsidRPr="00820C89">
        <w:t>.</w:t>
      </w:r>
      <w:r w:rsidR="00FC4666" w:rsidRPr="00820C89">
        <w:t xml:space="preserve"> </w:t>
      </w:r>
    </w:p>
    <w:p w14:paraId="6B639C53" w14:textId="77777777" w:rsidR="008048E3" w:rsidRPr="00820C89" w:rsidRDefault="008048E3" w:rsidP="00EB134C">
      <w:r w:rsidRPr="00820C89">
        <w:t xml:space="preserve">While </w:t>
      </w:r>
      <w:r w:rsidR="00AD25AD" w:rsidRPr="00820C89">
        <w:t>understanding t</w:t>
      </w:r>
      <w:r w:rsidR="00825B20" w:rsidRPr="00820C89">
        <w:t xml:space="preserve">he </w:t>
      </w:r>
      <w:r w:rsidR="00D445F5" w:rsidRPr="00820C89">
        <w:t>extent to which evidence was used to inform the program</w:t>
      </w:r>
      <w:r w:rsidR="000D2343" w:rsidRPr="00820C89">
        <w:t>s’</w:t>
      </w:r>
      <w:r w:rsidR="00D445F5" w:rsidRPr="00820C89">
        <w:t xml:space="preserve"> </w:t>
      </w:r>
      <w:r w:rsidR="004B7F7A" w:rsidRPr="00820C89">
        <w:t xml:space="preserve">design </w:t>
      </w:r>
      <w:r w:rsidR="00DD510F" w:rsidRPr="00820C89">
        <w:t xml:space="preserve">process </w:t>
      </w:r>
      <w:r w:rsidR="004B7F7A" w:rsidRPr="00820C89">
        <w:t xml:space="preserve">provides </w:t>
      </w:r>
      <w:r w:rsidR="00B41ED0" w:rsidRPr="00820C89">
        <w:t>valuable context</w:t>
      </w:r>
      <w:r w:rsidR="001E3FED" w:rsidRPr="00820C89">
        <w:t xml:space="preserve">, </w:t>
      </w:r>
      <w:r w:rsidR="00106046" w:rsidRPr="00820C89">
        <w:t>the scope</w:t>
      </w:r>
      <w:r w:rsidR="00915B26" w:rsidRPr="00820C89">
        <w:t xml:space="preserve"> of this evaluation </w:t>
      </w:r>
      <w:r w:rsidR="00A02E40" w:rsidRPr="00820C89">
        <w:t xml:space="preserve">is limited to assessing the </w:t>
      </w:r>
      <w:r w:rsidR="00153AEB" w:rsidRPr="00820C89">
        <w:t>sub</w:t>
      </w:r>
      <w:r w:rsidR="003F1B3B" w:rsidRPr="00820C89">
        <w:t>-programs</w:t>
      </w:r>
      <w:r w:rsidR="00A02E40" w:rsidRPr="00820C89">
        <w:t xml:space="preserve"> in</w:t>
      </w:r>
      <w:r w:rsidR="002878BE" w:rsidRPr="00820C89">
        <w:t xml:space="preserve"> </w:t>
      </w:r>
      <w:r w:rsidR="00A02E40" w:rsidRPr="00820C89">
        <w:t>their current form</w:t>
      </w:r>
      <w:r w:rsidR="00F166F5" w:rsidRPr="00820C89">
        <w:t xml:space="preserve"> (i.e. post</w:t>
      </w:r>
      <w:r w:rsidR="0069191B" w:rsidRPr="00820C89">
        <w:t xml:space="preserve">-2014). </w:t>
      </w:r>
      <w:r w:rsidR="00CA2419" w:rsidRPr="00820C89">
        <w:t xml:space="preserve">As such, this </w:t>
      </w:r>
      <w:r w:rsidR="000D2343" w:rsidRPr="00820C89">
        <w:t>this section will predominantly focus on the</w:t>
      </w:r>
      <w:r w:rsidR="00CB7A09" w:rsidRPr="00820C89">
        <w:t xml:space="preserve"> </w:t>
      </w:r>
      <w:r w:rsidR="000D2343" w:rsidRPr="00820C89">
        <w:t>extent to which program design features are aligned w</w:t>
      </w:r>
      <w:r w:rsidR="00CB7A09" w:rsidRPr="00820C89">
        <w:t xml:space="preserve">ith best practice. </w:t>
      </w:r>
    </w:p>
    <w:p w14:paraId="67710DAB" w14:textId="77777777" w:rsidR="00873741" w:rsidRPr="00820C89" w:rsidRDefault="001A1C23" w:rsidP="00EB134C">
      <w:pPr>
        <w:pStyle w:val="Heading3"/>
      </w:pPr>
      <w:r w:rsidRPr="00820C89">
        <w:t>Evidence</w:t>
      </w:r>
      <w:r w:rsidR="00692245" w:rsidRPr="00820C89">
        <w:t xml:space="preserve"> used to inform</w:t>
      </w:r>
      <w:r w:rsidR="00124059" w:rsidRPr="00820C89">
        <w:t xml:space="preserve"> the </w:t>
      </w:r>
      <w:r w:rsidR="00781A26" w:rsidRPr="00820C89">
        <w:t>design of the IEP programs</w:t>
      </w:r>
    </w:p>
    <w:p w14:paraId="77263A26" w14:textId="77777777" w:rsidR="00BC51DA" w:rsidRPr="00820C89" w:rsidRDefault="00002EDF" w:rsidP="00781A26">
      <w:pPr>
        <w:spacing w:before="170"/>
        <w:rPr>
          <w:rFonts w:asciiTheme="majorHAnsi" w:hAnsiTheme="majorHAnsi"/>
        </w:rPr>
      </w:pPr>
      <w:r w:rsidRPr="00820C89">
        <w:rPr>
          <w:rFonts w:asciiTheme="majorHAnsi" w:hAnsiTheme="majorHAnsi"/>
        </w:rPr>
        <w:t xml:space="preserve">Consultation with </w:t>
      </w:r>
      <w:r w:rsidR="0029279D" w:rsidRPr="00820C89">
        <w:rPr>
          <w:rFonts w:asciiTheme="majorHAnsi" w:hAnsiTheme="majorHAnsi"/>
        </w:rPr>
        <w:t xml:space="preserve">IEP </w:t>
      </w:r>
      <w:r w:rsidRPr="00820C89">
        <w:rPr>
          <w:rFonts w:asciiTheme="majorHAnsi" w:hAnsiTheme="majorHAnsi"/>
        </w:rPr>
        <w:t>providers</w:t>
      </w:r>
      <w:r w:rsidR="007B02C4" w:rsidRPr="00820C89">
        <w:rPr>
          <w:rFonts w:asciiTheme="majorHAnsi" w:hAnsiTheme="majorHAnsi"/>
        </w:rPr>
        <w:t xml:space="preserve"> and partners</w:t>
      </w:r>
      <w:r w:rsidRPr="00820C89">
        <w:rPr>
          <w:rFonts w:asciiTheme="majorHAnsi" w:hAnsiTheme="majorHAnsi"/>
        </w:rPr>
        <w:t xml:space="preserve"> indicated</w:t>
      </w:r>
      <w:r w:rsidR="00AA53D2" w:rsidRPr="00820C89">
        <w:rPr>
          <w:rFonts w:asciiTheme="majorHAnsi" w:hAnsiTheme="majorHAnsi"/>
        </w:rPr>
        <w:t xml:space="preserve"> that the</w:t>
      </w:r>
      <w:r w:rsidR="00562959" w:rsidRPr="00820C89">
        <w:rPr>
          <w:rFonts w:asciiTheme="majorHAnsi" w:hAnsiTheme="majorHAnsi"/>
        </w:rPr>
        <w:t xml:space="preserve"> design of the</w:t>
      </w:r>
      <w:r w:rsidR="0084260F" w:rsidRPr="00820C89">
        <w:rPr>
          <w:rFonts w:asciiTheme="majorHAnsi" w:hAnsiTheme="majorHAnsi"/>
        </w:rPr>
        <w:t xml:space="preserve"> </w:t>
      </w:r>
      <w:r w:rsidR="00AA73ED" w:rsidRPr="00820C89">
        <w:rPr>
          <w:rFonts w:asciiTheme="majorHAnsi" w:hAnsiTheme="majorHAnsi"/>
        </w:rPr>
        <w:t>IEP</w:t>
      </w:r>
      <w:r w:rsidR="00A61351" w:rsidRPr="00820C89">
        <w:rPr>
          <w:rFonts w:asciiTheme="majorHAnsi" w:hAnsiTheme="majorHAnsi"/>
        </w:rPr>
        <w:t xml:space="preserve"> (specifically, VTEC and EPI)</w:t>
      </w:r>
      <w:r w:rsidR="00AA73ED" w:rsidRPr="00820C89">
        <w:rPr>
          <w:rFonts w:asciiTheme="majorHAnsi" w:hAnsiTheme="majorHAnsi"/>
        </w:rPr>
        <w:t xml:space="preserve"> were</w:t>
      </w:r>
      <w:r w:rsidR="0021455D" w:rsidRPr="00820C89">
        <w:rPr>
          <w:rFonts w:asciiTheme="majorHAnsi" w:hAnsiTheme="majorHAnsi"/>
        </w:rPr>
        <w:t xml:space="preserve"> </w:t>
      </w:r>
      <w:r w:rsidR="003A0BC6" w:rsidRPr="00820C89">
        <w:rPr>
          <w:rFonts w:asciiTheme="majorHAnsi" w:hAnsiTheme="majorHAnsi"/>
        </w:rPr>
        <w:t xml:space="preserve">informed by </w:t>
      </w:r>
      <w:r w:rsidR="00BC51DA" w:rsidRPr="00820C89">
        <w:rPr>
          <w:rFonts w:asciiTheme="majorHAnsi" w:hAnsiTheme="majorHAnsi"/>
        </w:rPr>
        <w:t xml:space="preserve">recommendations </w:t>
      </w:r>
      <w:r w:rsidR="00E33E73" w:rsidRPr="00820C89">
        <w:rPr>
          <w:rFonts w:asciiTheme="majorHAnsi" w:hAnsiTheme="majorHAnsi"/>
        </w:rPr>
        <w:t xml:space="preserve">from </w:t>
      </w:r>
      <w:r w:rsidR="003A0BC6" w:rsidRPr="00820C89">
        <w:rPr>
          <w:rFonts w:asciiTheme="majorHAnsi" w:hAnsiTheme="majorHAnsi"/>
        </w:rPr>
        <w:t xml:space="preserve">the Forrest Review. </w:t>
      </w:r>
    </w:p>
    <w:p w14:paraId="1091CCA1" w14:textId="77777777" w:rsidR="00BC51DA" w:rsidRPr="00820C89" w:rsidRDefault="00BC51DA" w:rsidP="00BC51DA">
      <w:pPr>
        <w:rPr>
          <w:rFonts w:asciiTheme="majorHAnsi" w:hAnsiTheme="majorHAnsi"/>
        </w:rPr>
      </w:pPr>
      <w:r w:rsidRPr="00820C89">
        <w:rPr>
          <w:rFonts w:asciiTheme="majorHAnsi" w:hAnsiTheme="majorHAnsi"/>
        </w:rPr>
        <w:t>The Forrest Review</w:t>
      </w:r>
      <w:r w:rsidR="008038B6" w:rsidRPr="00820C89">
        <w:rPr>
          <w:rFonts w:asciiTheme="majorHAnsi" w:hAnsiTheme="majorHAnsi"/>
        </w:rPr>
        <w:t xml:space="preserve"> </w:t>
      </w:r>
      <w:r w:rsidR="00C10163" w:rsidRPr="00820C89">
        <w:rPr>
          <w:rFonts w:asciiTheme="majorHAnsi" w:hAnsiTheme="majorHAnsi"/>
        </w:rPr>
        <w:t>-</w:t>
      </w:r>
      <w:r w:rsidR="008038B6" w:rsidRPr="00820C89">
        <w:rPr>
          <w:rFonts w:asciiTheme="majorHAnsi" w:hAnsiTheme="majorHAnsi"/>
        </w:rPr>
        <w:t xml:space="preserve"> written in 2014</w:t>
      </w:r>
      <w:r w:rsidR="00C10163" w:rsidRPr="00820C89">
        <w:rPr>
          <w:rFonts w:asciiTheme="majorHAnsi" w:hAnsiTheme="majorHAnsi"/>
        </w:rPr>
        <w:t>,</w:t>
      </w:r>
      <w:r w:rsidR="008038B6" w:rsidRPr="00820C89">
        <w:rPr>
          <w:rFonts w:asciiTheme="majorHAnsi" w:hAnsiTheme="majorHAnsi"/>
        </w:rPr>
        <w:t xml:space="preserve"> </w:t>
      </w:r>
      <w:r w:rsidR="00403863" w:rsidRPr="00820C89">
        <w:rPr>
          <w:rFonts w:asciiTheme="majorHAnsi" w:hAnsiTheme="majorHAnsi"/>
        </w:rPr>
        <w:t>with a focus on ‘</w:t>
      </w:r>
      <w:r w:rsidR="00403863" w:rsidRPr="00820C89">
        <w:rPr>
          <w:rFonts w:asciiTheme="majorHAnsi" w:hAnsiTheme="majorHAnsi"/>
          <w:i/>
          <w:iCs/>
        </w:rPr>
        <w:t>Creating Parity’</w:t>
      </w:r>
      <w:r w:rsidR="002F1509" w:rsidRPr="00820C89">
        <w:rPr>
          <w:rFonts w:asciiTheme="majorHAnsi" w:hAnsiTheme="majorHAnsi"/>
        </w:rPr>
        <w:t xml:space="preserve"> </w:t>
      </w:r>
      <w:r w:rsidR="00403863" w:rsidRPr="00820C89">
        <w:rPr>
          <w:rFonts w:asciiTheme="majorHAnsi" w:hAnsiTheme="majorHAnsi"/>
        </w:rPr>
        <w:t>-</w:t>
      </w:r>
      <w:r w:rsidR="008038B6" w:rsidRPr="00820C89">
        <w:rPr>
          <w:rFonts w:asciiTheme="majorHAnsi" w:hAnsiTheme="majorHAnsi"/>
        </w:rPr>
        <w:t xml:space="preserve"> </w:t>
      </w:r>
      <w:r w:rsidRPr="00820C89">
        <w:rPr>
          <w:rFonts w:asciiTheme="majorHAnsi" w:hAnsiTheme="majorHAnsi"/>
        </w:rPr>
        <w:t>was deeply critical of the mainstream employment services ‘supply-driven’ approach</w:t>
      </w:r>
      <w:r w:rsidR="00E808FE" w:rsidRPr="00820C89">
        <w:rPr>
          <w:rFonts w:asciiTheme="majorHAnsi" w:hAnsiTheme="majorHAnsi"/>
        </w:rPr>
        <w:t>. The review</w:t>
      </w:r>
      <w:r w:rsidRPr="00820C89">
        <w:rPr>
          <w:rFonts w:asciiTheme="majorHAnsi" w:hAnsiTheme="majorHAnsi"/>
        </w:rPr>
        <w:t xml:space="preserve"> instead advocated for a ‘demand-driven’ system</w:t>
      </w:r>
      <w:r w:rsidR="00DB5D5D" w:rsidRPr="00820C89">
        <w:rPr>
          <w:rFonts w:asciiTheme="majorHAnsi" w:hAnsiTheme="majorHAnsi"/>
        </w:rPr>
        <w:t xml:space="preserve">, arguing </w:t>
      </w:r>
      <w:r w:rsidRPr="00820C89">
        <w:rPr>
          <w:rFonts w:asciiTheme="majorHAnsi" w:hAnsiTheme="majorHAnsi"/>
        </w:rPr>
        <w:t>that employers needed to play a greater role in increasing Indigenous employment rates</w:t>
      </w:r>
      <w:r w:rsidR="00B120C1" w:rsidRPr="00820C89">
        <w:rPr>
          <w:rFonts w:asciiTheme="majorHAnsi" w:hAnsiTheme="majorHAnsi"/>
        </w:rPr>
        <w:t xml:space="preserve">, which was instrumental in the design of the </w:t>
      </w:r>
      <w:r w:rsidR="003F1B3B" w:rsidRPr="00820C89">
        <w:rPr>
          <w:rFonts w:asciiTheme="majorHAnsi" w:hAnsiTheme="majorHAnsi"/>
        </w:rPr>
        <w:t>IEP</w:t>
      </w:r>
      <w:r w:rsidRPr="00820C89">
        <w:rPr>
          <w:rFonts w:asciiTheme="majorHAnsi" w:hAnsiTheme="majorHAnsi"/>
        </w:rPr>
        <w:t>.</w:t>
      </w:r>
      <w:r w:rsidR="005B255D" w:rsidRPr="00820C89">
        <w:rPr>
          <w:rFonts w:asciiTheme="majorHAnsi" w:hAnsiTheme="majorHAnsi"/>
        </w:rPr>
        <w:t xml:space="preserve"> </w:t>
      </w:r>
    </w:p>
    <w:p w14:paraId="4463E3AD" w14:textId="77777777" w:rsidR="009458E7" w:rsidRPr="00820C89" w:rsidRDefault="00D507B0" w:rsidP="007A212F">
      <w:pPr>
        <w:rPr>
          <w:rFonts w:asciiTheme="majorHAnsi" w:hAnsiTheme="majorHAnsi"/>
        </w:rPr>
      </w:pPr>
      <w:r w:rsidRPr="00820C89">
        <w:rPr>
          <w:rFonts w:asciiTheme="majorHAnsi" w:hAnsiTheme="majorHAnsi"/>
        </w:rPr>
        <w:t>In a formal response, Indigenous academics and other stakeholders criticised t</w:t>
      </w:r>
      <w:r w:rsidR="00E93801" w:rsidRPr="00820C89">
        <w:rPr>
          <w:rFonts w:asciiTheme="majorHAnsi" w:hAnsiTheme="majorHAnsi"/>
        </w:rPr>
        <w:t>he F</w:t>
      </w:r>
      <w:r w:rsidR="00DB5D5D" w:rsidRPr="00820C89">
        <w:rPr>
          <w:rFonts w:asciiTheme="majorHAnsi" w:hAnsiTheme="majorHAnsi"/>
        </w:rPr>
        <w:t xml:space="preserve">orrest Review </w:t>
      </w:r>
      <w:r w:rsidRPr="00820C89">
        <w:rPr>
          <w:rFonts w:asciiTheme="majorHAnsi" w:hAnsiTheme="majorHAnsi"/>
        </w:rPr>
        <w:t>f</w:t>
      </w:r>
      <w:r w:rsidR="00BC51DA" w:rsidRPr="00820C89">
        <w:rPr>
          <w:rFonts w:asciiTheme="majorHAnsi" w:hAnsiTheme="majorHAnsi"/>
        </w:rPr>
        <w:t>or its business-centric, deficit approach and several underlying assumptions</w:t>
      </w:r>
      <w:r w:rsidR="008B7FEE" w:rsidRPr="00820C89">
        <w:rPr>
          <w:rStyle w:val="FootnoteReference"/>
          <w:rFonts w:asciiTheme="majorHAnsi" w:hAnsiTheme="majorHAnsi"/>
        </w:rPr>
        <w:footnoteReference w:id="28"/>
      </w:r>
      <w:r w:rsidR="00F1652B" w:rsidRPr="00820C89">
        <w:rPr>
          <w:rFonts w:asciiTheme="majorHAnsi" w:hAnsiTheme="majorHAnsi"/>
        </w:rPr>
        <w:t xml:space="preserve">. </w:t>
      </w:r>
      <w:r w:rsidR="007A212F" w:rsidRPr="00820C89">
        <w:rPr>
          <w:rFonts w:asciiTheme="majorHAnsi" w:hAnsiTheme="majorHAnsi"/>
        </w:rPr>
        <w:t xml:space="preserve">Additionally, the extent to which the Forrest Review itself was based on evidence is unclear. </w:t>
      </w:r>
      <w:r w:rsidR="003E0BE2" w:rsidRPr="00820C89">
        <w:rPr>
          <w:rFonts w:asciiTheme="majorHAnsi" w:hAnsiTheme="majorHAnsi"/>
        </w:rPr>
        <w:t>During consultations, several</w:t>
      </w:r>
      <w:r w:rsidR="00E625D6" w:rsidRPr="00820C89">
        <w:rPr>
          <w:rFonts w:asciiTheme="majorHAnsi" w:hAnsiTheme="majorHAnsi"/>
        </w:rPr>
        <w:t xml:space="preserve"> providers </w:t>
      </w:r>
      <w:r w:rsidR="00BD6FB3" w:rsidRPr="00820C89">
        <w:rPr>
          <w:rFonts w:asciiTheme="majorHAnsi" w:hAnsiTheme="majorHAnsi"/>
        </w:rPr>
        <w:t>drew links between the</w:t>
      </w:r>
      <w:r w:rsidR="00E96821" w:rsidRPr="00820C89">
        <w:rPr>
          <w:rFonts w:asciiTheme="majorHAnsi" w:hAnsiTheme="majorHAnsi"/>
        </w:rPr>
        <w:t xml:space="preserve"> Forrest Review </w:t>
      </w:r>
      <w:r w:rsidR="00BD6FB3" w:rsidRPr="00820C89">
        <w:rPr>
          <w:rFonts w:asciiTheme="majorHAnsi" w:hAnsiTheme="majorHAnsi"/>
        </w:rPr>
        <w:t xml:space="preserve">and the </w:t>
      </w:r>
      <w:r w:rsidR="00E96821" w:rsidRPr="00820C89">
        <w:rPr>
          <w:rFonts w:asciiTheme="majorHAnsi" w:hAnsiTheme="majorHAnsi"/>
        </w:rPr>
        <w:t>IEP design, unprompted.</w:t>
      </w:r>
      <w:r w:rsidR="00BD6FB3" w:rsidRPr="00820C89">
        <w:rPr>
          <w:rFonts w:asciiTheme="majorHAnsi" w:hAnsiTheme="majorHAnsi"/>
        </w:rPr>
        <w:t xml:space="preserve"> </w:t>
      </w:r>
      <w:r w:rsidR="00BA54A1" w:rsidRPr="00820C89">
        <w:rPr>
          <w:rFonts w:asciiTheme="majorHAnsi" w:hAnsiTheme="majorHAnsi"/>
        </w:rPr>
        <w:t>Providers</w:t>
      </w:r>
      <w:r w:rsidR="003D7E2C" w:rsidRPr="00820C89">
        <w:rPr>
          <w:rFonts w:asciiTheme="majorHAnsi" w:hAnsiTheme="majorHAnsi"/>
        </w:rPr>
        <w:t xml:space="preserve"> indicated that </w:t>
      </w:r>
      <w:r w:rsidR="00BD6FB3" w:rsidRPr="00820C89">
        <w:rPr>
          <w:rFonts w:asciiTheme="majorHAnsi" w:hAnsiTheme="majorHAnsi"/>
        </w:rPr>
        <w:t xml:space="preserve">the </w:t>
      </w:r>
      <w:r w:rsidR="00586896" w:rsidRPr="00820C89">
        <w:rPr>
          <w:rFonts w:asciiTheme="majorHAnsi" w:hAnsiTheme="majorHAnsi"/>
        </w:rPr>
        <w:t>Forrest Review recommendations</w:t>
      </w:r>
      <w:r w:rsidR="003D7E2C" w:rsidRPr="00820C89">
        <w:rPr>
          <w:rFonts w:asciiTheme="majorHAnsi" w:hAnsiTheme="majorHAnsi"/>
        </w:rPr>
        <w:t xml:space="preserve"> </w:t>
      </w:r>
      <w:r w:rsidR="005253FC" w:rsidRPr="00820C89">
        <w:rPr>
          <w:rFonts w:asciiTheme="majorHAnsi" w:hAnsiTheme="majorHAnsi"/>
        </w:rPr>
        <w:t>were not subject to rigorous</w:t>
      </w:r>
      <w:r w:rsidR="00216A03" w:rsidRPr="00820C89">
        <w:rPr>
          <w:rFonts w:asciiTheme="majorHAnsi" w:hAnsiTheme="majorHAnsi"/>
        </w:rPr>
        <w:t>, evidence-based design process and</w:t>
      </w:r>
      <w:r w:rsidR="008E18E2" w:rsidRPr="00820C89">
        <w:rPr>
          <w:rFonts w:asciiTheme="majorHAnsi" w:hAnsiTheme="majorHAnsi"/>
        </w:rPr>
        <w:t xml:space="preserve"> were based too heavily on </w:t>
      </w:r>
      <w:r w:rsidR="00586896" w:rsidRPr="00820C89">
        <w:rPr>
          <w:rFonts w:asciiTheme="majorHAnsi" w:hAnsiTheme="majorHAnsi"/>
        </w:rPr>
        <w:t xml:space="preserve">the author’s own </w:t>
      </w:r>
      <w:r w:rsidR="008E18E2" w:rsidRPr="00820C89">
        <w:rPr>
          <w:rFonts w:asciiTheme="majorHAnsi" w:hAnsiTheme="majorHAnsi"/>
        </w:rPr>
        <w:t>experience</w:t>
      </w:r>
      <w:r w:rsidR="00E52B57" w:rsidRPr="00820C89">
        <w:rPr>
          <w:rFonts w:asciiTheme="majorHAnsi" w:hAnsiTheme="majorHAnsi"/>
        </w:rPr>
        <w:t>s</w:t>
      </w:r>
      <w:r w:rsidR="008E18E2" w:rsidRPr="00820C89">
        <w:rPr>
          <w:rFonts w:asciiTheme="majorHAnsi" w:hAnsiTheme="majorHAnsi"/>
        </w:rPr>
        <w:t xml:space="preserve"> with</w:t>
      </w:r>
      <w:r w:rsidR="00E52B57" w:rsidRPr="00820C89">
        <w:rPr>
          <w:rFonts w:asciiTheme="majorHAnsi" w:hAnsiTheme="majorHAnsi"/>
        </w:rPr>
        <w:t>in</w:t>
      </w:r>
      <w:r w:rsidR="008E18E2" w:rsidRPr="00820C89">
        <w:rPr>
          <w:rFonts w:asciiTheme="majorHAnsi" w:hAnsiTheme="majorHAnsi"/>
        </w:rPr>
        <w:t xml:space="preserve"> a specific </w:t>
      </w:r>
      <w:r w:rsidR="00E52B57" w:rsidRPr="00820C89">
        <w:rPr>
          <w:rFonts w:asciiTheme="majorHAnsi" w:hAnsiTheme="majorHAnsi"/>
        </w:rPr>
        <w:t xml:space="preserve">labour market and industry. </w:t>
      </w:r>
      <w:r w:rsidR="008116E6" w:rsidRPr="00820C89">
        <w:rPr>
          <w:rFonts w:asciiTheme="majorHAnsi" w:hAnsiTheme="majorHAnsi"/>
        </w:rPr>
        <w:t>An example of these</w:t>
      </w:r>
      <w:r w:rsidR="00E52B57" w:rsidRPr="00820C89">
        <w:rPr>
          <w:rFonts w:asciiTheme="majorHAnsi" w:hAnsiTheme="majorHAnsi"/>
        </w:rPr>
        <w:t xml:space="preserve"> perspectives </w:t>
      </w:r>
      <w:r w:rsidR="000F1031" w:rsidRPr="00820C89">
        <w:rPr>
          <w:rFonts w:asciiTheme="majorHAnsi" w:hAnsiTheme="majorHAnsi"/>
        </w:rPr>
        <w:t>includes</w:t>
      </w:r>
      <w:r w:rsidR="00E52B57" w:rsidRPr="00820C89">
        <w:rPr>
          <w:rFonts w:asciiTheme="majorHAnsi" w:hAnsiTheme="majorHAnsi"/>
        </w:rPr>
        <w:t xml:space="preserve">: </w:t>
      </w:r>
    </w:p>
    <w:p w14:paraId="47223D9D" w14:textId="77777777" w:rsidR="00AF7783" w:rsidRPr="00820C89" w:rsidRDefault="00944225" w:rsidP="004C79CC">
      <w:pPr>
        <w:pStyle w:val="ListParagraph"/>
        <w:ind w:left="783"/>
      </w:pPr>
      <w:r w:rsidRPr="00820C89">
        <w:rPr>
          <w:rFonts w:asciiTheme="majorHAnsi" w:hAnsiTheme="majorHAnsi"/>
          <w:i/>
          <w:iCs/>
        </w:rPr>
        <w:lastRenderedPageBreak/>
        <w:t xml:space="preserve">“[The VTEC program design] worked really well in some </w:t>
      </w:r>
      <w:r w:rsidR="003B501F" w:rsidRPr="00820C89">
        <w:rPr>
          <w:rFonts w:asciiTheme="majorHAnsi" w:hAnsiTheme="majorHAnsi"/>
          <w:i/>
          <w:iCs/>
        </w:rPr>
        <w:t xml:space="preserve">unique contexts and it all came out of the Forrest Review and you’ve got the perspective of a guy that runs a mining company in a remote area, and that’s a very specific situation.” </w:t>
      </w:r>
      <w:r w:rsidR="000878FC" w:rsidRPr="00820C89">
        <w:rPr>
          <w:rFonts w:asciiTheme="majorHAnsi" w:hAnsiTheme="majorHAnsi"/>
          <w:i/>
          <w:iCs/>
        </w:rPr>
        <w:t xml:space="preserve">(VTEC provider) </w:t>
      </w:r>
    </w:p>
    <w:p w14:paraId="07A27ABE" w14:textId="77777777" w:rsidR="003B501F" w:rsidRPr="00820C89" w:rsidRDefault="000878FC" w:rsidP="000878FC">
      <w:pPr>
        <w:rPr>
          <w:rFonts w:asciiTheme="majorHAnsi" w:hAnsiTheme="majorHAnsi"/>
        </w:rPr>
      </w:pPr>
      <w:r w:rsidRPr="00820C89">
        <w:rPr>
          <w:rFonts w:asciiTheme="majorHAnsi" w:hAnsiTheme="majorHAnsi"/>
        </w:rPr>
        <w:t xml:space="preserve">(Note: Chapter </w:t>
      </w:r>
      <w:r w:rsidR="00D507B0" w:rsidRPr="00820C89">
        <w:rPr>
          <w:rFonts w:asciiTheme="majorHAnsi" w:hAnsiTheme="majorHAnsi"/>
        </w:rPr>
        <w:t>3</w:t>
      </w:r>
      <w:r w:rsidRPr="00820C89">
        <w:rPr>
          <w:rFonts w:asciiTheme="majorHAnsi" w:hAnsiTheme="majorHAnsi"/>
          <w:b/>
          <w:bCs/>
        </w:rPr>
        <w:t xml:space="preserve"> </w:t>
      </w:r>
      <w:r w:rsidRPr="00820C89">
        <w:rPr>
          <w:rFonts w:asciiTheme="majorHAnsi" w:hAnsiTheme="majorHAnsi"/>
        </w:rPr>
        <w:t xml:space="preserve">considers the challenges with implementing specific design features outlined in the review in further detail). </w:t>
      </w:r>
    </w:p>
    <w:p w14:paraId="7F4B822B" w14:textId="77777777" w:rsidR="000F479E" w:rsidRPr="00820C89" w:rsidRDefault="00922E88" w:rsidP="00EB134C">
      <w:pPr>
        <w:spacing w:before="170"/>
        <w:rPr>
          <w:rFonts w:asciiTheme="majorHAnsi" w:hAnsiTheme="majorHAnsi"/>
        </w:rPr>
      </w:pPr>
      <w:r w:rsidRPr="00820C89">
        <w:rPr>
          <w:rFonts w:asciiTheme="majorHAnsi" w:hAnsiTheme="majorHAnsi"/>
        </w:rPr>
        <w:t>G</w:t>
      </w:r>
      <w:r w:rsidR="00973DFD" w:rsidRPr="00820C89">
        <w:rPr>
          <w:rFonts w:asciiTheme="majorHAnsi" w:hAnsiTheme="majorHAnsi"/>
        </w:rPr>
        <w:t xml:space="preserve">overnment stakeholders </w:t>
      </w:r>
      <w:r w:rsidR="007056ED" w:rsidRPr="00820C89">
        <w:rPr>
          <w:rFonts w:asciiTheme="majorHAnsi" w:hAnsiTheme="majorHAnsi"/>
        </w:rPr>
        <w:t xml:space="preserve">noted that the Forrest Review was just one of many </w:t>
      </w:r>
      <w:r w:rsidR="001D58AA" w:rsidRPr="00820C89">
        <w:rPr>
          <w:rFonts w:asciiTheme="majorHAnsi" w:hAnsiTheme="majorHAnsi"/>
        </w:rPr>
        <w:t>inputs into the design of the IEP</w:t>
      </w:r>
      <w:r w:rsidR="00D67AA9" w:rsidRPr="00820C89">
        <w:rPr>
          <w:rFonts w:asciiTheme="majorHAnsi" w:hAnsiTheme="majorHAnsi"/>
        </w:rPr>
        <w:t>. However,</w:t>
      </w:r>
      <w:r w:rsidR="006C0504" w:rsidRPr="00820C89">
        <w:rPr>
          <w:rFonts w:asciiTheme="majorHAnsi" w:hAnsiTheme="majorHAnsi"/>
        </w:rPr>
        <w:t xml:space="preserve"> </w:t>
      </w:r>
      <w:r w:rsidR="00F52575" w:rsidRPr="00820C89">
        <w:rPr>
          <w:rFonts w:asciiTheme="majorHAnsi" w:hAnsiTheme="majorHAnsi"/>
        </w:rPr>
        <w:t xml:space="preserve">policy </w:t>
      </w:r>
      <w:r w:rsidR="00E9660A" w:rsidRPr="00820C89">
        <w:rPr>
          <w:rFonts w:asciiTheme="majorHAnsi" w:hAnsiTheme="majorHAnsi"/>
        </w:rPr>
        <w:t>and program</w:t>
      </w:r>
      <w:r w:rsidR="00F52575" w:rsidRPr="00820C89">
        <w:rPr>
          <w:rFonts w:asciiTheme="majorHAnsi" w:hAnsiTheme="majorHAnsi"/>
        </w:rPr>
        <w:t xml:space="preserve"> documentation provided to the evaluation team </w:t>
      </w:r>
      <w:r w:rsidR="006C0504" w:rsidRPr="00820C89">
        <w:rPr>
          <w:rFonts w:asciiTheme="majorHAnsi" w:hAnsiTheme="majorHAnsi"/>
        </w:rPr>
        <w:t>did not</w:t>
      </w:r>
      <w:r w:rsidR="00E37726" w:rsidRPr="00820C89">
        <w:rPr>
          <w:rFonts w:asciiTheme="majorHAnsi" w:hAnsiTheme="majorHAnsi"/>
        </w:rPr>
        <w:t xml:space="preserve"> provide any</w:t>
      </w:r>
      <w:r w:rsidR="005B255D" w:rsidRPr="00820C89">
        <w:rPr>
          <w:rFonts w:asciiTheme="majorHAnsi" w:hAnsiTheme="majorHAnsi"/>
        </w:rPr>
        <w:t xml:space="preserve"> further insight </w:t>
      </w:r>
      <w:r w:rsidR="00E37726" w:rsidRPr="00820C89">
        <w:rPr>
          <w:rFonts w:asciiTheme="majorHAnsi" w:hAnsiTheme="majorHAnsi"/>
        </w:rPr>
        <w:t xml:space="preserve">into </w:t>
      </w:r>
      <w:r w:rsidR="00E9660A" w:rsidRPr="00820C89">
        <w:rPr>
          <w:rFonts w:asciiTheme="majorHAnsi" w:hAnsiTheme="majorHAnsi"/>
        </w:rPr>
        <w:t>other</w:t>
      </w:r>
      <w:r w:rsidR="00E37726" w:rsidRPr="00820C89">
        <w:rPr>
          <w:rFonts w:asciiTheme="majorHAnsi" w:hAnsiTheme="majorHAnsi"/>
        </w:rPr>
        <w:t xml:space="preserve"> evidence that was used to inform program design. </w:t>
      </w:r>
    </w:p>
    <w:p w14:paraId="0ECD9FD7" w14:textId="77777777" w:rsidR="005C64A0" w:rsidRPr="00820C89" w:rsidRDefault="00C83690" w:rsidP="001E7044">
      <w:pPr>
        <w:spacing w:before="170"/>
        <w:rPr>
          <w:rFonts w:asciiTheme="majorHAnsi" w:hAnsiTheme="majorHAnsi"/>
        </w:rPr>
      </w:pPr>
      <w:r w:rsidRPr="00820C89">
        <w:rPr>
          <w:rFonts w:asciiTheme="majorHAnsi" w:hAnsiTheme="majorHAnsi"/>
        </w:rPr>
        <w:t>Additionally, the literature revi</w:t>
      </w:r>
      <w:r w:rsidR="00A31C8E" w:rsidRPr="00820C89">
        <w:rPr>
          <w:rFonts w:asciiTheme="majorHAnsi" w:hAnsiTheme="majorHAnsi"/>
        </w:rPr>
        <w:t>ew found a sca</w:t>
      </w:r>
      <w:r w:rsidR="00A03851" w:rsidRPr="00820C89">
        <w:rPr>
          <w:rFonts w:asciiTheme="majorHAnsi" w:hAnsiTheme="majorHAnsi"/>
        </w:rPr>
        <w:t>rcity of Indigenous employment specific evidence</w:t>
      </w:r>
      <w:r w:rsidR="000F479E" w:rsidRPr="00820C89">
        <w:rPr>
          <w:rFonts w:asciiTheme="majorHAnsi" w:hAnsiTheme="majorHAnsi"/>
        </w:rPr>
        <w:t>. This</w:t>
      </w:r>
      <w:r w:rsidR="008044DB" w:rsidRPr="00820C89">
        <w:rPr>
          <w:rFonts w:asciiTheme="majorHAnsi" w:hAnsiTheme="majorHAnsi"/>
        </w:rPr>
        <w:t xml:space="preserve"> </w:t>
      </w:r>
      <w:r w:rsidR="001E7044" w:rsidRPr="00820C89">
        <w:rPr>
          <w:rFonts w:asciiTheme="majorHAnsi" w:hAnsiTheme="majorHAnsi"/>
        </w:rPr>
        <w:t>indicates that</w:t>
      </w:r>
      <w:r w:rsidR="00D27F55" w:rsidRPr="00820C89">
        <w:rPr>
          <w:rFonts w:asciiTheme="majorHAnsi" w:hAnsiTheme="majorHAnsi"/>
        </w:rPr>
        <w:t xml:space="preserve"> if any</w:t>
      </w:r>
      <w:r w:rsidR="001E7044" w:rsidRPr="00820C89">
        <w:rPr>
          <w:rFonts w:asciiTheme="majorHAnsi" w:hAnsiTheme="majorHAnsi"/>
        </w:rPr>
        <w:t xml:space="preserve"> consultation with Indigenous people or iterative policy design processes were undertaken, it was not published or </w:t>
      </w:r>
      <w:r w:rsidR="00D94A22" w:rsidRPr="00820C89">
        <w:rPr>
          <w:rFonts w:asciiTheme="majorHAnsi" w:hAnsiTheme="majorHAnsi"/>
        </w:rPr>
        <w:t xml:space="preserve">made available to this project team or </w:t>
      </w:r>
      <w:r w:rsidR="00257D50" w:rsidRPr="00820C89">
        <w:rPr>
          <w:rFonts w:asciiTheme="majorHAnsi" w:hAnsiTheme="majorHAnsi"/>
        </w:rPr>
        <w:t xml:space="preserve">the public. </w:t>
      </w:r>
    </w:p>
    <w:p w14:paraId="0179A418" w14:textId="325A82D0" w:rsidR="004618FA" w:rsidRPr="00820C89" w:rsidRDefault="001A1C23" w:rsidP="00124059">
      <w:pPr>
        <w:pStyle w:val="Heading3"/>
      </w:pPr>
      <w:r w:rsidRPr="00820C89">
        <w:t>A</w:t>
      </w:r>
      <w:r w:rsidR="004618FA" w:rsidRPr="00820C89">
        <w:t>lignment of program design</w:t>
      </w:r>
      <w:r w:rsidRPr="00820C89">
        <w:t xml:space="preserve"> features</w:t>
      </w:r>
      <w:r w:rsidR="004618FA" w:rsidRPr="00820C89">
        <w:t xml:space="preserve"> </w:t>
      </w:r>
      <w:r w:rsidR="00110FB5" w:rsidRPr="00820C89">
        <w:t>with best practice</w:t>
      </w:r>
      <w:r w:rsidR="00781A26" w:rsidRPr="00820C89">
        <w:t xml:space="preserve"> </w:t>
      </w:r>
      <w:r w:rsidR="00783383" w:rsidRPr="00820C89">
        <w:br/>
      </w:r>
    </w:p>
    <w:p w14:paraId="15121B9C" w14:textId="77777777" w:rsidR="000224AE" w:rsidRPr="00BC7EC7" w:rsidRDefault="000224AE"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w:t>
      </w:r>
    </w:p>
    <w:p w14:paraId="73CCC718" w14:textId="24E51BD7" w:rsidR="000224AE" w:rsidRPr="000224AE" w:rsidRDefault="000224AE" w:rsidP="00715F70">
      <w:pPr>
        <w:pStyle w:val="ListParagraph"/>
        <w:numPr>
          <w:ilvl w:val="0"/>
          <w:numId w:val="71"/>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sidRPr="00CA2C28">
        <w:rPr>
          <w:b/>
          <w:bCs/>
          <w:i/>
          <w:iCs/>
          <w:color w:val="62B5E5" w:themeColor="accent3"/>
        </w:rPr>
        <w:t xml:space="preserve">The design of the IEP broadly aligns with an accumulated evidence base of what works for disadvantaged jobseekers. However, literature pertaining specifically to Indigenous Australians and employment services is weak and there are limited Indigenous perspectives in the research to date. </w:t>
      </w:r>
    </w:p>
    <w:p w14:paraId="3298EDE8" w14:textId="17FD8465" w:rsidR="004618FA" w:rsidRPr="00820C89" w:rsidRDefault="004618FA" w:rsidP="004618FA">
      <w:pPr>
        <w:rPr>
          <w:rFonts w:asciiTheme="majorHAnsi" w:hAnsiTheme="majorHAnsi"/>
        </w:rPr>
      </w:pPr>
      <w:r w:rsidRPr="00820C89">
        <w:rPr>
          <w:rFonts w:asciiTheme="majorHAnsi" w:hAnsiTheme="majorHAnsi"/>
        </w:rPr>
        <w:t>The literature scan has identified an established group of principles and design features that are associated with best practice employment programs generally and Indigenous employment programs specifically. It should be noted, however, that much of this evidence base is formed through evaluations and inquiries conducted through a Western economic lens and there are limited Indigenous perspectives in the research to date.</w:t>
      </w:r>
    </w:p>
    <w:p w14:paraId="2FEBB82C" w14:textId="77777777" w:rsidR="004618FA" w:rsidRPr="00820C89" w:rsidRDefault="004618FA" w:rsidP="004618FA">
      <w:pPr>
        <w:pStyle w:val="Caption"/>
        <w:rPr>
          <w:rFonts w:asciiTheme="majorHAnsi" w:hAnsiTheme="majorHAnsi"/>
          <w:color w:val="auto"/>
          <w:sz w:val="18"/>
        </w:rPr>
      </w:pPr>
      <w:r w:rsidRPr="00820C89">
        <w:rPr>
          <w:rFonts w:asciiTheme="majorHAnsi" w:hAnsiTheme="majorHAnsi"/>
          <w:color w:val="auto"/>
          <w:sz w:val="18"/>
        </w:rPr>
        <w:t xml:space="preserve">The list of identified principles and design features established through the literature scan is used to anchor the appropriateness assessment included in this section of the report (the full literature scan is included as an attachment in </w:t>
      </w:r>
      <w:r w:rsidRPr="00820C89">
        <w:rPr>
          <w:rFonts w:asciiTheme="majorHAnsi" w:hAnsiTheme="majorHAnsi"/>
          <w:b/>
          <w:color w:val="auto"/>
          <w:sz w:val="18"/>
        </w:rPr>
        <w:t xml:space="preserve">Appendix </w:t>
      </w:r>
      <w:r w:rsidR="00FA5D6A" w:rsidRPr="00820C89">
        <w:rPr>
          <w:rFonts w:asciiTheme="majorHAnsi" w:hAnsiTheme="majorHAnsi"/>
          <w:b/>
          <w:bCs/>
          <w:color w:val="auto"/>
          <w:sz w:val="18"/>
        </w:rPr>
        <w:t>A</w:t>
      </w:r>
      <w:r w:rsidRPr="00820C89">
        <w:rPr>
          <w:rFonts w:asciiTheme="majorHAnsi" w:hAnsiTheme="majorHAnsi"/>
          <w:color w:val="auto"/>
          <w:sz w:val="18"/>
        </w:rPr>
        <w:t>).</w:t>
      </w:r>
    </w:p>
    <w:p w14:paraId="01053BA1" w14:textId="77777777" w:rsidR="001F3F5C" w:rsidRPr="00820C89" w:rsidRDefault="004618FA" w:rsidP="004618FA">
      <w:pPr>
        <w:spacing w:before="170"/>
        <w:rPr>
          <w:rFonts w:asciiTheme="majorHAnsi" w:hAnsiTheme="majorHAnsi"/>
        </w:rPr>
      </w:pPr>
      <w:r w:rsidRPr="00820C89">
        <w:rPr>
          <w:rFonts w:asciiTheme="majorHAnsi" w:hAnsiTheme="majorHAnsi"/>
        </w:rPr>
        <w:t xml:space="preserve">Table </w:t>
      </w:r>
      <w:r w:rsidR="0026397D" w:rsidRPr="00820C89">
        <w:rPr>
          <w:rFonts w:asciiTheme="majorHAnsi" w:hAnsiTheme="majorHAnsi"/>
        </w:rPr>
        <w:t>2.1</w:t>
      </w:r>
      <w:r w:rsidRPr="00820C89">
        <w:rPr>
          <w:rFonts w:asciiTheme="majorHAnsi" w:hAnsiTheme="majorHAnsi"/>
        </w:rPr>
        <w:t xml:space="preserve"> below utilises the findings from the literature scan to determine the alignment between</w:t>
      </w:r>
      <w:r w:rsidR="00BC4BE2" w:rsidRPr="00820C89">
        <w:rPr>
          <w:rFonts w:asciiTheme="majorHAnsi" w:hAnsiTheme="majorHAnsi"/>
        </w:rPr>
        <w:t xml:space="preserve"> </w:t>
      </w:r>
      <w:r w:rsidR="008B409B" w:rsidRPr="00820C89">
        <w:rPr>
          <w:rFonts w:asciiTheme="majorHAnsi" w:hAnsiTheme="majorHAnsi"/>
        </w:rPr>
        <w:t>best practice</w:t>
      </w:r>
      <w:r w:rsidR="006D024C" w:rsidRPr="00820C89">
        <w:rPr>
          <w:rFonts w:asciiTheme="majorHAnsi" w:hAnsiTheme="majorHAnsi"/>
        </w:rPr>
        <w:t xml:space="preserve"> and the IEP program </w:t>
      </w:r>
      <w:r w:rsidR="00DF5961" w:rsidRPr="00820C89">
        <w:rPr>
          <w:rFonts w:asciiTheme="majorHAnsi" w:hAnsiTheme="majorHAnsi"/>
        </w:rPr>
        <w:t>design elements.</w:t>
      </w:r>
      <w:r w:rsidRPr="00820C89">
        <w:rPr>
          <w:rFonts w:asciiTheme="majorHAnsi" w:hAnsiTheme="majorHAnsi"/>
        </w:rPr>
        <w:t xml:space="preserve"> </w:t>
      </w:r>
      <w:r w:rsidR="00B175D4" w:rsidRPr="00820C89">
        <w:rPr>
          <w:rFonts w:asciiTheme="majorHAnsi" w:hAnsiTheme="majorHAnsi"/>
        </w:rPr>
        <w:t>As shown below</w:t>
      </w:r>
      <w:r w:rsidR="001F3F5C" w:rsidRPr="00820C89">
        <w:rPr>
          <w:rFonts w:asciiTheme="majorHAnsi" w:hAnsiTheme="majorHAnsi"/>
        </w:rPr>
        <w:t>, the design of the IEP</w:t>
      </w:r>
      <w:r w:rsidR="00A73A22" w:rsidRPr="00820C89">
        <w:rPr>
          <w:rFonts w:asciiTheme="majorHAnsi" w:hAnsiTheme="majorHAnsi"/>
        </w:rPr>
        <w:t xml:space="preserve"> </w:t>
      </w:r>
      <w:r w:rsidR="001F3F5C" w:rsidRPr="00820C89">
        <w:rPr>
          <w:rFonts w:asciiTheme="majorHAnsi" w:hAnsiTheme="majorHAnsi"/>
        </w:rPr>
        <w:t>broadly aligns with an accumulated evidence base</w:t>
      </w:r>
      <w:r w:rsidR="00815CF6" w:rsidRPr="00820C89">
        <w:rPr>
          <w:rFonts w:asciiTheme="majorHAnsi" w:hAnsiTheme="majorHAnsi"/>
        </w:rPr>
        <w:t xml:space="preserve"> </w:t>
      </w:r>
      <w:r w:rsidR="001F3F5C" w:rsidRPr="00820C89">
        <w:rPr>
          <w:rFonts w:asciiTheme="majorHAnsi" w:hAnsiTheme="majorHAnsi"/>
        </w:rPr>
        <w:t>of what works for disadvantaged jobseekers</w:t>
      </w:r>
      <w:r w:rsidR="00DA323E" w:rsidRPr="00820C89">
        <w:rPr>
          <w:rFonts w:asciiTheme="majorHAnsi" w:hAnsiTheme="majorHAnsi"/>
        </w:rPr>
        <w:t xml:space="preserve"> found in the literature</w:t>
      </w:r>
      <w:r w:rsidR="001F3F5C" w:rsidRPr="00820C89">
        <w:rPr>
          <w:rFonts w:asciiTheme="majorHAnsi" w:hAnsiTheme="majorHAnsi"/>
        </w:rPr>
        <w:t xml:space="preserve">. </w:t>
      </w:r>
      <w:r w:rsidRPr="00820C89">
        <w:rPr>
          <w:rFonts w:asciiTheme="majorHAnsi" w:hAnsiTheme="majorHAnsi"/>
        </w:rPr>
        <w:t xml:space="preserve">Design features that are viewed positively in research literature and are present in the IEP include streaming, job-readiness and job-specific training, job-matching, place-based approaches and post-placement support. </w:t>
      </w:r>
      <w:r w:rsidR="001F3F5C" w:rsidRPr="00820C89">
        <w:rPr>
          <w:rFonts w:asciiTheme="majorHAnsi" w:hAnsiTheme="majorHAnsi"/>
        </w:rPr>
        <w:t xml:space="preserve">However, it should be noted that literature </w:t>
      </w:r>
      <w:r w:rsidR="00DA323E" w:rsidRPr="00820C89">
        <w:rPr>
          <w:rFonts w:asciiTheme="majorHAnsi" w:hAnsiTheme="majorHAnsi"/>
        </w:rPr>
        <w:t xml:space="preserve">pertaining specifically to Indigenous Australians and employment services is weak and there are limited Indigenous perspectives in the research to date. </w:t>
      </w:r>
    </w:p>
    <w:p w14:paraId="40CD3DD5" w14:textId="77777777" w:rsidR="004618FA" w:rsidRPr="00820C89" w:rsidRDefault="004618FA" w:rsidP="00110473">
      <w:pPr>
        <w:rPr>
          <w:rFonts w:asciiTheme="majorHAnsi" w:hAnsiTheme="majorHAnsi"/>
        </w:rPr>
      </w:pPr>
      <w:r w:rsidRPr="00820C89">
        <w:rPr>
          <w:rFonts w:asciiTheme="majorHAnsi" w:hAnsiTheme="majorHAnsi"/>
        </w:rPr>
        <w:t xml:space="preserve">While this comparison with literature finds that many of the IEP features are viewed as best practice, evidence emerging from the evaluation as to the appropriateness of the IEP design is mixed. Employers, providers and regional NIAA staff identified several features of the program design to be limiting to the ability of the programs to operate effectively and efficiently. </w:t>
      </w:r>
    </w:p>
    <w:p w14:paraId="1CC9E844" w14:textId="77777777" w:rsidR="004618FA" w:rsidRPr="00820C89" w:rsidRDefault="004618FA" w:rsidP="004618FA">
      <w:pPr>
        <w:rPr>
          <w:rFonts w:asciiTheme="majorHAnsi" w:hAnsiTheme="majorHAnsi"/>
        </w:rPr>
      </w:pPr>
      <w:r w:rsidRPr="00820C89">
        <w:rPr>
          <w:rFonts w:asciiTheme="majorHAnsi" w:hAnsiTheme="majorHAnsi"/>
        </w:rPr>
        <w:t>The subsequent discussion</w:t>
      </w:r>
      <w:r w:rsidR="00886038" w:rsidRPr="00820C89">
        <w:rPr>
          <w:rFonts w:asciiTheme="majorHAnsi" w:hAnsiTheme="majorHAnsi"/>
        </w:rPr>
        <w:t>s</w:t>
      </w:r>
      <w:r w:rsidRPr="00820C89">
        <w:rPr>
          <w:rFonts w:asciiTheme="majorHAnsi" w:hAnsiTheme="majorHAnsi"/>
        </w:rPr>
        <w:t xml:space="preserve"> </w:t>
      </w:r>
      <w:r w:rsidR="00B7347C" w:rsidRPr="00820C89">
        <w:rPr>
          <w:rFonts w:asciiTheme="majorHAnsi" w:hAnsiTheme="majorHAnsi"/>
        </w:rPr>
        <w:t xml:space="preserve">throughout this report </w:t>
      </w:r>
      <w:r w:rsidRPr="00820C89">
        <w:rPr>
          <w:rFonts w:asciiTheme="majorHAnsi" w:hAnsiTheme="majorHAnsi"/>
        </w:rPr>
        <w:t xml:space="preserve">provide further detail on the specifics of the design parameters of each of the three </w:t>
      </w:r>
      <w:r w:rsidR="00A73A22" w:rsidRPr="00820C89">
        <w:rPr>
          <w:rFonts w:asciiTheme="majorHAnsi" w:hAnsiTheme="majorHAnsi"/>
        </w:rPr>
        <w:t>sub-programs</w:t>
      </w:r>
      <w:r w:rsidR="00886038" w:rsidRPr="00820C89">
        <w:rPr>
          <w:rFonts w:asciiTheme="majorHAnsi" w:hAnsiTheme="majorHAnsi"/>
        </w:rPr>
        <w:t xml:space="preserve"> </w:t>
      </w:r>
      <w:r w:rsidRPr="00820C89">
        <w:rPr>
          <w:rFonts w:asciiTheme="majorHAnsi" w:hAnsiTheme="majorHAnsi"/>
        </w:rPr>
        <w:t>and considers to what extent the programs have been implemented in line with these parameters and the impact on program outcomes.</w:t>
      </w:r>
    </w:p>
    <w:p w14:paraId="08E031CD" w14:textId="77777777" w:rsidR="004618FA" w:rsidRPr="00820C89" w:rsidRDefault="004618FA" w:rsidP="004618FA">
      <w:pPr>
        <w:rPr>
          <w:rFonts w:asciiTheme="majorHAnsi" w:hAnsiTheme="majorHAnsi"/>
        </w:rPr>
        <w:sectPr w:rsidR="004618FA" w:rsidRPr="00820C89" w:rsidSect="00094496">
          <w:pgSz w:w="11906" w:h="16838" w:code="9"/>
          <w:pgMar w:top="1440" w:right="1440" w:bottom="1440" w:left="1440" w:header="680" w:footer="425" w:gutter="0"/>
          <w:cols w:space="284"/>
          <w:docGrid w:linePitch="360"/>
        </w:sectPr>
      </w:pPr>
    </w:p>
    <w:p w14:paraId="1BE348B0" w14:textId="503AF3ED" w:rsidR="004618FA" w:rsidRPr="00820C89" w:rsidRDefault="00124627" w:rsidP="007B7D8F">
      <w:pPr>
        <w:pStyle w:val="Caption"/>
        <w:rPr>
          <w:rFonts w:asciiTheme="majorHAnsi" w:hAnsiTheme="majorHAnsi"/>
        </w:rPr>
      </w:pPr>
      <w:bookmarkStart w:id="58" w:name="_Ref56677088"/>
      <w:r w:rsidRPr="000224AE">
        <w:lastRenderedPageBreak/>
        <w:t xml:space="preserve">Table </w:t>
      </w:r>
      <w:r w:rsidRPr="000224AE">
        <w:fldChar w:fldCharType="begin"/>
      </w:r>
      <w:r w:rsidRPr="000224AE">
        <w:instrText xml:space="preserve"> STYLEREF 1 \s </w:instrText>
      </w:r>
      <w:r w:rsidRPr="000224AE">
        <w:fldChar w:fldCharType="separate"/>
      </w:r>
      <w:r w:rsidR="008565C8">
        <w:rPr>
          <w:noProof/>
        </w:rPr>
        <w:t>2</w:t>
      </w:r>
      <w:r w:rsidRPr="000224AE">
        <w:fldChar w:fldCharType="end"/>
      </w:r>
      <w:r w:rsidRPr="000224AE">
        <w:t>.</w:t>
      </w:r>
      <w:r w:rsidRPr="000224AE">
        <w:fldChar w:fldCharType="begin"/>
      </w:r>
      <w:r w:rsidRPr="000224AE">
        <w:instrText xml:space="preserve"> SEQ Table \* ARABIC \s 1 </w:instrText>
      </w:r>
      <w:r w:rsidRPr="000224AE">
        <w:fldChar w:fldCharType="separate"/>
      </w:r>
      <w:r w:rsidR="008565C8">
        <w:rPr>
          <w:noProof/>
        </w:rPr>
        <w:t>1</w:t>
      </w:r>
      <w:r w:rsidRPr="000224AE">
        <w:fldChar w:fldCharType="end"/>
      </w:r>
      <w:r w:rsidR="004618FA" w:rsidRPr="000224AE">
        <w:rPr>
          <w:rFonts w:asciiTheme="majorHAnsi" w:hAnsiTheme="majorHAnsi"/>
        </w:rPr>
        <w:t>: Alignment of IEP design with design features and success principles for employment programs</w:t>
      </w:r>
      <w:bookmarkEnd w:id="58"/>
      <w:r w:rsidR="004618FA" w:rsidRPr="00820C89">
        <w:rPr>
          <w:rFonts w:asciiTheme="majorHAnsi" w:hAnsiTheme="majorHAnsi"/>
        </w:rPr>
        <w:t xml:space="preserve"> </w:t>
      </w:r>
    </w:p>
    <w:tbl>
      <w:tblPr>
        <w:tblStyle w:val="Deloittetable"/>
        <w:tblW w:w="14816" w:type="dxa"/>
        <w:tblLayout w:type="fixed"/>
        <w:tblLook w:val="04A0" w:firstRow="1" w:lastRow="0" w:firstColumn="1" w:lastColumn="0" w:noHBand="0" w:noVBand="1"/>
      </w:tblPr>
      <w:tblGrid>
        <w:gridCol w:w="1824"/>
        <w:gridCol w:w="1123"/>
        <w:gridCol w:w="1122"/>
        <w:gridCol w:w="1123"/>
        <w:gridCol w:w="9624"/>
      </w:tblGrid>
      <w:tr w:rsidR="004618FA" w:rsidRPr="00820C89" w14:paraId="20931D72" w14:textId="77777777" w:rsidTr="00B91D03">
        <w:trPr>
          <w:cnfStyle w:val="100000000000" w:firstRow="1" w:lastRow="0" w:firstColumn="0" w:lastColumn="0" w:oddVBand="0" w:evenVBand="0" w:oddHBand="0" w:evenHBand="0" w:firstRowFirstColumn="0" w:firstRowLastColumn="0" w:lastRowFirstColumn="0" w:lastRowLastColumn="0"/>
          <w:trHeight w:val="297"/>
          <w:tblHeader/>
        </w:trPr>
        <w:tc>
          <w:tcPr>
            <w:tcW w:w="1824" w:type="dxa"/>
            <w:vMerge w:val="restart"/>
            <w:vAlign w:val="center"/>
          </w:tcPr>
          <w:p w14:paraId="796838CA" w14:textId="77777777" w:rsidR="004618FA" w:rsidRPr="00820C89" w:rsidRDefault="004618FA" w:rsidP="00590BC4">
            <w:pPr>
              <w:spacing w:after="0"/>
              <w:jc w:val="center"/>
              <w:rPr>
                <w:rFonts w:asciiTheme="majorHAnsi" w:hAnsiTheme="majorHAnsi"/>
                <w:b/>
              </w:rPr>
            </w:pPr>
          </w:p>
        </w:tc>
        <w:tc>
          <w:tcPr>
            <w:tcW w:w="3368" w:type="dxa"/>
            <w:gridSpan w:val="3"/>
            <w:vAlign w:val="center"/>
          </w:tcPr>
          <w:p w14:paraId="2E5787B5" w14:textId="77777777" w:rsidR="004618FA" w:rsidRPr="00820C89" w:rsidRDefault="004618FA" w:rsidP="00590BC4">
            <w:pPr>
              <w:spacing w:after="0"/>
              <w:jc w:val="center"/>
              <w:rPr>
                <w:rFonts w:asciiTheme="majorHAnsi" w:hAnsiTheme="majorHAnsi"/>
                <w:b/>
              </w:rPr>
            </w:pPr>
            <w:r w:rsidRPr="00820C89">
              <w:rPr>
                <w:rFonts w:asciiTheme="majorHAnsi" w:hAnsiTheme="majorHAnsi"/>
                <w:b/>
              </w:rPr>
              <w:t>Presence in IEP design</w:t>
            </w:r>
          </w:p>
        </w:tc>
        <w:tc>
          <w:tcPr>
            <w:tcW w:w="9624" w:type="dxa"/>
            <w:vMerge w:val="restart"/>
            <w:vAlign w:val="center"/>
          </w:tcPr>
          <w:p w14:paraId="6EFDFB00" w14:textId="77777777" w:rsidR="004618FA" w:rsidRPr="00820C89" w:rsidRDefault="004618FA" w:rsidP="00590BC4">
            <w:pPr>
              <w:spacing w:after="0"/>
              <w:jc w:val="center"/>
              <w:rPr>
                <w:rFonts w:asciiTheme="majorHAnsi" w:hAnsiTheme="majorHAnsi"/>
                <w:b/>
              </w:rPr>
            </w:pPr>
            <w:r w:rsidRPr="00820C89">
              <w:rPr>
                <w:rFonts w:asciiTheme="majorHAnsi" w:hAnsiTheme="majorHAnsi"/>
                <w:b/>
              </w:rPr>
              <w:t>Key considerations</w:t>
            </w:r>
          </w:p>
        </w:tc>
      </w:tr>
      <w:tr w:rsidR="004618FA" w:rsidRPr="00820C89" w14:paraId="05278589" w14:textId="77777777" w:rsidTr="00AA0745">
        <w:trPr>
          <w:trHeight w:val="28"/>
        </w:trPr>
        <w:tc>
          <w:tcPr>
            <w:tcW w:w="1824" w:type="dxa"/>
            <w:vMerge/>
          </w:tcPr>
          <w:p w14:paraId="46DD6E5D" w14:textId="77777777" w:rsidR="004618FA" w:rsidRPr="00820C89" w:rsidRDefault="004618FA" w:rsidP="00590BC4">
            <w:pPr>
              <w:spacing w:after="0"/>
              <w:jc w:val="center"/>
              <w:rPr>
                <w:rFonts w:asciiTheme="majorHAnsi" w:hAnsiTheme="majorHAnsi"/>
                <w:b/>
              </w:rPr>
            </w:pPr>
          </w:p>
        </w:tc>
        <w:tc>
          <w:tcPr>
            <w:tcW w:w="1122" w:type="dxa"/>
          </w:tcPr>
          <w:p w14:paraId="37DFB85B" w14:textId="77777777" w:rsidR="004618FA" w:rsidRPr="00820C89" w:rsidRDefault="004618FA" w:rsidP="00590BC4">
            <w:pPr>
              <w:spacing w:after="0"/>
              <w:jc w:val="center"/>
              <w:rPr>
                <w:rFonts w:asciiTheme="majorHAnsi" w:hAnsiTheme="majorHAnsi"/>
                <w:b/>
              </w:rPr>
            </w:pPr>
            <w:r w:rsidRPr="00820C89">
              <w:rPr>
                <w:rFonts w:asciiTheme="majorHAnsi" w:hAnsiTheme="majorHAnsi"/>
                <w:b/>
              </w:rPr>
              <w:t>VTEC</w:t>
            </w:r>
          </w:p>
        </w:tc>
        <w:tc>
          <w:tcPr>
            <w:tcW w:w="1122" w:type="dxa"/>
          </w:tcPr>
          <w:p w14:paraId="1CB05B58" w14:textId="77777777" w:rsidR="004618FA" w:rsidRPr="00820C89" w:rsidRDefault="004618FA" w:rsidP="00590BC4">
            <w:pPr>
              <w:spacing w:after="0"/>
              <w:jc w:val="center"/>
              <w:rPr>
                <w:rFonts w:asciiTheme="majorHAnsi" w:hAnsiTheme="majorHAnsi"/>
                <w:b/>
              </w:rPr>
            </w:pPr>
            <w:r w:rsidRPr="00820C89">
              <w:rPr>
                <w:rFonts w:asciiTheme="majorHAnsi" w:hAnsiTheme="majorHAnsi"/>
                <w:b/>
              </w:rPr>
              <w:t>TAEG</w:t>
            </w:r>
          </w:p>
        </w:tc>
        <w:tc>
          <w:tcPr>
            <w:tcW w:w="1122" w:type="dxa"/>
          </w:tcPr>
          <w:p w14:paraId="34AD021B" w14:textId="77777777" w:rsidR="004618FA" w:rsidRPr="00820C89" w:rsidRDefault="004618FA" w:rsidP="00590BC4">
            <w:pPr>
              <w:spacing w:after="0"/>
              <w:jc w:val="center"/>
              <w:rPr>
                <w:rFonts w:asciiTheme="majorHAnsi" w:hAnsiTheme="majorHAnsi"/>
                <w:b/>
              </w:rPr>
            </w:pPr>
            <w:r w:rsidRPr="00820C89">
              <w:rPr>
                <w:rFonts w:asciiTheme="majorHAnsi" w:hAnsiTheme="majorHAnsi"/>
                <w:b/>
              </w:rPr>
              <w:t>EPI</w:t>
            </w:r>
          </w:p>
        </w:tc>
        <w:tc>
          <w:tcPr>
            <w:tcW w:w="9624" w:type="dxa"/>
            <w:vMerge/>
          </w:tcPr>
          <w:p w14:paraId="6C36960E" w14:textId="77777777" w:rsidR="004618FA" w:rsidRPr="00820C89" w:rsidRDefault="004618FA" w:rsidP="00590BC4">
            <w:pPr>
              <w:spacing w:after="0"/>
              <w:jc w:val="center"/>
              <w:rPr>
                <w:rFonts w:asciiTheme="majorHAnsi" w:hAnsiTheme="majorHAnsi"/>
                <w:b/>
              </w:rPr>
            </w:pPr>
          </w:p>
        </w:tc>
      </w:tr>
      <w:tr w:rsidR="004618FA" w:rsidRPr="00820C89" w14:paraId="07A58FAF" w14:textId="77777777" w:rsidTr="00806C05">
        <w:trPr>
          <w:trHeight w:val="160"/>
        </w:trPr>
        <w:tc>
          <w:tcPr>
            <w:tcW w:w="1824" w:type="dxa"/>
            <w:shd w:val="clear" w:color="auto" w:fill="E7E6E6" w:themeFill="background2"/>
            <w:vAlign w:val="center"/>
          </w:tcPr>
          <w:p w14:paraId="583A825B"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rPr>
              <w:t>Design features</w:t>
            </w:r>
          </w:p>
        </w:tc>
        <w:tc>
          <w:tcPr>
            <w:tcW w:w="1122" w:type="dxa"/>
            <w:shd w:val="clear" w:color="auto" w:fill="E7E6E6" w:themeFill="background2"/>
            <w:vAlign w:val="center"/>
          </w:tcPr>
          <w:p w14:paraId="57A7AFA1" w14:textId="77777777" w:rsidR="004618FA" w:rsidRPr="00820C89" w:rsidRDefault="004618FA" w:rsidP="007078F0">
            <w:pPr>
              <w:spacing w:after="0"/>
              <w:rPr>
                <w:rFonts w:asciiTheme="majorHAnsi" w:hAnsiTheme="majorHAnsi" w:cs="Segoe UI Symbol"/>
                <w:sz w:val="16"/>
                <w:szCs w:val="16"/>
                <w:shd w:val="clear" w:color="auto" w:fill="FFFFFF"/>
              </w:rPr>
            </w:pPr>
          </w:p>
        </w:tc>
        <w:tc>
          <w:tcPr>
            <w:tcW w:w="1122" w:type="dxa"/>
            <w:shd w:val="clear" w:color="auto" w:fill="E7E6E6" w:themeFill="background2"/>
            <w:vAlign w:val="center"/>
          </w:tcPr>
          <w:p w14:paraId="570993C5" w14:textId="77777777" w:rsidR="004618FA" w:rsidRPr="00820C89" w:rsidRDefault="004618FA" w:rsidP="00590BC4">
            <w:pPr>
              <w:spacing w:after="0"/>
              <w:jc w:val="center"/>
              <w:rPr>
                <w:rFonts w:asciiTheme="majorHAnsi" w:hAnsiTheme="majorHAnsi" w:cs="Segoe UI Symbol"/>
                <w:sz w:val="16"/>
                <w:szCs w:val="16"/>
                <w:shd w:val="clear" w:color="auto" w:fill="FFFFFF"/>
              </w:rPr>
            </w:pPr>
          </w:p>
        </w:tc>
        <w:tc>
          <w:tcPr>
            <w:tcW w:w="1122" w:type="dxa"/>
            <w:shd w:val="clear" w:color="auto" w:fill="E7E6E6" w:themeFill="background2"/>
            <w:vAlign w:val="center"/>
          </w:tcPr>
          <w:p w14:paraId="2576D611" w14:textId="77777777" w:rsidR="004618FA" w:rsidRPr="00820C89" w:rsidRDefault="004618FA" w:rsidP="00590BC4">
            <w:pPr>
              <w:spacing w:after="0"/>
              <w:jc w:val="center"/>
              <w:rPr>
                <w:rFonts w:asciiTheme="majorHAnsi" w:hAnsiTheme="majorHAnsi" w:cs="Segoe UI Emoji"/>
                <w:sz w:val="16"/>
                <w:szCs w:val="16"/>
                <w:shd w:val="clear" w:color="auto" w:fill="FFFFFF"/>
              </w:rPr>
            </w:pPr>
          </w:p>
        </w:tc>
        <w:tc>
          <w:tcPr>
            <w:tcW w:w="9624" w:type="dxa"/>
            <w:shd w:val="clear" w:color="auto" w:fill="E7E6E6" w:themeFill="background2"/>
          </w:tcPr>
          <w:p w14:paraId="5AFF1A6C" w14:textId="77777777" w:rsidR="004618FA" w:rsidRPr="00820C89" w:rsidRDefault="004618FA" w:rsidP="00590BC4">
            <w:pPr>
              <w:spacing w:after="0"/>
              <w:ind w:left="0"/>
              <w:rPr>
                <w:rFonts w:asciiTheme="majorHAnsi" w:hAnsiTheme="majorHAnsi"/>
                <w:sz w:val="16"/>
                <w:szCs w:val="16"/>
              </w:rPr>
            </w:pPr>
          </w:p>
        </w:tc>
      </w:tr>
      <w:tr w:rsidR="004618FA" w:rsidRPr="00820C89" w14:paraId="41D4E4D1" w14:textId="77777777" w:rsidTr="00806C05">
        <w:trPr>
          <w:trHeight w:val="160"/>
        </w:trPr>
        <w:tc>
          <w:tcPr>
            <w:tcW w:w="1824" w:type="dxa"/>
            <w:vAlign w:val="center"/>
          </w:tcPr>
          <w:p w14:paraId="7585D602"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Parity initiatives </w:t>
            </w:r>
          </w:p>
        </w:tc>
        <w:tc>
          <w:tcPr>
            <w:tcW w:w="1122" w:type="dxa"/>
            <w:vAlign w:val="center"/>
          </w:tcPr>
          <w:p w14:paraId="2A6FF5BA"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2432A2BC"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4599C8AF"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37B4B8DE"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The effectiveness of parity initiatives as a mechanism of employment growth has received mixed results in research conducted to date, but there is evidence of its improvement to the work environment.</w:t>
            </w:r>
          </w:p>
          <w:p w14:paraId="2B24E794"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EPI is a target-based parity initiative, so organisations need to carefully consider embedding values, strategies and tactics to ensure enable achievement of targets. While VTEC and TAEGs are not parity initiatives as they are supply focused, they do often work to support parity initiatives (including those led by governments and organisations through RAPs).</w:t>
            </w:r>
          </w:p>
        </w:tc>
      </w:tr>
      <w:tr w:rsidR="004618FA" w:rsidRPr="00820C89" w14:paraId="62F57B92" w14:textId="77777777" w:rsidTr="00806C05">
        <w:trPr>
          <w:trHeight w:val="160"/>
        </w:trPr>
        <w:tc>
          <w:tcPr>
            <w:tcW w:w="1824" w:type="dxa"/>
            <w:vAlign w:val="center"/>
          </w:tcPr>
          <w:p w14:paraId="1F5B0DC7"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Wage subsidies </w:t>
            </w:r>
          </w:p>
        </w:tc>
        <w:tc>
          <w:tcPr>
            <w:tcW w:w="1122" w:type="dxa"/>
            <w:vAlign w:val="center"/>
          </w:tcPr>
          <w:p w14:paraId="032C5BB2"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57C66B51"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720FF058"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688462B7"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 xml:space="preserve">Australian evaluations and international research have reported inconsistent results regarding the impact of wage subsidies on employment outcomes. </w:t>
            </w:r>
          </w:p>
          <w:p w14:paraId="39CC0556"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 xml:space="preserve">While EPI could be considered a wage subsidy program as EPI partners only receive a payment once employees reach 26-weeks, this feature has been classified as outcome driven funding. EPI funding is intended to cover a range of activities, not necessarily wages. </w:t>
            </w:r>
          </w:p>
        </w:tc>
      </w:tr>
      <w:tr w:rsidR="004618FA" w:rsidRPr="00820C89" w14:paraId="59D2A561" w14:textId="77777777" w:rsidTr="00806C05">
        <w:trPr>
          <w:trHeight w:val="157"/>
        </w:trPr>
        <w:tc>
          <w:tcPr>
            <w:tcW w:w="1824" w:type="dxa"/>
            <w:vAlign w:val="center"/>
          </w:tcPr>
          <w:p w14:paraId="7E928D3E" w14:textId="77777777" w:rsidR="004618FA" w:rsidRPr="00820C89" w:rsidRDefault="00B27CAE" w:rsidP="00590BC4">
            <w:pPr>
              <w:spacing w:after="0"/>
              <w:rPr>
                <w:rFonts w:asciiTheme="majorHAnsi" w:hAnsiTheme="majorHAnsi"/>
                <w:b/>
                <w:sz w:val="16"/>
                <w:szCs w:val="16"/>
              </w:rPr>
            </w:pPr>
            <w:r w:rsidRPr="00820C89">
              <w:rPr>
                <w:rFonts w:asciiTheme="majorHAnsi" w:hAnsiTheme="majorHAnsi"/>
                <w:b/>
                <w:sz w:val="16"/>
                <w:szCs w:val="16"/>
              </w:rPr>
              <w:t>Participant</w:t>
            </w:r>
            <w:r w:rsidR="00926B4B" w:rsidRPr="00820C89">
              <w:rPr>
                <w:rFonts w:asciiTheme="majorHAnsi" w:hAnsiTheme="majorHAnsi"/>
                <w:b/>
                <w:sz w:val="16"/>
                <w:szCs w:val="16"/>
              </w:rPr>
              <w:t xml:space="preserve"> s</w:t>
            </w:r>
            <w:r w:rsidR="004618FA" w:rsidRPr="00820C89">
              <w:rPr>
                <w:rFonts w:asciiTheme="majorHAnsi" w:hAnsiTheme="majorHAnsi"/>
                <w:b/>
                <w:sz w:val="16"/>
                <w:szCs w:val="16"/>
              </w:rPr>
              <w:t xml:space="preserve">treaming </w:t>
            </w:r>
          </w:p>
          <w:p w14:paraId="5741715E" w14:textId="77777777" w:rsidR="004618FA" w:rsidRPr="00820C89" w:rsidRDefault="004618FA" w:rsidP="00590BC4">
            <w:pPr>
              <w:spacing w:after="0"/>
              <w:rPr>
                <w:rFonts w:asciiTheme="majorHAnsi" w:hAnsiTheme="majorHAnsi"/>
                <w:b/>
                <w:sz w:val="16"/>
                <w:szCs w:val="16"/>
              </w:rPr>
            </w:pPr>
          </w:p>
        </w:tc>
        <w:tc>
          <w:tcPr>
            <w:tcW w:w="1122" w:type="dxa"/>
            <w:vAlign w:val="center"/>
          </w:tcPr>
          <w:p w14:paraId="04A70815"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16EDB472"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38303056" w14:textId="777A7746" w:rsidR="004618FA" w:rsidRPr="00820C89" w:rsidRDefault="00EA0D62" w:rsidP="00590BC4">
            <w:pPr>
              <w:pStyle w:val="ListParagraph"/>
              <w:spacing w:after="0"/>
              <w:ind w:left="360"/>
              <w:rPr>
                <w:rFonts w:asciiTheme="majorHAnsi" w:hAnsiTheme="majorHAnsi"/>
                <w:sz w:val="16"/>
                <w:szCs w:val="16"/>
              </w:rPr>
            </w:pPr>
            <w:r w:rsidRPr="00820C89">
              <w:rPr>
                <w:rFonts w:ascii="Segoe UI Symbol" w:hAnsi="Segoe UI Symbol" w:cs="Segoe UI Symbol"/>
                <w:sz w:val="16"/>
                <w:szCs w:val="16"/>
              </w:rPr>
              <w:t>Varies by partner</w:t>
            </w:r>
          </w:p>
        </w:tc>
        <w:tc>
          <w:tcPr>
            <w:tcW w:w="9624" w:type="dxa"/>
          </w:tcPr>
          <w:p w14:paraId="2BBB328D"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 xml:space="preserve">While streaming has been identified in literature as a positive feature that supports sustainable employment through a differentiated approach, there are </w:t>
            </w:r>
            <w:r w:rsidR="00AA0745" w:rsidRPr="00820C89">
              <w:rPr>
                <w:rFonts w:asciiTheme="majorHAnsi" w:hAnsiTheme="majorHAnsi"/>
                <w:sz w:val="16"/>
                <w:szCs w:val="16"/>
              </w:rPr>
              <w:t>various</w:t>
            </w:r>
            <w:r w:rsidRPr="00820C89">
              <w:rPr>
                <w:rFonts w:asciiTheme="majorHAnsi" w:hAnsiTheme="majorHAnsi"/>
                <w:sz w:val="16"/>
                <w:szCs w:val="16"/>
              </w:rPr>
              <w:t xml:space="preserve"> challenges associated with </w:t>
            </w:r>
            <w:r w:rsidR="00AA0745" w:rsidRPr="00820C89">
              <w:rPr>
                <w:rFonts w:asciiTheme="majorHAnsi" w:hAnsiTheme="majorHAnsi"/>
                <w:sz w:val="16"/>
                <w:szCs w:val="16"/>
              </w:rPr>
              <w:t>implementing</w:t>
            </w:r>
            <w:r w:rsidRPr="00820C89">
              <w:rPr>
                <w:rFonts w:asciiTheme="majorHAnsi" w:hAnsiTheme="majorHAnsi"/>
                <w:sz w:val="16"/>
                <w:szCs w:val="16"/>
              </w:rPr>
              <w:t xml:space="preserve"> this feature. </w:t>
            </w:r>
          </w:p>
          <w:p w14:paraId="478F26DC"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A key challenge and reason for participant stream misallocation is the reliance on individual disclosure of personal information.  The limitations of the streaming process are disproportionately experienced by the most disadvantaged cohorts.</w:t>
            </w:r>
          </w:p>
        </w:tc>
      </w:tr>
      <w:tr w:rsidR="004618FA" w:rsidRPr="00820C89" w14:paraId="43016AB4" w14:textId="77777777" w:rsidTr="00806C05">
        <w:trPr>
          <w:trHeight w:val="160"/>
        </w:trPr>
        <w:tc>
          <w:tcPr>
            <w:tcW w:w="1824" w:type="dxa"/>
            <w:vAlign w:val="center"/>
          </w:tcPr>
          <w:p w14:paraId="011F63D1"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Job-readiness training </w:t>
            </w:r>
          </w:p>
        </w:tc>
        <w:tc>
          <w:tcPr>
            <w:tcW w:w="1122" w:type="dxa"/>
            <w:vAlign w:val="center"/>
          </w:tcPr>
          <w:p w14:paraId="2C44F9C8"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6D2F319D"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468F5613"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03E5E6B4"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The delivery of training to support job-readiness skill development has been linked to improved outcomes for participants. The delivery of job-readiness training may have a more profound effect on enhancing work-readiness and improved employment programs for disadvantaged cohorts.</w:t>
            </w:r>
          </w:p>
          <w:p w14:paraId="25D04C07"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VTEC and TAEG both have a focus on providing job-readiness training</w:t>
            </w:r>
            <w:r w:rsidR="005C1862" w:rsidRPr="00820C89">
              <w:rPr>
                <w:rFonts w:asciiTheme="majorHAnsi" w:hAnsiTheme="majorHAnsi"/>
                <w:sz w:val="16"/>
                <w:szCs w:val="16"/>
              </w:rPr>
              <w:t xml:space="preserve">. </w:t>
            </w:r>
            <w:r w:rsidRPr="00820C89">
              <w:rPr>
                <w:rFonts w:asciiTheme="majorHAnsi" w:hAnsiTheme="majorHAnsi"/>
                <w:sz w:val="16"/>
                <w:szCs w:val="16"/>
              </w:rPr>
              <w:t xml:space="preserve">EPI partners may undertake some job-readiness activities, such as </w:t>
            </w:r>
            <w:r w:rsidR="003D2867" w:rsidRPr="00820C89">
              <w:rPr>
                <w:rFonts w:asciiTheme="majorHAnsi" w:hAnsiTheme="majorHAnsi"/>
                <w:sz w:val="16"/>
                <w:szCs w:val="16"/>
              </w:rPr>
              <w:t>CV support</w:t>
            </w:r>
            <w:r w:rsidRPr="00820C89">
              <w:rPr>
                <w:rFonts w:asciiTheme="majorHAnsi" w:hAnsiTheme="majorHAnsi"/>
                <w:sz w:val="16"/>
                <w:szCs w:val="16"/>
              </w:rPr>
              <w:t>, though this is not an explicit element of the program design.</w:t>
            </w:r>
          </w:p>
        </w:tc>
      </w:tr>
      <w:tr w:rsidR="004618FA" w:rsidRPr="00820C89" w14:paraId="0BF8697D" w14:textId="77777777" w:rsidTr="00806C05">
        <w:trPr>
          <w:trHeight w:val="160"/>
        </w:trPr>
        <w:tc>
          <w:tcPr>
            <w:tcW w:w="1824" w:type="dxa"/>
            <w:vAlign w:val="center"/>
          </w:tcPr>
          <w:p w14:paraId="28676424"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Job-specific training </w:t>
            </w:r>
          </w:p>
        </w:tc>
        <w:tc>
          <w:tcPr>
            <w:tcW w:w="1122" w:type="dxa"/>
            <w:vAlign w:val="center"/>
          </w:tcPr>
          <w:p w14:paraId="2179905F"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4FA45770"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Symbol"/>
                <w:sz w:val="16"/>
                <w:szCs w:val="16"/>
                <w:shd w:val="clear" w:color="auto" w:fill="FFFFFF"/>
              </w:rPr>
              <w:t>Varies by program</w:t>
            </w:r>
          </w:p>
        </w:tc>
        <w:tc>
          <w:tcPr>
            <w:tcW w:w="1122" w:type="dxa"/>
            <w:vAlign w:val="center"/>
          </w:tcPr>
          <w:p w14:paraId="6EBB561A"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Theme="majorHAnsi" w:hAnsiTheme="majorHAnsi" w:cs="Segoe UI Symbol"/>
                <w:sz w:val="16"/>
                <w:szCs w:val="16"/>
                <w:shd w:val="clear" w:color="auto" w:fill="FFFFFF"/>
              </w:rPr>
              <w:t>Varies by partner</w:t>
            </w:r>
          </w:p>
        </w:tc>
        <w:tc>
          <w:tcPr>
            <w:tcW w:w="9624" w:type="dxa"/>
          </w:tcPr>
          <w:p w14:paraId="23E30B4C" w14:textId="77777777" w:rsidR="004618FA" w:rsidRPr="00820C89" w:rsidRDefault="004618FA" w:rsidP="00715F70">
            <w:pPr>
              <w:pStyle w:val="ListParagraph"/>
              <w:numPr>
                <w:ilvl w:val="0"/>
                <w:numId w:val="52"/>
              </w:numPr>
              <w:spacing w:after="0"/>
              <w:rPr>
                <w:rFonts w:asciiTheme="majorHAnsi" w:eastAsia="Verdana" w:hAnsiTheme="majorHAnsi" w:cs="Times New Roman"/>
                <w:sz w:val="16"/>
                <w:szCs w:val="16"/>
              </w:rPr>
            </w:pPr>
            <w:r w:rsidRPr="00820C89">
              <w:rPr>
                <w:rFonts w:asciiTheme="majorHAnsi" w:eastAsia="Verdana" w:hAnsiTheme="majorHAnsi" w:cs="Times New Roman"/>
                <w:sz w:val="16"/>
                <w:szCs w:val="16"/>
              </w:rPr>
              <w:t>Enabling individuals to complete work-experience and job-placements while attaining a qualification is particularly effective as it develops job-specific skills while supporting continued engagement.</w:t>
            </w:r>
          </w:p>
          <w:p w14:paraId="58353328" w14:textId="77777777" w:rsidR="004618FA" w:rsidRPr="00820C89" w:rsidRDefault="004618FA" w:rsidP="00715F70">
            <w:pPr>
              <w:pStyle w:val="ListParagraph"/>
              <w:numPr>
                <w:ilvl w:val="0"/>
                <w:numId w:val="52"/>
              </w:numPr>
              <w:spacing w:after="0"/>
              <w:rPr>
                <w:rFonts w:asciiTheme="majorHAnsi" w:eastAsia="Verdana" w:hAnsiTheme="majorHAnsi" w:cs="Times New Roman"/>
                <w:sz w:val="16"/>
                <w:szCs w:val="16"/>
              </w:rPr>
            </w:pPr>
            <w:r w:rsidRPr="00820C89">
              <w:rPr>
                <w:rFonts w:asciiTheme="majorHAnsi" w:eastAsia="Verdana" w:hAnsiTheme="majorHAnsi" w:cs="Times New Roman"/>
                <w:sz w:val="16"/>
                <w:szCs w:val="16"/>
              </w:rPr>
              <w:t>While TAEG may not require job-specific training in its program design, TAEGs may deliver this in their programs. EPIs may offer on-the-job training to participants.</w:t>
            </w:r>
          </w:p>
        </w:tc>
      </w:tr>
      <w:tr w:rsidR="004618FA" w:rsidRPr="00820C89" w14:paraId="768281D1" w14:textId="77777777" w:rsidTr="00806C05">
        <w:trPr>
          <w:trHeight w:val="160"/>
        </w:trPr>
        <w:tc>
          <w:tcPr>
            <w:tcW w:w="1824" w:type="dxa"/>
            <w:vAlign w:val="center"/>
          </w:tcPr>
          <w:p w14:paraId="53F39FB9"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Job-matching </w:t>
            </w:r>
          </w:p>
        </w:tc>
        <w:tc>
          <w:tcPr>
            <w:tcW w:w="1122" w:type="dxa"/>
            <w:vAlign w:val="center"/>
          </w:tcPr>
          <w:p w14:paraId="444368B4"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69149BD4"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Varies by program</w:t>
            </w:r>
          </w:p>
        </w:tc>
        <w:tc>
          <w:tcPr>
            <w:tcW w:w="1122" w:type="dxa"/>
            <w:vAlign w:val="center"/>
          </w:tcPr>
          <w:p w14:paraId="56AAF712"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77D54C52"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 xml:space="preserve">Job matching has been found to support increased productivity, sustained engagement, earning growth and reduced searching for external employment opportunities – leading to lower turnover rates. </w:t>
            </w:r>
          </w:p>
          <w:p w14:paraId="4CDDDD60" w14:textId="77777777" w:rsidR="004618FA" w:rsidRPr="00820C89" w:rsidRDefault="00806C05" w:rsidP="00715F70">
            <w:pPr>
              <w:pStyle w:val="ListParagraph"/>
              <w:numPr>
                <w:ilvl w:val="0"/>
                <w:numId w:val="52"/>
              </w:numPr>
              <w:spacing w:after="0"/>
              <w:rPr>
                <w:rFonts w:asciiTheme="majorHAnsi" w:hAnsiTheme="majorHAnsi"/>
                <w:sz w:val="16"/>
                <w:szCs w:val="16"/>
              </w:rPr>
            </w:pPr>
            <w:r w:rsidRPr="00820C89">
              <w:rPr>
                <w:rFonts w:asciiTheme="majorHAnsi" w:eastAsia="Verdana" w:hAnsiTheme="majorHAnsi" w:cs="Times New Roman"/>
                <w:sz w:val="16"/>
                <w:szCs w:val="16"/>
              </w:rPr>
              <w:lastRenderedPageBreak/>
              <w:t>TAEG does not</w:t>
            </w:r>
            <w:r w:rsidR="004618FA" w:rsidRPr="00820C89">
              <w:rPr>
                <w:rFonts w:asciiTheme="majorHAnsi" w:eastAsia="Verdana" w:hAnsiTheme="majorHAnsi" w:cs="Times New Roman"/>
                <w:sz w:val="16"/>
                <w:szCs w:val="16"/>
              </w:rPr>
              <w:t xml:space="preserve"> require job-matching in its program design, </w:t>
            </w:r>
            <w:r w:rsidRPr="00820C89">
              <w:rPr>
                <w:rFonts w:asciiTheme="majorHAnsi" w:eastAsia="Verdana" w:hAnsiTheme="majorHAnsi" w:cs="Times New Roman"/>
                <w:sz w:val="16"/>
                <w:szCs w:val="16"/>
              </w:rPr>
              <w:t xml:space="preserve">but </w:t>
            </w:r>
            <w:r w:rsidR="004618FA" w:rsidRPr="00820C89">
              <w:rPr>
                <w:rFonts w:asciiTheme="majorHAnsi" w:eastAsia="Verdana" w:hAnsiTheme="majorHAnsi" w:cs="Times New Roman"/>
                <w:sz w:val="16"/>
                <w:szCs w:val="16"/>
              </w:rPr>
              <w:t xml:space="preserve">TAEGs </w:t>
            </w:r>
            <w:r w:rsidRPr="00820C89">
              <w:rPr>
                <w:rFonts w:asciiTheme="majorHAnsi" w:eastAsia="Verdana" w:hAnsiTheme="majorHAnsi" w:cs="Times New Roman"/>
                <w:sz w:val="16"/>
                <w:szCs w:val="16"/>
              </w:rPr>
              <w:t>r</w:t>
            </w:r>
            <w:r w:rsidR="004618FA" w:rsidRPr="00820C89">
              <w:rPr>
                <w:rFonts w:asciiTheme="majorHAnsi" w:eastAsia="Verdana" w:hAnsiTheme="majorHAnsi" w:cs="Times New Roman"/>
                <w:sz w:val="16"/>
                <w:szCs w:val="16"/>
              </w:rPr>
              <w:t>eport that they undertake this activity.</w:t>
            </w:r>
          </w:p>
        </w:tc>
      </w:tr>
      <w:tr w:rsidR="004618FA" w:rsidRPr="00820C89" w14:paraId="3FDD1756" w14:textId="77777777" w:rsidTr="00806C05">
        <w:trPr>
          <w:trHeight w:val="160"/>
        </w:trPr>
        <w:tc>
          <w:tcPr>
            <w:tcW w:w="1824" w:type="dxa"/>
            <w:vAlign w:val="center"/>
          </w:tcPr>
          <w:p w14:paraId="07BB15E2"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lastRenderedPageBreak/>
              <w:t>Outcome driven funding</w:t>
            </w:r>
          </w:p>
          <w:p w14:paraId="2F432265" w14:textId="77777777" w:rsidR="004618FA" w:rsidRPr="00820C89" w:rsidRDefault="004618FA" w:rsidP="00590BC4">
            <w:pPr>
              <w:spacing w:after="0"/>
              <w:rPr>
                <w:rFonts w:asciiTheme="majorHAnsi" w:hAnsiTheme="majorHAnsi"/>
                <w:sz w:val="16"/>
                <w:szCs w:val="16"/>
              </w:rPr>
            </w:pPr>
          </w:p>
        </w:tc>
        <w:tc>
          <w:tcPr>
            <w:tcW w:w="1122" w:type="dxa"/>
            <w:vAlign w:val="center"/>
          </w:tcPr>
          <w:p w14:paraId="3D8B455F"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22F12EB2"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19992CB2"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24546DD3" w14:textId="77777777" w:rsidR="00E35800" w:rsidRPr="00820C89" w:rsidRDefault="00E35800"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Outcomes-based funding is only suitable in ce</w:t>
            </w:r>
            <w:r w:rsidR="003C1E5E" w:rsidRPr="00820C89">
              <w:rPr>
                <w:rFonts w:asciiTheme="majorHAnsi" w:hAnsiTheme="majorHAnsi"/>
                <w:sz w:val="16"/>
                <w:szCs w:val="16"/>
              </w:rPr>
              <w:t xml:space="preserve">rtain contexts, such as programs with fixed requirements and working with vulnerable cohorts. </w:t>
            </w:r>
          </w:p>
          <w:p w14:paraId="5606043A"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Consultations have indicated that ongoing internal analysis, undertaken by the federal Department of Education, Skills and Employment, has supported the ongoing use of the 26-week milestone. Beyond this internal analysis, there is mixed evidence from employment program evaluations that supports the use of outcome payments.</w:t>
            </w:r>
          </w:p>
        </w:tc>
      </w:tr>
      <w:tr w:rsidR="004618FA" w:rsidRPr="00820C89" w14:paraId="13779C58" w14:textId="77777777" w:rsidTr="00806C05">
        <w:trPr>
          <w:trHeight w:val="160"/>
        </w:trPr>
        <w:tc>
          <w:tcPr>
            <w:tcW w:w="1824" w:type="dxa"/>
            <w:vAlign w:val="center"/>
          </w:tcPr>
          <w:p w14:paraId="1FD51829"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Place-based approach </w:t>
            </w:r>
          </w:p>
        </w:tc>
        <w:tc>
          <w:tcPr>
            <w:tcW w:w="1122" w:type="dxa"/>
            <w:vAlign w:val="center"/>
          </w:tcPr>
          <w:p w14:paraId="4D0C8F2C"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75DD6040"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48C26C36"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65BE4249"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Within a place-based approach, decision-making power is decentralised (rather than a top-down structure) to ensure the complex community needs and local labour market opportunities are understood, allowing for program tailoring to ensure sustainable employment outcomes.</w:t>
            </w:r>
          </w:p>
          <w:p w14:paraId="4F01CF39"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While the programs will ideally be place-based and supported by the NIAA regional office structure, some elements of the design and administration of the IEP impacts on the capacity for the programs to be place-based when implemented. This is discussed in further detail in Section 5.7.</w:t>
            </w:r>
          </w:p>
        </w:tc>
      </w:tr>
      <w:tr w:rsidR="004618FA" w:rsidRPr="00820C89" w14:paraId="570FE256" w14:textId="77777777" w:rsidTr="00806C05">
        <w:trPr>
          <w:trHeight w:val="160"/>
        </w:trPr>
        <w:tc>
          <w:tcPr>
            <w:tcW w:w="1824" w:type="dxa"/>
            <w:vAlign w:val="center"/>
          </w:tcPr>
          <w:p w14:paraId="6EB59F40"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Post-placement support </w:t>
            </w:r>
          </w:p>
        </w:tc>
        <w:tc>
          <w:tcPr>
            <w:tcW w:w="1122" w:type="dxa"/>
            <w:vAlign w:val="center"/>
          </w:tcPr>
          <w:p w14:paraId="48AB5ECC"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71609E62"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22A9137C"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4B5D3584"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 xml:space="preserve">It is considered effective practice to offer post-placement support for participants who experience significant barriers to employment to address issues likely to affect their employment sustainability.  </w:t>
            </w:r>
          </w:p>
          <w:p w14:paraId="51DAEF01"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VTEC and TAEG both require post-placement mentoring</w:t>
            </w:r>
            <w:r w:rsidR="005C419D" w:rsidRPr="00820C89">
              <w:rPr>
                <w:rFonts w:asciiTheme="majorHAnsi" w:hAnsiTheme="majorHAnsi"/>
                <w:sz w:val="16"/>
                <w:szCs w:val="16"/>
              </w:rPr>
              <w:t xml:space="preserve">. </w:t>
            </w:r>
            <w:r w:rsidRPr="00820C89">
              <w:rPr>
                <w:rFonts w:asciiTheme="majorHAnsi" w:hAnsiTheme="majorHAnsi"/>
                <w:sz w:val="16"/>
                <w:szCs w:val="16"/>
              </w:rPr>
              <w:t xml:space="preserve">All EPI partners are required to assess participant needs and provide </w:t>
            </w:r>
            <w:r w:rsidR="007078F0" w:rsidRPr="00820C89">
              <w:rPr>
                <w:rFonts w:asciiTheme="majorHAnsi" w:hAnsiTheme="majorHAnsi"/>
                <w:sz w:val="16"/>
                <w:szCs w:val="16"/>
              </w:rPr>
              <w:t>broad</w:t>
            </w:r>
            <w:r w:rsidRPr="00820C89">
              <w:rPr>
                <w:rFonts w:asciiTheme="majorHAnsi" w:hAnsiTheme="majorHAnsi"/>
                <w:sz w:val="16"/>
                <w:szCs w:val="16"/>
              </w:rPr>
              <w:t xml:space="preserve"> on-the-job supports, however, only some </w:t>
            </w:r>
            <w:r w:rsidR="003D2867" w:rsidRPr="00820C89">
              <w:rPr>
                <w:rFonts w:asciiTheme="majorHAnsi" w:hAnsiTheme="majorHAnsi"/>
                <w:sz w:val="16"/>
                <w:szCs w:val="16"/>
              </w:rPr>
              <w:t>offer</w:t>
            </w:r>
            <w:r w:rsidRPr="00820C89">
              <w:rPr>
                <w:rFonts w:asciiTheme="majorHAnsi" w:hAnsiTheme="majorHAnsi"/>
                <w:sz w:val="16"/>
                <w:szCs w:val="16"/>
              </w:rPr>
              <w:t xml:space="preserve"> bespoke activities and support </w:t>
            </w:r>
            <w:r w:rsidR="007078F0" w:rsidRPr="00820C89">
              <w:rPr>
                <w:rFonts w:asciiTheme="majorHAnsi" w:hAnsiTheme="majorHAnsi"/>
                <w:sz w:val="16"/>
                <w:szCs w:val="16"/>
              </w:rPr>
              <w:t>for participants.</w:t>
            </w:r>
          </w:p>
        </w:tc>
      </w:tr>
      <w:tr w:rsidR="004618FA" w:rsidRPr="00820C89" w14:paraId="782B36FC" w14:textId="77777777" w:rsidTr="00806C05">
        <w:trPr>
          <w:trHeight w:val="160"/>
        </w:trPr>
        <w:tc>
          <w:tcPr>
            <w:tcW w:w="2947" w:type="dxa"/>
            <w:gridSpan w:val="2"/>
            <w:shd w:val="clear" w:color="auto" w:fill="E7E6E6" w:themeFill="background2"/>
            <w:vAlign w:val="center"/>
          </w:tcPr>
          <w:p w14:paraId="176AE971" w14:textId="77777777" w:rsidR="004618FA" w:rsidRPr="00820C89" w:rsidRDefault="004618FA" w:rsidP="00590BC4">
            <w:pPr>
              <w:spacing w:after="0"/>
              <w:rPr>
                <w:rFonts w:asciiTheme="majorHAnsi" w:hAnsiTheme="majorHAnsi" w:cs="Segoe UI Emoji"/>
                <w:sz w:val="16"/>
                <w:szCs w:val="16"/>
                <w:shd w:val="clear" w:color="auto" w:fill="FFFFFF"/>
              </w:rPr>
            </w:pPr>
            <w:r w:rsidRPr="00820C89">
              <w:rPr>
                <w:rFonts w:asciiTheme="majorHAnsi" w:hAnsiTheme="majorHAnsi"/>
                <w:b/>
                <w:sz w:val="16"/>
                <w:szCs w:val="16"/>
              </w:rPr>
              <w:t>Success principles</w:t>
            </w:r>
          </w:p>
        </w:tc>
        <w:tc>
          <w:tcPr>
            <w:tcW w:w="1122" w:type="dxa"/>
            <w:shd w:val="clear" w:color="auto" w:fill="E7E6E6" w:themeFill="background2"/>
            <w:vAlign w:val="center"/>
          </w:tcPr>
          <w:p w14:paraId="7B8A529D" w14:textId="77777777" w:rsidR="004618FA" w:rsidRPr="00820C89" w:rsidRDefault="004618FA" w:rsidP="00590BC4">
            <w:pPr>
              <w:spacing w:after="0"/>
              <w:jc w:val="center"/>
              <w:rPr>
                <w:rFonts w:asciiTheme="majorHAnsi" w:hAnsiTheme="majorHAnsi" w:cs="Segoe UI Emoji"/>
                <w:sz w:val="16"/>
                <w:szCs w:val="16"/>
                <w:shd w:val="clear" w:color="auto" w:fill="FFFFFF"/>
              </w:rPr>
            </w:pPr>
          </w:p>
        </w:tc>
        <w:tc>
          <w:tcPr>
            <w:tcW w:w="1122" w:type="dxa"/>
            <w:shd w:val="clear" w:color="auto" w:fill="E7E6E6" w:themeFill="background2"/>
            <w:vAlign w:val="center"/>
          </w:tcPr>
          <w:p w14:paraId="04904494" w14:textId="77777777" w:rsidR="004618FA" w:rsidRPr="00820C89" w:rsidRDefault="004618FA" w:rsidP="00590BC4">
            <w:pPr>
              <w:spacing w:after="0"/>
              <w:jc w:val="center"/>
              <w:rPr>
                <w:rFonts w:asciiTheme="majorHAnsi" w:hAnsiTheme="majorHAnsi" w:cs="Segoe UI Symbol"/>
                <w:sz w:val="16"/>
                <w:szCs w:val="16"/>
                <w:shd w:val="clear" w:color="auto" w:fill="FFFFFF"/>
              </w:rPr>
            </w:pPr>
          </w:p>
        </w:tc>
        <w:tc>
          <w:tcPr>
            <w:tcW w:w="9624" w:type="dxa"/>
            <w:shd w:val="clear" w:color="auto" w:fill="E7E6E6" w:themeFill="background2"/>
          </w:tcPr>
          <w:p w14:paraId="2DA398D7" w14:textId="77777777" w:rsidR="004618FA" w:rsidRPr="00820C89" w:rsidRDefault="004618FA" w:rsidP="00590BC4">
            <w:pPr>
              <w:spacing w:after="0"/>
              <w:ind w:left="0"/>
              <w:rPr>
                <w:rFonts w:asciiTheme="majorHAnsi" w:hAnsiTheme="majorHAnsi"/>
                <w:sz w:val="16"/>
                <w:szCs w:val="16"/>
              </w:rPr>
            </w:pPr>
          </w:p>
        </w:tc>
      </w:tr>
      <w:tr w:rsidR="004618FA" w:rsidRPr="00820C89" w14:paraId="663D095C" w14:textId="77777777" w:rsidTr="00806C05">
        <w:trPr>
          <w:trHeight w:val="160"/>
        </w:trPr>
        <w:tc>
          <w:tcPr>
            <w:tcW w:w="1824" w:type="dxa"/>
            <w:vAlign w:val="center"/>
          </w:tcPr>
          <w:p w14:paraId="2CE95B4F"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Indigenous engagement and self-determination </w:t>
            </w:r>
          </w:p>
        </w:tc>
        <w:tc>
          <w:tcPr>
            <w:tcW w:w="1122" w:type="dxa"/>
            <w:vAlign w:val="center"/>
          </w:tcPr>
          <w:p w14:paraId="0F609F9F" w14:textId="77777777" w:rsidR="004618FA" w:rsidRPr="00820C89" w:rsidRDefault="00BC08F7"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w:t>
            </w:r>
            <w:r w:rsidR="004618FA" w:rsidRPr="00820C89">
              <w:rPr>
                <w:rFonts w:asciiTheme="majorHAnsi" w:hAnsiTheme="majorHAnsi" w:cs="Segoe UI Emoji"/>
                <w:sz w:val="16"/>
                <w:szCs w:val="16"/>
                <w:shd w:val="clear" w:color="auto" w:fill="FFFFFF"/>
              </w:rPr>
              <w:t>o specific program requirement</w:t>
            </w:r>
          </w:p>
        </w:tc>
        <w:tc>
          <w:tcPr>
            <w:tcW w:w="1122" w:type="dxa"/>
            <w:vAlign w:val="center"/>
          </w:tcPr>
          <w:p w14:paraId="08D859E7"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1122" w:type="dxa"/>
            <w:vAlign w:val="center"/>
          </w:tcPr>
          <w:p w14:paraId="6EFD9CCD"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9624" w:type="dxa"/>
          </w:tcPr>
          <w:p w14:paraId="127552EC"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 xml:space="preserve">Programs that allow for Indigenous engagement and self-determination </w:t>
            </w:r>
            <w:r w:rsidR="00AA0745" w:rsidRPr="00820C89">
              <w:rPr>
                <w:rFonts w:asciiTheme="majorHAnsi" w:hAnsiTheme="majorHAnsi"/>
                <w:sz w:val="16"/>
                <w:szCs w:val="16"/>
              </w:rPr>
              <w:t>locally</w:t>
            </w:r>
            <w:r w:rsidRPr="00820C89">
              <w:rPr>
                <w:rFonts w:asciiTheme="majorHAnsi" w:hAnsiTheme="majorHAnsi"/>
                <w:sz w:val="16"/>
                <w:szCs w:val="16"/>
              </w:rPr>
              <w:t xml:space="preserve"> ensure that the diversity of </w:t>
            </w:r>
            <w:r w:rsidR="0028110A" w:rsidRPr="00820C89">
              <w:rPr>
                <w:rFonts w:asciiTheme="majorHAnsi" w:hAnsiTheme="majorHAnsi"/>
                <w:sz w:val="16"/>
                <w:szCs w:val="16"/>
              </w:rPr>
              <w:t>communities are</w:t>
            </w:r>
            <w:r w:rsidRPr="00820C89">
              <w:rPr>
                <w:rFonts w:asciiTheme="majorHAnsi" w:hAnsiTheme="majorHAnsi"/>
                <w:sz w:val="16"/>
                <w:szCs w:val="16"/>
              </w:rPr>
              <w:t xml:space="preserve"> captured and this can </w:t>
            </w:r>
            <w:r w:rsidR="005C1862" w:rsidRPr="00820C89">
              <w:rPr>
                <w:rFonts w:asciiTheme="majorHAnsi" w:hAnsiTheme="majorHAnsi"/>
                <w:sz w:val="16"/>
                <w:szCs w:val="16"/>
              </w:rPr>
              <w:t>enhance</w:t>
            </w:r>
            <w:r w:rsidRPr="00820C89">
              <w:rPr>
                <w:rFonts w:asciiTheme="majorHAnsi" w:hAnsiTheme="majorHAnsi"/>
                <w:sz w:val="16"/>
                <w:szCs w:val="16"/>
              </w:rPr>
              <w:t xml:space="preserve"> participant buy-in and long-term employment outcomes. </w:t>
            </w:r>
          </w:p>
          <w:p w14:paraId="39FAD152" w14:textId="77777777" w:rsidR="004618FA" w:rsidRPr="00820C89" w:rsidRDefault="004D3456"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It is the</w:t>
            </w:r>
            <w:r w:rsidR="004618FA" w:rsidRPr="00820C89">
              <w:rPr>
                <w:rFonts w:asciiTheme="majorHAnsi" w:hAnsiTheme="majorHAnsi"/>
                <w:sz w:val="16"/>
                <w:szCs w:val="16"/>
              </w:rPr>
              <w:t xml:space="preserve"> IEP</w:t>
            </w:r>
            <w:r w:rsidR="00BC08F7" w:rsidRPr="00820C89">
              <w:rPr>
                <w:rFonts w:asciiTheme="majorHAnsi" w:hAnsiTheme="majorHAnsi"/>
                <w:sz w:val="16"/>
                <w:szCs w:val="16"/>
              </w:rPr>
              <w:t>’</w:t>
            </w:r>
            <w:r w:rsidR="00A73A22" w:rsidRPr="00820C89">
              <w:rPr>
                <w:rFonts w:asciiTheme="majorHAnsi" w:hAnsiTheme="majorHAnsi"/>
                <w:sz w:val="16"/>
                <w:szCs w:val="16"/>
              </w:rPr>
              <w:t>s</w:t>
            </w:r>
            <w:r w:rsidR="004618FA" w:rsidRPr="00820C89">
              <w:rPr>
                <w:rFonts w:asciiTheme="majorHAnsi" w:hAnsiTheme="majorHAnsi"/>
                <w:sz w:val="16"/>
                <w:szCs w:val="16"/>
              </w:rPr>
              <w:t xml:space="preserve"> intent to engage with Indigenous communities, </w:t>
            </w:r>
            <w:r w:rsidRPr="00820C89">
              <w:rPr>
                <w:rFonts w:asciiTheme="majorHAnsi" w:hAnsiTheme="majorHAnsi"/>
                <w:sz w:val="16"/>
                <w:szCs w:val="16"/>
              </w:rPr>
              <w:t>but this varies</w:t>
            </w:r>
            <w:r w:rsidR="004618FA" w:rsidRPr="00820C89">
              <w:rPr>
                <w:rFonts w:asciiTheme="majorHAnsi" w:hAnsiTheme="majorHAnsi"/>
                <w:sz w:val="16"/>
                <w:szCs w:val="16"/>
              </w:rPr>
              <w:t xml:space="preserve"> </w:t>
            </w:r>
            <w:r w:rsidRPr="00820C89">
              <w:rPr>
                <w:rFonts w:asciiTheme="majorHAnsi" w:hAnsiTheme="majorHAnsi"/>
                <w:sz w:val="16"/>
                <w:szCs w:val="16"/>
              </w:rPr>
              <w:t>according to its</w:t>
            </w:r>
            <w:r w:rsidR="004618FA" w:rsidRPr="00820C89">
              <w:rPr>
                <w:rFonts w:asciiTheme="majorHAnsi" w:hAnsiTheme="majorHAnsi"/>
                <w:sz w:val="16"/>
                <w:szCs w:val="16"/>
              </w:rPr>
              <w:t xml:space="preserve"> implementation.</w:t>
            </w:r>
          </w:p>
        </w:tc>
      </w:tr>
      <w:tr w:rsidR="004618FA" w:rsidRPr="00820C89" w14:paraId="40F00446" w14:textId="77777777" w:rsidTr="00806C05">
        <w:trPr>
          <w:trHeight w:val="160"/>
        </w:trPr>
        <w:tc>
          <w:tcPr>
            <w:tcW w:w="1824" w:type="dxa"/>
            <w:vAlign w:val="center"/>
          </w:tcPr>
          <w:p w14:paraId="4E9CEEB4"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Leadership advocacy </w:t>
            </w:r>
          </w:p>
        </w:tc>
        <w:tc>
          <w:tcPr>
            <w:tcW w:w="1122" w:type="dxa"/>
            <w:vAlign w:val="center"/>
          </w:tcPr>
          <w:p w14:paraId="757E58E3" w14:textId="77777777" w:rsidR="004618FA" w:rsidRPr="00820C89" w:rsidRDefault="00BC08F7"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w:t>
            </w:r>
            <w:r w:rsidR="004618FA" w:rsidRPr="00820C89">
              <w:rPr>
                <w:rFonts w:asciiTheme="majorHAnsi" w:hAnsiTheme="majorHAnsi" w:cs="Segoe UI Emoji"/>
                <w:sz w:val="16"/>
                <w:szCs w:val="16"/>
                <w:shd w:val="clear" w:color="auto" w:fill="FFFFFF"/>
              </w:rPr>
              <w:t>o specific program requirement</w:t>
            </w:r>
          </w:p>
        </w:tc>
        <w:tc>
          <w:tcPr>
            <w:tcW w:w="1122" w:type="dxa"/>
            <w:vAlign w:val="center"/>
          </w:tcPr>
          <w:p w14:paraId="0B24F314"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1122" w:type="dxa"/>
            <w:vAlign w:val="center"/>
          </w:tcPr>
          <w:p w14:paraId="238E0E6C"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Theme="majorHAnsi" w:hAnsiTheme="majorHAnsi" w:cs="Segoe UI Emoji"/>
                <w:sz w:val="16"/>
                <w:szCs w:val="16"/>
                <w:shd w:val="clear" w:color="auto" w:fill="FFFFFF"/>
              </w:rPr>
              <w:t>Varies by EPI partner</w:t>
            </w:r>
          </w:p>
        </w:tc>
        <w:tc>
          <w:tcPr>
            <w:tcW w:w="9624" w:type="dxa"/>
          </w:tcPr>
          <w:p w14:paraId="1BCC1C01"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An invested leadership is more likely to engage the local Indigenous community, which can incentivise community buy-in, program adoption and improved likelihood of long-term employment.</w:t>
            </w:r>
          </w:p>
          <w:p w14:paraId="005B12E1"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 xml:space="preserve">While the IEP design advocates for employers to be invested leaders, this is likely to vary significantly from employer to employer and will be of differing focus in how providers work with employers. </w:t>
            </w:r>
          </w:p>
        </w:tc>
      </w:tr>
      <w:tr w:rsidR="004618FA" w:rsidRPr="00820C89" w14:paraId="60CC377F" w14:textId="77777777" w:rsidTr="00806C05">
        <w:trPr>
          <w:trHeight w:val="160"/>
        </w:trPr>
        <w:tc>
          <w:tcPr>
            <w:tcW w:w="1824" w:type="dxa"/>
            <w:vAlign w:val="center"/>
          </w:tcPr>
          <w:p w14:paraId="52E0D6A9"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Sustained focus on building skills </w:t>
            </w:r>
          </w:p>
        </w:tc>
        <w:tc>
          <w:tcPr>
            <w:tcW w:w="1122" w:type="dxa"/>
            <w:vAlign w:val="center"/>
          </w:tcPr>
          <w:p w14:paraId="1697E278"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1122" w:type="dxa"/>
            <w:vAlign w:val="center"/>
          </w:tcPr>
          <w:p w14:paraId="5BD7DD99"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1122" w:type="dxa"/>
            <w:vAlign w:val="center"/>
          </w:tcPr>
          <w:p w14:paraId="035D25C8"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9624" w:type="dxa"/>
          </w:tcPr>
          <w:p w14:paraId="277F0C0D"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 xml:space="preserve">It is </w:t>
            </w:r>
            <w:r w:rsidR="000C7456" w:rsidRPr="00820C89">
              <w:rPr>
                <w:rFonts w:asciiTheme="majorHAnsi" w:hAnsiTheme="majorHAnsi"/>
                <w:sz w:val="16"/>
                <w:szCs w:val="16"/>
              </w:rPr>
              <w:t>r</w:t>
            </w:r>
            <w:r w:rsidRPr="00820C89">
              <w:rPr>
                <w:rFonts w:asciiTheme="majorHAnsi" w:hAnsiTheme="majorHAnsi"/>
                <w:sz w:val="16"/>
                <w:szCs w:val="16"/>
              </w:rPr>
              <w:t xml:space="preserve">ecognised that Indigenous Australians face </w:t>
            </w:r>
            <w:r w:rsidR="000C7456" w:rsidRPr="00820C89">
              <w:rPr>
                <w:rFonts w:asciiTheme="majorHAnsi" w:hAnsiTheme="majorHAnsi"/>
                <w:sz w:val="16"/>
                <w:szCs w:val="16"/>
              </w:rPr>
              <w:t>various</w:t>
            </w:r>
            <w:r w:rsidRPr="00820C89">
              <w:rPr>
                <w:rFonts w:asciiTheme="majorHAnsi" w:hAnsiTheme="majorHAnsi"/>
                <w:sz w:val="16"/>
                <w:szCs w:val="16"/>
              </w:rPr>
              <w:t xml:space="preserve"> barriers to accessing education, training and employment, and that a coordinated</w:t>
            </w:r>
            <w:r w:rsidR="00BC255B" w:rsidRPr="00820C89">
              <w:rPr>
                <w:rFonts w:asciiTheme="majorHAnsi" w:hAnsiTheme="majorHAnsi"/>
                <w:sz w:val="16"/>
                <w:szCs w:val="16"/>
              </w:rPr>
              <w:t>, s</w:t>
            </w:r>
            <w:r w:rsidRPr="00820C89">
              <w:rPr>
                <w:rFonts w:asciiTheme="majorHAnsi" w:hAnsiTheme="majorHAnsi"/>
                <w:sz w:val="16"/>
                <w:szCs w:val="16"/>
              </w:rPr>
              <w:t xml:space="preserve">ustained approach to building the skills of </w:t>
            </w:r>
            <w:r w:rsidR="00AA0745" w:rsidRPr="00820C89">
              <w:rPr>
                <w:rFonts w:asciiTheme="majorHAnsi" w:hAnsiTheme="majorHAnsi"/>
                <w:sz w:val="16"/>
                <w:szCs w:val="16"/>
              </w:rPr>
              <w:t>this cohort is</w:t>
            </w:r>
            <w:r w:rsidRPr="00820C89">
              <w:rPr>
                <w:rFonts w:asciiTheme="majorHAnsi" w:hAnsiTheme="majorHAnsi"/>
                <w:sz w:val="16"/>
                <w:szCs w:val="16"/>
              </w:rPr>
              <w:t xml:space="preserve"> necessary. </w:t>
            </w:r>
          </w:p>
          <w:p w14:paraId="4FFE1082"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While there is an expectation that across all programs support participants for 26-weeks post-placement, the extent to which skill building is sustained beyond this to overcome barriers to continued employment will vary.</w:t>
            </w:r>
          </w:p>
        </w:tc>
      </w:tr>
      <w:tr w:rsidR="004618FA" w:rsidRPr="00820C89" w14:paraId="6B237E43" w14:textId="77777777" w:rsidTr="00806C05">
        <w:trPr>
          <w:trHeight w:val="160"/>
        </w:trPr>
        <w:tc>
          <w:tcPr>
            <w:tcW w:w="1824" w:type="dxa"/>
            <w:vAlign w:val="center"/>
          </w:tcPr>
          <w:p w14:paraId="1579EF09"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lastRenderedPageBreak/>
              <w:t>Sustained</w:t>
            </w:r>
            <w:r w:rsidR="008409BB" w:rsidRPr="00820C89">
              <w:rPr>
                <w:rFonts w:asciiTheme="majorHAnsi" w:hAnsiTheme="majorHAnsi"/>
                <w:b/>
                <w:sz w:val="16"/>
                <w:szCs w:val="16"/>
              </w:rPr>
              <w:t xml:space="preserve"> </w:t>
            </w:r>
            <w:r w:rsidRPr="00820C89">
              <w:rPr>
                <w:rFonts w:asciiTheme="majorHAnsi" w:hAnsiTheme="majorHAnsi"/>
                <w:b/>
                <w:sz w:val="16"/>
                <w:szCs w:val="16"/>
              </w:rPr>
              <w:t xml:space="preserve">wrap around </w:t>
            </w:r>
            <w:r w:rsidR="009F33EB" w:rsidRPr="00820C89">
              <w:rPr>
                <w:rFonts w:asciiTheme="majorHAnsi" w:hAnsiTheme="majorHAnsi"/>
                <w:b/>
                <w:sz w:val="16"/>
                <w:szCs w:val="16"/>
              </w:rPr>
              <w:t>support</w:t>
            </w:r>
            <w:r w:rsidRPr="00820C89">
              <w:rPr>
                <w:rFonts w:asciiTheme="majorHAnsi" w:hAnsiTheme="majorHAnsi"/>
                <w:b/>
                <w:sz w:val="16"/>
                <w:szCs w:val="16"/>
              </w:rPr>
              <w:t xml:space="preserve"> </w:t>
            </w:r>
          </w:p>
        </w:tc>
        <w:tc>
          <w:tcPr>
            <w:tcW w:w="1122" w:type="dxa"/>
            <w:vAlign w:val="center"/>
          </w:tcPr>
          <w:p w14:paraId="01D3F554"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3B774ED0"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6B175D5A"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7A6523BA"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 xml:space="preserve">While wrap-around support is imperative for all disadvantaged jobseekers, it is important that Indigenous participants access wrap-around support that is underpinned by an Indigenous cultural focus. </w:t>
            </w:r>
          </w:p>
          <w:p w14:paraId="15189547" w14:textId="77777777" w:rsidR="004618FA" w:rsidRPr="00820C89" w:rsidRDefault="004618FA" w:rsidP="00715F70">
            <w:pPr>
              <w:pStyle w:val="ListParagraph"/>
              <w:numPr>
                <w:ilvl w:val="0"/>
                <w:numId w:val="52"/>
              </w:numPr>
              <w:spacing w:after="0"/>
              <w:rPr>
                <w:rFonts w:asciiTheme="majorHAnsi" w:hAnsiTheme="majorHAnsi"/>
                <w:sz w:val="16"/>
                <w:szCs w:val="16"/>
              </w:rPr>
            </w:pPr>
            <w:r w:rsidRPr="00820C89">
              <w:rPr>
                <w:rFonts w:asciiTheme="majorHAnsi" w:hAnsiTheme="majorHAnsi"/>
                <w:sz w:val="16"/>
                <w:szCs w:val="16"/>
              </w:rPr>
              <w:t>Wrap-around support is a key programmatic feature of both VTEC and TAEG, whereas EPI partners have the flexibility to choose whether they provide this support.</w:t>
            </w:r>
          </w:p>
        </w:tc>
      </w:tr>
    </w:tbl>
    <w:p w14:paraId="4BAFB664" w14:textId="77777777" w:rsidR="004618FA" w:rsidRPr="00820C89" w:rsidRDefault="004618FA" w:rsidP="004618FA">
      <w:pPr>
        <w:rPr>
          <w:rFonts w:asciiTheme="majorHAnsi" w:hAnsiTheme="majorHAnsi"/>
          <w:color w:val="75787B" w:themeColor="accent6"/>
          <w:sz w:val="14"/>
          <w:szCs w:val="14"/>
        </w:rPr>
        <w:sectPr w:rsidR="004618FA" w:rsidRPr="00820C89" w:rsidSect="00723458">
          <w:pgSz w:w="16838" w:h="11906" w:orient="landscape" w:code="9"/>
          <w:pgMar w:top="1440" w:right="1440" w:bottom="1440" w:left="1440" w:header="680" w:footer="425" w:gutter="0"/>
          <w:cols w:space="284"/>
          <w:docGrid w:linePitch="360"/>
        </w:sectPr>
      </w:pPr>
      <w:r w:rsidRPr="00820C89">
        <w:rPr>
          <w:rFonts w:asciiTheme="majorHAnsi" w:hAnsiTheme="majorHAnsi"/>
          <w:color w:val="75787B" w:themeColor="accent6"/>
          <w:sz w:val="14"/>
          <w:szCs w:val="14"/>
        </w:rPr>
        <w:t xml:space="preserve">Source: Deloitte </w:t>
      </w:r>
      <w:r w:rsidR="006F64D4" w:rsidRPr="00820C89">
        <w:rPr>
          <w:rFonts w:asciiTheme="majorHAnsi" w:hAnsiTheme="majorHAnsi"/>
          <w:color w:val="75787B" w:themeColor="accent6"/>
          <w:sz w:val="14"/>
          <w:szCs w:val="14"/>
        </w:rPr>
        <w:t xml:space="preserve">Access Economics </w:t>
      </w:r>
      <w:r w:rsidR="00F76861" w:rsidRPr="00820C89">
        <w:rPr>
          <w:rFonts w:asciiTheme="majorHAnsi" w:hAnsiTheme="majorHAnsi"/>
          <w:i/>
          <w:color w:val="75787B" w:themeColor="accent6"/>
          <w:sz w:val="14"/>
          <w:szCs w:val="14"/>
        </w:rPr>
        <w:t xml:space="preserve">Indigenous </w:t>
      </w:r>
      <w:r w:rsidR="003E26C1" w:rsidRPr="00820C89">
        <w:rPr>
          <w:rFonts w:asciiTheme="majorHAnsi" w:hAnsiTheme="majorHAnsi"/>
          <w:i/>
          <w:color w:val="75787B" w:themeColor="accent6"/>
          <w:sz w:val="14"/>
          <w:szCs w:val="14"/>
        </w:rPr>
        <w:t xml:space="preserve">Employment Programs: </w:t>
      </w:r>
      <w:r w:rsidR="00A65661" w:rsidRPr="00820C89">
        <w:rPr>
          <w:rFonts w:asciiTheme="majorHAnsi" w:hAnsiTheme="majorHAnsi"/>
          <w:i/>
          <w:color w:val="75787B" w:themeColor="accent6"/>
          <w:sz w:val="14"/>
          <w:szCs w:val="14"/>
        </w:rPr>
        <w:t>Literature Scan</w:t>
      </w:r>
      <w:r w:rsidR="00304BAA" w:rsidRPr="00820C89">
        <w:rPr>
          <w:rFonts w:asciiTheme="majorHAnsi" w:hAnsiTheme="majorHAnsi"/>
          <w:color w:val="75787B" w:themeColor="accent6"/>
          <w:sz w:val="14"/>
          <w:szCs w:val="14"/>
        </w:rPr>
        <w:t xml:space="preserve"> for reference to</w:t>
      </w:r>
      <w:r w:rsidR="00A65661" w:rsidRPr="00820C89">
        <w:rPr>
          <w:rFonts w:asciiTheme="majorHAnsi" w:hAnsiTheme="majorHAnsi"/>
          <w:color w:val="75787B" w:themeColor="accent6"/>
          <w:sz w:val="14"/>
          <w:szCs w:val="14"/>
        </w:rPr>
        <w:t xml:space="preserve"> academic </w:t>
      </w:r>
      <w:r w:rsidR="00304BAA" w:rsidRPr="00820C89">
        <w:rPr>
          <w:rFonts w:asciiTheme="majorHAnsi" w:hAnsiTheme="majorHAnsi"/>
          <w:color w:val="75787B" w:themeColor="accent6"/>
          <w:sz w:val="14"/>
          <w:szCs w:val="14"/>
        </w:rPr>
        <w:t>sources</w:t>
      </w:r>
      <w:r w:rsidR="00A65661" w:rsidRPr="00820C89">
        <w:rPr>
          <w:rFonts w:asciiTheme="majorHAnsi" w:hAnsiTheme="majorHAnsi"/>
          <w:color w:val="75787B" w:themeColor="accent6"/>
          <w:sz w:val="14"/>
          <w:szCs w:val="14"/>
        </w:rPr>
        <w:t xml:space="preserve"> and government </w:t>
      </w:r>
      <w:r w:rsidR="00124E83" w:rsidRPr="00820C89">
        <w:rPr>
          <w:rFonts w:asciiTheme="majorHAnsi" w:hAnsiTheme="majorHAnsi"/>
          <w:color w:val="75787B" w:themeColor="accent6"/>
          <w:sz w:val="14"/>
          <w:szCs w:val="14"/>
        </w:rPr>
        <w:t>papers</w:t>
      </w:r>
      <w:r w:rsidR="00A65661" w:rsidRPr="00820C89">
        <w:rPr>
          <w:rFonts w:asciiTheme="majorHAnsi" w:hAnsiTheme="majorHAnsi"/>
          <w:color w:val="75787B" w:themeColor="accent6"/>
          <w:sz w:val="14"/>
          <w:szCs w:val="14"/>
        </w:rPr>
        <w:t>.</w:t>
      </w:r>
    </w:p>
    <w:p w14:paraId="2EF50374" w14:textId="3B3A383D" w:rsidR="006059ED" w:rsidRPr="00820C89" w:rsidRDefault="6B806727" w:rsidP="00EE003F">
      <w:pPr>
        <w:pStyle w:val="Heading2"/>
        <w:spacing w:after="240"/>
      </w:pPr>
      <w:bookmarkStart w:id="59" w:name="_Toc82710772"/>
      <w:bookmarkStart w:id="60" w:name="_Toc101343287"/>
      <w:bookmarkStart w:id="61" w:name="_Ref56369271"/>
      <w:bookmarkStart w:id="62" w:name="_Ref56420710"/>
      <w:bookmarkStart w:id="63" w:name="_Toc57022905"/>
      <w:r w:rsidRPr="00820C89">
        <w:lastRenderedPageBreak/>
        <w:t>Changes to the design of the programs</w:t>
      </w:r>
      <w:bookmarkEnd w:id="59"/>
      <w:bookmarkEnd w:id="60"/>
    </w:p>
    <w:p w14:paraId="21497BDC" w14:textId="43195327" w:rsidR="000224AE" w:rsidRPr="00BC7EC7" w:rsidRDefault="000224AE" w:rsidP="00766451">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before="170"/>
        <w:rPr>
          <w:b/>
          <w:bCs/>
          <w:i/>
          <w:iCs/>
          <w:color w:val="62B5E5" w:themeColor="accent3"/>
        </w:rPr>
      </w:pPr>
      <w:r>
        <w:rPr>
          <w:b/>
          <w:bCs/>
          <w:i/>
          <w:iCs/>
          <w:color w:val="62B5E5" w:themeColor="accent3"/>
        </w:rPr>
        <w:t>Key finding</w:t>
      </w:r>
    </w:p>
    <w:p w14:paraId="29F56C72" w14:textId="04BB6CB5" w:rsidR="000224AE" w:rsidRPr="000224AE" w:rsidRDefault="000224AE" w:rsidP="00715F70">
      <w:pPr>
        <w:pStyle w:val="ListParagraph"/>
        <w:numPr>
          <w:ilvl w:val="0"/>
          <w:numId w:val="86"/>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rFonts w:asciiTheme="majorHAnsi" w:hAnsiTheme="majorHAnsi"/>
          <w:b/>
          <w:bCs/>
          <w:i/>
          <w:color w:val="62B5E5" w:themeColor="accent3"/>
        </w:rPr>
      </w:pPr>
      <w:r w:rsidRPr="00266D59">
        <w:rPr>
          <w:rFonts w:asciiTheme="majorHAnsi" w:hAnsiTheme="majorHAnsi"/>
          <w:b/>
          <w:bCs/>
          <w:i/>
          <w:color w:val="62B5E5" w:themeColor="accent3"/>
        </w:rPr>
        <w:t>There is limited evidence to suggest</w:t>
      </w:r>
      <w:r>
        <w:rPr>
          <w:rFonts w:asciiTheme="majorHAnsi" w:hAnsiTheme="majorHAnsi"/>
          <w:b/>
          <w:bCs/>
          <w:i/>
          <w:color w:val="62B5E5" w:themeColor="accent3"/>
        </w:rPr>
        <w:t xml:space="preserve"> these programs have been subject to regular, rigorous evaluation and data-informed refinement. </w:t>
      </w:r>
    </w:p>
    <w:p w14:paraId="08924CEA" w14:textId="04902C05" w:rsidR="008322A2" w:rsidRPr="00820C89" w:rsidRDefault="006D1F62" w:rsidP="006B16A9">
      <w:r w:rsidRPr="00820C89">
        <w:t xml:space="preserve">The evaluation </w:t>
      </w:r>
      <w:r w:rsidR="00A14103" w:rsidRPr="00820C89">
        <w:t>was</w:t>
      </w:r>
      <w:r w:rsidRPr="00820C89">
        <w:t xml:space="preserve"> </w:t>
      </w:r>
      <w:r w:rsidR="00EF4B4E" w:rsidRPr="00820C89">
        <w:t>una</w:t>
      </w:r>
      <w:r w:rsidR="00A14103" w:rsidRPr="00820C89">
        <w:t xml:space="preserve">ble to </w:t>
      </w:r>
      <w:r w:rsidRPr="00820C89">
        <w:t xml:space="preserve">identify any </w:t>
      </w:r>
      <w:r w:rsidR="00ED7B31" w:rsidRPr="00820C89">
        <w:t>mechanisms</w:t>
      </w:r>
      <w:r w:rsidR="00607827" w:rsidRPr="00820C89">
        <w:t xml:space="preserve"> </w:t>
      </w:r>
      <w:r w:rsidR="00A14103" w:rsidRPr="00820C89">
        <w:t>that have been established</w:t>
      </w:r>
      <w:r w:rsidR="00AD4B1E" w:rsidRPr="00820C89">
        <w:t>, and consistently used,</w:t>
      </w:r>
      <w:r w:rsidR="00A14103" w:rsidRPr="00820C89">
        <w:t xml:space="preserve"> to</w:t>
      </w:r>
      <w:r w:rsidR="00ED7B31" w:rsidRPr="00820C89">
        <w:t xml:space="preserve"> review and </w:t>
      </w:r>
      <w:r w:rsidR="00A14103" w:rsidRPr="00820C89">
        <w:t>refine</w:t>
      </w:r>
      <w:r w:rsidR="00ED7B31" w:rsidRPr="00820C89">
        <w:t xml:space="preserve"> the program</w:t>
      </w:r>
      <w:r w:rsidR="005A2BA4" w:rsidRPr="00820C89">
        <w:t>s</w:t>
      </w:r>
      <w:r w:rsidR="00B327BE" w:rsidRPr="00820C89">
        <w:t xml:space="preserve"> in an ongoing way beyond</w:t>
      </w:r>
      <w:r w:rsidR="001B30E9" w:rsidRPr="00820C89">
        <w:t xml:space="preserve"> contract manager relationship</w:t>
      </w:r>
      <w:r w:rsidR="00A14103" w:rsidRPr="00820C89">
        <w:t>.</w:t>
      </w:r>
      <w:r w:rsidR="005A2BA4" w:rsidRPr="00820C89">
        <w:t xml:space="preserve"> </w:t>
      </w:r>
      <w:r w:rsidR="00B4641A" w:rsidRPr="00820C89">
        <w:t>While a post-placement survey</w:t>
      </w:r>
      <w:r w:rsidR="00DC6775" w:rsidRPr="00820C89">
        <w:t xml:space="preserve"> </w:t>
      </w:r>
      <w:r w:rsidR="00BA04FC" w:rsidRPr="00820C89">
        <w:t xml:space="preserve">exists, it has not been distributed or analysed in a systematic manner and the </w:t>
      </w:r>
      <w:r w:rsidR="001960DE" w:rsidRPr="00820C89">
        <w:t xml:space="preserve">data was not made available to the evaluation. </w:t>
      </w:r>
    </w:p>
    <w:p w14:paraId="6F9D6354" w14:textId="77777777" w:rsidR="00852200" w:rsidRPr="00820C89" w:rsidRDefault="000C25F9" w:rsidP="006B16A9">
      <w:pPr>
        <w:rPr>
          <w:rFonts w:asciiTheme="majorHAnsi" w:hAnsiTheme="majorHAnsi"/>
        </w:rPr>
      </w:pPr>
      <w:r w:rsidRPr="00820C89">
        <w:t>A</w:t>
      </w:r>
      <w:r w:rsidR="006B16A9" w:rsidRPr="00820C89">
        <w:t>n evaluation of the VTEC program was undertaken after one year of operation which</w:t>
      </w:r>
      <w:r w:rsidR="00C22A11" w:rsidRPr="00820C89">
        <w:rPr>
          <w:rFonts w:asciiTheme="majorHAnsi" w:hAnsiTheme="majorHAnsi"/>
        </w:rPr>
        <w:t xml:space="preserve"> provides insights into the design, </w:t>
      </w:r>
      <w:r w:rsidR="006E048E" w:rsidRPr="00820C89">
        <w:rPr>
          <w:rFonts w:asciiTheme="majorHAnsi" w:hAnsiTheme="majorHAnsi"/>
        </w:rPr>
        <w:t>implementation,</w:t>
      </w:r>
      <w:r w:rsidR="00C22A11" w:rsidRPr="00820C89">
        <w:rPr>
          <w:rFonts w:asciiTheme="majorHAnsi" w:hAnsiTheme="majorHAnsi"/>
        </w:rPr>
        <w:t xml:space="preserve"> and early outcomes of </w:t>
      </w:r>
      <w:r w:rsidR="006B16A9" w:rsidRPr="00820C89">
        <w:rPr>
          <w:rFonts w:asciiTheme="majorHAnsi" w:hAnsiTheme="majorHAnsi"/>
        </w:rPr>
        <w:t>VTECs.</w:t>
      </w:r>
      <w:r w:rsidR="007C7B08" w:rsidRPr="00820C89">
        <w:rPr>
          <w:rFonts w:asciiTheme="majorHAnsi" w:hAnsiTheme="majorHAnsi"/>
        </w:rPr>
        <w:t xml:space="preserve"> </w:t>
      </w:r>
      <w:r w:rsidR="00D465F6" w:rsidRPr="00820C89">
        <w:rPr>
          <w:rFonts w:asciiTheme="majorHAnsi" w:hAnsiTheme="majorHAnsi"/>
        </w:rPr>
        <w:t>No</w:t>
      </w:r>
      <w:r w:rsidR="00B31E13" w:rsidRPr="00820C89">
        <w:rPr>
          <w:rFonts w:asciiTheme="majorHAnsi" w:hAnsiTheme="majorHAnsi"/>
        </w:rPr>
        <w:t xml:space="preserve"> comparable evaluation was undertaken for</w:t>
      </w:r>
      <w:r w:rsidR="00B5061F" w:rsidRPr="00820C89">
        <w:rPr>
          <w:rFonts w:asciiTheme="majorHAnsi" w:hAnsiTheme="majorHAnsi"/>
        </w:rPr>
        <w:t xml:space="preserve"> the</w:t>
      </w:r>
      <w:r w:rsidR="00B31E13" w:rsidRPr="00820C89">
        <w:rPr>
          <w:rFonts w:asciiTheme="majorHAnsi" w:hAnsiTheme="majorHAnsi"/>
        </w:rPr>
        <w:t xml:space="preserve"> TAEG</w:t>
      </w:r>
      <w:r w:rsidR="00EA0607" w:rsidRPr="00820C89">
        <w:rPr>
          <w:rFonts w:asciiTheme="majorHAnsi" w:hAnsiTheme="majorHAnsi"/>
        </w:rPr>
        <w:t xml:space="preserve"> and EPI</w:t>
      </w:r>
      <w:r w:rsidR="00B5061F" w:rsidRPr="00820C89">
        <w:rPr>
          <w:rFonts w:asciiTheme="majorHAnsi" w:hAnsiTheme="majorHAnsi"/>
        </w:rPr>
        <w:t xml:space="preserve"> programs</w:t>
      </w:r>
      <w:r w:rsidR="00EA0607" w:rsidRPr="00820C89">
        <w:rPr>
          <w:rFonts w:asciiTheme="majorHAnsi" w:hAnsiTheme="majorHAnsi"/>
        </w:rPr>
        <w:t>, and as suc</w:t>
      </w:r>
      <w:r w:rsidR="00B5061F" w:rsidRPr="00820C89">
        <w:rPr>
          <w:rFonts w:asciiTheme="majorHAnsi" w:hAnsiTheme="majorHAnsi"/>
        </w:rPr>
        <w:t xml:space="preserve">h, </w:t>
      </w:r>
      <w:r w:rsidR="00600D1B" w:rsidRPr="00820C89">
        <w:rPr>
          <w:rFonts w:asciiTheme="majorHAnsi" w:hAnsiTheme="majorHAnsi"/>
        </w:rPr>
        <w:t>t</w:t>
      </w:r>
      <w:r w:rsidRPr="00820C89">
        <w:t xml:space="preserve">here is </w:t>
      </w:r>
      <w:r w:rsidR="00A405CB" w:rsidRPr="00820C89">
        <w:t>little documentation</w:t>
      </w:r>
      <w:r w:rsidRPr="00820C89">
        <w:t xml:space="preserve"> how the design of the TAEG and EPI programs have changed since they were launched</w:t>
      </w:r>
      <w:r w:rsidR="00852200" w:rsidRPr="00820C89">
        <w:t xml:space="preserve">. </w:t>
      </w:r>
    </w:p>
    <w:p w14:paraId="03F881CF" w14:textId="6C0F9686" w:rsidR="00B14588" w:rsidRDefault="00C2640A" w:rsidP="00F26B6A">
      <w:pPr>
        <w:rPr>
          <w:rFonts w:asciiTheme="majorHAnsi" w:hAnsiTheme="majorHAnsi"/>
          <w:color w:val="FF0000"/>
        </w:rPr>
      </w:pPr>
      <w:r w:rsidRPr="00820C89">
        <w:t>This</w:t>
      </w:r>
      <w:r w:rsidR="00953116" w:rsidRPr="00820C89">
        <w:t xml:space="preserve"> </w:t>
      </w:r>
      <w:r w:rsidR="000937D4" w:rsidRPr="00820C89">
        <w:t xml:space="preserve">section </w:t>
      </w:r>
      <w:r w:rsidR="00953116" w:rsidRPr="00820C89">
        <w:t xml:space="preserve">predominantly </w:t>
      </w:r>
      <w:r w:rsidR="000937D4" w:rsidRPr="00820C89">
        <w:t>relies on insights gained through c</w:t>
      </w:r>
      <w:r w:rsidR="00005523" w:rsidRPr="00820C89">
        <w:t xml:space="preserve">onsultation with </w:t>
      </w:r>
      <w:r w:rsidR="000937D4" w:rsidRPr="00820C89">
        <w:t>IEP provider</w:t>
      </w:r>
      <w:r w:rsidR="005C3E10" w:rsidRPr="00820C89">
        <w:t xml:space="preserve">s </w:t>
      </w:r>
      <w:r w:rsidR="000937D4" w:rsidRPr="00820C89">
        <w:t xml:space="preserve">and partners </w:t>
      </w:r>
      <w:r w:rsidR="005C3E10" w:rsidRPr="00820C89">
        <w:t xml:space="preserve">to </w:t>
      </w:r>
      <w:r w:rsidR="00953116" w:rsidRPr="00820C89">
        <w:t xml:space="preserve">determine how </w:t>
      </w:r>
      <w:r w:rsidR="00C45601" w:rsidRPr="00820C89">
        <w:t>the design of the</w:t>
      </w:r>
      <w:r w:rsidRPr="00820C89">
        <w:t xml:space="preserve"> in-scope</w:t>
      </w:r>
      <w:r w:rsidR="00C45601" w:rsidRPr="00820C89">
        <w:t xml:space="preserve"> programs</w:t>
      </w:r>
      <w:r w:rsidR="001E34C1" w:rsidRPr="00820C89">
        <w:t xml:space="preserve"> have changed throughout </w:t>
      </w:r>
      <w:r w:rsidR="004641B4" w:rsidRPr="00820C89">
        <w:t>the course of their delivery.</w:t>
      </w:r>
      <w:r w:rsidR="00C45601" w:rsidRPr="00820C89">
        <w:t xml:space="preserve"> </w:t>
      </w:r>
      <w:r w:rsidR="007C7B08" w:rsidRPr="00820C89">
        <w:t>However, t</w:t>
      </w:r>
      <w:r w:rsidR="00852200" w:rsidRPr="00820C89">
        <w:rPr>
          <w:rFonts w:asciiTheme="majorHAnsi" w:hAnsiTheme="majorHAnsi"/>
        </w:rPr>
        <w:t>he extent</w:t>
      </w:r>
      <w:r w:rsidR="004912EA" w:rsidRPr="00820C89">
        <w:rPr>
          <w:rFonts w:asciiTheme="majorHAnsi" w:hAnsiTheme="majorHAnsi"/>
        </w:rPr>
        <w:t xml:space="preserve"> to which these </w:t>
      </w:r>
      <w:r w:rsidR="00852200" w:rsidRPr="00820C89">
        <w:rPr>
          <w:rFonts w:asciiTheme="majorHAnsi" w:hAnsiTheme="majorHAnsi"/>
        </w:rPr>
        <w:t>refinement</w:t>
      </w:r>
      <w:r w:rsidR="004912EA" w:rsidRPr="00820C89">
        <w:rPr>
          <w:rFonts w:asciiTheme="majorHAnsi" w:hAnsiTheme="majorHAnsi"/>
        </w:rPr>
        <w:t xml:space="preserve">s have been </w:t>
      </w:r>
      <w:r w:rsidR="00852200" w:rsidRPr="00820C89">
        <w:rPr>
          <w:rFonts w:asciiTheme="majorHAnsi" w:hAnsiTheme="majorHAnsi"/>
        </w:rPr>
        <w:t xml:space="preserve">based on </w:t>
      </w:r>
      <w:r w:rsidR="004912EA" w:rsidRPr="00820C89">
        <w:rPr>
          <w:rFonts w:asciiTheme="majorHAnsi" w:hAnsiTheme="majorHAnsi"/>
        </w:rPr>
        <w:t xml:space="preserve">evidence </w:t>
      </w:r>
      <w:r w:rsidR="00323980" w:rsidRPr="00820C89">
        <w:rPr>
          <w:rFonts w:asciiTheme="majorHAnsi" w:hAnsiTheme="majorHAnsi"/>
        </w:rPr>
        <w:t>is not always clear</w:t>
      </w:r>
      <w:r w:rsidR="004912EA" w:rsidRPr="00820C89">
        <w:rPr>
          <w:rFonts w:asciiTheme="majorHAnsi" w:hAnsiTheme="majorHAnsi"/>
        </w:rPr>
        <w:t>.</w:t>
      </w:r>
      <w:r w:rsidR="004912EA" w:rsidRPr="00820C89">
        <w:rPr>
          <w:rFonts w:asciiTheme="majorHAnsi" w:hAnsiTheme="majorHAnsi"/>
          <w:color w:val="FF0000"/>
        </w:rPr>
        <w:t xml:space="preserve"> </w:t>
      </w:r>
    </w:p>
    <w:p w14:paraId="2944DFBB" w14:textId="77777777" w:rsidR="00D5380A" w:rsidRPr="00820C89" w:rsidRDefault="00D5380A" w:rsidP="00D5380A">
      <w:pPr>
        <w:shd w:val="clear" w:color="auto" w:fill="DFF0F9" w:themeFill="accent3" w:themeFillTint="33"/>
        <w:rPr>
          <w:rFonts w:asciiTheme="majorHAnsi" w:hAnsiTheme="majorHAnsi"/>
          <w:b/>
          <w:bCs/>
        </w:rPr>
      </w:pPr>
      <w:bookmarkStart w:id="64" w:name="Suggestion1"/>
      <w:r w:rsidRPr="00820C89">
        <w:rPr>
          <w:rFonts w:asciiTheme="majorHAnsi" w:hAnsiTheme="majorHAnsi"/>
          <w:b/>
          <w:bCs/>
        </w:rPr>
        <w:t>Suggestion 1</w:t>
      </w:r>
      <w:bookmarkEnd w:id="64"/>
      <w:r w:rsidRPr="00820C89">
        <w:rPr>
          <w:rFonts w:asciiTheme="majorHAnsi" w:hAnsiTheme="majorHAnsi"/>
          <w:b/>
          <w:bCs/>
        </w:rPr>
        <w:t>: Future programs should establish clear evaluation principles and procedures prior to their inception and implement rigorous evaluations on a regular basis.</w:t>
      </w:r>
    </w:p>
    <w:p w14:paraId="5247E28C" w14:textId="77777777" w:rsidR="00D5380A" w:rsidRPr="00820C89" w:rsidRDefault="00D5380A" w:rsidP="00D5380A">
      <w:pPr>
        <w:shd w:val="clear" w:color="auto" w:fill="DFF0F9" w:themeFill="accent3" w:themeFillTint="33"/>
        <w:rPr>
          <w:rFonts w:asciiTheme="majorHAnsi" w:hAnsiTheme="majorHAnsi"/>
        </w:rPr>
      </w:pPr>
      <w:r w:rsidRPr="00820C89">
        <w:rPr>
          <w:rFonts w:asciiTheme="majorHAnsi" w:hAnsiTheme="majorHAnsi"/>
        </w:rPr>
        <w:t>Effective policy evaluation is central to promoting public accountability, ongoing learning and increasing public sector effectiveness through improved decision making.</w:t>
      </w:r>
      <w:r w:rsidRPr="00820C89">
        <w:rPr>
          <w:rStyle w:val="FootnoteReference"/>
          <w:rFonts w:asciiTheme="majorHAnsi" w:hAnsiTheme="majorHAnsi"/>
        </w:rPr>
        <w:footnoteReference w:id="29"/>
      </w:r>
      <w:r w:rsidRPr="00820C89">
        <w:rPr>
          <w:rFonts w:asciiTheme="majorHAnsi" w:hAnsiTheme="majorHAnsi"/>
        </w:rPr>
        <w:t xml:space="preserve"> As noted above, the IEP sub-program have historically been evaluated inconsistently and partially, creating a risk that the program is not being optimised or improved over time.</w:t>
      </w:r>
    </w:p>
    <w:p w14:paraId="2ACAF7FE" w14:textId="77777777" w:rsidR="00D5380A" w:rsidRPr="00820C89" w:rsidRDefault="00D5380A" w:rsidP="00D5380A">
      <w:pPr>
        <w:shd w:val="clear" w:color="auto" w:fill="DFF0F9" w:themeFill="accent3" w:themeFillTint="33"/>
        <w:rPr>
          <w:rFonts w:asciiTheme="majorHAnsi" w:hAnsiTheme="majorHAnsi"/>
        </w:rPr>
      </w:pPr>
      <w:r w:rsidRPr="00820C89">
        <w:rPr>
          <w:rFonts w:asciiTheme="majorHAnsi" w:hAnsiTheme="majorHAnsi"/>
        </w:rPr>
        <w:t>Future programs should establish clear evaluation principles and practices prior to their inception, to ensure that subsequent evaluations are completed in a rigorous manner. Further, the evaluation framework and procedures should be informed by best-practice on the topic, including frameworks such as those developed by the Productivity Commission and Department of Prime Minister and Cabinet (Section 1.3.3), along with the suggestions of this report.</w:t>
      </w:r>
    </w:p>
    <w:p w14:paraId="47988AAA" w14:textId="77777777" w:rsidR="00D5380A" w:rsidRPr="00820C89" w:rsidRDefault="00D5380A" w:rsidP="00D5380A">
      <w:pPr>
        <w:shd w:val="clear" w:color="auto" w:fill="DFF0F9" w:themeFill="accent3" w:themeFillTint="33"/>
        <w:rPr>
          <w:rFonts w:asciiTheme="majorHAnsi" w:hAnsiTheme="majorHAnsi"/>
        </w:rPr>
      </w:pPr>
      <w:r w:rsidRPr="00820C89">
        <w:rPr>
          <w:rFonts w:asciiTheme="majorHAnsi" w:hAnsiTheme="majorHAnsi"/>
        </w:rPr>
        <w:t>The evaluation framework should also ensure that the necessary data capture tools are implemented to collect high-quality and accurate quantitative data on an ongoing basis, from the outset. These datasets may include:</w:t>
      </w:r>
    </w:p>
    <w:p w14:paraId="420C68DC" w14:textId="77777777" w:rsidR="00D5380A" w:rsidRPr="00820C89" w:rsidRDefault="00D5380A" w:rsidP="00715F70">
      <w:pPr>
        <w:pStyle w:val="ListParagraph"/>
        <w:numPr>
          <w:ilvl w:val="0"/>
          <w:numId w:val="93"/>
        </w:numPr>
        <w:shd w:val="clear" w:color="auto" w:fill="DFF0F9" w:themeFill="accent3" w:themeFillTint="33"/>
        <w:rPr>
          <w:rFonts w:asciiTheme="majorHAnsi" w:hAnsiTheme="majorHAnsi"/>
        </w:rPr>
      </w:pPr>
      <w:r w:rsidRPr="00820C89">
        <w:rPr>
          <w:rFonts w:asciiTheme="majorHAnsi" w:hAnsiTheme="majorHAnsi"/>
        </w:rPr>
        <w:t>Detailed participant-level data, capturing information on a wide range of demographic characteristics such as participant’s age, gender, length of unemployment, postcode of residence and highest level of education attainment, in addition to outcome variables.</w:t>
      </w:r>
    </w:p>
    <w:p w14:paraId="711F963D" w14:textId="77777777" w:rsidR="00D5380A" w:rsidRPr="00820C89" w:rsidRDefault="00D5380A" w:rsidP="00715F70">
      <w:pPr>
        <w:pStyle w:val="ListParagraph"/>
        <w:numPr>
          <w:ilvl w:val="0"/>
          <w:numId w:val="93"/>
        </w:numPr>
        <w:shd w:val="clear" w:color="auto" w:fill="DFF0F9" w:themeFill="accent3" w:themeFillTint="33"/>
        <w:rPr>
          <w:rFonts w:asciiTheme="majorHAnsi" w:hAnsiTheme="majorHAnsi"/>
        </w:rPr>
      </w:pPr>
      <w:r w:rsidRPr="00820C89">
        <w:rPr>
          <w:rFonts w:asciiTheme="majorHAnsi" w:hAnsiTheme="majorHAnsi"/>
        </w:rPr>
        <w:t xml:space="preserve">A participant entry and/or exit survey, to collect information on participants’ motivations and satisfaction with the program components, along with potential improvement ideas. </w:t>
      </w:r>
    </w:p>
    <w:p w14:paraId="63D38597" w14:textId="77777777" w:rsidR="00D5380A" w:rsidRPr="00820C89" w:rsidRDefault="00D5380A" w:rsidP="00715F70">
      <w:pPr>
        <w:pStyle w:val="ListParagraph"/>
        <w:numPr>
          <w:ilvl w:val="0"/>
          <w:numId w:val="93"/>
        </w:numPr>
        <w:shd w:val="clear" w:color="auto" w:fill="DFF0F9" w:themeFill="accent3" w:themeFillTint="33"/>
        <w:rPr>
          <w:rFonts w:asciiTheme="majorHAnsi" w:hAnsiTheme="majorHAnsi"/>
        </w:rPr>
      </w:pPr>
      <w:r w:rsidRPr="00820C89">
        <w:rPr>
          <w:rFonts w:asciiTheme="majorHAnsi" w:hAnsiTheme="majorHAnsi"/>
        </w:rPr>
        <w:t>A provider survey, to collect information on providers’ motivations and satisfaction with the program and ideas for improvement.</w:t>
      </w:r>
    </w:p>
    <w:p w14:paraId="25D3B5CF" w14:textId="5D6123E3" w:rsidR="00F26B6A" w:rsidRPr="00D5380A" w:rsidRDefault="00D5380A" w:rsidP="00D5380A">
      <w:pPr>
        <w:shd w:val="clear" w:color="auto" w:fill="DFF0F9" w:themeFill="accent3" w:themeFillTint="33"/>
        <w:rPr>
          <w:rFonts w:asciiTheme="majorHAnsi" w:hAnsiTheme="majorHAnsi"/>
          <w:color w:val="FF0000"/>
        </w:rPr>
      </w:pPr>
      <w:r w:rsidRPr="00820C89">
        <w:rPr>
          <w:rFonts w:asciiTheme="majorHAnsi" w:hAnsiTheme="majorHAnsi"/>
        </w:rPr>
        <w:t>Finally, program evaluation and monitoring procedures should be embedded into the program’s governance and oversight arrangements, to ensure that the evaluation directly supports the ongoing confidence in and refinement of the investment. This is common in all innovative policy and practice we encounter in our broader role.</w:t>
      </w:r>
    </w:p>
    <w:p w14:paraId="45F296D2" w14:textId="77777777" w:rsidR="00BC0140" w:rsidRPr="00820C89" w:rsidRDefault="001F51FF" w:rsidP="00BC0140">
      <w:pPr>
        <w:pStyle w:val="Heading3"/>
      </w:pPr>
      <w:r w:rsidRPr="00820C89">
        <w:t xml:space="preserve">Previous evaluation findings </w:t>
      </w:r>
    </w:p>
    <w:p w14:paraId="0690E137" w14:textId="77777777" w:rsidR="003D2AD2" w:rsidRPr="00820C89" w:rsidRDefault="00D820F2" w:rsidP="00BC0140">
      <w:pPr>
        <w:rPr>
          <w:rFonts w:asciiTheme="majorHAnsi" w:hAnsiTheme="majorHAnsi"/>
        </w:rPr>
      </w:pPr>
      <w:r w:rsidRPr="00820C89">
        <w:rPr>
          <w:rFonts w:asciiTheme="majorHAnsi" w:hAnsiTheme="majorHAnsi"/>
        </w:rPr>
        <w:t>The</w:t>
      </w:r>
      <w:r w:rsidR="00BC0140" w:rsidRPr="00820C89">
        <w:rPr>
          <w:rFonts w:asciiTheme="majorHAnsi" w:hAnsiTheme="majorHAnsi"/>
        </w:rPr>
        <w:t xml:space="preserve"> overarching findings</w:t>
      </w:r>
      <w:r w:rsidRPr="00820C89">
        <w:rPr>
          <w:rFonts w:asciiTheme="majorHAnsi" w:hAnsiTheme="majorHAnsi"/>
        </w:rPr>
        <w:t xml:space="preserve"> from the </w:t>
      </w:r>
      <w:r w:rsidR="004739D9" w:rsidRPr="00820C89">
        <w:rPr>
          <w:rFonts w:asciiTheme="majorHAnsi" w:hAnsiTheme="majorHAnsi"/>
        </w:rPr>
        <w:t xml:space="preserve">2015 </w:t>
      </w:r>
      <w:r w:rsidR="00757BE2" w:rsidRPr="00820C89">
        <w:rPr>
          <w:rFonts w:asciiTheme="majorHAnsi" w:hAnsiTheme="majorHAnsi"/>
        </w:rPr>
        <w:t xml:space="preserve">Miles Morgan </w:t>
      </w:r>
      <w:r w:rsidR="004739D9" w:rsidRPr="00820C89">
        <w:rPr>
          <w:rFonts w:asciiTheme="majorHAnsi" w:hAnsiTheme="majorHAnsi"/>
        </w:rPr>
        <w:t xml:space="preserve">evaluation of the VTEC program </w:t>
      </w:r>
      <w:r w:rsidR="0069627D" w:rsidRPr="00820C89">
        <w:rPr>
          <w:rFonts w:asciiTheme="majorHAnsi" w:hAnsiTheme="majorHAnsi"/>
        </w:rPr>
        <w:t xml:space="preserve">are summarised below. </w:t>
      </w:r>
      <w:r w:rsidR="0077570B" w:rsidRPr="00820C89">
        <w:rPr>
          <w:rFonts w:asciiTheme="majorHAnsi" w:hAnsiTheme="majorHAnsi"/>
        </w:rPr>
        <w:t>This summary demonstrates</w:t>
      </w:r>
      <w:r w:rsidR="00C33F42" w:rsidRPr="00820C89">
        <w:rPr>
          <w:rFonts w:asciiTheme="majorHAnsi" w:hAnsiTheme="majorHAnsi"/>
        </w:rPr>
        <w:t xml:space="preserve"> how</w:t>
      </w:r>
      <w:r w:rsidR="0016397D" w:rsidRPr="00820C89">
        <w:rPr>
          <w:rFonts w:asciiTheme="majorHAnsi" w:hAnsiTheme="majorHAnsi"/>
        </w:rPr>
        <w:t xml:space="preserve"> an evidence-based </w:t>
      </w:r>
      <w:r w:rsidR="00726FFE" w:rsidRPr="00820C89">
        <w:rPr>
          <w:rFonts w:asciiTheme="majorHAnsi" w:hAnsiTheme="majorHAnsi"/>
        </w:rPr>
        <w:t>review</w:t>
      </w:r>
      <w:r w:rsidR="00DE533C" w:rsidRPr="00820C89">
        <w:rPr>
          <w:rFonts w:asciiTheme="majorHAnsi" w:hAnsiTheme="majorHAnsi"/>
        </w:rPr>
        <w:t xml:space="preserve"> </w:t>
      </w:r>
      <w:r w:rsidR="0016397D" w:rsidRPr="00820C89">
        <w:rPr>
          <w:rFonts w:asciiTheme="majorHAnsi" w:hAnsiTheme="majorHAnsi"/>
        </w:rPr>
        <w:t xml:space="preserve">process </w:t>
      </w:r>
      <w:r w:rsidR="006D32A6" w:rsidRPr="00820C89">
        <w:rPr>
          <w:rFonts w:asciiTheme="majorHAnsi" w:hAnsiTheme="majorHAnsi"/>
        </w:rPr>
        <w:t xml:space="preserve">has been </w:t>
      </w:r>
      <w:r w:rsidR="006D32A6" w:rsidRPr="00820C89">
        <w:rPr>
          <w:rFonts w:asciiTheme="majorHAnsi" w:hAnsiTheme="majorHAnsi"/>
        </w:rPr>
        <w:lastRenderedPageBreak/>
        <w:t xml:space="preserve">used to </w:t>
      </w:r>
      <w:r w:rsidR="00905011" w:rsidRPr="00820C89">
        <w:rPr>
          <w:rFonts w:asciiTheme="majorHAnsi" w:hAnsiTheme="majorHAnsi"/>
        </w:rPr>
        <w:t xml:space="preserve">identify </w:t>
      </w:r>
      <w:r w:rsidR="00493AFF" w:rsidRPr="00820C89">
        <w:rPr>
          <w:rFonts w:asciiTheme="majorHAnsi" w:hAnsiTheme="majorHAnsi"/>
        </w:rPr>
        <w:t>elements of the</w:t>
      </w:r>
      <w:r w:rsidR="00905011" w:rsidRPr="00820C89">
        <w:rPr>
          <w:rFonts w:asciiTheme="majorHAnsi" w:hAnsiTheme="majorHAnsi"/>
        </w:rPr>
        <w:t xml:space="preserve"> </w:t>
      </w:r>
      <w:r w:rsidR="00311008" w:rsidRPr="00820C89">
        <w:rPr>
          <w:rFonts w:asciiTheme="majorHAnsi" w:hAnsiTheme="majorHAnsi"/>
        </w:rPr>
        <w:t>program’s</w:t>
      </w:r>
      <w:r w:rsidR="00905011" w:rsidRPr="00820C89">
        <w:rPr>
          <w:rFonts w:asciiTheme="majorHAnsi" w:hAnsiTheme="majorHAnsi"/>
        </w:rPr>
        <w:t xml:space="preserve"> design</w:t>
      </w:r>
      <w:r w:rsidR="00343523" w:rsidRPr="00820C89">
        <w:rPr>
          <w:rFonts w:asciiTheme="majorHAnsi" w:hAnsiTheme="majorHAnsi"/>
        </w:rPr>
        <w:t xml:space="preserve"> that require </w:t>
      </w:r>
      <w:r w:rsidR="00493AFF" w:rsidRPr="00820C89">
        <w:rPr>
          <w:rFonts w:asciiTheme="majorHAnsi" w:hAnsiTheme="majorHAnsi"/>
        </w:rPr>
        <w:t>revision</w:t>
      </w:r>
      <w:r w:rsidR="00E7411B" w:rsidRPr="00820C89">
        <w:rPr>
          <w:rFonts w:asciiTheme="majorHAnsi" w:hAnsiTheme="majorHAnsi"/>
        </w:rPr>
        <w:t xml:space="preserve">, as well as </w:t>
      </w:r>
      <w:r w:rsidR="00EF5246" w:rsidRPr="00820C89">
        <w:rPr>
          <w:rFonts w:asciiTheme="majorHAnsi" w:hAnsiTheme="majorHAnsi"/>
        </w:rPr>
        <w:t>validate</w:t>
      </w:r>
      <w:r w:rsidR="00E7411B" w:rsidRPr="00820C89">
        <w:rPr>
          <w:rFonts w:asciiTheme="majorHAnsi" w:hAnsiTheme="majorHAnsi"/>
        </w:rPr>
        <w:t xml:space="preserve"> </w:t>
      </w:r>
      <w:r w:rsidR="00493AFF" w:rsidRPr="00820C89">
        <w:rPr>
          <w:rFonts w:asciiTheme="majorHAnsi" w:hAnsiTheme="majorHAnsi"/>
        </w:rPr>
        <w:t>design</w:t>
      </w:r>
      <w:r w:rsidR="00311008" w:rsidRPr="00820C89">
        <w:rPr>
          <w:rFonts w:asciiTheme="majorHAnsi" w:hAnsiTheme="majorHAnsi"/>
        </w:rPr>
        <w:t xml:space="preserve"> strengths</w:t>
      </w:r>
      <w:r w:rsidR="0077570B" w:rsidRPr="00820C89">
        <w:rPr>
          <w:rFonts w:asciiTheme="majorHAnsi" w:hAnsiTheme="majorHAnsi"/>
        </w:rPr>
        <w:t>:</w:t>
      </w:r>
    </w:p>
    <w:p w14:paraId="7F1CB62C" w14:textId="77777777" w:rsidR="00A5445E" w:rsidRPr="00820C89" w:rsidRDefault="00BC0140" w:rsidP="00715F70">
      <w:pPr>
        <w:pStyle w:val="ListParagraph"/>
        <w:keepNext/>
        <w:numPr>
          <w:ilvl w:val="0"/>
          <w:numId w:val="43"/>
        </w:numPr>
        <w:spacing w:before="60" w:after="60"/>
        <w:ind w:left="357" w:hanging="357"/>
        <w:contextualSpacing w:val="0"/>
        <w:rPr>
          <w:rFonts w:asciiTheme="majorHAnsi" w:hAnsiTheme="majorHAnsi"/>
        </w:rPr>
      </w:pPr>
      <w:r w:rsidRPr="00820C89">
        <w:rPr>
          <w:rFonts w:asciiTheme="majorHAnsi" w:hAnsiTheme="majorHAnsi"/>
          <w:b/>
          <w:bCs/>
        </w:rPr>
        <w:t>a</w:t>
      </w:r>
      <w:r w:rsidRPr="00820C89">
        <w:rPr>
          <w:rFonts w:asciiTheme="majorHAnsi" w:hAnsiTheme="majorHAnsi"/>
          <w:b/>
        </w:rPr>
        <w:t xml:space="preserve"> key advantage of the VTEC program is the provision of mentoring and advocacy, </w:t>
      </w:r>
      <w:r w:rsidRPr="00820C89">
        <w:rPr>
          <w:rFonts w:asciiTheme="majorHAnsi" w:hAnsiTheme="majorHAnsi"/>
        </w:rPr>
        <w:t>through “strong, authentic links with the Indigenous community”</w:t>
      </w:r>
    </w:p>
    <w:p w14:paraId="0B85A2DC" w14:textId="77777777" w:rsidR="00B60707" w:rsidRPr="00820C89" w:rsidRDefault="00B60707" w:rsidP="00715F70">
      <w:pPr>
        <w:pStyle w:val="ListParagraph"/>
        <w:keepNext/>
        <w:numPr>
          <w:ilvl w:val="0"/>
          <w:numId w:val="43"/>
        </w:numPr>
        <w:spacing w:before="60" w:after="60"/>
        <w:ind w:left="357" w:hanging="357"/>
        <w:contextualSpacing w:val="0"/>
        <w:rPr>
          <w:rFonts w:asciiTheme="majorHAnsi" w:hAnsiTheme="majorHAnsi"/>
        </w:rPr>
      </w:pPr>
      <w:r w:rsidRPr="00820C89">
        <w:rPr>
          <w:rFonts w:asciiTheme="majorHAnsi" w:hAnsiTheme="majorHAnsi"/>
          <w:b/>
          <w:bCs/>
        </w:rPr>
        <w:t>insufficient</w:t>
      </w:r>
      <w:r w:rsidRPr="00820C89">
        <w:rPr>
          <w:rFonts w:asciiTheme="majorHAnsi" w:hAnsiTheme="majorHAnsi"/>
          <w:b/>
        </w:rPr>
        <w:t xml:space="preserve"> support is provided to participants experiencing long-term structural unemployment, </w:t>
      </w:r>
      <w:r w:rsidRPr="00820C89">
        <w:rPr>
          <w:rFonts w:asciiTheme="majorHAnsi" w:hAnsiTheme="majorHAnsi"/>
        </w:rPr>
        <w:t xml:space="preserve">particularly those living in remote areas where opportunities to engage in a local labour market are scarce </w:t>
      </w:r>
    </w:p>
    <w:p w14:paraId="20C5828D" w14:textId="77777777" w:rsidR="00B60707" w:rsidRPr="00820C89" w:rsidRDefault="00B60707" w:rsidP="00715F70">
      <w:pPr>
        <w:pStyle w:val="ListParagraph"/>
        <w:keepNext/>
        <w:numPr>
          <w:ilvl w:val="0"/>
          <w:numId w:val="43"/>
        </w:numPr>
        <w:spacing w:before="60" w:after="60"/>
        <w:ind w:left="357" w:hanging="357"/>
        <w:contextualSpacing w:val="0"/>
        <w:rPr>
          <w:rFonts w:asciiTheme="majorHAnsi" w:hAnsiTheme="majorHAnsi"/>
        </w:rPr>
      </w:pPr>
      <w:r w:rsidRPr="00820C89">
        <w:rPr>
          <w:rFonts w:asciiTheme="majorHAnsi" w:hAnsiTheme="majorHAnsi"/>
          <w:b/>
          <w:bCs/>
        </w:rPr>
        <w:t>the</w:t>
      </w:r>
      <w:r w:rsidRPr="00820C89">
        <w:rPr>
          <w:rFonts w:asciiTheme="majorHAnsi" w:hAnsiTheme="majorHAnsi"/>
          <w:b/>
        </w:rPr>
        <w:t xml:space="preserve"> streaming process does not always stream participants appropriately, </w:t>
      </w:r>
      <w:r w:rsidRPr="00820C89">
        <w:rPr>
          <w:rFonts w:asciiTheme="majorHAnsi" w:hAnsiTheme="majorHAnsi"/>
        </w:rPr>
        <w:t>resulting in some participants not receiving the necessary supports and training. This is reportedly due to a range of cultural and institutional issues</w:t>
      </w:r>
    </w:p>
    <w:p w14:paraId="542E30A4" w14:textId="77777777" w:rsidR="00BC0140" w:rsidRPr="00820C89" w:rsidRDefault="00BC0140" w:rsidP="00715F70">
      <w:pPr>
        <w:pStyle w:val="ListParagraph"/>
        <w:keepNext/>
        <w:numPr>
          <w:ilvl w:val="0"/>
          <w:numId w:val="43"/>
        </w:numPr>
        <w:spacing w:before="60" w:after="60"/>
        <w:ind w:left="357" w:hanging="357"/>
        <w:contextualSpacing w:val="0"/>
        <w:rPr>
          <w:rFonts w:asciiTheme="majorHAnsi" w:hAnsiTheme="majorHAnsi"/>
        </w:rPr>
      </w:pPr>
      <w:r w:rsidRPr="00820C89">
        <w:rPr>
          <w:rFonts w:asciiTheme="majorHAnsi" w:hAnsiTheme="majorHAnsi"/>
          <w:b/>
          <w:bCs/>
        </w:rPr>
        <w:t>the</w:t>
      </w:r>
      <w:r w:rsidRPr="00820C89">
        <w:rPr>
          <w:rFonts w:asciiTheme="majorHAnsi" w:hAnsiTheme="majorHAnsi"/>
          <w:b/>
        </w:rPr>
        <w:t xml:space="preserve"> provision of training is not always aligned with the background and specific needs of individuals. </w:t>
      </w:r>
      <w:r w:rsidRPr="00820C89">
        <w:rPr>
          <w:rFonts w:asciiTheme="majorHAnsi" w:hAnsiTheme="majorHAnsi"/>
        </w:rPr>
        <w:t>This finding resulted in the evaluation recommending the development of an employability skills needs assessment tool</w:t>
      </w:r>
    </w:p>
    <w:p w14:paraId="0B0CE01E" w14:textId="77777777" w:rsidR="00BC0140" w:rsidRPr="00820C89" w:rsidRDefault="00BC0140" w:rsidP="00715F70">
      <w:pPr>
        <w:pStyle w:val="ListParagraph"/>
        <w:keepNext/>
        <w:numPr>
          <w:ilvl w:val="0"/>
          <w:numId w:val="43"/>
        </w:numPr>
        <w:spacing w:before="60" w:after="60"/>
        <w:ind w:left="357" w:hanging="357"/>
        <w:contextualSpacing w:val="0"/>
        <w:rPr>
          <w:rFonts w:asciiTheme="majorHAnsi" w:hAnsiTheme="majorHAnsi"/>
        </w:rPr>
      </w:pPr>
      <w:r w:rsidRPr="00820C89">
        <w:rPr>
          <w:rFonts w:asciiTheme="majorHAnsi" w:hAnsiTheme="majorHAnsi"/>
          <w:b/>
          <w:bCs/>
        </w:rPr>
        <w:t>engagement</w:t>
      </w:r>
      <w:r w:rsidRPr="00820C89">
        <w:rPr>
          <w:rFonts w:asciiTheme="majorHAnsi" w:hAnsiTheme="majorHAnsi"/>
          <w:b/>
        </w:rPr>
        <w:t xml:space="preserve"> between VTEC</w:t>
      </w:r>
      <w:r w:rsidRPr="00820C89">
        <w:rPr>
          <w:rStyle w:val="CommentReference"/>
          <w:rFonts w:asciiTheme="majorHAnsi" w:hAnsiTheme="majorHAnsi"/>
          <w:b/>
        </w:rPr>
        <w:t xml:space="preserve">, </w:t>
      </w:r>
      <w:r w:rsidRPr="00820C89">
        <w:rPr>
          <w:rFonts w:asciiTheme="majorHAnsi" w:hAnsiTheme="majorHAnsi"/>
          <w:b/>
        </w:rPr>
        <w:t>community and industry varies</w:t>
      </w:r>
      <w:r w:rsidRPr="00820C89">
        <w:rPr>
          <w:rFonts w:asciiTheme="majorHAnsi" w:hAnsiTheme="majorHAnsi"/>
        </w:rPr>
        <w:t xml:space="preserve"> with VTECs with established relationships with Indigenous communities experiencing advantages in respect to cultural approach supports and processes</w:t>
      </w:r>
    </w:p>
    <w:p w14:paraId="07FE9EE4" w14:textId="77777777" w:rsidR="00BC0140" w:rsidRPr="00820C89" w:rsidRDefault="00BC0140" w:rsidP="00715F70">
      <w:pPr>
        <w:pStyle w:val="ListParagraph"/>
        <w:keepNext/>
        <w:numPr>
          <w:ilvl w:val="0"/>
          <w:numId w:val="43"/>
        </w:numPr>
        <w:spacing w:before="60" w:after="60"/>
        <w:ind w:left="357" w:hanging="357"/>
        <w:contextualSpacing w:val="0"/>
        <w:rPr>
          <w:rFonts w:asciiTheme="majorHAnsi" w:hAnsiTheme="majorHAnsi"/>
        </w:rPr>
      </w:pPr>
      <w:r w:rsidRPr="00820C89">
        <w:rPr>
          <w:rFonts w:asciiTheme="majorHAnsi" w:hAnsiTheme="majorHAnsi"/>
          <w:b/>
          <w:bCs/>
        </w:rPr>
        <w:t>there</w:t>
      </w:r>
      <w:r w:rsidRPr="00820C89">
        <w:rPr>
          <w:rFonts w:asciiTheme="majorHAnsi" w:hAnsiTheme="majorHAnsi"/>
          <w:b/>
        </w:rPr>
        <w:t xml:space="preserve"> is at risk of competition with complementary services</w:t>
      </w:r>
      <w:r w:rsidRPr="00820C89">
        <w:rPr>
          <w:rFonts w:asciiTheme="majorHAnsi" w:hAnsiTheme="majorHAnsi"/>
        </w:rPr>
        <w:t>, such as the EPI, resulting in concern that service providers are competing for eligible jobseekers</w:t>
      </w:r>
    </w:p>
    <w:p w14:paraId="4E2248F3" w14:textId="77777777" w:rsidR="00BC0140" w:rsidRPr="00820C89" w:rsidRDefault="00BC0140" w:rsidP="00715F70">
      <w:pPr>
        <w:pStyle w:val="ListParagraph"/>
        <w:keepNext/>
        <w:numPr>
          <w:ilvl w:val="0"/>
          <w:numId w:val="42"/>
        </w:numPr>
        <w:spacing w:before="60" w:after="60"/>
        <w:ind w:left="357" w:hanging="357"/>
        <w:contextualSpacing w:val="0"/>
        <w:rPr>
          <w:rFonts w:asciiTheme="majorHAnsi" w:hAnsiTheme="majorHAnsi"/>
        </w:rPr>
      </w:pPr>
      <w:r w:rsidRPr="00820C89">
        <w:rPr>
          <w:rFonts w:asciiTheme="majorHAnsi" w:hAnsiTheme="majorHAnsi"/>
          <w:b/>
          <w:bCs/>
        </w:rPr>
        <w:t>there</w:t>
      </w:r>
      <w:r w:rsidRPr="00820C89">
        <w:rPr>
          <w:rFonts w:asciiTheme="majorHAnsi" w:hAnsiTheme="majorHAnsi"/>
          <w:b/>
        </w:rPr>
        <w:t xml:space="preserve"> is a lack of readiness to take on Indigenous jobseekers in some workforces. </w:t>
      </w:r>
      <w:r w:rsidRPr="00820C89">
        <w:rPr>
          <w:rFonts w:asciiTheme="majorHAnsi" w:hAnsiTheme="majorHAnsi"/>
        </w:rPr>
        <w:t>This finding prompted the recommendation for improved delivery of effective cross-cultural training in workplaces</w:t>
      </w:r>
      <w:r w:rsidR="00BC5C78" w:rsidRPr="00820C89">
        <w:rPr>
          <w:rFonts w:asciiTheme="majorHAnsi" w:hAnsiTheme="majorHAnsi"/>
        </w:rPr>
        <w:t>.</w:t>
      </w:r>
    </w:p>
    <w:p w14:paraId="14556DFE" w14:textId="77777777" w:rsidR="00BC0140" w:rsidRPr="00820C89" w:rsidRDefault="00BC0140" w:rsidP="00BC0140">
      <w:pPr>
        <w:spacing w:before="170"/>
        <w:rPr>
          <w:rFonts w:asciiTheme="majorHAnsi" w:hAnsiTheme="majorHAnsi"/>
        </w:rPr>
      </w:pPr>
      <w:r w:rsidRPr="00820C89">
        <w:rPr>
          <w:rFonts w:asciiTheme="majorHAnsi" w:hAnsiTheme="majorHAnsi"/>
        </w:rPr>
        <w:t xml:space="preserve">The </w:t>
      </w:r>
      <w:r w:rsidRPr="00820C89">
        <w:rPr>
          <w:rFonts w:asciiTheme="majorHAnsi" w:hAnsiTheme="majorHAnsi"/>
          <w:iCs/>
        </w:rPr>
        <w:t>VTEC evaluation</w:t>
      </w:r>
      <w:r w:rsidRPr="00820C89">
        <w:rPr>
          <w:rFonts w:asciiTheme="majorHAnsi" w:hAnsiTheme="majorHAnsi"/>
          <w:i/>
        </w:rPr>
        <w:t xml:space="preserve"> </w:t>
      </w:r>
      <w:r w:rsidRPr="00820C89">
        <w:rPr>
          <w:rFonts w:asciiTheme="majorHAnsi" w:hAnsiTheme="majorHAnsi"/>
        </w:rPr>
        <w:t>concluded with 24 recommendations for amending or adjusting the existing program, as well as re-purposing the VTEC program.</w:t>
      </w:r>
      <w:r w:rsidR="002A04B9" w:rsidRPr="00820C89">
        <w:rPr>
          <w:rFonts w:asciiTheme="majorHAnsi" w:hAnsiTheme="majorHAnsi"/>
        </w:rPr>
        <w:t xml:space="preserve"> However, only a select number of recommendations have been actioned since the evaluation was delivered. </w:t>
      </w:r>
    </w:p>
    <w:p w14:paraId="2C696957" w14:textId="77777777" w:rsidR="00D1537D" w:rsidRPr="00820C89" w:rsidRDefault="00D1537D" w:rsidP="00EC43D2">
      <w:pPr>
        <w:rPr>
          <w:rFonts w:asciiTheme="majorHAnsi" w:hAnsiTheme="majorHAnsi"/>
        </w:rPr>
      </w:pPr>
      <w:r w:rsidRPr="00820C89">
        <w:rPr>
          <w:rFonts w:asciiTheme="majorHAnsi" w:hAnsiTheme="majorHAnsi"/>
        </w:rPr>
        <w:t xml:space="preserve">The VTEC evaluation recommended key changes to clarify the role of the key organisations, refined stream allocation processes and improved promotional activities. While roles of key stakeholders have been refined, recommendations related to streaming and promotional activities do not appear to have been adopted in the current VTEC model. </w:t>
      </w:r>
    </w:p>
    <w:p w14:paraId="62FAEDB1" w14:textId="77777777" w:rsidR="00252688" w:rsidRPr="00820C89" w:rsidRDefault="00252688" w:rsidP="00EC43D2">
      <w:pPr>
        <w:rPr>
          <w:rFonts w:asciiTheme="majorHAnsi" w:hAnsiTheme="majorHAnsi"/>
        </w:rPr>
      </w:pPr>
      <w:r w:rsidRPr="00820C89">
        <w:rPr>
          <w:rFonts w:asciiTheme="majorHAnsi" w:hAnsiTheme="majorHAnsi"/>
        </w:rPr>
        <w:t xml:space="preserve">Table </w:t>
      </w:r>
      <w:r w:rsidR="00A90D5E" w:rsidRPr="00820C89">
        <w:rPr>
          <w:rFonts w:asciiTheme="majorHAnsi" w:hAnsiTheme="majorHAnsi"/>
        </w:rPr>
        <w:t>2</w:t>
      </w:r>
      <w:r w:rsidRPr="00820C89">
        <w:rPr>
          <w:rFonts w:asciiTheme="majorHAnsi" w:hAnsiTheme="majorHAnsi"/>
        </w:rPr>
        <w:t>.2 below summarises the key evaluation recommendations, comments on the rationale for each, and the evidence of program refinement in line with these recommendations.</w:t>
      </w:r>
    </w:p>
    <w:p w14:paraId="4F7D9D41" w14:textId="66A41EA5" w:rsidR="00BC0140" w:rsidRPr="00820C89" w:rsidRDefault="00C31A26" w:rsidP="001A59A7">
      <w:pPr>
        <w:pStyle w:val="Caption"/>
        <w:rPr>
          <w:rFonts w:asciiTheme="majorHAnsi" w:hAnsiTheme="majorHAnsi"/>
        </w:rPr>
      </w:pPr>
      <w:bookmarkStart w:id="65" w:name="_Ref56674487"/>
      <w:r w:rsidRPr="00D5380A">
        <w:t xml:space="preserve">Table </w:t>
      </w:r>
      <w:r w:rsidRPr="00D5380A">
        <w:fldChar w:fldCharType="begin"/>
      </w:r>
      <w:r w:rsidRPr="00D5380A">
        <w:instrText xml:space="preserve"> STYLEREF 1 \s </w:instrText>
      </w:r>
      <w:r w:rsidRPr="00D5380A">
        <w:fldChar w:fldCharType="separate"/>
      </w:r>
      <w:r w:rsidR="008565C8">
        <w:rPr>
          <w:noProof/>
        </w:rPr>
        <w:t>2</w:t>
      </w:r>
      <w:r w:rsidRPr="00D5380A">
        <w:fldChar w:fldCharType="end"/>
      </w:r>
      <w:r w:rsidRPr="00D5380A">
        <w:t>.</w:t>
      </w:r>
      <w:r w:rsidRPr="00D5380A">
        <w:fldChar w:fldCharType="begin"/>
      </w:r>
      <w:r w:rsidRPr="00D5380A">
        <w:instrText xml:space="preserve"> SEQ Table \* ARABIC \s 1 </w:instrText>
      </w:r>
      <w:r w:rsidRPr="00D5380A">
        <w:fldChar w:fldCharType="separate"/>
      </w:r>
      <w:r w:rsidR="008565C8">
        <w:rPr>
          <w:noProof/>
        </w:rPr>
        <w:t>2</w:t>
      </w:r>
      <w:r w:rsidRPr="00D5380A">
        <w:fldChar w:fldCharType="end"/>
      </w:r>
      <w:r w:rsidR="00BC0140" w:rsidRPr="00D5380A">
        <w:rPr>
          <w:rFonts w:asciiTheme="majorHAnsi" w:hAnsiTheme="majorHAnsi"/>
        </w:rPr>
        <w:t>:</w:t>
      </w:r>
      <w:r w:rsidR="00BC0140" w:rsidRPr="00D5380A">
        <w:rPr>
          <w:rFonts w:asciiTheme="majorHAnsi" w:hAnsiTheme="majorHAnsi"/>
          <w:b/>
        </w:rPr>
        <w:t xml:space="preserve"> </w:t>
      </w:r>
      <w:r w:rsidR="00BC0140" w:rsidRPr="00D5380A">
        <w:rPr>
          <w:rFonts w:asciiTheme="majorHAnsi" w:hAnsiTheme="majorHAnsi"/>
        </w:rPr>
        <w:t xml:space="preserve">Summary of recommendations from the </w:t>
      </w:r>
      <w:r w:rsidR="00BC0140" w:rsidRPr="00D5380A">
        <w:rPr>
          <w:rFonts w:asciiTheme="majorHAnsi" w:hAnsiTheme="majorHAnsi"/>
          <w:i/>
        </w:rPr>
        <w:t>VTEC evaluation</w:t>
      </w:r>
      <w:r w:rsidR="00BC0140" w:rsidRPr="00D5380A">
        <w:rPr>
          <w:rFonts w:asciiTheme="majorHAnsi" w:hAnsiTheme="majorHAnsi"/>
        </w:rPr>
        <w:t xml:space="preserve"> and evidence of refinement</w:t>
      </w:r>
      <w:bookmarkEnd w:id="65"/>
    </w:p>
    <w:tbl>
      <w:tblPr>
        <w:tblStyle w:val="Deloittetable1"/>
        <w:tblW w:w="9372" w:type="dxa"/>
        <w:tblLook w:val="04A0" w:firstRow="1" w:lastRow="0" w:firstColumn="1" w:lastColumn="0" w:noHBand="0" w:noVBand="1"/>
      </w:tblPr>
      <w:tblGrid>
        <w:gridCol w:w="2552"/>
        <w:gridCol w:w="6820"/>
      </w:tblGrid>
      <w:tr w:rsidR="00BC0140" w:rsidRPr="00820C89" w14:paraId="289FBB0A" w14:textId="77777777" w:rsidTr="00B91D03">
        <w:trPr>
          <w:cnfStyle w:val="100000000000" w:firstRow="1" w:lastRow="0" w:firstColumn="0" w:lastColumn="0" w:oddVBand="0" w:evenVBand="0" w:oddHBand="0" w:evenHBand="0" w:firstRowFirstColumn="0" w:firstRowLastColumn="0" w:lastRowFirstColumn="0" w:lastRowLastColumn="0"/>
          <w:trHeight w:val="565"/>
          <w:tblHeader/>
        </w:trPr>
        <w:tc>
          <w:tcPr>
            <w:tcW w:w="2552" w:type="dxa"/>
          </w:tcPr>
          <w:p w14:paraId="2106AD6B" w14:textId="77777777" w:rsidR="00BC0140" w:rsidRPr="00820C89" w:rsidRDefault="00BC0140" w:rsidP="00590BC4">
            <w:pPr>
              <w:rPr>
                <w:rFonts w:asciiTheme="majorHAnsi" w:hAnsiTheme="majorHAnsi"/>
                <w:b/>
              </w:rPr>
            </w:pPr>
            <w:r w:rsidRPr="00820C89">
              <w:rPr>
                <w:rFonts w:asciiTheme="majorHAnsi" w:hAnsiTheme="majorHAnsi"/>
                <w:b/>
              </w:rPr>
              <w:t>Key evaluation recommendations</w:t>
            </w:r>
          </w:p>
        </w:tc>
        <w:tc>
          <w:tcPr>
            <w:tcW w:w="6820" w:type="dxa"/>
          </w:tcPr>
          <w:p w14:paraId="18379D71" w14:textId="77777777" w:rsidR="00BC0140" w:rsidRPr="00820C89" w:rsidRDefault="00BC0140" w:rsidP="00590BC4">
            <w:pPr>
              <w:rPr>
                <w:rFonts w:asciiTheme="majorHAnsi" w:hAnsiTheme="majorHAnsi"/>
                <w:b/>
              </w:rPr>
            </w:pPr>
            <w:r w:rsidRPr="00820C89">
              <w:rPr>
                <w:rFonts w:asciiTheme="majorHAnsi" w:hAnsiTheme="majorHAnsi"/>
                <w:b/>
              </w:rPr>
              <w:t>Rationale for change and evidence of refinement</w:t>
            </w:r>
          </w:p>
        </w:tc>
      </w:tr>
      <w:tr w:rsidR="00BC0140" w:rsidRPr="00820C89" w14:paraId="2296FE9F" w14:textId="77777777" w:rsidTr="00590BC4">
        <w:trPr>
          <w:trHeight w:val="395"/>
        </w:trPr>
        <w:tc>
          <w:tcPr>
            <w:tcW w:w="2552" w:type="dxa"/>
          </w:tcPr>
          <w:p w14:paraId="12D730F3" w14:textId="77777777" w:rsidR="00BC0140" w:rsidRPr="00820C89" w:rsidRDefault="00BC0140" w:rsidP="00590BC4">
            <w:pPr>
              <w:rPr>
                <w:rFonts w:asciiTheme="majorHAnsi" w:hAnsiTheme="majorHAnsi"/>
                <w:b/>
              </w:rPr>
            </w:pPr>
            <w:r w:rsidRPr="00820C89">
              <w:rPr>
                <w:rFonts w:asciiTheme="majorHAnsi" w:hAnsiTheme="majorHAnsi"/>
                <w:b/>
              </w:rPr>
              <w:t xml:space="preserve">Clarify the role of the </w:t>
            </w:r>
            <w:r w:rsidR="00C10671" w:rsidRPr="00820C89">
              <w:rPr>
                <w:rFonts w:asciiTheme="majorHAnsi" w:hAnsiTheme="majorHAnsi"/>
                <w:b/>
              </w:rPr>
              <w:t xml:space="preserve">Australian Employment Covenant (AEC) </w:t>
            </w:r>
            <w:r w:rsidRPr="00820C89">
              <w:rPr>
                <w:rFonts w:asciiTheme="majorHAnsi" w:hAnsiTheme="majorHAnsi"/>
                <w:b/>
              </w:rPr>
              <w:t xml:space="preserve">and GenerationOne </w:t>
            </w:r>
          </w:p>
        </w:tc>
        <w:tc>
          <w:tcPr>
            <w:tcW w:w="6820" w:type="dxa"/>
          </w:tcPr>
          <w:p w14:paraId="647D843C" w14:textId="77777777" w:rsidR="00BC0140" w:rsidRPr="00820C89" w:rsidRDefault="00BC0140" w:rsidP="00590BC4">
            <w:pPr>
              <w:rPr>
                <w:rFonts w:asciiTheme="majorHAnsi" w:hAnsiTheme="majorHAnsi"/>
              </w:rPr>
            </w:pPr>
            <w:r w:rsidRPr="00820C89">
              <w:rPr>
                <w:rFonts w:asciiTheme="majorHAnsi" w:hAnsiTheme="majorHAnsi"/>
              </w:rPr>
              <w:t xml:space="preserve">The </w:t>
            </w:r>
            <w:r w:rsidRPr="00820C89">
              <w:rPr>
                <w:rFonts w:asciiTheme="majorHAnsi" w:hAnsiTheme="majorHAnsi"/>
                <w:i/>
              </w:rPr>
              <w:t>VTEC evaluation</w:t>
            </w:r>
            <w:r w:rsidRPr="00820C89">
              <w:rPr>
                <w:rFonts w:asciiTheme="majorHAnsi" w:hAnsiTheme="majorHAnsi"/>
              </w:rPr>
              <w:t xml:space="preserve"> found that while the AEC had been designed to work in partnership with VTEC, the majority of jobs were not sourced through the AEC register (74.2 per cent).</w:t>
            </w:r>
            <w:r w:rsidRPr="00820C89">
              <w:rPr>
                <w:rFonts w:asciiTheme="majorHAnsi" w:hAnsiTheme="majorHAnsi"/>
                <w:b/>
              </w:rPr>
              <w:t xml:space="preserve"> </w:t>
            </w:r>
            <w:r w:rsidRPr="00820C89">
              <w:rPr>
                <w:rFonts w:asciiTheme="majorHAnsi" w:hAnsiTheme="majorHAnsi"/>
              </w:rPr>
              <w:t>As such, the evaluation found that the AEC was of limited value.</w:t>
            </w:r>
            <w:r w:rsidRPr="00820C89">
              <w:rPr>
                <w:rStyle w:val="FootnoteReference"/>
                <w:rFonts w:asciiTheme="majorHAnsi" w:hAnsiTheme="majorHAnsi"/>
              </w:rPr>
              <w:footnoteReference w:id="30"/>
            </w:r>
          </w:p>
          <w:p w14:paraId="3E46E736" w14:textId="77777777" w:rsidR="00BC0140" w:rsidRPr="00820C89" w:rsidRDefault="00BC0140" w:rsidP="00590BC4">
            <w:pPr>
              <w:rPr>
                <w:rFonts w:asciiTheme="majorHAnsi" w:hAnsiTheme="majorHAnsi"/>
              </w:rPr>
            </w:pPr>
            <w:r w:rsidRPr="00820C89">
              <w:rPr>
                <w:rFonts w:asciiTheme="majorHAnsi" w:hAnsiTheme="majorHAnsi"/>
              </w:rPr>
              <w:t xml:space="preserve">Funding has since ceased for the AEC and it is not considered a part of the VTEC model in the updated program logic. Consultation with GenerationOne revealed that while GenerationOne used to play a greater role in engaging with employers, this is no longer a part of their core responsibilities. </w:t>
            </w:r>
          </w:p>
          <w:p w14:paraId="4120CE4C" w14:textId="77777777" w:rsidR="00BC0140" w:rsidRPr="00820C89" w:rsidRDefault="00BC0140" w:rsidP="00590BC4">
            <w:pPr>
              <w:rPr>
                <w:rFonts w:asciiTheme="majorHAnsi" w:hAnsiTheme="majorHAnsi"/>
                <w:i/>
              </w:rPr>
            </w:pPr>
            <w:r w:rsidRPr="00820C89">
              <w:rPr>
                <w:rFonts w:asciiTheme="majorHAnsi" w:hAnsiTheme="majorHAnsi"/>
                <w:i/>
              </w:rPr>
              <w:t xml:space="preserve">This recommendation has been actioned. </w:t>
            </w:r>
          </w:p>
        </w:tc>
      </w:tr>
      <w:tr w:rsidR="00BC0140" w:rsidRPr="00820C89" w14:paraId="62907BF3" w14:textId="77777777" w:rsidTr="00590BC4">
        <w:trPr>
          <w:trHeight w:val="395"/>
        </w:trPr>
        <w:tc>
          <w:tcPr>
            <w:tcW w:w="2552" w:type="dxa"/>
          </w:tcPr>
          <w:p w14:paraId="15B2D868" w14:textId="77777777" w:rsidR="00BC0140" w:rsidRPr="00820C89" w:rsidRDefault="00BC0140" w:rsidP="00590BC4">
            <w:pPr>
              <w:rPr>
                <w:rFonts w:asciiTheme="majorHAnsi" w:hAnsiTheme="majorHAnsi"/>
                <w:b/>
              </w:rPr>
            </w:pPr>
            <w:r w:rsidRPr="00820C89">
              <w:rPr>
                <w:rFonts w:asciiTheme="majorHAnsi" w:hAnsiTheme="majorHAnsi"/>
                <w:b/>
              </w:rPr>
              <w:lastRenderedPageBreak/>
              <w:t>Strengthen process for stream allocations and reassessment</w:t>
            </w:r>
          </w:p>
          <w:p w14:paraId="0924BB91" w14:textId="77777777" w:rsidR="00BC0140" w:rsidRPr="00820C89" w:rsidRDefault="00BC0140" w:rsidP="00590BC4">
            <w:pPr>
              <w:rPr>
                <w:rFonts w:asciiTheme="majorHAnsi" w:hAnsiTheme="majorHAnsi"/>
                <w:b/>
              </w:rPr>
            </w:pPr>
            <w:r w:rsidRPr="00820C89">
              <w:rPr>
                <w:rFonts w:asciiTheme="majorHAnsi" w:hAnsiTheme="majorHAnsi"/>
                <w:b/>
              </w:rPr>
              <w:t>Quotas should be reviewed or removed</w:t>
            </w:r>
          </w:p>
        </w:tc>
        <w:tc>
          <w:tcPr>
            <w:tcW w:w="6820" w:type="dxa"/>
          </w:tcPr>
          <w:p w14:paraId="613C5C7A" w14:textId="77777777" w:rsidR="00BC0140" w:rsidRPr="00820C89" w:rsidRDefault="00BC0140" w:rsidP="00590BC4">
            <w:pPr>
              <w:rPr>
                <w:rFonts w:asciiTheme="majorHAnsi" w:hAnsiTheme="majorHAnsi"/>
              </w:rPr>
            </w:pPr>
            <w:r w:rsidRPr="00820C89">
              <w:rPr>
                <w:rFonts w:asciiTheme="majorHAnsi" w:hAnsiTheme="majorHAnsi"/>
              </w:rPr>
              <w:t xml:space="preserve">The JSCI is a statistical tool used to measure the capacity and needs of jobseekers and is used to determine a jobseekers relative disadvantage and determine the level of support they receive. The JSCI is utilised in mainstream services, such as </w:t>
            </w:r>
            <w:r w:rsidR="00A45A79" w:rsidRPr="00820C89">
              <w:rPr>
                <w:rFonts w:asciiTheme="majorHAnsi" w:hAnsiTheme="majorHAnsi"/>
              </w:rPr>
              <w:t>j</w:t>
            </w:r>
            <w:r w:rsidRPr="00820C89">
              <w:rPr>
                <w:rFonts w:asciiTheme="majorHAnsi" w:hAnsiTheme="majorHAnsi"/>
              </w:rPr>
              <w:t>obactive, and as a complementary service the VTEC model also uses this streaming system.</w:t>
            </w:r>
          </w:p>
          <w:p w14:paraId="63B49400" w14:textId="77777777" w:rsidR="00BC0140" w:rsidRPr="00820C89" w:rsidRDefault="00BC0140" w:rsidP="00590BC4">
            <w:pPr>
              <w:rPr>
                <w:rFonts w:asciiTheme="majorHAnsi" w:hAnsiTheme="majorHAnsi"/>
              </w:rPr>
            </w:pPr>
            <w:r w:rsidRPr="00820C89">
              <w:rPr>
                <w:rFonts w:asciiTheme="majorHAnsi" w:hAnsiTheme="majorHAnsi"/>
              </w:rPr>
              <w:t xml:space="preserve">The </w:t>
            </w:r>
            <w:r w:rsidRPr="00820C89">
              <w:rPr>
                <w:rFonts w:asciiTheme="majorHAnsi" w:hAnsiTheme="majorHAnsi"/>
                <w:i/>
              </w:rPr>
              <w:t xml:space="preserve">VTEC evaluation </w:t>
            </w:r>
            <w:r w:rsidRPr="00820C89">
              <w:rPr>
                <w:rFonts w:asciiTheme="majorHAnsi" w:hAnsiTheme="majorHAnsi"/>
              </w:rPr>
              <w:t xml:space="preserve">recommended reviewing and strengthening the stream allocation due to a lack of confidence in the allocation process undertaken by Centrelink. Additionally, as there was found to be no significant difference in outcomes between participants across the streams, the evaluation recommended quotas be revised to increase flexibility. </w:t>
            </w:r>
          </w:p>
          <w:p w14:paraId="219EC27B" w14:textId="77777777" w:rsidR="00BC0140" w:rsidRPr="00820C89" w:rsidRDefault="00BC0140" w:rsidP="00590BC4">
            <w:pPr>
              <w:rPr>
                <w:rFonts w:asciiTheme="majorHAnsi" w:hAnsiTheme="majorHAnsi"/>
              </w:rPr>
            </w:pPr>
            <w:r w:rsidRPr="00820C89">
              <w:rPr>
                <w:rFonts w:asciiTheme="majorHAnsi" w:hAnsiTheme="majorHAnsi"/>
              </w:rPr>
              <w:t xml:space="preserve">The 2019 Senate Inquiry paper </w:t>
            </w:r>
            <w:r w:rsidR="002E19AC" w:rsidRPr="00820C89">
              <w:rPr>
                <w:rFonts w:asciiTheme="majorHAnsi" w:hAnsiTheme="majorHAnsi"/>
              </w:rPr>
              <w:t>J</w:t>
            </w:r>
            <w:r w:rsidRPr="00820C89">
              <w:rPr>
                <w:rFonts w:asciiTheme="majorHAnsi" w:hAnsiTheme="majorHAnsi"/>
                <w:i/>
              </w:rPr>
              <w:t xml:space="preserve">obactive: failing those it is intended to serve </w:t>
            </w:r>
            <w:r w:rsidRPr="00820C89">
              <w:rPr>
                <w:rFonts w:asciiTheme="majorHAnsi" w:hAnsiTheme="majorHAnsi"/>
              </w:rPr>
              <w:t>also found similar issues with the accuracy of the JSCI system.</w:t>
            </w:r>
            <w:r w:rsidRPr="00820C89">
              <w:rPr>
                <w:rStyle w:val="FootnoteReference"/>
                <w:rFonts w:asciiTheme="majorHAnsi" w:hAnsiTheme="majorHAnsi"/>
              </w:rPr>
              <w:footnoteReference w:id="31"/>
            </w:r>
          </w:p>
          <w:p w14:paraId="6297B389" w14:textId="77777777" w:rsidR="00BC0140" w:rsidRPr="00820C89" w:rsidRDefault="00BC0140" w:rsidP="00590BC4">
            <w:pPr>
              <w:rPr>
                <w:rFonts w:asciiTheme="majorHAnsi" w:hAnsiTheme="majorHAnsi"/>
              </w:rPr>
            </w:pPr>
            <w:r w:rsidRPr="00820C89">
              <w:rPr>
                <w:rFonts w:asciiTheme="majorHAnsi" w:hAnsiTheme="majorHAnsi"/>
              </w:rPr>
              <w:t xml:space="preserve">The JSCI is regularly reviewed as a component of mainstream service provision, and is not within the remit of NIAA to change. As at the time of the </w:t>
            </w:r>
            <w:r w:rsidRPr="00820C89">
              <w:rPr>
                <w:rFonts w:asciiTheme="majorHAnsi" w:hAnsiTheme="majorHAnsi"/>
                <w:i/>
              </w:rPr>
              <w:t xml:space="preserve">VTEC evaluation, </w:t>
            </w:r>
            <w:r w:rsidRPr="00820C89">
              <w:rPr>
                <w:rFonts w:asciiTheme="majorHAnsi" w:hAnsiTheme="majorHAnsi"/>
              </w:rPr>
              <w:t xml:space="preserve">there was a standard quota of 70 per cent of (what is now known as) Stream C participants. Now, quotas are proportionally-based. Provider reflections on streaming quotas are detailed further in Section 5.4. </w:t>
            </w:r>
          </w:p>
          <w:p w14:paraId="70CF7A37" w14:textId="77777777" w:rsidR="00BC0140" w:rsidRPr="00820C89" w:rsidRDefault="00BC0140" w:rsidP="00590BC4">
            <w:pPr>
              <w:rPr>
                <w:rFonts w:asciiTheme="majorHAnsi" w:hAnsiTheme="majorHAnsi"/>
                <w:i/>
              </w:rPr>
            </w:pPr>
            <w:r w:rsidRPr="00820C89">
              <w:rPr>
                <w:rFonts w:asciiTheme="majorHAnsi" w:hAnsiTheme="majorHAnsi"/>
                <w:i/>
              </w:rPr>
              <w:t xml:space="preserve">This recommendation has been partially actioned. </w:t>
            </w:r>
          </w:p>
        </w:tc>
      </w:tr>
      <w:tr w:rsidR="00BC0140" w:rsidRPr="00820C89" w14:paraId="4D6618A4" w14:textId="77777777" w:rsidTr="00590BC4">
        <w:trPr>
          <w:trHeight w:val="395"/>
        </w:trPr>
        <w:tc>
          <w:tcPr>
            <w:tcW w:w="2552" w:type="dxa"/>
          </w:tcPr>
          <w:p w14:paraId="5BF00FBD" w14:textId="77777777" w:rsidR="00BC0140" w:rsidRPr="00820C89" w:rsidRDefault="00BC0140" w:rsidP="00590BC4">
            <w:pPr>
              <w:rPr>
                <w:rFonts w:asciiTheme="majorHAnsi" w:hAnsiTheme="majorHAnsi"/>
                <w:b/>
              </w:rPr>
            </w:pPr>
            <w:r w:rsidRPr="00820C89">
              <w:rPr>
                <w:rFonts w:asciiTheme="majorHAnsi" w:hAnsiTheme="majorHAnsi"/>
                <w:b/>
              </w:rPr>
              <w:t>A communications and promotional campaign should be attached to the VTEC program</w:t>
            </w:r>
          </w:p>
        </w:tc>
        <w:tc>
          <w:tcPr>
            <w:tcW w:w="6820" w:type="dxa"/>
          </w:tcPr>
          <w:p w14:paraId="2398A62B" w14:textId="77777777" w:rsidR="00BC0140" w:rsidRPr="00820C89" w:rsidRDefault="00BC0140" w:rsidP="00590BC4">
            <w:pPr>
              <w:rPr>
                <w:rFonts w:asciiTheme="majorHAnsi" w:hAnsiTheme="majorHAnsi"/>
              </w:rPr>
            </w:pPr>
            <w:r w:rsidRPr="00820C89">
              <w:rPr>
                <w:rFonts w:asciiTheme="majorHAnsi" w:hAnsiTheme="majorHAnsi"/>
                <w:i/>
              </w:rPr>
              <w:t xml:space="preserve">The VTEC evaluation </w:t>
            </w:r>
            <w:r w:rsidRPr="00820C89">
              <w:rPr>
                <w:rFonts w:asciiTheme="majorHAnsi" w:hAnsiTheme="majorHAnsi"/>
              </w:rPr>
              <w:t xml:space="preserve">found that the majority of service providers interviewed noted that an awareness or promotional campaign would have been a useful method for distributing coordinated cross-agency communications. </w:t>
            </w:r>
            <w:r w:rsidRPr="00820C89">
              <w:rPr>
                <w:rFonts w:asciiTheme="majorHAnsi" w:hAnsiTheme="majorHAnsi"/>
              </w:rPr>
              <w:br/>
            </w:r>
            <w:r w:rsidRPr="00820C89">
              <w:rPr>
                <w:rFonts w:asciiTheme="majorHAnsi" w:hAnsiTheme="majorHAnsi"/>
              </w:rPr>
              <w:br/>
              <w:t xml:space="preserve">Stakeholder consultations reported challenges working with other related services (e.g. </w:t>
            </w:r>
            <w:r w:rsidR="00A45A79" w:rsidRPr="00820C89">
              <w:rPr>
                <w:rFonts w:asciiTheme="majorHAnsi" w:hAnsiTheme="majorHAnsi"/>
              </w:rPr>
              <w:t>j</w:t>
            </w:r>
            <w:r w:rsidRPr="00820C89">
              <w:rPr>
                <w:rFonts w:asciiTheme="majorHAnsi" w:hAnsiTheme="majorHAnsi"/>
              </w:rPr>
              <w:t>obactive) and these findings are discussed in detail in Section 5.4.</w:t>
            </w:r>
          </w:p>
          <w:p w14:paraId="322B97AA" w14:textId="77777777" w:rsidR="00BC0140" w:rsidRPr="00820C89" w:rsidRDefault="00BC0140" w:rsidP="00590BC4">
            <w:pPr>
              <w:rPr>
                <w:rFonts w:asciiTheme="majorHAnsi" w:hAnsiTheme="majorHAnsi"/>
                <w:i/>
              </w:rPr>
            </w:pPr>
            <w:r w:rsidRPr="00820C89">
              <w:rPr>
                <w:rFonts w:asciiTheme="majorHAnsi" w:hAnsiTheme="majorHAnsi"/>
                <w:i/>
              </w:rPr>
              <w:t xml:space="preserve">This recommendation has not been actioned. </w:t>
            </w:r>
          </w:p>
        </w:tc>
      </w:tr>
      <w:tr w:rsidR="00BC0140" w:rsidRPr="00820C89" w14:paraId="3720E136" w14:textId="77777777" w:rsidTr="00590BC4">
        <w:trPr>
          <w:trHeight w:val="395"/>
        </w:trPr>
        <w:tc>
          <w:tcPr>
            <w:tcW w:w="2552" w:type="dxa"/>
          </w:tcPr>
          <w:p w14:paraId="60CC3B25" w14:textId="77777777" w:rsidR="00BC0140" w:rsidRPr="00820C89" w:rsidRDefault="00BC0140" w:rsidP="00590BC4">
            <w:pPr>
              <w:rPr>
                <w:rFonts w:asciiTheme="majorHAnsi" w:hAnsiTheme="majorHAnsi"/>
                <w:b/>
              </w:rPr>
            </w:pPr>
            <w:r w:rsidRPr="00820C89">
              <w:rPr>
                <w:rFonts w:asciiTheme="majorHAnsi" w:hAnsiTheme="majorHAnsi"/>
                <w:b/>
              </w:rPr>
              <w:t>A paid work experience scheme may be an appropriate mechanism with which to develop capacity among participants and employers</w:t>
            </w:r>
          </w:p>
        </w:tc>
        <w:tc>
          <w:tcPr>
            <w:tcW w:w="6820" w:type="dxa"/>
          </w:tcPr>
          <w:p w14:paraId="1605E60B" w14:textId="77777777" w:rsidR="00BC0140" w:rsidRPr="00820C89" w:rsidRDefault="00BC0140" w:rsidP="00590BC4">
            <w:pPr>
              <w:rPr>
                <w:rFonts w:asciiTheme="majorHAnsi" w:hAnsiTheme="majorHAnsi"/>
              </w:rPr>
            </w:pPr>
            <w:r w:rsidRPr="00820C89">
              <w:rPr>
                <w:rFonts w:asciiTheme="majorHAnsi" w:hAnsiTheme="majorHAnsi"/>
                <w:i/>
              </w:rPr>
              <w:t xml:space="preserve">The VTEC evaluation </w:t>
            </w:r>
            <w:r w:rsidRPr="00820C89">
              <w:rPr>
                <w:rFonts w:asciiTheme="majorHAnsi" w:hAnsiTheme="majorHAnsi"/>
              </w:rPr>
              <w:t xml:space="preserve">reported that for participants with significant barriers to entry, paid work experience may enable participants to develop work behaviours in a low-stakes setting, and for employers to be incentivised to develop capacity in cultural competency within the workplace, which could stimulate opportunities for future employment. </w:t>
            </w:r>
          </w:p>
          <w:p w14:paraId="7B56E12D" w14:textId="77777777" w:rsidR="00BC0140" w:rsidRPr="00820C89" w:rsidRDefault="00BC0140" w:rsidP="00590BC4">
            <w:pPr>
              <w:rPr>
                <w:rFonts w:asciiTheme="majorHAnsi" w:hAnsiTheme="majorHAnsi"/>
              </w:rPr>
            </w:pPr>
            <w:r w:rsidRPr="00820C89">
              <w:rPr>
                <w:rFonts w:asciiTheme="majorHAnsi" w:hAnsiTheme="majorHAnsi"/>
              </w:rPr>
              <w:t xml:space="preserve">While the VTEC program has not been updated to incorporate this recommendation, some TAEG programs reflect this work experience model (as detailed in Section 5.5). </w:t>
            </w:r>
          </w:p>
          <w:p w14:paraId="4F09697E" w14:textId="77777777" w:rsidR="00BC0140" w:rsidRPr="00820C89" w:rsidRDefault="00BC0140" w:rsidP="00590BC4">
            <w:pPr>
              <w:rPr>
                <w:rFonts w:asciiTheme="majorHAnsi" w:hAnsiTheme="majorHAnsi"/>
                <w:i/>
              </w:rPr>
            </w:pPr>
            <w:r w:rsidRPr="00820C89">
              <w:rPr>
                <w:rFonts w:asciiTheme="majorHAnsi" w:hAnsiTheme="majorHAnsi"/>
                <w:i/>
              </w:rPr>
              <w:t xml:space="preserve">This recommendation has been partially actioned. </w:t>
            </w:r>
          </w:p>
        </w:tc>
      </w:tr>
    </w:tbl>
    <w:p w14:paraId="036CB7AD" w14:textId="77777777" w:rsidR="00BC0140" w:rsidRPr="00820C89" w:rsidRDefault="00BC0140" w:rsidP="00BC0140">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Deloitte Access Economics (2020).</w:t>
      </w:r>
    </w:p>
    <w:p w14:paraId="7CCF2044" w14:textId="77777777" w:rsidR="001444BE" w:rsidRPr="00820C89" w:rsidRDefault="00AA1EB3" w:rsidP="001444BE">
      <w:pPr>
        <w:pStyle w:val="Heading3"/>
      </w:pPr>
      <w:r w:rsidRPr="00820C89">
        <w:t xml:space="preserve">Stakeholder </w:t>
      </w:r>
      <w:r w:rsidR="002168F3" w:rsidRPr="00820C89">
        <w:t xml:space="preserve">reflections </w:t>
      </w:r>
    </w:p>
    <w:p w14:paraId="3115C84A" w14:textId="77777777" w:rsidR="001444BE" w:rsidRPr="00820C89" w:rsidRDefault="001444BE" w:rsidP="001444BE">
      <w:pPr>
        <w:keepNext/>
        <w:rPr>
          <w:rFonts w:asciiTheme="majorHAnsi" w:hAnsiTheme="majorHAnsi"/>
          <w:bCs/>
          <w:iCs/>
        </w:rPr>
      </w:pPr>
      <w:r w:rsidRPr="00820C89">
        <w:rPr>
          <w:rFonts w:asciiTheme="majorHAnsi" w:hAnsiTheme="majorHAnsi"/>
          <w:bCs/>
          <w:iCs/>
        </w:rPr>
        <w:t xml:space="preserve">Beyond the VTEC evaluation documentation, consultations have </w:t>
      </w:r>
      <w:r w:rsidR="000556BC" w:rsidRPr="00820C89">
        <w:rPr>
          <w:rFonts w:asciiTheme="majorHAnsi" w:hAnsiTheme="majorHAnsi"/>
          <w:bCs/>
          <w:iCs/>
        </w:rPr>
        <w:t xml:space="preserve">indicated there were a number of </w:t>
      </w:r>
      <w:r w:rsidRPr="00820C89">
        <w:rPr>
          <w:rFonts w:asciiTheme="majorHAnsi" w:hAnsiTheme="majorHAnsi"/>
          <w:bCs/>
          <w:iCs/>
        </w:rPr>
        <w:t>further refinements to the IEP</w:t>
      </w:r>
      <w:r w:rsidR="000040A7" w:rsidRPr="00820C89">
        <w:rPr>
          <w:rFonts w:asciiTheme="majorHAnsi" w:hAnsiTheme="majorHAnsi"/>
          <w:bCs/>
          <w:iCs/>
        </w:rPr>
        <w:t xml:space="preserve"> through the life of the program</w:t>
      </w:r>
      <w:r w:rsidR="000556BC" w:rsidRPr="00820C89">
        <w:rPr>
          <w:rFonts w:asciiTheme="majorHAnsi" w:hAnsiTheme="majorHAnsi"/>
          <w:bCs/>
          <w:iCs/>
        </w:rPr>
        <w:t>, but th</w:t>
      </w:r>
      <w:r w:rsidR="003B585C" w:rsidRPr="00820C89">
        <w:rPr>
          <w:rFonts w:asciiTheme="majorHAnsi" w:hAnsiTheme="majorHAnsi"/>
          <w:bCs/>
          <w:iCs/>
        </w:rPr>
        <w:t xml:space="preserve">e </w:t>
      </w:r>
      <w:r w:rsidR="007E665E" w:rsidRPr="00820C89">
        <w:rPr>
          <w:rFonts w:asciiTheme="majorHAnsi" w:hAnsiTheme="majorHAnsi"/>
          <w:bCs/>
          <w:iCs/>
        </w:rPr>
        <w:t xml:space="preserve">initiation </w:t>
      </w:r>
      <w:r w:rsidR="000040A7" w:rsidRPr="00820C89">
        <w:rPr>
          <w:rFonts w:asciiTheme="majorHAnsi" w:hAnsiTheme="majorHAnsi"/>
          <w:bCs/>
          <w:iCs/>
        </w:rPr>
        <w:t xml:space="preserve">of these </w:t>
      </w:r>
      <w:r w:rsidR="000040A7" w:rsidRPr="00820C89">
        <w:rPr>
          <w:rFonts w:asciiTheme="majorHAnsi" w:hAnsiTheme="majorHAnsi"/>
          <w:bCs/>
          <w:iCs/>
        </w:rPr>
        <w:lastRenderedPageBreak/>
        <w:t xml:space="preserve">refinements or the </w:t>
      </w:r>
      <w:r w:rsidR="003B585C" w:rsidRPr="00820C89">
        <w:rPr>
          <w:rFonts w:asciiTheme="majorHAnsi" w:hAnsiTheme="majorHAnsi"/>
          <w:bCs/>
          <w:iCs/>
        </w:rPr>
        <w:t xml:space="preserve">strength of evidence supporting these changes is unclear. </w:t>
      </w:r>
      <w:r w:rsidR="000556BC" w:rsidRPr="00820C89">
        <w:rPr>
          <w:rFonts w:asciiTheme="majorHAnsi" w:hAnsiTheme="majorHAnsi"/>
          <w:bCs/>
          <w:iCs/>
        </w:rPr>
        <w:t xml:space="preserve"> </w:t>
      </w:r>
      <w:r w:rsidRPr="00820C89">
        <w:rPr>
          <w:rFonts w:asciiTheme="majorHAnsi" w:hAnsiTheme="majorHAnsi"/>
          <w:bCs/>
          <w:iCs/>
        </w:rPr>
        <w:t>These</w:t>
      </w:r>
      <w:r w:rsidR="003B585C" w:rsidRPr="00820C89">
        <w:rPr>
          <w:rFonts w:asciiTheme="majorHAnsi" w:hAnsiTheme="majorHAnsi"/>
          <w:bCs/>
          <w:iCs/>
        </w:rPr>
        <w:t xml:space="preserve"> changes</w:t>
      </w:r>
      <w:r w:rsidRPr="00820C89">
        <w:rPr>
          <w:rFonts w:asciiTheme="majorHAnsi" w:hAnsiTheme="majorHAnsi"/>
          <w:bCs/>
          <w:iCs/>
        </w:rPr>
        <w:t xml:space="preserve"> include:</w:t>
      </w:r>
    </w:p>
    <w:p w14:paraId="2BB194D4" w14:textId="77777777" w:rsidR="00DE2B4A" w:rsidRPr="00820C89" w:rsidRDefault="00AD041B" w:rsidP="00715F70">
      <w:pPr>
        <w:pStyle w:val="ListParagraph"/>
        <w:numPr>
          <w:ilvl w:val="0"/>
          <w:numId w:val="13"/>
        </w:numPr>
        <w:spacing w:before="60" w:after="60"/>
        <w:contextualSpacing w:val="0"/>
        <w:rPr>
          <w:rFonts w:asciiTheme="majorHAnsi" w:hAnsiTheme="majorHAnsi"/>
          <w:bCs/>
          <w:iCs/>
        </w:rPr>
      </w:pPr>
      <w:r w:rsidRPr="00820C89">
        <w:rPr>
          <w:rFonts w:asciiTheme="majorHAnsi" w:hAnsiTheme="majorHAnsi"/>
          <w:b/>
          <w:iCs/>
        </w:rPr>
        <w:t xml:space="preserve">VTEC Indigeneity requirement - </w:t>
      </w:r>
      <w:r w:rsidRPr="00820C89">
        <w:rPr>
          <w:rFonts w:asciiTheme="majorHAnsi" w:hAnsiTheme="majorHAnsi"/>
          <w:bCs/>
          <w:iCs/>
        </w:rPr>
        <w:t>a</w:t>
      </w:r>
      <w:r w:rsidR="001444BE" w:rsidRPr="00820C89">
        <w:rPr>
          <w:rFonts w:asciiTheme="majorHAnsi" w:hAnsiTheme="majorHAnsi"/>
          <w:bCs/>
          <w:iCs/>
        </w:rPr>
        <w:t>s of 2018, all VTECs are required to either be an Indigenous organisation or have a joint venture with an Indigenous organisation. This was not a recommendation in the VTEC evaluation</w:t>
      </w:r>
      <w:r w:rsidR="00C179E6" w:rsidRPr="00820C89">
        <w:rPr>
          <w:rFonts w:asciiTheme="majorHAnsi" w:hAnsiTheme="majorHAnsi"/>
          <w:bCs/>
          <w:iCs/>
        </w:rPr>
        <w:t xml:space="preserve">, but was a </w:t>
      </w:r>
      <w:r w:rsidR="00DE2B4A" w:rsidRPr="00820C89">
        <w:rPr>
          <w:rFonts w:asciiTheme="majorHAnsi" w:hAnsiTheme="majorHAnsi"/>
          <w:bCs/>
          <w:iCs/>
        </w:rPr>
        <w:t>criterion</w:t>
      </w:r>
      <w:r w:rsidR="00C179E6" w:rsidRPr="00820C89">
        <w:rPr>
          <w:rFonts w:asciiTheme="majorHAnsi" w:hAnsiTheme="majorHAnsi"/>
          <w:bCs/>
          <w:iCs/>
        </w:rPr>
        <w:t xml:space="preserve"> </w:t>
      </w:r>
      <w:r w:rsidR="001444BE" w:rsidRPr="00820C89">
        <w:rPr>
          <w:rFonts w:asciiTheme="majorHAnsi" w:hAnsiTheme="majorHAnsi"/>
          <w:bCs/>
          <w:iCs/>
        </w:rPr>
        <w:t xml:space="preserve">introduced by </w:t>
      </w:r>
      <w:r w:rsidR="00690B13" w:rsidRPr="00820C89">
        <w:rPr>
          <w:rFonts w:asciiTheme="majorHAnsi" w:hAnsiTheme="majorHAnsi"/>
          <w:bCs/>
          <w:iCs/>
        </w:rPr>
        <w:t xml:space="preserve">former </w:t>
      </w:r>
      <w:r w:rsidR="001444BE" w:rsidRPr="00820C89">
        <w:rPr>
          <w:rFonts w:asciiTheme="majorHAnsi" w:hAnsiTheme="majorHAnsi"/>
          <w:bCs/>
          <w:iCs/>
        </w:rPr>
        <w:t xml:space="preserve">Minister </w:t>
      </w:r>
      <w:r w:rsidR="00690B13" w:rsidRPr="00820C89">
        <w:rPr>
          <w:rFonts w:asciiTheme="majorHAnsi" w:hAnsiTheme="majorHAnsi"/>
          <w:bCs/>
          <w:iCs/>
        </w:rPr>
        <w:t xml:space="preserve">for Indigenous Affairs, </w:t>
      </w:r>
      <w:r w:rsidR="001444BE" w:rsidRPr="00820C89">
        <w:rPr>
          <w:rFonts w:asciiTheme="majorHAnsi" w:hAnsiTheme="majorHAnsi"/>
          <w:bCs/>
          <w:iCs/>
        </w:rPr>
        <w:t xml:space="preserve">Nigel Scullion to further promote engagement with Indigenous Australian communities, and to ensure that Indigenous organisations were at the heart of the VTEC model. There does not appear to be formalised documentation of the rationale for this change. </w:t>
      </w:r>
    </w:p>
    <w:p w14:paraId="56A7499A" w14:textId="54F59B47" w:rsidR="001444BE" w:rsidRPr="00820C89" w:rsidRDefault="001444BE" w:rsidP="00715F70">
      <w:pPr>
        <w:pStyle w:val="ListParagraph"/>
        <w:numPr>
          <w:ilvl w:val="0"/>
          <w:numId w:val="13"/>
        </w:numPr>
        <w:spacing w:before="60" w:after="60"/>
        <w:contextualSpacing w:val="0"/>
        <w:rPr>
          <w:rFonts w:asciiTheme="majorHAnsi" w:hAnsiTheme="majorHAnsi"/>
          <w:bCs/>
          <w:iCs/>
        </w:rPr>
      </w:pPr>
      <w:r w:rsidRPr="00820C89">
        <w:rPr>
          <w:rFonts w:asciiTheme="majorHAnsi" w:hAnsiTheme="majorHAnsi"/>
          <w:b/>
          <w:iCs/>
        </w:rPr>
        <w:t>EPI career advancement stream</w:t>
      </w:r>
      <w:r w:rsidRPr="00820C89">
        <w:rPr>
          <w:rFonts w:asciiTheme="majorHAnsi" w:hAnsiTheme="majorHAnsi"/>
          <w:bCs/>
          <w:iCs/>
        </w:rPr>
        <w:t xml:space="preserve"> </w:t>
      </w:r>
      <w:r w:rsidR="00B343D0" w:rsidRPr="00820C89">
        <w:rPr>
          <w:rFonts w:asciiTheme="majorHAnsi" w:hAnsiTheme="majorHAnsi"/>
          <w:b/>
          <w:iCs/>
        </w:rPr>
        <w:t>pilot</w:t>
      </w:r>
      <w:r w:rsidR="00B343D0" w:rsidRPr="00820C89">
        <w:rPr>
          <w:rFonts w:asciiTheme="majorHAnsi" w:hAnsiTheme="majorHAnsi"/>
          <w:bCs/>
          <w:iCs/>
        </w:rPr>
        <w:t xml:space="preserve"> </w:t>
      </w:r>
      <w:r w:rsidR="000F6466" w:rsidRPr="00820C89">
        <w:rPr>
          <w:rFonts w:asciiTheme="majorHAnsi" w:hAnsiTheme="majorHAnsi"/>
          <w:bCs/>
          <w:iCs/>
        </w:rPr>
        <w:t xml:space="preserve">intended to be </w:t>
      </w:r>
      <w:r w:rsidRPr="00820C89">
        <w:rPr>
          <w:rFonts w:asciiTheme="majorHAnsi" w:hAnsiTheme="majorHAnsi"/>
          <w:bCs/>
          <w:iCs/>
        </w:rPr>
        <w:t>trialled with FMG</w:t>
      </w:r>
      <w:r w:rsidR="000F6466" w:rsidRPr="00820C89">
        <w:rPr>
          <w:rFonts w:asciiTheme="majorHAnsi" w:hAnsiTheme="majorHAnsi"/>
          <w:bCs/>
          <w:iCs/>
        </w:rPr>
        <w:t xml:space="preserve"> but ultimately did not proceed.</w:t>
      </w:r>
      <w:r w:rsidRPr="00820C89">
        <w:rPr>
          <w:rStyle w:val="FootnoteReference"/>
          <w:rFonts w:asciiTheme="majorHAnsi" w:hAnsiTheme="majorHAnsi"/>
          <w:bCs/>
          <w:iCs/>
        </w:rPr>
        <w:footnoteReference w:id="32"/>
      </w:r>
      <w:r w:rsidR="00B343D0" w:rsidRPr="00820C89">
        <w:rPr>
          <w:rFonts w:asciiTheme="majorHAnsi" w:hAnsiTheme="majorHAnsi"/>
          <w:bCs/>
          <w:iCs/>
        </w:rPr>
        <w:t xml:space="preserve"> - </w:t>
      </w:r>
      <w:r w:rsidRPr="00820C89">
        <w:rPr>
          <w:rFonts w:asciiTheme="majorHAnsi" w:hAnsiTheme="majorHAnsi"/>
          <w:bCs/>
          <w:iCs/>
        </w:rPr>
        <w:t xml:space="preserve">the pilot </w:t>
      </w:r>
      <w:r w:rsidR="000F6466" w:rsidRPr="00820C89">
        <w:rPr>
          <w:rFonts w:asciiTheme="majorHAnsi" w:hAnsiTheme="majorHAnsi"/>
          <w:bCs/>
          <w:iCs/>
        </w:rPr>
        <w:t>was to</w:t>
      </w:r>
      <w:r w:rsidRPr="00820C89">
        <w:rPr>
          <w:rFonts w:asciiTheme="majorHAnsi" w:hAnsiTheme="majorHAnsi"/>
          <w:bCs/>
          <w:iCs/>
        </w:rPr>
        <w:t xml:space="preserve"> support up to 400 Indigenous employees to achieve their career goals through professional development and training opportunities, as well as long-term employment support (up to </w:t>
      </w:r>
      <w:r w:rsidR="003D23BF" w:rsidRPr="00820C89">
        <w:rPr>
          <w:rFonts w:asciiTheme="majorHAnsi" w:hAnsiTheme="majorHAnsi"/>
          <w:bCs/>
          <w:iCs/>
        </w:rPr>
        <w:t>two</w:t>
      </w:r>
      <w:r w:rsidRPr="00820C89">
        <w:rPr>
          <w:rFonts w:asciiTheme="majorHAnsi" w:hAnsiTheme="majorHAnsi"/>
          <w:bCs/>
          <w:iCs/>
        </w:rPr>
        <w:t xml:space="preserve"> years). This pilot has been considered for EPI because FMG have already reached their parity target and NIAA want</w:t>
      </w:r>
      <w:r w:rsidR="000F6466" w:rsidRPr="00820C89">
        <w:rPr>
          <w:rFonts w:asciiTheme="majorHAnsi" w:hAnsiTheme="majorHAnsi"/>
          <w:bCs/>
          <w:iCs/>
        </w:rPr>
        <w:t>ed</w:t>
      </w:r>
      <w:r w:rsidRPr="00820C89">
        <w:rPr>
          <w:rFonts w:asciiTheme="majorHAnsi" w:hAnsiTheme="majorHAnsi"/>
          <w:bCs/>
          <w:iCs/>
        </w:rPr>
        <w:t xml:space="preserve"> to explore the effectiveness of a more mature model of the EPI which focuse</w:t>
      </w:r>
      <w:r w:rsidR="000F6466" w:rsidRPr="00820C89">
        <w:rPr>
          <w:rFonts w:asciiTheme="majorHAnsi" w:hAnsiTheme="majorHAnsi"/>
          <w:bCs/>
          <w:iCs/>
        </w:rPr>
        <w:t>d</w:t>
      </w:r>
      <w:r w:rsidRPr="00820C89">
        <w:rPr>
          <w:rFonts w:asciiTheme="majorHAnsi" w:hAnsiTheme="majorHAnsi"/>
          <w:bCs/>
          <w:iCs/>
        </w:rPr>
        <w:t xml:space="preserve"> on longer milestones and ensuring career progression for Indigenous Australians.</w:t>
      </w:r>
      <w:r w:rsidR="00B343D0" w:rsidRPr="00820C89">
        <w:rPr>
          <w:rFonts w:asciiTheme="majorHAnsi" w:hAnsiTheme="majorHAnsi"/>
          <w:bCs/>
          <w:iCs/>
        </w:rPr>
        <w:t xml:space="preserve"> </w:t>
      </w:r>
    </w:p>
    <w:p w14:paraId="6ABF88D0" w14:textId="6D52D326" w:rsidR="002F39AE" w:rsidRPr="00820C89" w:rsidRDefault="00577D1A" w:rsidP="00715F70">
      <w:pPr>
        <w:pStyle w:val="ListParagraph"/>
        <w:numPr>
          <w:ilvl w:val="0"/>
          <w:numId w:val="13"/>
        </w:numPr>
        <w:spacing w:before="60" w:after="60"/>
        <w:contextualSpacing w:val="0"/>
        <w:rPr>
          <w:rFonts w:asciiTheme="majorHAnsi" w:hAnsiTheme="majorHAnsi"/>
          <w:bCs/>
          <w:iCs/>
        </w:rPr>
      </w:pPr>
      <w:r w:rsidRPr="00820C89">
        <w:rPr>
          <w:rFonts w:asciiTheme="majorHAnsi" w:hAnsiTheme="majorHAnsi"/>
          <w:b/>
          <w:iCs/>
        </w:rPr>
        <w:t xml:space="preserve">TAEG </w:t>
      </w:r>
      <w:r w:rsidR="00C159FC" w:rsidRPr="00820C89">
        <w:rPr>
          <w:rFonts w:asciiTheme="majorHAnsi" w:hAnsiTheme="majorHAnsi"/>
          <w:b/>
          <w:iCs/>
        </w:rPr>
        <w:t>milestone payment</w:t>
      </w:r>
      <w:r w:rsidRPr="00820C89">
        <w:rPr>
          <w:rFonts w:asciiTheme="majorHAnsi" w:hAnsiTheme="majorHAnsi"/>
          <w:b/>
          <w:iCs/>
        </w:rPr>
        <w:t xml:space="preserve"> structure</w:t>
      </w:r>
      <w:r w:rsidR="00C159FC" w:rsidRPr="00820C89">
        <w:rPr>
          <w:rFonts w:asciiTheme="majorHAnsi" w:hAnsiTheme="majorHAnsi"/>
          <w:b/>
          <w:iCs/>
        </w:rPr>
        <w:t xml:space="preserve"> </w:t>
      </w:r>
      <w:r w:rsidR="000A2B6C" w:rsidRPr="00820C89">
        <w:rPr>
          <w:rFonts w:asciiTheme="majorHAnsi" w:hAnsiTheme="majorHAnsi"/>
          <w:b/>
          <w:iCs/>
        </w:rPr>
        <w:t xml:space="preserve">– </w:t>
      </w:r>
      <w:r w:rsidR="000A2B6C" w:rsidRPr="00820C89">
        <w:rPr>
          <w:rFonts w:asciiTheme="majorHAnsi" w:hAnsiTheme="majorHAnsi"/>
          <w:bCs/>
          <w:iCs/>
        </w:rPr>
        <w:t>s</w:t>
      </w:r>
      <w:r w:rsidR="00EE53FC" w:rsidRPr="00820C89">
        <w:rPr>
          <w:rFonts w:asciiTheme="majorHAnsi" w:hAnsiTheme="majorHAnsi"/>
          <w:bCs/>
          <w:iCs/>
        </w:rPr>
        <w:t>everal consulted</w:t>
      </w:r>
      <w:r w:rsidR="000A2B6C" w:rsidRPr="00820C89">
        <w:rPr>
          <w:rFonts w:asciiTheme="majorHAnsi" w:hAnsiTheme="majorHAnsi"/>
          <w:bCs/>
          <w:iCs/>
        </w:rPr>
        <w:t xml:space="preserve"> TAEG providers </w:t>
      </w:r>
      <w:r w:rsidR="003B6137" w:rsidRPr="00820C89">
        <w:rPr>
          <w:rFonts w:asciiTheme="majorHAnsi" w:hAnsiTheme="majorHAnsi"/>
          <w:bCs/>
          <w:iCs/>
        </w:rPr>
        <w:t>noted there was a</w:t>
      </w:r>
      <w:r w:rsidR="000A2B6C" w:rsidRPr="00820C89">
        <w:rPr>
          <w:rFonts w:asciiTheme="majorHAnsi" w:hAnsiTheme="majorHAnsi"/>
          <w:bCs/>
          <w:iCs/>
        </w:rPr>
        <w:t xml:space="preserve"> change in how milestone</w:t>
      </w:r>
      <w:r w:rsidR="003B6137" w:rsidRPr="00820C89">
        <w:rPr>
          <w:rFonts w:asciiTheme="majorHAnsi" w:hAnsiTheme="majorHAnsi"/>
          <w:bCs/>
          <w:iCs/>
        </w:rPr>
        <w:t xml:space="preserve"> payments were d</w:t>
      </w:r>
      <w:r w:rsidR="00DF63CE" w:rsidRPr="00820C89">
        <w:rPr>
          <w:rFonts w:asciiTheme="majorHAnsi" w:hAnsiTheme="majorHAnsi"/>
          <w:bCs/>
          <w:iCs/>
        </w:rPr>
        <w:t>istributed</w:t>
      </w:r>
      <w:r w:rsidR="00365938" w:rsidRPr="00820C89">
        <w:rPr>
          <w:rFonts w:asciiTheme="majorHAnsi" w:hAnsiTheme="majorHAnsi"/>
          <w:bCs/>
          <w:iCs/>
        </w:rPr>
        <w:t xml:space="preserve">. Instead of a bulk payment at </w:t>
      </w:r>
      <w:r w:rsidR="00C46011" w:rsidRPr="00820C89">
        <w:rPr>
          <w:rFonts w:asciiTheme="majorHAnsi" w:hAnsiTheme="majorHAnsi"/>
          <w:bCs/>
          <w:iCs/>
        </w:rPr>
        <w:t>26-wee</w:t>
      </w:r>
      <w:r w:rsidR="00827DD3" w:rsidRPr="00820C89">
        <w:rPr>
          <w:rFonts w:asciiTheme="majorHAnsi" w:hAnsiTheme="majorHAnsi"/>
          <w:bCs/>
          <w:iCs/>
        </w:rPr>
        <w:t>ks</w:t>
      </w:r>
      <w:r w:rsidR="002F78FA" w:rsidRPr="00820C89">
        <w:rPr>
          <w:rFonts w:asciiTheme="majorHAnsi" w:hAnsiTheme="majorHAnsi"/>
          <w:bCs/>
          <w:iCs/>
        </w:rPr>
        <w:t xml:space="preserve"> in employment</w:t>
      </w:r>
      <w:r w:rsidR="00365938" w:rsidRPr="00820C89">
        <w:rPr>
          <w:rFonts w:asciiTheme="majorHAnsi" w:hAnsiTheme="majorHAnsi"/>
          <w:bCs/>
          <w:iCs/>
        </w:rPr>
        <w:t xml:space="preserve">, </w:t>
      </w:r>
      <w:r w:rsidR="00CF59DD" w:rsidRPr="00820C89">
        <w:rPr>
          <w:rFonts w:asciiTheme="majorHAnsi" w:hAnsiTheme="majorHAnsi"/>
          <w:bCs/>
          <w:iCs/>
        </w:rPr>
        <w:t>providers</w:t>
      </w:r>
      <w:r w:rsidR="00CC02F5" w:rsidRPr="00820C89">
        <w:rPr>
          <w:rFonts w:asciiTheme="majorHAnsi" w:hAnsiTheme="majorHAnsi"/>
          <w:bCs/>
          <w:iCs/>
        </w:rPr>
        <w:t xml:space="preserve"> receive</w:t>
      </w:r>
      <w:r w:rsidR="00CF59DD" w:rsidRPr="00820C89">
        <w:rPr>
          <w:rFonts w:asciiTheme="majorHAnsi" w:hAnsiTheme="majorHAnsi"/>
          <w:bCs/>
          <w:iCs/>
        </w:rPr>
        <w:t>d</w:t>
      </w:r>
      <w:r w:rsidR="004A5571" w:rsidRPr="00820C89">
        <w:rPr>
          <w:rFonts w:asciiTheme="majorHAnsi" w:hAnsiTheme="majorHAnsi"/>
          <w:bCs/>
          <w:iCs/>
        </w:rPr>
        <w:t xml:space="preserve"> payments upon commencement and at 1</w:t>
      </w:r>
      <w:r w:rsidR="00E643E5" w:rsidRPr="00820C89">
        <w:rPr>
          <w:rFonts w:asciiTheme="majorHAnsi" w:hAnsiTheme="majorHAnsi"/>
          <w:bCs/>
          <w:iCs/>
        </w:rPr>
        <w:t>3</w:t>
      </w:r>
      <w:r w:rsidR="007667C9" w:rsidRPr="00820C89">
        <w:rPr>
          <w:rFonts w:asciiTheme="majorHAnsi" w:hAnsiTheme="majorHAnsi"/>
          <w:bCs/>
          <w:iCs/>
        </w:rPr>
        <w:t xml:space="preserve"> </w:t>
      </w:r>
      <w:r w:rsidR="004A5571" w:rsidRPr="00820C89">
        <w:rPr>
          <w:rFonts w:asciiTheme="majorHAnsi" w:hAnsiTheme="majorHAnsi"/>
          <w:bCs/>
          <w:iCs/>
        </w:rPr>
        <w:t>weeks employment</w:t>
      </w:r>
      <w:r w:rsidR="00CF59DD" w:rsidRPr="00820C89">
        <w:rPr>
          <w:rFonts w:asciiTheme="majorHAnsi" w:hAnsiTheme="majorHAnsi"/>
          <w:bCs/>
          <w:iCs/>
        </w:rPr>
        <w:t xml:space="preserve">. </w:t>
      </w:r>
      <w:r w:rsidR="00C46011" w:rsidRPr="00820C89">
        <w:rPr>
          <w:rFonts w:asciiTheme="majorHAnsi" w:hAnsiTheme="majorHAnsi"/>
          <w:bCs/>
          <w:iCs/>
        </w:rPr>
        <w:t xml:space="preserve">While this change in funding structure </w:t>
      </w:r>
      <w:r w:rsidR="00E632A5" w:rsidRPr="00820C89">
        <w:rPr>
          <w:rFonts w:asciiTheme="majorHAnsi" w:hAnsiTheme="majorHAnsi"/>
          <w:bCs/>
          <w:iCs/>
        </w:rPr>
        <w:t xml:space="preserve">was </w:t>
      </w:r>
      <w:r w:rsidR="006226C1" w:rsidRPr="00820C89">
        <w:rPr>
          <w:rFonts w:asciiTheme="majorHAnsi" w:hAnsiTheme="majorHAnsi"/>
          <w:bCs/>
          <w:iCs/>
        </w:rPr>
        <w:t xml:space="preserve">considered valuable as it </w:t>
      </w:r>
      <w:r w:rsidR="007331D1" w:rsidRPr="00820C89">
        <w:rPr>
          <w:rFonts w:asciiTheme="majorHAnsi" w:hAnsiTheme="majorHAnsi"/>
          <w:bCs/>
          <w:iCs/>
        </w:rPr>
        <w:t xml:space="preserve">alleviated some of </w:t>
      </w:r>
      <w:r w:rsidR="00233C0D" w:rsidRPr="00820C89">
        <w:rPr>
          <w:rFonts w:asciiTheme="majorHAnsi" w:hAnsiTheme="majorHAnsi"/>
          <w:bCs/>
          <w:iCs/>
        </w:rPr>
        <w:t>the burden of</w:t>
      </w:r>
      <w:r w:rsidR="007331D1" w:rsidRPr="00820C89">
        <w:rPr>
          <w:rFonts w:asciiTheme="majorHAnsi" w:hAnsiTheme="majorHAnsi"/>
          <w:bCs/>
          <w:iCs/>
        </w:rPr>
        <w:t xml:space="preserve"> upfront costs</w:t>
      </w:r>
      <w:r w:rsidR="00A14E25" w:rsidRPr="00820C89">
        <w:rPr>
          <w:rFonts w:asciiTheme="majorHAnsi" w:hAnsiTheme="majorHAnsi"/>
          <w:bCs/>
          <w:iCs/>
        </w:rPr>
        <w:t xml:space="preserve"> for providers</w:t>
      </w:r>
      <w:r w:rsidR="007331D1" w:rsidRPr="00820C89">
        <w:rPr>
          <w:rFonts w:asciiTheme="majorHAnsi" w:hAnsiTheme="majorHAnsi"/>
          <w:bCs/>
          <w:iCs/>
        </w:rPr>
        <w:t>, it is unclear wh</w:t>
      </w:r>
      <w:r w:rsidR="0019790C" w:rsidRPr="00820C89">
        <w:rPr>
          <w:rFonts w:asciiTheme="majorHAnsi" w:hAnsiTheme="majorHAnsi"/>
          <w:bCs/>
          <w:iCs/>
        </w:rPr>
        <w:t xml:space="preserve">at evidence was used to inform this design change. </w:t>
      </w:r>
    </w:p>
    <w:p w14:paraId="50F074AB" w14:textId="10ABDB84" w:rsidR="00376439" w:rsidRDefault="3B532C03" w:rsidP="00EE003F">
      <w:pPr>
        <w:pStyle w:val="Heading2"/>
        <w:spacing w:after="240"/>
      </w:pPr>
      <w:bookmarkStart w:id="66" w:name="_Toc82710773"/>
      <w:bookmarkStart w:id="67" w:name="_Toc101343288"/>
      <w:r w:rsidRPr="00820C89">
        <w:t>Consultation and collaboration with Indigenous people</w:t>
      </w:r>
      <w:bookmarkEnd w:id="66"/>
      <w:bookmarkEnd w:id="67"/>
      <w:r w:rsidRPr="00820C89">
        <w:t xml:space="preserve"> </w:t>
      </w:r>
    </w:p>
    <w:p w14:paraId="557A1482" w14:textId="77777777" w:rsidR="00EE003F" w:rsidRPr="00BC7EC7" w:rsidRDefault="00EE003F" w:rsidP="00EE003F">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w:t>
      </w:r>
    </w:p>
    <w:p w14:paraId="477190AC" w14:textId="77777777" w:rsidR="00EE003F" w:rsidRPr="00CA2C28" w:rsidRDefault="00EE003F" w:rsidP="00715F70">
      <w:pPr>
        <w:pStyle w:val="ListParagraph"/>
        <w:numPr>
          <w:ilvl w:val="0"/>
          <w:numId w:val="84"/>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rFonts w:asciiTheme="majorHAnsi" w:hAnsiTheme="majorHAnsi"/>
          <w:b/>
          <w:bCs/>
          <w:i/>
          <w:color w:val="62B5E5" w:themeColor="accent3"/>
        </w:rPr>
      </w:pPr>
      <w:r w:rsidRPr="00266D59">
        <w:rPr>
          <w:rFonts w:asciiTheme="majorHAnsi" w:hAnsiTheme="majorHAnsi"/>
          <w:b/>
          <w:bCs/>
          <w:i/>
          <w:color w:val="62B5E5" w:themeColor="accent3"/>
        </w:rPr>
        <w:t>There is limited evidence to suggest that the process for originally designing and then continually refining the IEP has involved deliberate collaboration with Indigenous Australians</w:t>
      </w:r>
      <w:r>
        <w:rPr>
          <w:rFonts w:asciiTheme="majorHAnsi" w:hAnsiTheme="majorHAnsi"/>
          <w:b/>
          <w:bCs/>
          <w:i/>
          <w:color w:val="62B5E5" w:themeColor="accent3"/>
        </w:rPr>
        <w:t>.</w:t>
      </w:r>
    </w:p>
    <w:p w14:paraId="33B8AD8C" w14:textId="6D858749" w:rsidR="00376439" w:rsidRPr="00820C89" w:rsidRDefault="00376439" w:rsidP="00376439">
      <w:r w:rsidRPr="00820C89">
        <w:rPr>
          <w:rFonts w:asciiTheme="majorHAnsi" w:hAnsiTheme="majorHAnsi"/>
        </w:rPr>
        <w:t xml:space="preserve">This section aims to determine not only whether Indigenous Australians participated in designing the </w:t>
      </w:r>
      <w:r w:rsidR="00031172" w:rsidRPr="00820C89">
        <w:rPr>
          <w:rFonts w:asciiTheme="majorHAnsi" w:hAnsiTheme="majorHAnsi"/>
        </w:rPr>
        <w:t>sub-programs</w:t>
      </w:r>
      <w:r w:rsidRPr="00820C89">
        <w:rPr>
          <w:rFonts w:asciiTheme="majorHAnsi" w:hAnsiTheme="majorHAnsi"/>
        </w:rPr>
        <w:t>, but what role they have played throughout this process and the extent to which this influence policy and program design.</w:t>
      </w:r>
    </w:p>
    <w:p w14:paraId="4EE69D23" w14:textId="77777777" w:rsidR="00BF6FF2" w:rsidRPr="00820C89" w:rsidRDefault="00BF6FF2" w:rsidP="00650F75">
      <w:pPr>
        <w:pStyle w:val="Heading3"/>
      </w:pPr>
      <w:r w:rsidRPr="00820C89">
        <w:t xml:space="preserve">Importance of </w:t>
      </w:r>
      <w:r w:rsidR="00FD47A1" w:rsidRPr="00820C89">
        <w:t xml:space="preserve">Indigenous </w:t>
      </w:r>
      <w:r w:rsidR="00BD0C81" w:rsidRPr="00820C89">
        <w:t>Australian input into program design</w:t>
      </w:r>
    </w:p>
    <w:p w14:paraId="00273A49" w14:textId="77777777" w:rsidR="00BF6FF2" w:rsidRPr="00820C89" w:rsidRDefault="00BF6FF2" w:rsidP="00BF6FF2">
      <w:pPr>
        <w:rPr>
          <w:rFonts w:asciiTheme="majorHAnsi" w:hAnsiTheme="majorHAnsi"/>
        </w:rPr>
      </w:pPr>
      <w:r w:rsidRPr="00820C89">
        <w:rPr>
          <w:rFonts w:asciiTheme="majorHAnsi" w:hAnsiTheme="majorHAnsi"/>
        </w:rPr>
        <w:t>Indigenous specific employment programs are more successful if they are designed and implemented with a greater sensitivity to cultural expectations and appropriateness.</w:t>
      </w:r>
      <w:r w:rsidR="005E0C76" w:rsidRPr="00820C89">
        <w:rPr>
          <w:rStyle w:val="FootnoteReference"/>
          <w:rFonts w:asciiTheme="majorHAnsi" w:hAnsiTheme="majorHAnsi"/>
        </w:rPr>
        <w:footnoteReference w:id="33"/>
      </w:r>
      <w:r w:rsidRPr="00820C89">
        <w:rPr>
          <w:rFonts w:asciiTheme="majorHAnsi" w:hAnsiTheme="majorHAnsi"/>
        </w:rPr>
        <w:t xml:space="preserve"> To achieve this, it is imperative that Indigenous engagement and self-determination, at both the national and local level, is understood and respected as a critical feature enabling program and policy effectiveness. </w:t>
      </w:r>
    </w:p>
    <w:p w14:paraId="7BF3AB94" w14:textId="44807000" w:rsidR="00BF6FF2" w:rsidRDefault="00BF6FF2" w:rsidP="00BF6FF2">
      <w:pPr>
        <w:rPr>
          <w:rFonts w:asciiTheme="majorHAnsi" w:hAnsiTheme="majorHAnsi"/>
        </w:rPr>
      </w:pPr>
      <w:r w:rsidRPr="00820C89">
        <w:rPr>
          <w:rFonts w:asciiTheme="majorHAnsi" w:hAnsiTheme="majorHAnsi"/>
        </w:rPr>
        <w:t xml:space="preserve">Agency and deliberation are key to ensuring meaningful collaboration with Indigenous Australians. Policy development is a process, and Indigenous Australians need to have a legitimate role as part of that process </w:t>
      </w:r>
      <w:r w:rsidR="00E65DBC" w:rsidRPr="00820C89">
        <w:rPr>
          <w:rFonts w:asciiTheme="majorHAnsi" w:hAnsiTheme="majorHAnsi"/>
        </w:rPr>
        <w:t>to</w:t>
      </w:r>
      <w:r w:rsidRPr="00820C89">
        <w:rPr>
          <w:rFonts w:asciiTheme="majorHAnsi" w:hAnsiTheme="majorHAnsi"/>
        </w:rPr>
        <w:t xml:space="preserve"> ensure that policies are valued, understood and meet the needs of Indigenous Australians. </w:t>
      </w:r>
    </w:p>
    <w:p w14:paraId="6915C475" w14:textId="77777777" w:rsidR="00D5380A" w:rsidRPr="00820C89" w:rsidRDefault="00D5380A" w:rsidP="00D5380A">
      <w:pPr>
        <w:shd w:val="clear" w:color="auto" w:fill="DFF0F9" w:themeFill="accent3" w:themeFillTint="33"/>
        <w:rPr>
          <w:rFonts w:asciiTheme="majorHAnsi" w:hAnsiTheme="majorHAnsi"/>
          <w:b/>
          <w:bCs/>
        </w:rPr>
      </w:pPr>
      <w:bookmarkStart w:id="68" w:name="Suggestion2"/>
      <w:r w:rsidRPr="00820C89">
        <w:rPr>
          <w:rFonts w:asciiTheme="majorHAnsi" w:hAnsiTheme="majorHAnsi"/>
          <w:b/>
          <w:bCs/>
        </w:rPr>
        <w:t>Suggestion 2</w:t>
      </w:r>
      <w:bookmarkEnd w:id="68"/>
      <w:r w:rsidRPr="00820C89">
        <w:rPr>
          <w:rFonts w:asciiTheme="majorHAnsi" w:hAnsiTheme="majorHAnsi"/>
          <w:b/>
          <w:bCs/>
        </w:rPr>
        <w:t>: Future iterations of the program should be genuinely co-designed with Indigenous Australians</w:t>
      </w:r>
    </w:p>
    <w:p w14:paraId="031EA6AE" w14:textId="77777777" w:rsidR="00D5380A" w:rsidRPr="00820C89" w:rsidRDefault="00D5380A" w:rsidP="00D5380A">
      <w:pPr>
        <w:shd w:val="clear" w:color="auto" w:fill="DFF0F9" w:themeFill="accent3" w:themeFillTint="33"/>
        <w:rPr>
          <w:rFonts w:asciiTheme="majorHAnsi" w:hAnsiTheme="majorHAnsi"/>
        </w:rPr>
      </w:pPr>
      <w:r w:rsidRPr="00820C89">
        <w:rPr>
          <w:rFonts w:asciiTheme="majorHAnsi" w:hAnsiTheme="majorHAnsi"/>
        </w:rPr>
        <w:t xml:space="preserve">Indigenous programs need to be developed in close collaboration with Indigenous peoples to ensure the program’s cultural relevancy, appropriateness, practicality and ultimate effectiveness. </w:t>
      </w:r>
    </w:p>
    <w:p w14:paraId="49ED2373" w14:textId="77777777" w:rsidR="00D5380A" w:rsidRPr="00820C89" w:rsidRDefault="00D5380A" w:rsidP="00D5380A">
      <w:pPr>
        <w:shd w:val="clear" w:color="auto" w:fill="DFF0F9" w:themeFill="accent3" w:themeFillTint="33"/>
        <w:rPr>
          <w:rFonts w:asciiTheme="majorHAnsi" w:hAnsiTheme="majorHAnsi"/>
        </w:rPr>
      </w:pPr>
      <w:r w:rsidRPr="00820C89">
        <w:rPr>
          <w:rFonts w:asciiTheme="majorHAnsi" w:hAnsiTheme="majorHAnsi"/>
        </w:rPr>
        <w:lastRenderedPageBreak/>
        <w:t>Future versions of the IEP should be co-designed with Indigenous representatives from a wide variety of communities, peak bodies and community organisations, to ensure that Indigenous perspectives are thoroughly embedded into the foundations of the program.</w:t>
      </w:r>
    </w:p>
    <w:p w14:paraId="0E5581AD" w14:textId="7A80B507" w:rsidR="00D5380A" w:rsidRDefault="00D5380A" w:rsidP="00D5380A">
      <w:pPr>
        <w:shd w:val="clear" w:color="auto" w:fill="DFF0F9" w:themeFill="accent3" w:themeFillTint="33"/>
        <w:spacing w:after="0"/>
        <w:rPr>
          <w:rFonts w:asciiTheme="majorHAnsi" w:hAnsiTheme="majorHAnsi"/>
        </w:rPr>
      </w:pPr>
      <w:r w:rsidRPr="00820C89">
        <w:rPr>
          <w:rFonts w:asciiTheme="majorHAnsi" w:hAnsiTheme="majorHAnsi"/>
        </w:rPr>
        <w:t>The concept of ‘co-design’ is often poorly defined, but generally refers to enabling or empowering the people affected by a policy issue to actively contribute to developing a solution for it.</w:t>
      </w:r>
      <w:r w:rsidRPr="00820C89">
        <w:rPr>
          <w:rStyle w:val="FootnoteReference"/>
          <w:rFonts w:asciiTheme="majorHAnsi" w:hAnsiTheme="majorHAnsi"/>
        </w:rPr>
        <w:footnoteReference w:id="34"/>
      </w:r>
      <w:r w:rsidRPr="00820C89">
        <w:rPr>
          <w:rFonts w:asciiTheme="majorHAnsi" w:hAnsiTheme="majorHAnsi"/>
        </w:rPr>
        <w:t xml:space="preserve"> The key components of policy co-design typically include:</w:t>
      </w:r>
      <w:r w:rsidRPr="00820C89">
        <w:rPr>
          <w:rStyle w:val="FootnoteReference"/>
          <w:rFonts w:asciiTheme="majorHAnsi" w:hAnsiTheme="majorHAnsi"/>
        </w:rPr>
        <w:footnoteReference w:id="35"/>
      </w:r>
    </w:p>
    <w:tbl>
      <w:tblPr>
        <w:tblStyle w:val="LightShading-Accent31"/>
        <w:tblW w:w="9072" w:type="dxa"/>
        <w:tblLook w:val="04A0" w:firstRow="1" w:lastRow="0" w:firstColumn="1" w:lastColumn="0" w:noHBand="0" w:noVBand="1"/>
      </w:tblPr>
      <w:tblGrid>
        <w:gridCol w:w="4451"/>
        <w:gridCol w:w="4621"/>
      </w:tblGrid>
      <w:tr w:rsidR="00D5380A" w:rsidRPr="00820C89" w14:paraId="017883AE" w14:textId="77777777" w:rsidTr="00D538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51" w:type="dxa"/>
            <w:shd w:val="clear" w:color="auto" w:fill="DFF0F9" w:themeFill="accent3" w:themeFillTint="33"/>
          </w:tcPr>
          <w:p w14:paraId="409D8712" w14:textId="77777777" w:rsidR="00D5380A" w:rsidRPr="00820C89" w:rsidRDefault="00D5380A" w:rsidP="00AE4D9C">
            <w:pPr>
              <w:shd w:val="clear" w:color="auto" w:fill="DFF0F9" w:themeFill="accent3" w:themeFillTint="33"/>
              <w:rPr>
                <w:rFonts w:asciiTheme="majorHAnsi" w:hAnsiTheme="majorHAnsi"/>
                <w:b w:val="0"/>
                <w:bCs w:val="0"/>
                <w:color w:val="auto"/>
              </w:rPr>
            </w:pPr>
            <w:r w:rsidRPr="00820C89">
              <w:rPr>
                <w:rFonts w:asciiTheme="majorHAnsi" w:hAnsiTheme="majorHAnsi"/>
                <w:b w:val="0"/>
                <w:bCs w:val="0"/>
                <w:color w:val="auto"/>
              </w:rPr>
              <w:t>Component</w:t>
            </w:r>
          </w:p>
        </w:tc>
        <w:tc>
          <w:tcPr>
            <w:tcW w:w="4621" w:type="dxa"/>
            <w:shd w:val="clear" w:color="auto" w:fill="DFF0F9" w:themeFill="accent3" w:themeFillTint="33"/>
          </w:tcPr>
          <w:p w14:paraId="7653A1F1" w14:textId="77777777" w:rsidR="00D5380A" w:rsidRPr="00820C89" w:rsidRDefault="00D5380A" w:rsidP="00AE4D9C">
            <w:pPr>
              <w:pStyle w:val="ListParagraph"/>
              <w:shd w:val="clear" w:color="auto" w:fill="DFF0F9" w:themeFill="accent3" w:themeFillTint="33"/>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rPr>
            </w:pPr>
            <w:r w:rsidRPr="00820C89">
              <w:rPr>
                <w:rFonts w:asciiTheme="majorHAnsi" w:hAnsiTheme="majorHAnsi"/>
                <w:b w:val="0"/>
                <w:bCs w:val="0"/>
                <w:color w:val="auto"/>
              </w:rPr>
              <w:t>Description</w:t>
            </w:r>
          </w:p>
        </w:tc>
      </w:tr>
      <w:tr w:rsidR="00D5380A" w:rsidRPr="00820C89" w14:paraId="25F80050" w14:textId="77777777" w:rsidTr="00D53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shd w:val="clear" w:color="auto" w:fill="DFF0F9" w:themeFill="accent3" w:themeFillTint="33"/>
          </w:tcPr>
          <w:p w14:paraId="076057B2" w14:textId="77777777" w:rsidR="00D5380A" w:rsidRPr="00820C89" w:rsidRDefault="00D5380A" w:rsidP="00AE4D9C">
            <w:pPr>
              <w:pStyle w:val="ListParagraph"/>
              <w:shd w:val="clear" w:color="auto" w:fill="DFF0F9" w:themeFill="accent3" w:themeFillTint="33"/>
              <w:ind w:left="0"/>
              <w:rPr>
                <w:rFonts w:asciiTheme="majorHAnsi" w:hAnsiTheme="majorHAnsi"/>
                <w:b w:val="0"/>
                <w:bCs w:val="0"/>
                <w:color w:val="auto"/>
              </w:rPr>
            </w:pPr>
            <w:r w:rsidRPr="00820C89">
              <w:rPr>
                <w:rFonts w:asciiTheme="majorHAnsi" w:hAnsiTheme="majorHAnsi"/>
                <w:b w:val="0"/>
                <w:bCs w:val="0"/>
                <w:color w:val="auto"/>
              </w:rPr>
              <w:t>Process</w:t>
            </w:r>
          </w:p>
        </w:tc>
        <w:tc>
          <w:tcPr>
            <w:tcW w:w="4621" w:type="dxa"/>
            <w:shd w:val="clear" w:color="auto" w:fill="DFF0F9" w:themeFill="accent3" w:themeFillTint="33"/>
          </w:tcPr>
          <w:p w14:paraId="161104F6" w14:textId="77777777" w:rsidR="00D5380A" w:rsidRPr="00820C89" w:rsidRDefault="00D5380A" w:rsidP="00AE4D9C">
            <w:pPr>
              <w:pStyle w:val="ListParagraph"/>
              <w:shd w:val="clear" w:color="auto" w:fill="DFF0F9" w:themeFill="accent3" w:themeFillTint="33"/>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820C89">
              <w:rPr>
                <w:rFonts w:asciiTheme="majorHAnsi" w:hAnsiTheme="majorHAnsi"/>
                <w:color w:val="auto"/>
              </w:rPr>
              <w:t>Iterative stages of design thinking, oriented towards innovation</w:t>
            </w:r>
          </w:p>
        </w:tc>
      </w:tr>
      <w:tr w:rsidR="00D5380A" w:rsidRPr="00820C89" w14:paraId="6E4D1F96" w14:textId="77777777" w:rsidTr="00D5380A">
        <w:tc>
          <w:tcPr>
            <w:cnfStyle w:val="001000000000" w:firstRow="0" w:lastRow="0" w:firstColumn="1" w:lastColumn="0" w:oddVBand="0" w:evenVBand="0" w:oddHBand="0" w:evenHBand="0" w:firstRowFirstColumn="0" w:firstRowLastColumn="0" w:lastRowFirstColumn="0" w:lastRowLastColumn="0"/>
            <w:tcW w:w="4451" w:type="dxa"/>
            <w:shd w:val="clear" w:color="auto" w:fill="DFF0F9" w:themeFill="accent3" w:themeFillTint="33"/>
          </w:tcPr>
          <w:p w14:paraId="3630BBF7" w14:textId="77777777" w:rsidR="00D5380A" w:rsidRPr="00820C89" w:rsidRDefault="00D5380A" w:rsidP="00AE4D9C">
            <w:pPr>
              <w:pStyle w:val="ListParagraph"/>
              <w:shd w:val="clear" w:color="auto" w:fill="DFF0F9" w:themeFill="accent3" w:themeFillTint="33"/>
              <w:ind w:left="0"/>
              <w:rPr>
                <w:rFonts w:asciiTheme="majorHAnsi" w:hAnsiTheme="majorHAnsi"/>
                <w:b w:val="0"/>
                <w:bCs w:val="0"/>
                <w:color w:val="auto"/>
              </w:rPr>
            </w:pPr>
            <w:r w:rsidRPr="00820C89">
              <w:rPr>
                <w:rFonts w:asciiTheme="majorHAnsi" w:hAnsiTheme="majorHAnsi"/>
                <w:b w:val="0"/>
                <w:bCs w:val="0"/>
                <w:color w:val="auto"/>
              </w:rPr>
              <w:t>Principles</w:t>
            </w:r>
          </w:p>
        </w:tc>
        <w:tc>
          <w:tcPr>
            <w:tcW w:w="4621" w:type="dxa"/>
            <w:shd w:val="clear" w:color="auto" w:fill="DFF0F9" w:themeFill="accent3" w:themeFillTint="33"/>
          </w:tcPr>
          <w:p w14:paraId="06A7CC16" w14:textId="77777777" w:rsidR="00D5380A" w:rsidRPr="00820C89" w:rsidRDefault="00D5380A" w:rsidP="00AE4D9C">
            <w:pPr>
              <w:pStyle w:val="ListParagraph"/>
              <w:shd w:val="clear" w:color="auto" w:fill="DFF0F9" w:themeFill="accent3" w:themeFillTint="33"/>
              <w:ind w:left="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820C89">
              <w:rPr>
                <w:rFonts w:asciiTheme="majorHAnsi" w:hAnsiTheme="majorHAnsi"/>
                <w:color w:val="auto"/>
              </w:rPr>
              <w:t>People are creative; people are experts in their own lives; policy should be designed by people with relevant lived experience</w:t>
            </w:r>
          </w:p>
        </w:tc>
      </w:tr>
      <w:tr w:rsidR="00D5380A" w:rsidRPr="00820C89" w14:paraId="34749FF8" w14:textId="77777777" w:rsidTr="00D53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shd w:val="clear" w:color="auto" w:fill="DFF0F9" w:themeFill="accent3" w:themeFillTint="33"/>
          </w:tcPr>
          <w:p w14:paraId="1FC1B528" w14:textId="77777777" w:rsidR="00D5380A" w:rsidRPr="00820C89" w:rsidRDefault="00D5380A" w:rsidP="00AE4D9C">
            <w:pPr>
              <w:pStyle w:val="ListParagraph"/>
              <w:shd w:val="clear" w:color="auto" w:fill="DFF0F9" w:themeFill="accent3" w:themeFillTint="33"/>
              <w:ind w:left="0"/>
              <w:rPr>
                <w:rFonts w:asciiTheme="majorHAnsi" w:hAnsiTheme="majorHAnsi"/>
                <w:b w:val="0"/>
                <w:bCs w:val="0"/>
                <w:color w:val="auto"/>
              </w:rPr>
            </w:pPr>
            <w:r w:rsidRPr="00820C89">
              <w:rPr>
                <w:rFonts w:asciiTheme="majorHAnsi" w:hAnsiTheme="majorHAnsi"/>
                <w:b w:val="0"/>
                <w:bCs w:val="0"/>
                <w:color w:val="auto"/>
              </w:rPr>
              <w:t>Practical tools</w:t>
            </w:r>
          </w:p>
        </w:tc>
        <w:tc>
          <w:tcPr>
            <w:tcW w:w="4621" w:type="dxa"/>
            <w:shd w:val="clear" w:color="auto" w:fill="DFF0F9" w:themeFill="accent3" w:themeFillTint="33"/>
          </w:tcPr>
          <w:p w14:paraId="654F7627" w14:textId="77777777" w:rsidR="00D5380A" w:rsidRPr="00820C89" w:rsidRDefault="00D5380A" w:rsidP="00AE4D9C">
            <w:pPr>
              <w:pStyle w:val="ListParagraph"/>
              <w:shd w:val="clear" w:color="auto" w:fill="DFF0F9" w:themeFill="accent3" w:themeFillTint="33"/>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820C89">
              <w:rPr>
                <w:rFonts w:asciiTheme="majorHAnsi" w:hAnsiTheme="majorHAnsi"/>
                <w:color w:val="auto"/>
              </w:rPr>
              <w:t>Creative and tangible methods for telling, enacting, and making</w:t>
            </w:r>
          </w:p>
        </w:tc>
      </w:tr>
    </w:tbl>
    <w:p w14:paraId="202B885A" w14:textId="00485E13" w:rsidR="006354FD" w:rsidRPr="00820C89" w:rsidRDefault="00D5380A" w:rsidP="00D5380A">
      <w:pPr>
        <w:shd w:val="clear" w:color="auto" w:fill="DFF0F9" w:themeFill="accent3" w:themeFillTint="33"/>
        <w:rPr>
          <w:rFonts w:asciiTheme="majorHAnsi" w:hAnsiTheme="majorHAnsi"/>
        </w:rPr>
      </w:pPr>
      <w:r w:rsidRPr="00820C89">
        <w:rPr>
          <w:rFonts w:asciiTheme="majorHAnsi" w:hAnsiTheme="majorHAnsi"/>
        </w:rPr>
        <w:t>Importantly, the co-design process should extend beyond simply consulting with Indigenous representatives to genuinely including and empowering them as part of a participatory process. This would likely involve engaging with Indigenous representatives during the initial design / idea generation phase and embedding Indigenous voices into the ongoing governance structures of the program’s design, implementation and ongoing monitoring and evaluation.  Effectively including Indigenous voices as part of the policy development process has the ability to improve not only the cultural appropriateness and effectiveness of the program, but also its legitimacy.</w:t>
      </w:r>
    </w:p>
    <w:p w14:paraId="411AB1B9" w14:textId="77777777" w:rsidR="00650F75" w:rsidRPr="00820C89" w:rsidRDefault="00BF6FF2" w:rsidP="00650F75">
      <w:pPr>
        <w:pStyle w:val="Heading3"/>
      </w:pPr>
      <w:r w:rsidRPr="00820C89">
        <w:t>E</w:t>
      </w:r>
      <w:r w:rsidR="003D2867" w:rsidRPr="00820C89">
        <w:t>vidence</w:t>
      </w:r>
      <w:r w:rsidRPr="00820C89">
        <w:t xml:space="preserve"> of </w:t>
      </w:r>
      <w:r w:rsidR="00BD0C81" w:rsidRPr="00820C89">
        <w:t>Indigenous Australian input into</w:t>
      </w:r>
      <w:r w:rsidR="005931D5" w:rsidRPr="00820C89">
        <w:t xml:space="preserve"> program design </w:t>
      </w:r>
    </w:p>
    <w:p w14:paraId="3820D58F" w14:textId="77777777" w:rsidR="00104B84" w:rsidRPr="00820C89" w:rsidRDefault="00DD4EAE" w:rsidP="00DD4EAE">
      <w:pPr>
        <w:rPr>
          <w:rFonts w:asciiTheme="majorHAnsi" w:hAnsiTheme="majorHAnsi"/>
          <w:iCs/>
        </w:rPr>
      </w:pPr>
      <w:r w:rsidRPr="00820C89">
        <w:rPr>
          <w:rFonts w:asciiTheme="majorHAnsi" w:hAnsiTheme="majorHAnsi"/>
          <w:iCs/>
        </w:rPr>
        <w:t>There is limited evidence to suggest that the process for originally designing and then</w:t>
      </w:r>
      <w:r w:rsidRPr="00820C89">
        <w:rPr>
          <w:rFonts w:asciiTheme="majorHAnsi" w:hAnsiTheme="majorHAnsi"/>
          <w:b/>
          <w:bCs/>
          <w:iCs/>
        </w:rPr>
        <w:t xml:space="preserve"> </w:t>
      </w:r>
      <w:r w:rsidRPr="00820C89">
        <w:rPr>
          <w:rFonts w:asciiTheme="majorHAnsi" w:hAnsiTheme="majorHAnsi"/>
          <w:iCs/>
        </w:rPr>
        <w:t>continually refining the IEP has involved a deliberate collaboration with Indigenous Australians.</w:t>
      </w:r>
    </w:p>
    <w:p w14:paraId="5EAD9023" w14:textId="77777777" w:rsidR="003E1AFD" w:rsidRPr="00820C89" w:rsidRDefault="003E1AFD" w:rsidP="003E1AFD">
      <w:pPr>
        <w:rPr>
          <w:rFonts w:asciiTheme="majorHAnsi" w:hAnsiTheme="majorHAnsi"/>
          <w:iCs/>
        </w:rPr>
      </w:pPr>
      <w:r w:rsidRPr="00820C89">
        <w:rPr>
          <w:rFonts w:asciiTheme="majorHAnsi" w:hAnsiTheme="majorHAnsi"/>
          <w:iCs/>
        </w:rPr>
        <w:t xml:space="preserve">Related </w:t>
      </w:r>
      <w:r w:rsidR="00104B84" w:rsidRPr="00820C89">
        <w:rPr>
          <w:rFonts w:asciiTheme="majorHAnsi" w:hAnsiTheme="majorHAnsi"/>
          <w:iCs/>
        </w:rPr>
        <w:t>documentation available to</w:t>
      </w:r>
      <w:r w:rsidR="00D865C3" w:rsidRPr="00820C89">
        <w:rPr>
          <w:rFonts w:asciiTheme="majorHAnsi" w:hAnsiTheme="majorHAnsi"/>
          <w:iCs/>
        </w:rPr>
        <w:t xml:space="preserve"> </w:t>
      </w:r>
      <w:r w:rsidR="00877248" w:rsidRPr="00820C89">
        <w:rPr>
          <w:rFonts w:asciiTheme="majorHAnsi" w:hAnsiTheme="majorHAnsi"/>
          <w:iCs/>
        </w:rPr>
        <w:t xml:space="preserve">the </w:t>
      </w:r>
      <w:r w:rsidR="00D865C3" w:rsidRPr="00820C89">
        <w:rPr>
          <w:rFonts w:asciiTheme="majorHAnsi" w:hAnsiTheme="majorHAnsi"/>
          <w:iCs/>
        </w:rPr>
        <w:t>evaluation team</w:t>
      </w:r>
      <w:r w:rsidR="00A536DE" w:rsidRPr="00820C89">
        <w:rPr>
          <w:rFonts w:asciiTheme="majorHAnsi" w:hAnsiTheme="majorHAnsi"/>
          <w:iCs/>
        </w:rPr>
        <w:t xml:space="preserve"> </w:t>
      </w:r>
      <w:r w:rsidR="0007427F" w:rsidRPr="00820C89">
        <w:rPr>
          <w:rFonts w:asciiTheme="majorHAnsi" w:hAnsiTheme="majorHAnsi"/>
          <w:iCs/>
        </w:rPr>
        <w:t>detail</w:t>
      </w:r>
      <w:r w:rsidR="0099088A" w:rsidRPr="00820C89">
        <w:rPr>
          <w:rFonts w:asciiTheme="majorHAnsi" w:hAnsiTheme="majorHAnsi"/>
          <w:iCs/>
        </w:rPr>
        <w:t>ing Indigenous input into the evaluation is detailed below</w:t>
      </w:r>
      <w:r w:rsidR="00B962CF" w:rsidRPr="00820C89">
        <w:rPr>
          <w:rFonts w:asciiTheme="majorHAnsi" w:hAnsiTheme="majorHAnsi"/>
          <w:iCs/>
        </w:rPr>
        <w:t xml:space="preserve">. </w:t>
      </w:r>
      <w:r w:rsidR="00877248" w:rsidRPr="00820C89">
        <w:rPr>
          <w:rFonts w:asciiTheme="majorHAnsi" w:hAnsiTheme="majorHAnsi"/>
          <w:iCs/>
        </w:rPr>
        <w:t xml:space="preserve">Note: the </w:t>
      </w:r>
      <w:r w:rsidR="00466DEA" w:rsidRPr="00820C89">
        <w:rPr>
          <w:rFonts w:asciiTheme="majorHAnsi" w:hAnsiTheme="majorHAnsi"/>
          <w:iCs/>
        </w:rPr>
        <w:t xml:space="preserve">two documents discussed only relate to the VTEC program, and to a small extent, the EPI program. </w:t>
      </w:r>
      <w:r w:rsidR="00FB026D" w:rsidRPr="00820C89">
        <w:rPr>
          <w:rFonts w:asciiTheme="majorHAnsi" w:hAnsiTheme="majorHAnsi"/>
          <w:iCs/>
        </w:rPr>
        <w:t xml:space="preserve">No </w:t>
      </w:r>
      <w:r w:rsidR="00A845A1" w:rsidRPr="00820C89">
        <w:rPr>
          <w:rFonts w:asciiTheme="majorHAnsi" w:hAnsiTheme="majorHAnsi"/>
          <w:iCs/>
        </w:rPr>
        <w:t xml:space="preserve">substantial evidence was provided to detail the extent to which Indigenous perspectives informed the design of TAEG and EPI programs. </w:t>
      </w:r>
    </w:p>
    <w:p w14:paraId="437F699A" w14:textId="77777777" w:rsidR="00D13568" w:rsidRPr="00820C89" w:rsidRDefault="00B25E27" w:rsidP="005D736E">
      <w:pPr>
        <w:rPr>
          <w:rFonts w:asciiTheme="majorHAnsi" w:hAnsiTheme="majorHAnsi"/>
          <w:b/>
          <w:bCs/>
          <w:iCs/>
        </w:rPr>
      </w:pPr>
      <w:r w:rsidRPr="00820C89">
        <w:rPr>
          <w:rFonts w:asciiTheme="majorHAnsi" w:hAnsiTheme="majorHAnsi"/>
          <w:b/>
          <w:bCs/>
        </w:rPr>
        <w:t>The</w:t>
      </w:r>
      <w:r w:rsidR="00DD4EAE" w:rsidRPr="00820C89">
        <w:rPr>
          <w:rFonts w:asciiTheme="majorHAnsi" w:hAnsiTheme="majorHAnsi"/>
        </w:rPr>
        <w:t xml:space="preserve"> </w:t>
      </w:r>
      <w:r w:rsidR="00DD4EAE" w:rsidRPr="00820C89">
        <w:rPr>
          <w:rFonts w:asciiTheme="majorHAnsi" w:hAnsiTheme="majorHAnsi"/>
          <w:b/>
          <w:bCs/>
          <w:iCs/>
        </w:rPr>
        <w:t>Forrest Review</w:t>
      </w:r>
      <w:r w:rsidR="00DD4EAE" w:rsidRPr="00820C89">
        <w:rPr>
          <w:rFonts w:asciiTheme="majorHAnsi" w:hAnsiTheme="majorHAnsi"/>
          <w:i/>
        </w:rPr>
        <w:t xml:space="preserve"> </w:t>
      </w:r>
      <w:r w:rsidR="00703DD6" w:rsidRPr="00820C89">
        <w:rPr>
          <w:rFonts w:asciiTheme="majorHAnsi" w:hAnsiTheme="majorHAnsi"/>
        </w:rPr>
        <w:t>was informed by</w:t>
      </w:r>
      <w:r w:rsidR="00B962CF" w:rsidRPr="00820C89">
        <w:rPr>
          <w:rFonts w:asciiTheme="majorHAnsi" w:hAnsiTheme="majorHAnsi"/>
        </w:rPr>
        <w:t xml:space="preserve"> Indigenous perspectives in the following ways</w:t>
      </w:r>
      <w:r w:rsidR="00D13568" w:rsidRPr="00820C89">
        <w:rPr>
          <w:rFonts w:asciiTheme="majorHAnsi" w:hAnsiTheme="majorHAnsi"/>
        </w:rPr>
        <w:t xml:space="preserve">: </w:t>
      </w:r>
    </w:p>
    <w:p w14:paraId="0A031F73" w14:textId="77777777" w:rsidR="00E95D3B" w:rsidRPr="00820C89" w:rsidRDefault="00841CB6" w:rsidP="00715F70">
      <w:pPr>
        <w:pStyle w:val="ListParagraph"/>
        <w:numPr>
          <w:ilvl w:val="0"/>
          <w:numId w:val="72"/>
        </w:numPr>
        <w:rPr>
          <w:rFonts w:asciiTheme="majorHAnsi" w:hAnsiTheme="majorHAnsi"/>
          <w:b/>
          <w:bCs/>
          <w:iCs/>
        </w:rPr>
      </w:pPr>
      <w:r w:rsidRPr="00820C89">
        <w:rPr>
          <w:rFonts w:asciiTheme="majorHAnsi" w:hAnsiTheme="majorHAnsi"/>
        </w:rPr>
        <w:t xml:space="preserve">a </w:t>
      </w:r>
      <w:r w:rsidR="00703DD6" w:rsidRPr="00820C89">
        <w:rPr>
          <w:rFonts w:asciiTheme="majorHAnsi" w:hAnsiTheme="majorHAnsi"/>
        </w:rPr>
        <w:t xml:space="preserve">large-scale </w:t>
      </w:r>
      <w:r w:rsidR="00D13568" w:rsidRPr="00820C89">
        <w:rPr>
          <w:rFonts w:asciiTheme="majorHAnsi" w:hAnsiTheme="majorHAnsi"/>
        </w:rPr>
        <w:t>consultation process</w:t>
      </w:r>
      <w:r w:rsidR="00E95D3B" w:rsidRPr="00820C89">
        <w:rPr>
          <w:rFonts w:asciiTheme="majorHAnsi" w:hAnsiTheme="majorHAnsi"/>
        </w:rPr>
        <w:t>,</w:t>
      </w:r>
      <w:r w:rsidR="00D13568" w:rsidRPr="00820C89">
        <w:rPr>
          <w:rFonts w:asciiTheme="majorHAnsi" w:hAnsiTheme="majorHAnsi"/>
        </w:rPr>
        <w:t xml:space="preserve"> involving a combination of </w:t>
      </w:r>
      <w:r w:rsidR="00E95D3B" w:rsidRPr="00820C89">
        <w:rPr>
          <w:rFonts w:asciiTheme="majorHAnsi" w:hAnsiTheme="majorHAnsi"/>
        </w:rPr>
        <w:t xml:space="preserve">in-person </w:t>
      </w:r>
      <w:r w:rsidR="00D13568" w:rsidRPr="00820C89">
        <w:rPr>
          <w:rFonts w:asciiTheme="majorHAnsi" w:hAnsiTheme="majorHAnsi"/>
        </w:rPr>
        <w:t>stakeholder engagement methods (i.e. public town hall meetings, roundtables, site visits</w:t>
      </w:r>
      <w:r w:rsidR="00E95D3B" w:rsidRPr="00820C89">
        <w:rPr>
          <w:rFonts w:asciiTheme="majorHAnsi" w:hAnsiTheme="majorHAnsi"/>
        </w:rPr>
        <w:t xml:space="preserve"> </w:t>
      </w:r>
      <w:r w:rsidR="0021054B" w:rsidRPr="00820C89">
        <w:rPr>
          <w:rFonts w:asciiTheme="majorHAnsi" w:hAnsiTheme="majorHAnsi"/>
        </w:rPr>
        <w:t>and national public</w:t>
      </w:r>
      <w:r w:rsidR="00E95D3B" w:rsidRPr="00820C89">
        <w:rPr>
          <w:rFonts w:asciiTheme="majorHAnsi" w:hAnsiTheme="majorHAnsi"/>
        </w:rPr>
        <w:t xml:space="preserve"> consultations)</w:t>
      </w:r>
    </w:p>
    <w:p w14:paraId="34DA44D6" w14:textId="77777777" w:rsidR="00E95D3B" w:rsidRPr="00820C89" w:rsidRDefault="007A2EAF" w:rsidP="00715F70">
      <w:pPr>
        <w:pStyle w:val="ListParagraph"/>
        <w:numPr>
          <w:ilvl w:val="0"/>
          <w:numId w:val="72"/>
        </w:numPr>
        <w:rPr>
          <w:rFonts w:asciiTheme="majorHAnsi" w:hAnsiTheme="majorHAnsi"/>
          <w:b/>
          <w:bCs/>
          <w:iCs/>
        </w:rPr>
      </w:pPr>
      <w:r w:rsidRPr="00820C89">
        <w:rPr>
          <w:rFonts w:asciiTheme="majorHAnsi" w:hAnsiTheme="majorHAnsi"/>
          <w:iCs/>
        </w:rPr>
        <w:t xml:space="preserve">a written submission process, in </w:t>
      </w:r>
      <w:r w:rsidR="0004373C" w:rsidRPr="00820C89">
        <w:rPr>
          <w:rFonts w:asciiTheme="majorHAnsi" w:hAnsiTheme="majorHAnsi"/>
          <w:iCs/>
        </w:rPr>
        <w:t>which submissions from 102</w:t>
      </w:r>
      <w:r w:rsidR="007D7EB5" w:rsidRPr="00820C89">
        <w:rPr>
          <w:rFonts w:asciiTheme="majorHAnsi" w:hAnsiTheme="majorHAnsi"/>
          <w:iCs/>
        </w:rPr>
        <w:t xml:space="preserve"> individuals or organisations identif</w:t>
      </w:r>
      <w:r w:rsidR="00E7680A" w:rsidRPr="00820C89">
        <w:rPr>
          <w:rFonts w:asciiTheme="majorHAnsi" w:hAnsiTheme="majorHAnsi"/>
          <w:iCs/>
        </w:rPr>
        <w:t>ying as Indigenous were received</w:t>
      </w:r>
    </w:p>
    <w:p w14:paraId="348F9937" w14:textId="77777777" w:rsidR="00DD4EAE" w:rsidRPr="00820C89" w:rsidRDefault="00DD4EAE" w:rsidP="00715F70">
      <w:pPr>
        <w:pStyle w:val="ListParagraph"/>
        <w:numPr>
          <w:ilvl w:val="0"/>
          <w:numId w:val="72"/>
        </w:numPr>
        <w:rPr>
          <w:rFonts w:asciiTheme="majorHAnsi" w:hAnsiTheme="majorHAnsi"/>
          <w:b/>
          <w:bCs/>
          <w:iCs/>
        </w:rPr>
      </w:pPr>
      <w:r w:rsidRPr="00820C89">
        <w:rPr>
          <w:rFonts w:asciiTheme="majorHAnsi" w:hAnsiTheme="majorHAnsi"/>
        </w:rPr>
        <w:t xml:space="preserve">Professor Marcia Langton AM, a descendant of the Yiman and Bidjara nations of Queensland, </w:t>
      </w:r>
      <w:r w:rsidR="005D736E" w:rsidRPr="00820C89">
        <w:rPr>
          <w:rFonts w:asciiTheme="majorHAnsi" w:hAnsiTheme="majorHAnsi"/>
        </w:rPr>
        <w:t>who provided expertise as an</w:t>
      </w:r>
      <w:r w:rsidRPr="00820C89">
        <w:rPr>
          <w:rFonts w:asciiTheme="majorHAnsi" w:hAnsiTheme="majorHAnsi"/>
        </w:rPr>
        <w:t xml:space="preserve"> academic advisor of the review</w:t>
      </w:r>
      <w:r w:rsidR="005D736E" w:rsidRPr="00820C89">
        <w:rPr>
          <w:rFonts w:asciiTheme="majorHAnsi" w:hAnsiTheme="majorHAnsi"/>
        </w:rPr>
        <w:t>.</w:t>
      </w:r>
    </w:p>
    <w:p w14:paraId="03F593CC" w14:textId="77777777" w:rsidR="00DD4EAE" w:rsidRPr="00820C89" w:rsidRDefault="00DD4EAE" w:rsidP="00FA312D">
      <w:pPr>
        <w:spacing w:before="170"/>
        <w:rPr>
          <w:rFonts w:asciiTheme="majorHAnsi" w:hAnsiTheme="majorHAnsi"/>
        </w:rPr>
      </w:pPr>
      <w:r w:rsidRPr="00820C89">
        <w:rPr>
          <w:rFonts w:asciiTheme="majorHAnsi" w:hAnsiTheme="majorHAnsi"/>
        </w:rPr>
        <w:t xml:space="preserve">While </w:t>
      </w:r>
      <w:r w:rsidR="007D4C63" w:rsidRPr="00820C89">
        <w:rPr>
          <w:rFonts w:asciiTheme="majorHAnsi" w:hAnsiTheme="majorHAnsi"/>
        </w:rPr>
        <w:t>the</w:t>
      </w:r>
      <w:r w:rsidR="00EA505B" w:rsidRPr="00820C89">
        <w:rPr>
          <w:rFonts w:asciiTheme="majorHAnsi" w:hAnsiTheme="majorHAnsi"/>
        </w:rPr>
        <w:t xml:space="preserve"> r</w:t>
      </w:r>
      <w:r w:rsidR="007D4C63" w:rsidRPr="00820C89">
        <w:rPr>
          <w:rFonts w:asciiTheme="majorHAnsi" w:hAnsiTheme="majorHAnsi"/>
        </w:rPr>
        <w:t>eview provides some</w:t>
      </w:r>
      <w:r w:rsidRPr="00820C89">
        <w:rPr>
          <w:rFonts w:asciiTheme="majorHAnsi" w:hAnsiTheme="majorHAnsi"/>
        </w:rPr>
        <w:t xml:space="preserve"> insight into the volume of submissions received from Indigenous Australians</w:t>
      </w:r>
      <w:r w:rsidR="007D4C63" w:rsidRPr="00820C89">
        <w:rPr>
          <w:rFonts w:asciiTheme="majorHAnsi" w:hAnsiTheme="majorHAnsi"/>
        </w:rPr>
        <w:t xml:space="preserve">, </w:t>
      </w:r>
      <w:r w:rsidRPr="00820C89">
        <w:rPr>
          <w:rFonts w:asciiTheme="majorHAnsi" w:hAnsiTheme="majorHAnsi"/>
          <w:iCs/>
        </w:rPr>
        <w:t>the</w:t>
      </w:r>
      <w:r w:rsidRPr="00820C89">
        <w:rPr>
          <w:rFonts w:asciiTheme="majorHAnsi" w:hAnsiTheme="majorHAnsi"/>
        </w:rPr>
        <w:t xml:space="preserve"> review does not include </w:t>
      </w:r>
      <w:r w:rsidR="00FA312D" w:rsidRPr="00820C89">
        <w:rPr>
          <w:rFonts w:asciiTheme="majorHAnsi" w:hAnsiTheme="majorHAnsi"/>
        </w:rPr>
        <w:t>detail</w:t>
      </w:r>
      <w:r w:rsidRPr="00820C89">
        <w:rPr>
          <w:rFonts w:asciiTheme="majorHAnsi" w:hAnsiTheme="majorHAnsi"/>
        </w:rPr>
        <w:t xml:space="preserve"> </w:t>
      </w:r>
      <w:r w:rsidR="00033073" w:rsidRPr="00820C89">
        <w:rPr>
          <w:rFonts w:asciiTheme="majorHAnsi" w:hAnsiTheme="majorHAnsi"/>
        </w:rPr>
        <w:t xml:space="preserve">on </w:t>
      </w:r>
      <w:r w:rsidRPr="00820C89">
        <w:rPr>
          <w:rFonts w:asciiTheme="majorHAnsi" w:hAnsiTheme="majorHAnsi"/>
        </w:rPr>
        <w:t>how extensive</w:t>
      </w:r>
      <w:r w:rsidR="00D202F3" w:rsidRPr="00820C89">
        <w:rPr>
          <w:rFonts w:asciiTheme="majorHAnsi" w:hAnsiTheme="majorHAnsi"/>
        </w:rPr>
        <w:t xml:space="preserve">, representative </w:t>
      </w:r>
      <w:r w:rsidRPr="00820C89">
        <w:rPr>
          <w:rFonts w:asciiTheme="majorHAnsi" w:hAnsiTheme="majorHAnsi"/>
        </w:rPr>
        <w:t xml:space="preserve">or participatory the consultations were, and particularly whether </w:t>
      </w:r>
      <w:r w:rsidR="006E31C7" w:rsidRPr="00820C89">
        <w:rPr>
          <w:rFonts w:asciiTheme="majorHAnsi" w:hAnsiTheme="majorHAnsi"/>
        </w:rPr>
        <w:t xml:space="preserve">implicit bias in survey and consultation processes </w:t>
      </w:r>
      <w:r w:rsidR="005C14C4" w:rsidRPr="00820C89">
        <w:rPr>
          <w:rFonts w:asciiTheme="majorHAnsi" w:hAnsiTheme="majorHAnsi"/>
        </w:rPr>
        <w:t xml:space="preserve">may have impacted </w:t>
      </w:r>
      <w:r w:rsidRPr="00820C89">
        <w:rPr>
          <w:rFonts w:asciiTheme="majorHAnsi" w:hAnsiTheme="majorHAnsi"/>
        </w:rPr>
        <w:t xml:space="preserve">contributions from those </w:t>
      </w:r>
      <w:r w:rsidR="00695D0E" w:rsidRPr="00820C89">
        <w:rPr>
          <w:rFonts w:asciiTheme="majorHAnsi" w:hAnsiTheme="majorHAnsi"/>
        </w:rPr>
        <w:t xml:space="preserve">with different </w:t>
      </w:r>
      <w:r w:rsidR="004207C5" w:rsidRPr="00820C89">
        <w:rPr>
          <w:rFonts w:asciiTheme="majorHAnsi" w:hAnsiTheme="majorHAnsi"/>
        </w:rPr>
        <w:t xml:space="preserve">levels of </w:t>
      </w:r>
      <w:r w:rsidR="00695D0E" w:rsidRPr="00820C89">
        <w:rPr>
          <w:rFonts w:asciiTheme="majorHAnsi" w:hAnsiTheme="majorHAnsi"/>
        </w:rPr>
        <w:t>confidence</w:t>
      </w:r>
      <w:r w:rsidRPr="00820C89">
        <w:rPr>
          <w:rFonts w:asciiTheme="majorHAnsi" w:hAnsiTheme="majorHAnsi"/>
        </w:rPr>
        <w:t xml:space="preserve"> in English language</w:t>
      </w:r>
      <w:r w:rsidR="004207C5" w:rsidRPr="00820C89">
        <w:rPr>
          <w:rFonts w:asciiTheme="majorHAnsi" w:hAnsiTheme="majorHAnsi"/>
        </w:rPr>
        <w:t xml:space="preserve"> survey </w:t>
      </w:r>
      <w:r w:rsidR="00D250CA" w:rsidRPr="00820C89">
        <w:rPr>
          <w:rFonts w:asciiTheme="majorHAnsi" w:hAnsiTheme="majorHAnsi"/>
        </w:rPr>
        <w:t xml:space="preserve">and submission </w:t>
      </w:r>
      <w:r w:rsidR="004207C5" w:rsidRPr="00820C89">
        <w:rPr>
          <w:rFonts w:asciiTheme="majorHAnsi" w:hAnsiTheme="majorHAnsi"/>
        </w:rPr>
        <w:t>tools</w:t>
      </w:r>
      <w:r w:rsidR="00FA312D" w:rsidRPr="00820C89">
        <w:rPr>
          <w:rFonts w:asciiTheme="majorHAnsi" w:hAnsiTheme="majorHAnsi"/>
        </w:rPr>
        <w:t>.</w:t>
      </w:r>
      <w:r w:rsidRPr="00820C89">
        <w:rPr>
          <w:rStyle w:val="FootnoteReference"/>
          <w:rFonts w:asciiTheme="majorHAnsi" w:hAnsiTheme="majorHAnsi"/>
        </w:rPr>
        <w:footnoteReference w:id="36"/>
      </w:r>
      <w:r w:rsidR="00FA312D" w:rsidRPr="00820C89">
        <w:rPr>
          <w:rFonts w:asciiTheme="majorHAnsi" w:hAnsiTheme="majorHAnsi"/>
        </w:rPr>
        <w:t xml:space="preserve"> Additionally, </w:t>
      </w:r>
      <w:r w:rsidRPr="00820C89">
        <w:rPr>
          <w:rFonts w:asciiTheme="majorHAnsi" w:hAnsiTheme="majorHAnsi"/>
          <w:iCs/>
        </w:rPr>
        <w:t>while</w:t>
      </w:r>
      <w:r w:rsidRPr="00820C89">
        <w:rPr>
          <w:rFonts w:asciiTheme="majorHAnsi" w:hAnsiTheme="majorHAnsi"/>
        </w:rPr>
        <w:t xml:space="preserve"> 349 submissions were made to the review, only five are quoted within the review itself</w:t>
      </w:r>
      <w:r w:rsidR="002E7F0D" w:rsidRPr="00820C89">
        <w:rPr>
          <w:rFonts w:asciiTheme="majorHAnsi" w:hAnsiTheme="majorHAnsi"/>
        </w:rPr>
        <w:t xml:space="preserve"> and a lack</w:t>
      </w:r>
      <w:r w:rsidRPr="00820C89">
        <w:rPr>
          <w:rFonts w:asciiTheme="majorHAnsi" w:hAnsiTheme="majorHAnsi"/>
        </w:rPr>
        <w:t xml:space="preserve"> of direct quoting makes it difficult to determine how Indigenous perspectives contributed to the findings of the review</w:t>
      </w:r>
      <w:r w:rsidRPr="00820C89">
        <w:rPr>
          <w:rStyle w:val="FootnoteReference"/>
          <w:rFonts w:asciiTheme="majorHAnsi" w:hAnsiTheme="majorHAnsi"/>
        </w:rPr>
        <w:footnoteReference w:id="37"/>
      </w:r>
    </w:p>
    <w:p w14:paraId="7F33B127" w14:textId="77777777" w:rsidR="00DD4EAE" w:rsidRPr="00820C89" w:rsidRDefault="00DD4EAE" w:rsidP="00DD4EAE">
      <w:pPr>
        <w:spacing w:before="170"/>
        <w:rPr>
          <w:rFonts w:asciiTheme="majorHAnsi" w:hAnsiTheme="majorHAnsi"/>
        </w:rPr>
      </w:pPr>
      <w:r w:rsidRPr="00820C89">
        <w:rPr>
          <w:rFonts w:asciiTheme="majorHAnsi" w:hAnsiTheme="majorHAnsi"/>
        </w:rPr>
        <w:lastRenderedPageBreak/>
        <w:t>As a result, it is challenging to determine the role that Indigenous Australians have played in the review</w:t>
      </w:r>
      <w:r w:rsidR="005926CA" w:rsidRPr="00820C89">
        <w:rPr>
          <w:rFonts w:asciiTheme="majorHAnsi" w:hAnsiTheme="majorHAnsi"/>
        </w:rPr>
        <w:t>, and</w:t>
      </w:r>
      <w:r w:rsidRPr="00820C89">
        <w:rPr>
          <w:rFonts w:asciiTheme="majorHAnsi" w:hAnsiTheme="majorHAnsi"/>
        </w:rPr>
        <w:t xml:space="preserve"> th</w:t>
      </w:r>
      <w:r w:rsidR="005926CA" w:rsidRPr="00820C89">
        <w:rPr>
          <w:rFonts w:asciiTheme="majorHAnsi" w:hAnsiTheme="majorHAnsi"/>
        </w:rPr>
        <w:t>is</w:t>
      </w:r>
      <w:r w:rsidRPr="00820C89">
        <w:rPr>
          <w:rFonts w:asciiTheme="majorHAnsi" w:hAnsiTheme="majorHAnsi"/>
        </w:rPr>
        <w:t xml:space="preserve"> evaluation </w:t>
      </w:r>
      <w:r w:rsidR="005926CA" w:rsidRPr="00820C89">
        <w:rPr>
          <w:rFonts w:asciiTheme="majorHAnsi" w:hAnsiTheme="majorHAnsi"/>
        </w:rPr>
        <w:t>is unable to</w:t>
      </w:r>
      <w:r w:rsidRPr="00820C89">
        <w:rPr>
          <w:rFonts w:asciiTheme="majorHAnsi" w:hAnsiTheme="majorHAnsi"/>
        </w:rPr>
        <w:t xml:space="preserve"> ascertain the nature of this involvement and how it shaped the policy recommendations included within the review. </w:t>
      </w:r>
    </w:p>
    <w:p w14:paraId="7D202046" w14:textId="77777777" w:rsidR="00700D7F" w:rsidRPr="00820C89" w:rsidRDefault="005926CA" w:rsidP="00DD4EAE">
      <w:pPr>
        <w:spacing w:before="170"/>
        <w:rPr>
          <w:rFonts w:asciiTheme="majorHAnsi" w:hAnsiTheme="majorHAnsi"/>
        </w:rPr>
      </w:pPr>
      <w:r w:rsidRPr="00820C89">
        <w:rPr>
          <w:rFonts w:asciiTheme="majorHAnsi" w:hAnsiTheme="majorHAnsi"/>
          <w:b/>
          <w:bCs/>
        </w:rPr>
        <w:t xml:space="preserve">The VTEC </w:t>
      </w:r>
      <w:r w:rsidR="00934F34" w:rsidRPr="00820C89">
        <w:rPr>
          <w:rFonts w:asciiTheme="majorHAnsi" w:hAnsiTheme="majorHAnsi"/>
          <w:b/>
          <w:bCs/>
        </w:rPr>
        <w:t>evaluation</w:t>
      </w:r>
      <w:r w:rsidR="00DD4EAE" w:rsidRPr="00820C89">
        <w:rPr>
          <w:rFonts w:asciiTheme="majorHAnsi" w:hAnsiTheme="majorHAnsi"/>
          <w:i/>
        </w:rPr>
        <w:t xml:space="preserve"> </w:t>
      </w:r>
      <w:r w:rsidR="00DD4EAE" w:rsidRPr="00820C89">
        <w:rPr>
          <w:rFonts w:asciiTheme="majorHAnsi" w:hAnsiTheme="majorHAnsi"/>
        </w:rPr>
        <w:t xml:space="preserve">was </w:t>
      </w:r>
      <w:r w:rsidR="00642EFD" w:rsidRPr="00820C89">
        <w:rPr>
          <w:rFonts w:asciiTheme="majorHAnsi" w:hAnsiTheme="majorHAnsi"/>
        </w:rPr>
        <w:t xml:space="preserve">informed by Indigenous perspectives in the following ways: </w:t>
      </w:r>
    </w:p>
    <w:p w14:paraId="5483080D" w14:textId="77777777" w:rsidR="00642EFD" w:rsidRPr="00820C89" w:rsidRDefault="00BD564E" w:rsidP="00715F70">
      <w:pPr>
        <w:pStyle w:val="ListParagraph"/>
        <w:numPr>
          <w:ilvl w:val="0"/>
          <w:numId w:val="73"/>
        </w:numPr>
        <w:spacing w:before="170"/>
        <w:rPr>
          <w:rFonts w:asciiTheme="majorHAnsi" w:hAnsiTheme="majorHAnsi"/>
        </w:rPr>
      </w:pPr>
      <w:r w:rsidRPr="00820C89">
        <w:rPr>
          <w:rFonts w:asciiTheme="majorHAnsi" w:hAnsiTheme="majorHAnsi"/>
        </w:rPr>
        <w:t xml:space="preserve">focus groups </w:t>
      </w:r>
      <w:r w:rsidR="00A7159D" w:rsidRPr="00820C89">
        <w:rPr>
          <w:rFonts w:asciiTheme="majorHAnsi" w:hAnsiTheme="majorHAnsi"/>
        </w:rPr>
        <w:t xml:space="preserve">with VTEC participants </w:t>
      </w:r>
    </w:p>
    <w:p w14:paraId="41D8C6D8" w14:textId="77777777" w:rsidR="00A7159D" w:rsidRPr="00820C89" w:rsidRDefault="00644F6B" w:rsidP="00715F70">
      <w:pPr>
        <w:pStyle w:val="ListParagraph"/>
        <w:numPr>
          <w:ilvl w:val="0"/>
          <w:numId w:val="73"/>
        </w:numPr>
        <w:spacing w:before="170"/>
        <w:rPr>
          <w:rFonts w:asciiTheme="majorHAnsi" w:hAnsiTheme="majorHAnsi"/>
        </w:rPr>
      </w:pPr>
      <w:r w:rsidRPr="00820C89">
        <w:rPr>
          <w:rFonts w:asciiTheme="majorHAnsi" w:hAnsiTheme="majorHAnsi"/>
        </w:rPr>
        <w:t xml:space="preserve">surveys with community and industry stakeholders </w:t>
      </w:r>
    </w:p>
    <w:p w14:paraId="34512A6E" w14:textId="77777777" w:rsidR="00644F6B" w:rsidRPr="00820C89" w:rsidRDefault="00F708B9" w:rsidP="00715F70">
      <w:pPr>
        <w:pStyle w:val="ListParagraph"/>
        <w:numPr>
          <w:ilvl w:val="0"/>
          <w:numId w:val="73"/>
        </w:numPr>
        <w:spacing w:before="170"/>
        <w:rPr>
          <w:rFonts w:asciiTheme="majorHAnsi" w:hAnsiTheme="majorHAnsi"/>
        </w:rPr>
      </w:pPr>
      <w:r w:rsidRPr="00820C89">
        <w:rPr>
          <w:rFonts w:asciiTheme="majorHAnsi" w:hAnsiTheme="majorHAnsi"/>
        </w:rPr>
        <w:t>semi-structured</w:t>
      </w:r>
      <w:r w:rsidR="00C10124" w:rsidRPr="00820C89">
        <w:rPr>
          <w:rFonts w:asciiTheme="majorHAnsi" w:hAnsiTheme="majorHAnsi"/>
        </w:rPr>
        <w:t>, open-ended interviews with community and industry stakeholders</w:t>
      </w:r>
    </w:p>
    <w:p w14:paraId="28D58F43" w14:textId="77777777" w:rsidR="00C10124" w:rsidRPr="00820C89" w:rsidRDefault="00EE6829" w:rsidP="00715F70">
      <w:pPr>
        <w:pStyle w:val="ListParagraph"/>
        <w:numPr>
          <w:ilvl w:val="0"/>
          <w:numId w:val="73"/>
        </w:numPr>
        <w:spacing w:before="170"/>
        <w:rPr>
          <w:rFonts w:asciiTheme="majorHAnsi" w:hAnsiTheme="majorHAnsi"/>
        </w:rPr>
      </w:pPr>
      <w:r w:rsidRPr="00820C89">
        <w:rPr>
          <w:rFonts w:asciiTheme="majorHAnsi" w:hAnsiTheme="majorHAnsi"/>
        </w:rPr>
        <w:t xml:space="preserve">place-based site analysis and observation. </w:t>
      </w:r>
    </w:p>
    <w:p w14:paraId="23E5B3E4" w14:textId="77777777" w:rsidR="00877248" w:rsidRPr="00820C89" w:rsidRDefault="005A462C" w:rsidP="00DD4EAE">
      <w:pPr>
        <w:spacing w:before="170"/>
        <w:rPr>
          <w:rFonts w:asciiTheme="majorHAnsi" w:hAnsiTheme="majorHAnsi"/>
        </w:rPr>
      </w:pPr>
      <w:r w:rsidRPr="00820C89">
        <w:rPr>
          <w:rFonts w:asciiTheme="majorHAnsi" w:hAnsiTheme="majorHAnsi"/>
        </w:rPr>
        <w:t>While a participatory methodology was employed</w:t>
      </w:r>
      <w:r w:rsidR="00700D7F" w:rsidRPr="00820C89">
        <w:rPr>
          <w:rFonts w:asciiTheme="majorHAnsi" w:hAnsiTheme="majorHAnsi"/>
        </w:rPr>
        <w:t>, it</w:t>
      </w:r>
      <w:r w:rsidR="00DD4EAE" w:rsidRPr="00820C89">
        <w:rPr>
          <w:rFonts w:asciiTheme="majorHAnsi" w:hAnsiTheme="majorHAnsi"/>
        </w:rPr>
        <w:t xml:space="preserve"> is </w:t>
      </w:r>
      <w:r w:rsidR="00B77204" w:rsidRPr="00820C89">
        <w:rPr>
          <w:rFonts w:asciiTheme="majorHAnsi" w:hAnsiTheme="majorHAnsi"/>
        </w:rPr>
        <w:t xml:space="preserve">still </w:t>
      </w:r>
      <w:r w:rsidR="00DD4EAE" w:rsidRPr="00820C89">
        <w:rPr>
          <w:rFonts w:asciiTheme="majorHAnsi" w:hAnsiTheme="majorHAnsi"/>
        </w:rPr>
        <w:t xml:space="preserve">difficult to determine the extent to which </w:t>
      </w:r>
      <w:r w:rsidR="00C61202" w:rsidRPr="00820C89">
        <w:rPr>
          <w:rFonts w:asciiTheme="majorHAnsi" w:hAnsiTheme="majorHAnsi"/>
        </w:rPr>
        <w:t>changes to the program design</w:t>
      </w:r>
      <w:r w:rsidR="00DB0D70" w:rsidRPr="00820C89">
        <w:rPr>
          <w:rFonts w:asciiTheme="majorHAnsi" w:hAnsiTheme="majorHAnsi"/>
        </w:rPr>
        <w:t xml:space="preserve"> w</w:t>
      </w:r>
      <w:r w:rsidR="00B77204" w:rsidRPr="00820C89">
        <w:rPr>
          <w:rFonts w:asciiTheme="majorHAnsi" w:hAnsiTheme="majorHAnsi"/>
        </w:rPr>
        <w:t xml:space="preserve">ere </w:t>
      </w:r>
      <w:r w:rsidR="00DD4EAE" w:rsidRPr="00820C89">
        <w:rPr>
          <w:rFonts w:asciiTheme="majorHAnsi" w:hAnsiTheme="majorHAnsi"/>
        </w:rPr>
        <w:t xml:space="preserve">influenced by </w:t>
      </w:r>
      <w:r w:rsidR="00DB0D70" w:rsidRPr="00820C89">
        <w:rPr>
          <w:rFonts w:asciiTheme="majorHAnsi" w:hAnsiTheme="majorHAnsi"/>
        </w:rPr>
        <w:t>Indigenous perspectives</w:t>
      </w:r>
      <w:r w:rsidR="002E2092" w:rsidRPr="00820C89">
        <w:rPr>
          <w:rFonts w:asciiTheme="majorHAnsi" w:hAnsiTheme="majorHAnsi"/>
        </w:rPr>
        <w:t xml:space="preserve">. Additionally, as shown in Table 2.2, </w:t>
      </w:r>
      <w:r w:rsidR="00A9467E" w:rsidRPr="00820C89">
        <w:rPr>
          <w:rFonts w:asciiTheme="majorHAnsi" w:hAnsiTheme="majorHAnsi"/>
        </w:rPr>
        <w:t xml:space="preserve">only a limited number of </w:t>
      </w:r>
      <w:r w:rsidR="0077318D" w:rsidRPr="00820C89">
        <w:rPr>
          <w:rFonts w:asciiTheme="majorHAnsi" w:hAnsiTheme="majorHAnsi"/>
        </w:rPr>
        <w:t xml:space="preserve">the VTEC evaluation’s </w:t>
      </w:r>
      <w:r w:rsidR="00A9467E" w:rsidRPr="00820C89">
        <w:rPr>
          <w:rFonts w:asciiTheme="majorHAnsi" w:hAnsiTheme="majorHAnsi"/>
        </w:rPr>
        <w:t xml:space="preserve">recommendations </w:t>
      </w:r>
      <w:r w:rsidR="0077318D" w:rsidRPr="00820C89">
        <w:rPr>
          <w:rFonts w:asciiTheme="majorHAnsi" w:hAnsiTheme="majorHAnsi"/>
        </w:rPr>
        <w:t xml:space="preserve">were implemented. </w:t>
      </w:r>
    </w:p>
    <w:p w14:paraId="3E32EE4C" w14:textId="77777777" w:rsidR="00DD4EAE" w:rsidRPr="00820C89" w:rsidRDefault="00C46993" w:rsidP="00DD4EAE">
      <w:pPr>
        <w:rPr>
          <w:rFonts w:asciiTheme="majorHAnsi" w:hAnsiTheme="majorHAnsi"/>
        </w:rPr>
      </w:pPr>
      <w:r w:rsidRPr="00820C89">
        <w:rPr>
          <w:rFonts w:asciiTheme="majorHAnsi" w:hAnsiTheme="majorHAnsi"/>
        </w:rPr>
        <w:t xml:space="preserve">Additionally, </w:t>
      </w:r>
      <w:r w:rsidR="00D01924" w:rsidRPr="00820C89">
        <w:rPr>
          <w:rFonts w:asciiTheme="majorHAnsi" w:hAnsiTheme="majorHAnsi"/>
        </w:rPr>
        <w:t>while literature has</w:t>
      </w:r>
      <w:r w:rsidRPr="00820C89">
        <w:rPr>
          <w:rFonts w:asciiTheme="majorHAnsi" w:hAnsiTheme="majorHAnsi"/>
        </w:rPr>
        <w:t xml:space="preserve"> </w:t>
      </w:r>
      <w:r w:rsidR="004C4BA1" w:rsidRPr="00820C89">
        <w:rPr>
          <w:rFonts w:asciiTheme="majorHAnsi" w:hAnsiTheme="majorHAnsi"/>
        </w:rPr>
        <w:t xml:space="preserve">found co-design at a local level </w:t>
      </w:r>
      <w:r w:rsidR="00454E2C" w:rsidRPr="00820C89">
        <w:rPr>
          <w:rFonts w:asciiTheme="majorHAnsi" w:hAnsiTheme="majorHAnsi"/>
        </w:rPr>
        <w:t xml:space="preserve">helpful for establishing participation and cultural </w:t>
      </w:r>
      <w:r w:rsidR="00205210" w:rsidRPr="00820C89">
        <w:rPr>
          <w:rFonts w:asciiTheme="majorHAnsi" w:hAnsiTheme="majorHAnsi"/>
        </w:rPr>
        <w:t>relevance</w:t>
      </w:r>
      <w:r w:rsidR="005F02FD" w:rsidRPr="00820C89">
        <w:rPr>
          <w:rFonts w:asciiTheme="majorHAnsi" w:hAnsiTheme="majorHAnsi"/>
        </w:rPr>
        <w:t>, the evaluation did not find any evidence that this process was undertaken.</w:t>
      </w:r>
      <w:r w:rsidR="00454E2C" w:rsidRPr="00820C89">
        <w:rPr>
          <w:rFonts w:asciiTheme="majorHAnsi" w:hAnsiTheme="majorHAnsi"/>
        </w:rPr>
        <w:t xml:space="preserve"> </w:t>
      </w:r>
      <w:r w:rsidR="0030756F" w:rsidRPr="00820C89">
        <w:rPr>
          <w:rFonts w:asciiTheme="majorHAnsi" w:hAnsiTheme="majorHAnsi"/>
        </w:rPr>
        <w:t xml:space="preserve">Discussions in </w:t>
      </w:r>
      <w:r w:rsidR="0030756F" w:rsidRPr="00820C89">
        <w:rPr>
          <w:rFonts w:asciiTheme="majorHAnsi" w:hAnsiTheme="majorHAnsi"/>
          <w:i/>
          <w:iCs/>
        </w:rPr>
        <w:t>Program implementation</w:t>
      </w:r>
      <w:r w:rsidR="00DD4EAE" w:rsidRPr="00820C89">
        <w:rPr>
          <w:rFonts w:asciiTheme="majorHAnsi" w:hAnsiTheme="majorHAnsi"/>
        </w:rPr>
        <w:t xml:space="preserve"> further details the role of Indigenous Australians in the implementation of the programs, considering the extent to which the programs are implemented in a place-based way which enables localised, Indigenous-led decision making.</w:t>
      </w:r>
      <w:r w:rsidR="0089307E" w:rsidRPr="00820C89">
        <w:rPr>
          <w:rFonts w:asciiTheme="majorHAnsi" w:hAnsiTheme="majorHAnsi"/>
        </w:rPr>
        <w:t xml:space="preserve"> </w:t>
      </w:r>
    </w:p>
    <w:p w14:paraId="42ECA37D" w14:textId="77777777" w:rsidR="00DD4EAE" w:rsidRPr="00820C89" w:rsidRDefault="00AE53E5" w:rsidP="00DD4EAE">
      <w:pPr>
        <w:rPr>
          <w:rFonts w:asciiTheme="majorHAnsi" w:hAnsiTheme="majorHAnsi"/>
        </w:rPr>
      </w:pPr>
      <w:r w:rsidRPr="00820C89">
        <w:rPr>
          <w:rFonts w:asciiTheme="majorHAnsi" w:hAnsiTheme="majorHAnsi"/>
        </w:rPr>
        <w:t>In summary, w</w:t>
      </w:r>
      <w:r w:rsidR="00DD4EAE" w:rsidRPr="00820C89">
        <w:rPr>
          <w:rFonts w:asciiTheme="majorHAnsi" w:hAnsiTheme="majorHAnsi"/>
        </w:rPr>
        <w:t>hile there have been opportunities for Indigenous voices to contribute to the</w:t>
      </w:r>
      <w:r w:rsidR="00DD4EAE" w:rsidRPr="00820C89">
        <w:rPr>
          <w:rFonts w:asciiTheme="majorHAnsi" w:hAnsiTheme="majorHAnsi"/>
          <w:i/>
        </w:rPr>
        <w:t xml:space="preserve"> </w:t>
      </w:r>
      <w:r w:rsidR="00DD4EAE" w:rsidRPr="00820C89">
        <w:rPr>
          <w:rFonts w:asciiTheme="majorHAnsi" w:hAnsiTheme="majorHAnsi"/>
        </w:rPr>
        <w:t>design of the IEP, there has not been a deliberate effort to show how these voices have influenced design, or the experiences of participants and communities has been considered. Further, there is no evidence that there has been a co-design or Indigenous-led design in the development of the programs. As such, they can be understood as being designed firmly within a Western paradigm.</w:t>
      </w:r>
    </w:p>
    <w:p w14:paraId="0B48D000" w14:textId="77777777" w:rsidR="005B68AB" w:rsidRPr="00820C89" w:rsidRDefault="005B68AB" w:rsidP="008A3E04">
      <w:pPr>
        <w:pStyle w:val="Heading1"/>
      </w:pPr>
      <w:bookmarkStart w:id="69" w:name="_Toc82710774"/>
      <w:bookmarkStart w:id="70" w:name="_Toc101343289"/>
      <w:bookmarkEnd w:id="61"/>
      <w:r w:rsidRPr="00820C89">
        <w:lastRenderedPageBreak/>
        <w:t>Program implementation</w:t>
      </w:r>
      <w:bookmarkEnd w:id="69"/>
      <w:bookmarkEnd w:id="70"/>
    </w:p>
    <w:p w14:paraId="03603E76" w14:textId="6CA0BBA6" w:rsidR="00C57BDF" w:rsidRPr="00820C89" w:rsidRDefault="00C57BDF" w:rsidP="00C57BDF">
      <w:pPr>
        <w:rPr>
          <w:rFonts w:asciiTheme="majorHAnsi" w:hAnsiTheme="majorHAnsi"/>
        </w:rPr>
      </w:pPr>
      <w:r w:rsidRPr="00820C89">
        <w:rPr>
          <w:rFonts w:asciiTheme="majorHAnsi" w:hAnsiTheme="majorHAnsi"/>
        </w:rPr>
        <w:t xml:space="preserve">Having already established the design features of the program, this chapter considers whether the </w:t>
      </w:r>
      <w:r w:rsidR="00583242" w:rsidRPr="00820C89">
        <w:rPr>
          <w:rFonts w:asciiTheme="majorHAnsi" w:hAnsiTheme="majorHAnsi"/>
        </w:rPr>
        <w:t>sub-</w:t>
      </w:r>
      <w:r w:rsidRPr="00820C89">
        <w:rPr>
          <w:rFonts w:asciiTheme="majorHAnsi" w:hAnsiTheme="majorHAnsi"/>
        </w:rPr>
        <w:t xml:space="preserve">programs have been implemented as originally intended, as well as any challenges faced by providers and partners in implementing the programs as designed. </w:t>
      </w:r>
    </w:p>
    <w:p w14:paraId="1E48D9A9" w14:textId="10DD3A8B" w:rsidR="00CA4793" w:rsidRPr="00820C89" w:rsidRDefault="00B75F54" w:rsidP="00CA4793">
      <w:pPr>
        <w:rPr>
          <w:rFonts w:asciiTheme="majorHAnsi" w:hAnsiTheme="majorHAnsi"/>
        </w:rPr>
      </w:pPr>
      <w:r w:rsidRPr="00820C89">
        <w:rPr>
          <w:rFonts w:asciiTheme="majorHAnsi" w:hAnsiTheme="majorHAnsi"/>
        </w:rPr>
        <w:t xml:space="preserve">Specifically, the </w:t>
      </w:r>
      <w:r w:rsidR="00CA4793" w:rsidRPr="00820C89">
        <w:rPr>
          <w:rFonts w:asciiTheme="majorHAnsi" w:hAnsiTheme="majorHAnsi"/>
        </w:rPr>
        <w:t xml:space="preserve">chapter has a particular focus on the below evaluation questions: </w:t>
      </w:r>
    </w:p>
    <w:p w14:paraId="6BD2E2FC" w14:textId="77777777" w:rsidR="00CA4793" w:rsidRPr="00820C89" w:rsidRDefault="00CA4793" w:rsidP="00715F70">
      <w:pPr>
        <w:pStyle w:val="ListParagraph"/>
        <w:numPr>
          <w:ilvl w:val="0"/>
          <w:numId w:val="41"/>
        </w:numPr>
        <w:spacing w:before="60" w:after="60"/>
        <w:ind w:left="357" w:hanging="357"/>
        <w:contextualSpacing w:val="0"/>
        <w:rPr>
          <w:rFonts w:asciiTheme="majorHAnsi" w:hAnsiTheme="majorHAnsi"/>
          <w:i/>
        </w:rPr>
      </w:pPr>
      <w:r w:rsidRPr="00820C89">
        <w:rPr>
          <w:rFonts w:asciiTheme="majorHAnsi" w:hAnsiTheme="majorHAnsi"/>
          <w:i/>
        </w:rPr>
        <w:t>to what extent has the program been implemented by NIAA (/PM&amp;C) in line with its design parameters?</w:t>
      </w:r>
    </w:p>
    <w:p w14:paraId="72FB9E12" w14:textId="16AB2AD6" w:rsidR="00B75F54" w:rsidRPr="001656D4" w:rsidRDefault="00CA4793" w:rsidP="00715F70">
      <w:pPr>
        <w:pStyle w:val="ListParagraph"/>
        <w:numPr>
          <w:ilvl w:val="0"/>
          <w:numId w:val="41"/>
        </w:numPr>
        <w:spacing w:before="60" w:after="60"/>
        <w:ind w:left="357" w:hanging="357"/>
        <w:contextualSpacing w:val="0"/>
        <w:rPr>
          <w:rFonts w:asciiTheme="majorHAnsi" w:hAnsiTheme="majorHAnsi"/>
          <w:i/>
        </w:rPr>
      </w:pPr>
      <w:r w:rsidRPr="00820C89">
        <w:rPr>
          <w:rFonts w:asciiTheme="majorHAnsi" w:hAnsiTheme="majorHAnsi"/>
          <w:i/>
        </w:rPr>
        <w:t>to what extent have the programs been delivered in a respectful, strengths-based and place-based way?</w:t>
      </w:r>
    </w:p>
    <w:p w14:paraId="7358F2D9" w14:textId="5D059572" w:rsidR="00B75F54" w:rsidRPr="001656D4" w:rsidRDefault="005B0433" w:rsidP="001656D4">
      <w:pPr>
        <w:spacing w:before="60" w:after="60"/>
        <w:rPr>
          <w:rFonts w:asciiTheme="majorHAnsi" w:hAnsiTheme="majorHAnsi"/>
          <w:i/>
        </w:rPr>
      </w:pPr>
      <w:r w:rsidRPr="00820C89">
        <w:rPr>
          <w:rFonts w:asciiTheme="majorHAnsi" w:hAnsiTheme="majorHAnsi"/>
        </w:rPr>
        <w:t>As an intersecting poin</w:t>
      </w:r>
      <w:r w:rsidR="00153873" w:rsidRPr="00820C89">
        <w:rPr>
          <w:rFonts w:asciiTheme="majorHAnsi" w:hAnsiTheme="majorHAnsi"/>
        </w:rPr>
        <w:t>t</w:t>
      </w:r>
      <w:r w:rsidR="006F7CE4" w:rsidRPr="00820C89">
        <w:rPr>
          <w:rFonts w:asciiTheme="majorHAnsi" w:hAnsiTheme="majorHAnsi"/>
        </w:rPr>
        <w:t xml:space="preserve">, </w:t>
      </w:r>
      <w:r w:rsidR="00A3664D" w:rsidRPr="00820C89">
        <w:rPr>
          <w:rFonts w:asciiTheme="majorHAnsi" w:hAnsiTheme="majorHAnsi"/>
        </w:rPr>
        <w:t>the</w:t>
      </w:r>
      <w:r w:rsidR="006F7CE4" w:rsidRPr="00820C89">
        <w:rPr>
          <w:rFonts w:asciiTheme="majorHAnsi" w:hAnsiTheme="majorHAnsi"/>
        </w:rPr>
        <w:t xml:space="preserve"> chapter considers the governance of the IEP. This topic </w:t>
      </w:r>
      <w:r w:rsidR="00B75F54" w:rsidRPr="00820C89">
        <w:rPr>
          <w:rFonts w:asciiTheme="majorHAnsi" w:hAnsiTheme="majorHAnsi"/>
        </w:rPr>
        <w:t xml:space="preserve">was not originally intended to be a central part of </w:t>
      </w:r>
      <w:r w:rsidR="005A3173" w:rsidRPr="00820C89">
        <w:rPr>
          <w:rFonts w:asciiTheme="majorHAnsi" w:hAnsiTheme="majorHAnsi"/>
        </w:rPr>
        <w:t>the</w:t>
      </w:r>
      <w:r w:rsidR="00B75F54" w:rsidRPr="00820C89">
        <w:rPr>
          <w:rFonts w:asciiTheme="majorHAnsi" w:hAnsiTheme="majorHAnsi"/>
        </w:rPr>
        <w:t xml:space="preserve"> evaluation</w:t>
      </w:r>
      <w:r w:rsidR="00CC7C08" w:rsidRPr="00820C89">
        <w:rPr>
          <w:rFonts w:asciiTheme="majorHAnsi" w:hAnsiTheme="majorHAnsi"/>
        </w:rPr>
        <w:t xml:space="preserve">; however, stakeholders </w:t>
      </w:r>
      <w:r w:rsidR="006A36B4" w:rsidRPr="00820C89">
        <w:rPr>
          <w:rFonts w:asciiTheme="majorHAnsi" w:hAnsiTheme="majorHAnsi"/>
        </w:rPr>
        <w:t xml:space="preserve">have </w:t>
      </w:r>
      <w:r w:rsidR="00CC7C08" w:rsidRPr="00820C89">
        <w:rPr>
          <w:rFonts w:asciiTheme="majorHAnsi" w:hAnsiTheme="majorHAnsi"/>
        </w:rPr>
        <w:t>repeatedly emphasised the importance of governance factors in either enabling or preventing the effective implementation of the sub-</w:t>
      </w:r>
      <w:r w:rsidR="005A3173" w:rsidRPr="00820C89">
        <w:rPr>
          <w:rFonts w:asciiTheme="majorHAnsi" w:hAnsiTheme="majorHAnsi"/>
        </w:rPr>
        <w:t>programs</w:t>
      </w:r>
      <w:r w:rsidR="00CC7C08" w:rsidRPr="00820C89">
        <w:rPr>
          <w:rFonts w:asciiTheme="majorHAnsi" w:hAnsiTheme="majorHAnsi"/>
        </w:rPr>
        <w:t>.</w:t>
      </w:r>
      <w:r w:rsidR="00EA1D17" w:rsidRPr="00820C89">
        <w:rPr>
          <w:rFonts w:asciiTheme="majorHAnsi" w:hAnsiTheme="majorHAnsi"/>
        </w:rPr>
        <w:t xml:space="preserve"> </w:t>
      </w:r>
      <w:r w:rsidR="005A3173" w:rsidRPr="00820C89">
        <w:rPr>
          <w:rFonts w:asciiTheme="majorHAnsi" w:hAnsiTheme="majorHAnsi"/>
        </w:rPr>
        <w:t xml:space="preserve">Therefore, </w:t>
      </w:r>
      <w:r w:rsidR="002F17DC" w:rsidRPr="00820C89">
        <w:rPr>
          <w:rFonts w:asciiTheme="majorHAnsi" w:hAnsiTheme="majorHAnsi"/>
        </w:rPr>
        <w:t xml:space="preserve">the evaluation team has </w:t>
      </w:r>
      <w:r w:rsidR="004615E1" w:rsidRPr="00820C89">
        <w:rPr>
          <w:rFonts w:asciiTheme="majorHAnsi" w:hAnsiTheme="majorHAnsi"/>
        </w:rPr>
        <w:t>concluded</w:t>
      </w:r>
      <w:r w:rsidR="002F17DC" w:rsidRPr="00820C89">
        <w:rPr>
          <w:rFonts w:asciiTheme="majorHAnsi" w:hAnsiTheme="majorHAnsi"/>
        </w:rPr>
        <w:t xml:space="preserve"> that this topic must be considered to gain a </w:t>
      </w:r>
      <w:r w:rsidR="006A36B4" w:rsidRPr="00820C89">
        <w:rPr>
          <w:rFonts w:asciiTheme="majorHAnsi" w:hAnsiTheme="majorHAnsi"/>
        </w:rPr>
        <w:t>holistic</w:t>
      </w:r>
      <w:r w:rsidR="002F17DC" w:rsidRPr="00820C89">
        <w:rPr>
          <w:rFonts w:asciiTheme="majorHAnsi" w:hAnsiTheme="majorHAnsi"/>
        </w:rPr>
        <w:t xml:space="preserve"> </w:t>
      </w:r>
      <w:r w:rsidR="00F167E9" w:rsidRPr="00820C89">
        <w:rPr>
          <w:rFonts w:asciiTheme="majorHAnsi" w:hAnsiTheme="majorHAnsi"/>
        </w:rPr>
        <w:t xml:space="preserve">and meaningful </w:t>
      </w:r>
      <w:r w:rsidR="00EC4F82" w:rsidRPr="00820C89">
        <w:rPr>
          <w:rFonts w:asciiTheme="majorHAnsi" w:hAnsiTheme="majorHAnsi"/>
        </w:rPr>
        <w:t>understanding</w:t>
      </w:r>
      <w:r w:rsidR="00F2323E" w:rsidRPr="00820C89">
        <w:rPr>
          <w:rFonts w:asciiTheme="majorHAnsi" w:hAnsiTheme="majorHAnsi"/>
        </w:rPr>
        <w:t xml:space="preserve"> of the </w:t>
      </w:r>
      <w:r w:rsidR="006A36B4" w:rsidRPr="00820C89">
        <w:rPr>
          <w:rFonts w:asciiTheme="majorHAnsi" w:hAnsiTheme="majorHAnsi"/>
        </w:rPr>
        <w:t>program’s</w:t>
      </w:r>
      <w:r w:rsidR="00F2323E" w:rsidRPr="00820C89">
        <w:rPr>
          <w:rFonts w:asciiTheme="majorHAnsi" w:hAnsiTheme="majorHAnsi"/>
        </w:rPr>
        <w:t xml:space="preserve"> implementation.</w:t>
      </w:r>
    </w:p>
    <w:p w14:paraId="7D391DA6" w14:textId="77777777" w:rsidR="00696849" w:rsidRPr="00820C89" w:rsidRDefault="00696849" w:rsidP="00696849">
      <w:pPr>
        <w:pStyle w:val="Heading2"/>
      </w:pPr>
      <w:bookmarkStart w:id="71" w:name="_Toc82710775"/>
      <w:bookmarkStart w:id="72" w:name="_Toc101343290"/>
      <w:r w:rsidRPr="00820C89">
        <w:t>Analytical approach</w:t>
      </w:r>
      <w:bookmarkEnd w:id="71"/>
      <w:bookmarkEnd w:id="72"/>
    </w:p>
    <w:p w14:paraId="13336218" w14:textId="77777777" w:rsidR="00695BFB" w:rsidRPr="00820C89" w:rsidRDefault="004753BC" w:rsidP="007128A2">
      <w:pPr>
        <w:rPr>
          <w:rFonts w:asciiTheme="majorHAnsi" w:hAnsiTheme="majorHAnsi"/>
        </w:rPr>
      </w:pPr>
      <w:r w:rsidRPr="00820C89">
        <w:rPr>
          <w:rFonts w:asciiTheme="majorHAnsi" w:hAnsiTheme="majorHAnsi"/>
        </w:rPr>
        <w:br/>
      </w:r>
      <w:r w:rsidR="00866A02" w:rsidRPr="00820C89">
        <w:rPr>
          <w:rFonts w:asciiTheme="majorHAnsi" w:hAnsiTheme="majorHAnsi"/>
        </w:rPr>
        <w:t>This section draws on</w:t>
      </w:r>
      <w:r w:rsidR="00CA493D" w:rsidRPr="00820C89">
        <w:rPr>
          <w:rFonts w:asciiTheme="majorHAnsi" w:hAnsiTheme="majorHAnsi"/>
        </w:rPr>
        <w:t xml:space="preserve"> stakeholder ob</w:t>
      </w:r>
      <w:r w:rsidR="001B1A17" w:rsidRPr="00820C89">
        <w:rPr>
          <w:rFonts w:asciiTheme="majorHAnsi" w:hAnsiTheme="majorHAnsi"/>
        </w:rPr>
        <w:t>servations</w:t>
      </w:r>
      <w:r w:rsidR="006152FC" w:rsidRPr="00820C89">
        <w:rPr>
          <w:rFonts w:asciiTheme="majorHAnsi" w:hAnsiTheme="majorHAnsi"/>
        </w:rPr>
        <w:t>, as well as literature pertaining to best practice</w:t>
      </w:r>
      <w:r w:rsidR="0028751E" w:rsidRPr="00820C89">
        <w:rPr>
          <w:rFonts w:asciiTheme="majorHAnsi" w:hAnsiTheme="majorHAnsi"/>
        </w:rPr>
        <w:t xml:space="preserve"> employment practices</w:t>
      </w:r>
      <w:r w:rsidR="006152FC" w:rsidRPr="00820C89">
        <w:rPr>
          <w:rFonts w:asciiTheme="majorHAnsi" w:hAnsiTheme="majorHAnsi"/>
        </w:rPr>
        <w:t xml:space="preserve">, </w:t>
      </w:r>
      <w:r w:rsidR="00E726FE" w:rsidRPr="00820C89">
        <w:rPr>
          <w:rFonts w:asciiTheme="majorHAnsi" w:hAnsiTheme="majorHAnsi"/>
        </w:rPr>
        <w:t xml:space="preserve">to determine the extent to which programs </w:t>
      </w:r>
      <w:r w:rsidR="00FD3F45" w:rsidRPr="00820C89">
        <w:rPr>
          <w:rFonts w:asciiTheme="majorHAnsi" w:hAnsiTheme="majorHAnsi"/>
        </w:rPr>
        <w:t xml:space="preserve">were being </w:t>
      </w:r>
      <w:r w:rsidR="0028751E" w:rsidRPr="00820C89">
        <w:rPr>
          <w:rFonts w:asciiTheme="majorHAnsi" w:hAnsiTheme="majorHAnsi"/>
        </w:rPr>
        <w:t>implemented effectively</w:t>
      </w:r>
      <w:r w:rsidR="00156506" w:rsidRPr="00820C89">
        <w:rPr>
          <w:rFonts w:asciiTheme="majorHAnsi" w:hAnsiTheme="majorHAnsi"/>
        </w:rPr>
        <w:t>,</w:t>
      </w:r>
      <w:r w:rsidR="0028751E" w:rsidRPr="00820C89">
        <w:rPr>
          <w:rFonts w:asciiTheme="majorHAnsi" w:hAnsiTheme="majorHAnsi"/>
        </w:rPr>
        <w:t xml:space="preserve"> and </w:t>
      </w:r>
      <w:r w:rsidR="00437219" w:rsidRPr="00820C89">
        <w:rPr>
          <w:rFonts w:asciiTheme="majorHAnsi" w:hAnsiTheme="majorHAnsi"/>
        </w:rPr>
        <w:t xml:space="preserve">as intended. </w:t>
      </w:r>
    </w:p>
    <w:p w14:paraId="3546DEB4" w14:textId="77777777" w:rsidR="00B77140" w:rsidRPr="00820C89" w:rsidRDefault="00B77140" w:rsidP="003713CF">
      <w:pPr>
        <w:spacing w:before="170"/>
        <w:rPr>
          <w:rFonts w:asciiTheme="majorHAnsi" w:hAnsiTheme="majorHAnsi"/>
        </w:rPr>
      </w:pPr>
      <w:r w:rsidRPr="00820C89">
        <w:rPr>
          <w:rFonts w:asciiTheme="majorHAnsi" w:hAnsiTheme="majorHAnsi"/>
        </w:rPr>
        <w:t>IEP Provider and Partner</w:t>
      </w:r>
      <w:r w:rsidR="00C563D2" w:rsidRPr="00820C89">
        <w:rPr>
          <w:rFonts w:asciiTheme="majorHAnsi" w:hAnsiTheme="majorHAnsi"/>
        </w:rPr>
        <w:t>, employer and participant</w:t>
      </w:r>
      <w:r w:rsidRPr="00820C89">
        <w:rPr>
          <w:rFonts w:asciiTheme="majorHAnsi" w:hAnsiTheme="majorHAnsi"/>
        </w:rPr>
        <w:t xml:space="preserve"> perspectives </w:t>
      </w:r>
      <w:r w:rsidR="00C563D2" w:rsidRPr="00820C89">
        <w:rPr>
          <w:rFonts w:asciiTheme="majorHAnsi" w:hAnsiTheme="majorHAnsi"/>
        </w:rPr>
        <w:t>have been used to understand the implementation of the programs in practice, including any delivery challenges</w:t>
      </w:r>
      <w:r w:rsidR="007232BF" w:rsidRPr="00820C89">
        <w:rPr>
          <w:rFonts w:asciiTheme="majorHAnsi" w:hAnsiTheme="majorHAnsi"/>
        </w:rPr>
        <w:t xml:space="preserve"> and</w:t>
      </w:r>
      <w:r w:rsidR="000A1FE5" w:rsidRPr="00820C89">
        <w:rPr>
          <w:rFonts w:asciiTheme="majorHAnsi" w:hAnsiTheme="majorHAnsi"/>
        </w:rPr>
        <w:t xml:space="preserve"> critical success factors.</w:t>
      </w:r>
    </w:p>
    <w:p w14:paraId="7ADA6AC4" w14:textId="77777777" w:rsidR="005D39BE" w:rsidRPr="00820C89" w:rsidRDefault="007232BF" w:rsidP="003713CF">
      <w:pPr>
        <w:spacing w:before="170"/>
        <w:rPr>
          <w:rFonts w:asciiTheme="majorHAnsi" w:hAnsiTheme="majorHAnsi"/>
        </w:rPr>
      </w:pPr>
      <w:r w:rsidRPr="00820C89">
        <w:rPr>
          <w:rFonts w:asciiTheme="majorHAnsi" w:hAnsiTheme="majorHAnsi"/>
        </w:rPr>
        <w:t>NIAA staff perspectives have been used to answer</w:t>
      </w:r>
      <w:r w:rsidR="005D39BE" w:rsidRPr="00820C89">
        <w:rPr>
          <w:rFonts w:asciiTheme="majorHAnsi" w:hAnsiTheme="majorHAnsi"/>
        </w:rPr>
        <w:t xml:space="preserve"> various governance questions such as how to balance accountability, consistency and local decision making, procurement and contract management considerations, and implications for program effectiveness and efficiency.  </w:t>
      </w:r>
    </w:p>
    <w:p w14:paraId="283ED711" w14:textId="77777777" w:rsidR="004432B7" w:rsidRPr="00820C89" w:rsidRDefault="004432B7" w:rsidP="005D39BE">
      <w:pPr>
        <w:spacing w:before="170"/>
        <w:rPr>
          <w:rFonts w:asciiTheme="majorHAnsi" w:hAnsiTheme="majorHAnsi"/>
        </w:rPr>
      </w:pPr>
      <w:r w:rsidRPr="00820C89">
        <w:rPr>
          <w:rFonts w:asciiTheme="majorHAnsi" w:hAnsiTheme="majorHAnsi"/>
        </w:rPr>
        <w:br w:type="page"/>
      </w:r>
    </w:p>
    <w:p w14:paraId="376FDEBC" w14:textId="77777777" w:rsidR="001D6F02" w:rsidRPr="008B4C61"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sz w:val="32"/>
          <w:szCs w:val="32"/>
        </w:rPr>
      </w:pPr>
      <w:r w:rsidRPr="00F242BE">
        <w:rPr>
          <w:b/>
          <w:bCs/>
          <w:i/>
          <w:iCs/>
          <w:color w:val="62B5E5" w:themeColor="accent3"/>
          <w:sz w:val="32"/>
          <w:szCs w:val="32"/>
        </w:rPr>
        <w:lastRenderedPageBreak/>
        <w:t xml:space="preserve">Chapter </w:t>
      </w:r>
      <w:r>
        <w:rPr>
          <w:b/>
          <w:bCs/>
          <w:i/>
          <w:iCs/>
          <w:color w:val="62B5E5" w:themeColor="accent3"/>
          <w:sz w:val="32"/>
          <w:szCs w:val="32"/>
        </w:rPr>
        <w:t>3</w:t>
      </w:r>
      <w:r w:rsidRPr="00F242BE">
        <w:rPr>
          <w:b/>
          <w:bCs/>
          <w:i/>
          <w:iCs/>
          <w:color w:val="62B5E5" w:themeColor="accent3"/>
          <w:sz w:val="32"/>
          <w:szCs w:val="32"/>
        </w:rPr>
        <w:t xml:space="preserve">: Program </w:t>
      </w:r>
      <w:r>
        <w:rPr>
          <w:b/>
          <w:bCs/>
          <w:i/>
          <w:iCs/>
          <w:color w:val="62B5E5" w:themeColor="accent3"/>
          <w:sz w:val="32"/>
          <w:szCs w:val="32"/>
        </w:rPr>
        <w:t>Implementation</w:t>
      </w:r>
    </w:p>
    <w:p w14:paraId="4F1A1214" w14:textId="77777777" w:rsidR="001D6F02"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rPr>
      </w:pPr>
      <w:r>
        <w:rPr>
          <w:b/>
          <w:bCs/>
          <w:i/>
          <w:iCs/>
          <w:color w:val="62B5E5" w:themeColor="accent3"/>
        </w:rPr>
        <w:t>Focus</w:t>
      </w:r>
    </w:p>
    <w:p w14:paraId="3634582B" w14:textId="77777777" w:rsidR="001D6F02" w:rsidRPr="008B4C61" w:rsidRDefault="001D6F02"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i/>
          <w:iCs/>
        </w:rPr>
      </w:pPr>
      <w:r w:rsidRPr="008B4C61">
        <w:t>This chapter considers whether the sub-programs have been implemented as originally intended, as well as any challenges faced by providers and partners in implementing the programs as designed. This section responds to the evaluation question</w:t>
      </w:r>
      <w:r>
        <w:t>s</w:t>
      </w:r>
      <w:r w:rsidRPr="008B4C61">
        <w:t>:</w:t>
      </w:r>
    </w:p>
    <w:p w14:paraId="1127275D" w14:textId="7091345C" w:rsidR="001D6F02" w:rsidRDefault="001D6F02" w:rsidP="00715F70">
      <w:pPr>
        <w:pStyle w:val="ListParagraph"/>
        <w:numPr>
          <w:ilvl w:val="0"/>
          <w:numId w:val="90"/>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ind w:left="426" w:hanging="426"/>
        <w:rPr>
          <w:i/>
          <w:iCs/>
        </w:rPr>
      </w:pPr>
      <w:r>
        <w:rPr>
          <w:i/>
          <w:iCs/>
        </w:rPr>
        <w:t>t</w:t>
      </w:r>
      <w:r w:rsidRPr="008B4C61">
        <w:rPr>
          <w:i/>
          <w:iCs/>
        </w:rPr>
        <w:t>o what extent has the program been implemented in line with its design parameters?</w:t>
      </w:r>
    </w:p>
    <w:p w14:paraId="261DE80A" w14:textId="77777777" w:rsidR="001D6F02" w:rsidRPr="001D6F02" w:rsidRDefault="001D6F02" w:rsidP="00715F70">
      <w:pPr>
        <w:pStyle w:val="ListParagraph"/>
        <w:numPr>
          <w:ilvl w:val="0"/>
          <w:numId w:val="90"/>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before="60" w:after="60"/>
        <w:ind w:left="426" w:hanging="426"/>
        <w:contextualSpacing w:val="0"/>
        <w:rPr>
          <w:rFonts w:asciiTheme="majorHAnsi" w:hAnsiTheme="majorHAnsi"/>
          <w:i/>
        </w:rPr>
      </w:pPr>
      <w:r w:rsidRPr="00785D08">
        <w:rPr>
          <w:rFonts w:asciiTheme="majorHAnsi" w:hAnsiTheme="majorHAnsi"/>
          <w:i/>
        </w:rPr>
        <w:t>to what extent have the programs been delivered in a respectful, strengths-based and place-based way?</w:t>
      </w:r>
    </w:p>
    <w:p w14:paraId="645B8586" w14:textId="77777777" w:rsidR="001D6F02" w:rsidRPr="008B4C61"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rPr>
      </w:pPr>
      <w:r>
        <w:rPr>
          <w:b/>
          <w:bCs/>
          <w:i/>
          <w:iCs/>
          <w:color w:val="62B5E5" w:themeColor="accent3"/>
        </w:rPr>
        <w:t>Data sources</w:t>
      </w:r>
    </w:p>
    <w:p w14:paraId="261E40DF" w14:textId="77777777" w:rsidR="001D6F02" w:rsidRPr="00EC128D" w:rsidRDefault="001D6F02"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t>Stakeholder consultations with providers, partners and NIAA representatives.</w:t>
      </w:r>
    </w:p>
    <w:p w14:paraId="71AB60A8" w14:textId="77777777" w:rsidR="001D6F02" w:rsidRDefault="001D6F02"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t>The VTEC and TAEG provider survey.</w:t>
      </w:r>
    </w:p>
    <w:p w14:paraId="56A80F55" w14:textId="77777777" w:rsidR="001D6F02" w:rsidRPr="005723FF" w:rsidRDefault="001D6F02"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t>NIAA program data</w:t>
      </w:r>
    </w:p>
    <w:p w14:paraId="086104ED" w14:textId="77777777" w:rsidR="001D6F02"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i/>
          <w:iCs/>
          <w:color w:val="62B5E5" w:themeColor="accent3"/>
        </w:rPr>
      </w:pPr>
      <w:r w:rsidRPr="00BC7EC7">
        <w:rPr>
          <w:b/>
          <w:bCs/>
          <w:i/>
          <w:iCs/>
          <w:color w:val="62B5E5" w:themeColor="accent3"/>
        </w:rPr>
        <w:t>Finding</w:t>
      </w:r>
      <w:r>
        <w:rPr>
          <w:b/>
          <w:bCs/>
          <w:i/>
          <w:iCs/>
          <w:color w:val="62B5E5" w:themeColor="accent3"/>
        </w:rPr>
        <w:t>s</w:t>
      </w:r>
      <w:r w:rsidRPr="00BC7EC7">
        <w:rPr>
          <w:b/>
          <w:bCs/>
          <w:i/>
          <w:iCs/>
          <w:color w:val="62B5E5" w:themeColor="accent3"/>
        </w:rPr>
        <w:t>:</w:t>
      </w:r>
    </w:p>
    <w:p w14:paraId="0D06B1CC" w14:textId="77777777" w:rsidR="001D6F02" w:rsidRPr="005625AF"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rPr>
      </w:pPr>
      <w:r w:rsidRPr="005625AF">
        <w:rPr>
          <w:b/>
          <w:bCs/>
        </w:rPr>
        <w:t>Program delivery</w:t>
      </w:r>
    </w:p>
    <w:p w14:paraId="54DF8D57" w14:textId="77777777" w:rsidR="001D6F02" w:rsidRPr="00B51D9C" w:rsidRDefault="001D6F02"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Cs/>
          <w:iCs/>
        </w:rPr>
      </w:pPr>
      <w:r w:rsidRPr="00DF1256">
        <w:t xml:space="preserve">VTEC and TAEG providers offer a wide range of pre-employment and employment supports to most participants. Consultations suggest that EPI Partners similarly deliver employment support through mentoring, although it is less intense in nature. </w:t>
      </w:r>
    </w:p>
    <w:p w14:paraId="1F3E1F38" w14:textId="77777777" w:rsidR="001D6F02" w:rsidRPr="0004192D" w:rsidRDefault="001D6F02"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pPr>
      <w:r w:rsidRPr="006C4FB3">
        <w:t>VTEC and TAEG</w:t>
      </w:r>
      <w:r w:rsidRPr="00252EB3">
        <w:t xml:space="preserve"> services are participant-centric, rather than employer-focused. </w:t>
      </w:r>
      <w:r>
        <w:t>This is reflected in providers’ effort, which is overwhelmingly spent working with participants instead of employers</w:t>
      </w:r>
      <w:r w:rsidRPr="00252EB3">
        <w:t xml:space="preserve">. </w:t>
      </w:r>
    </w:p>
    <w:p w14:paraId="2D406E4D" w14:textId="77777777" w:rsidR="001D6F02" w:rsidRPr="005625AF"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rPr>
      </w:pPr>
      <w:r w:rsidRPr="005625AF">
        <w:rPr>
          <w:b/>
          <w:bCs/>
        </w:rPr>
        <w:t>Implementation challenges</w:t>
      </w:r>
    </w:p>
    <w:p w14:paraId="1BD45A57" w14:textId="77777777" w:rsidR="001D6F02" w:rsidRPr="00C475E9" w:rsidRDefault="001D6F02"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Cs/>
          <w:iCs/>
        </w:rPr>
      </w:pPr>
      <w:r w:rsidRPr="005F6072">
        <w:rPr>
          <w:bCs/>
          <w:iCs/>
        </w:rPr>
        <w:t xml:space="preserve">Providers are constrained by the specific local labour market conditions they each operate within. Specifically, providers operating within regional or rural communities are limited by the number of </w:t>
      </w:r>
      <w:r w:rsidRPr="00B570DB">
        <w:rPr>
          <w:bCs/>
          <w:iCs/>
        </w:rPr>
        <w:t xml:space="preserve">appropriate employment opportunities available and the participants available to them. </w:t>
      </w:r>
    </w:p>
    <w:p w14:paraId="3C9A7154" w14:textId="77777777" w:rsidR="001D6F02" w:rsidRPr="00B570DB" w:rsidRDefault="001D6F02"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Cs/>
          <w:iCs/>
        </w:rPr>
      </w:pPr>
      <w:r w:rsidRPr="00F731D2">
        <w:rPr>
          <w:bCs/>
          <w:iCs/>
        </w:rPr>
        <w:t>It is unclear whether the existing outcomes-based funding model adequately compensate</w:t>
      </w:r>
      <w:r w:rsidRPr="001656D4">
        <w:rPr>
          <w:bCs/>
          <w:iCs/>
        </w:rPr>
        <w:t>s</w:t>
      </w:r>
      <w:r w:rsidRPr="00B570DB">
        <w:rPr>
          <w:bCs/>
          <w:iCs/>
        </w:rPr>
        <w:t xml:space="preserve"> providers for the true costs of effective program delivery. </w:t>
      </w:r>
    </w:p>
    <w:p w14:paraId="0BFA866D" w14:textId="77777777" w:rsidR="001D6F02" w:rsidRPr="0020754E" w:rsidRDefault="001D6F02"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Cs/>
          <w:iCs/>
        </w:rPr>
      </w:pPr>
      <w:r w:rsidRPr="005F6072">
        <w:rPr>
          <w:bCs/>
          <w:iCs/>
        </w:rPr>
        <w:t xml:space="preserve">Participant and provider eligibility criteria are particularly restrictive for the VTEC program, which has limited the pool of available applicants and service providers to engage in the program. </w:t>
      </w:r>
    </w:p>
    <w:p w14:paraId="2503AE15" w14:textId="77777777" w:rsidR="001D6F02" w:rsidRPr="005625AF"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rPr>
      </w:pPr>
      <w:r w:rsidRPr="005625AF">
        <w:rPr>
          <w:b/>
          <w:bCs/>
        </w:rPr>
        <w:t>Governance structures</w:t>
      </w:r>
    </w:p>
    <w:p w14:paraId="193A3519" w14:textId="77777777" w:rsidR="001D6F02" w:rsidRPr="005625AF" w:rsidRDefault="001D6F02"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Cs/>
          <w:iCs/>
        </w:rPr>
      </w:pPr>
      <w:r>
        <w:rPr>
          <w:bCs/>
          <w:iCs/>
        </w:rPr>
        <w:t>A highly</w:t>
      </w:r>
      <w:r w:rsidRPr="005625AF">
        <w:rPr>
          <w:bCs/>
          <w:iCs/>
        </w:rPr>
        <w:t xml:space="preserve"> centralised governance structure impact</w:t>
      </w:r>
      <w:r>
        <w:rPr>
          <w:bCs/>
          <w:iCs/>
        </w:rPr>
        <w:t>s</w:t>
      </w:r>
      <w:r w:rsidRPr="005625AF">
        <w:rPr>
          <w:bCs/>
          <w:iCs/>
        </w:rPr>
        <w:t xml:space="preserve"> providers’ ability to deliver the programs in a place-based, responsive manner and in more extreme cases, </w:t>
      </w:r>
      <w:r>
        <w:rPr>
          <w:bCs/>
          <w:iCs/>
        </w:rPr>
        <w:t xml:space="preserve">leads to </w:t>
      </w:r>
      <w:r w:rsidRPr="005625AF">
        <w:rPr>
          <w:bCs/>
          <w:iCs/>
        </w:rPr>
        <w:t xml:space="preserve">missed opportunities. </w:t>
      </w:r>
    </w:p>
    <w:p w14:paraId="6913AEE9" w14:textId="77777777" w:rsidR="001D6F02" w:rsidRPr="005625AF"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rPr>
      </w:pPr>
      <w:r w:rsidRPr="005625AF">
        <w:rPr>
          <w:b/>
          <w:bCs/>
        </w:rPr>
        <w:t>Accountability and continual improvement</w:t>
      </w:r>
    </w:p>
    <w:p w14:paraId="332A0EA4" w14:textId="77777777" w:rsidR="001D6F02" w:rsidRPr="00056EFF" w:rsidRDefault="001D6F02"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bCs/>
          <w:iCs/>
        </w:rPr>
      </w:pPr>
      <w:r w:rsidRPr="00FC0056">
        <w:rPr>
          <w:bCs/>
          <w:iCs/>
        </w:rPr>
        <w:t>It is unclear how the performance of providers flows through to contracts for delivery across the IEP. This issue is particularly acute within the EPI program, where long contracts and a lack of progressive milestones leaves the overarching performance metrics for partners unclear.</w:t>
      </w:r>
    </w:p>
    <w:p w14:paraId="6F8075ED" w14:textId="77777777" w:rsidR="001D6F02" w:rsidRDefault="001D6F02"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bCs/>
          <w:iCs/>
        </w:rPr>
      </w:pPr>
      <w:r w:rsidRPr="007F0806">
        <w:rPr>
          <w:bCs/>
          <w:iCs/>
        </w:rPr>
        <w:t>The absence of a clear performance framework means that there is limited reward for high performance providers in the form of increased trust in the relationship between themselves and the NIAA or increased flexibility or certainty in funding provision.</w:t>
      </w:r>
    </w:p>
    <w:p w14:paraId="2E3908D3" w14:textId="77777777" w:rsidR="001D6F02" w:rsidRPr="00A35554" w:rsidRDefault="001D6F02"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Cs/>
          <w:iCs/>
        </w:rPr>
      </w:pPr>
      <w:r>
        <w:rPr>
          <w:bCs/>
          <w:iCs/>
        </w:rPr>
        <w:t xml:space="preserve">The </w:t>
      </w:r>
      <w:r w:rsidRPr="00A35554">
        <w:rPr>
          <w:bCs/>
          <w:iCs/>
        </w:rPr>
        <w:t>NIAA faces significant restrictions and capability issues in accessing and utilising the program data that is collected, and there is no current mechanism through which NIAA can observe period performance of the programs, even at an overarching level. This is evident in both the implementation of the IEP, and the conduct of this evaluation.</w:t>
      </w:r>
    </w:p>
    <w:p w14:paraId="5D1446B7" w14:textId="77777777" w:rsidR="001D6F02"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i/>
          <w:iCs/>
          <w:color w:val="62B5E5" w:themeColor="accent3"/>
        </w:rPr>
      </w:pPr>
      <w:r w:rsidRPr="0007703C">
        <w:rPr>
          <w:b/>
          <w:bCs/>
          <w:i/>
          <w:iCs/>
          <w:color w:val="62B5E5" w:themeColor="accent3"/>
        </w:rPr>
        <w:t>Suggestions</w:t>
      </w:r>
    </w:p>
    <w:p w14:paraId="060B238A" w14:textId="77777777" w:rsidR="001D6F02" w:rsidRPr="001D6F02" w:rsidRDefault="001D6F02" w:rsidP="00715F70">
      <w:pPr>
        <w:pStyle w:val="ListParagraph"/>
        <w:numPr>
          <w:ilvl w:val="0"/>
          <w:numId w:val="96"/>
        </w:numPr>
        <w:pBdr>
          <w:top w:val="single" w:sz="24" w:space="1" w:color="62B5E5" w:themeColor="accent3"/>
          <w:left w:val="single" w:sz="24" w:space="4" w:color="62B5E5" w:themeColor="accent3"/>
          <w:bottom w:val="single" w:sz="24" w:space="1" w:color="62B5E5" w:themeColor="accent3"/>
          <w:right w:val="single" w:sz="24" w:space="4" w:color="62B5E5" w:themeColor="accent3"/>
        </w:pBdr>
      </w:pPr>
      <w:r w:rsidRPr="00FC2E4B">
        <w:rPr>
          <w:bCs/>
          <w:iCs/>
        </w:rPr>
        <w:t xml:space="preserve">Future funding models should be better informed by an understanding of the costs and/or value of service delivery, and adopt a </w:t>
      </w:r>
      <w:r>
        <w:rPr>
          <w:bCs/>
          <w:iCs/>
        </w:rPr>
        <w:t xml:space="preserve">refined </w:t>
      </w:r>
      <w:r w:rsidRPr="00FC2E4B">
        <w:rPr>
          <w:bCs/>
          <w:iCs/>
        </w:rPr>
        <w:t xml:space="preserve">approach to outcomes-based funding, based on an understanding of the circumstances in which it is appropriate or inappropriate. </w:t>
      </w:r>
    </w:p>
    <w:p w14:paraId="3B750B6A" w14:textId="5F316C0D" w:rsidR="001D6F02" w:rsidRPr="00FC2E4B" w:rsidRDefault="001D6F02" w:rsidP="00715F70">
      <w:pPr>
        <w:pStyle w:val="ListParagraph"/>
        <w:numPr>
          <w:ilvl w:val="0"/>
          <w:numId w:val="96"/>
        </w:numPr>
        <w:pBdr>
          <w:top w:val="single" w:sz="24" w:space="1" w:color="62B5E5" w:themeColor="accent3"/>
          <w:left w:val="single" w:sz="24" w:space="4" w:color="62B5E5" w:themeColor="accent3"/>
          <w:bottom w:val="single" w:sz="24" w:space="1" w:color="62B5E5" w:themeColor="accent3"/>
          <w:right w:val="single" w:sz="24" w:space="4" w:color="62B5E5" w:themeColor="accent3"/>
        </w:pBdr>
      </w:pPr>
      <w:r w:rsidRPr="001D6F02">
        <w:rPr>
          <w:bCs/>
          <w:iCs/>
        </w:rPr>
        <w:t xml:space="preserve">The streaming process should be amended to be made more culturally appropriate, and thereby effective, for Indigenous jobseekers. </w:t>
      </w:r>
    </w:p>
    <w:p w14:paraId="1443C863" w14:textId="77777777" w:rsidR="001D6F02" w:rsidRPr="000A1E7C" w:rsidRDefault="001D6F02" w:rsidP="00715F70">
      <w:pPr>
        <w:pStyle w:val="ListParagraph"/>
        <w:numPr>
          <w:ilvl w:val="0"/>
          <w:numId w:val="96"/>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b/>
          <w:bCs/>
          <w:i/>
          <w:color w:val="62B5E5" w:themeColor="accent3"/>
        </w:rPr>
      </w:pPr>
      <w:r w:rsidRPr="007E1991">
        <w:rPr>
          <w:bCs/>
          <w:iCs/>
        </w:rPr>
        <w:t>Devolve more responsibility to the regional office network</w:t>
      </w:r>
      <w:r>
        <w:rPr>
          <w:bCs/>
          <w:iCs/>
        </w:rPr>
        <w:t>, with preconditions in place</w:t>
      </w:r>
      <w:r w:rsidRPr="0004192D">
        <w:rPr>
          <w:bCs/>
          <w:iCs/>
        </w:rPr>
        <w:t>.</w:t>
      </w:r>
    </w:p>
    <w:p w14:paraId="076B4081" w14:textId="77777777" w:rsidR="001D6F02" w:rsidRPr="003A14F0" w:rsidRDefault="001D6F02" w:rsidP="00715F70">
      <w:pPr>
        <w:pStyle w:val="ListParagraph"/>
        <w:numPr>
          <w:ilvl w:val="0"/>
          <w:numId w:val="96"/>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iCs/>
        </w:rPr>
      </w:pPr>
      <w:r w:rsidRPr="003A14F0">
        <w:rPr>
          <w:rFonts w:asciiTheme="majorHAnsi" w:hAnsiTheme="majorHAnsi"/>
          <w:iCs/>
        </w:rPr>
        <w:t>Establish a clear performance framework for providers that encourages high-performance</w:t>
      </w:r>
    </w:p>
    <w:p w14:paraId="1E431A7E" w14:textId="022D9B37" w:rsidR="000A4858" w:rsidRPr="00820C89" w:rsidRDefault="00375EAA" w:rsidP="00715F70">
      <w:pPr>
        <w:pStyle w:val="Heading2"/>
        <w:numPr>
          <w:ilvl w:val="1"/>
          <w:numId w:val="103"/>
        </w:numPr>
        <w:spacing w:after="240"/>
      </w:pPr>
      <w:bookmarkStart w:id="73" w:name="_Toc82710776"/>
      <w:bookmarkStart w:id="74" w:name="_Toc101343291"/>
      <w:r w:rsidRPr="00820C89">
        <w:lastRenderedPageBreak/>
        <w:t>Program delivery</w:t>
      </w:r>
      <w:bookmarkEnd w:id="73"/>
      <w:bookmarkEnd w:id="74"/>
    </w:p>
    <w:p w14:paraId="604E9D6B" w14:textId="77777777" w:rsidR="001D6F02" w:rsidRPr="00BC7EC7"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w:t>
      </w:r>
    </w:p>
    <w:p w14:paraId="0CA00B15" w14:textId="779282A0" w:rsidR="001D6F02" w:rsidRPr="001D6F02" w:rsidRDefault="001D6F02" w:rsidP="00715F70">
      <w:pPr>
        <w:pStyle w:val="ListParagraph"/>
        <w:numPr>
          <w:ilvl w:val="0"/>
          <w:numId w:val="77"/>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before="170"/>
        <w:rPr>
          <w:b/>
          <w:bCs/>
          <w:i/>
          <w:iCs/>
          <w:color w:val="62B5E5" w:themeColor="accent3"/>
        </w:rPr>
      </w:pPr>
      <w:r w:rsidRPr="00C61960">
        <w:rPr>
          <w:b/>
          <w:bCs/>
          <w:i/>
          <w:iCs/>
          <w:color w:val="62B5E5" w:themeColor="accent3"/>
        </w:rPr>
        <w:t>VTEC and TAEG providers offer a wide range of pre-employment and employment supports to most participants. Consultations suggest that EPI Partners similarly deliver employment support through mentoring, although it is less intense in nature.</w:t>
      </w:r>
      <w:r>
        <w:rPr>
          <w:b/>
          <w:bCs/>
          <w:i/>
          <w:iCs/>
          <w:color w:val="62B5E5" w:themeColor="accent3"/>
        </w:rPr>
        <w:br/>
      </w:r>
      <w:r w:rsidRPr="00C61960">
        <w:rPr>
          <w:b/>
          <w:bCs/>
          <w:i/>
          <w:iCs/>
          <w:color w:val="62B5E5" w:themeColor="accent3"/>
        </w:rPr>
        <w:t xml:space="preserve"> </w:t>
      </w:r>
    </w:p>
    <w:p w14:paraId="1BB534AE" w14:textId="7A52DE0F" w:rsidR="001D6F02" w:rsidRPr="001D6F02" w:rsidRDefault="001D6F02" w:rsidP="00715F70">
      <w:pPr>
        <w:pStyle w:val="ListParagraph"/>
        <w:numPr>
          <w:ilvl w:val="0"/>
          <w:numId w:val="77"/>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before="170"/>
        <w:rPr>
          <w:b/>
          <w:bCs/>
          <w:i/>
          <w:iCs/>
          <w:color w:val="62B5E5" w:themeColor="accent3"/>
        </w:rPr>
      </w:pPr>
      <w:r w:rsidRPr="00C61960">
        <w:rPr>
          <w:b/>
          <w:bCs/>
          <w:i/>
          <w:iCs/>
          <w:color w:val="62B5E5" w:themeColor="accent3"/>
        </w:rPr>
        <w:t>VTEC and TAEG services are participant-centric, rather than employer-focused. This is reflected in providers’ effort, which is overwhelmingly spent working with participants instead of employers</w:t>
      </w:r>
      <w:r>
        <w:rPr>
          <w:b/>
          <w:bCs/>
          <w:i/>
          <w:iCs/>
          <w:color w:val="62B5E5" w:themeColor="accent3"/>
        </w:rPr>
        <w:t>.</w:t>
      </w:r>
    </w:p>
    <w:p w14:paraId="0F5C108B" w14:textId="133CB9EB" w:rsidR="00A23B77" w:rsidRPr="00820C89" w:rsidRDefault="00CA71B6" w:rsidP="00874EDA">
      <w:r w:rsidRPr="00820C89">
        <w:t xml:space="preserve">The </w:t>
      </w:r>
      <w:r w:rsidR="00105508" w:rsidRPr="00820C89">
        <w:t>sub-programs</w:t>
      </w:r>
      <w:r w:rsidRPr="00820C89">
        <w:t xml:space="preserve"> deliver a </w:t>
      </w:r>
      <w:r w:rsidR="00D704CF" w:rsidRPr="00820C89">
        <w:t>wide</w:t>
      </w:r>
      <w:r w:rsidRPr="00820C89">
        <w:t xml:space="preserve"> range of supports to participants and employers</w:t>
      </w:r>
      <w:r w:rsidR="00560FF9" w:rsidRPr="00820C89">
        <w:t>, including pre-employment support, employment support, vocational education and training and employer support and training</w:t>
      </w:r>
      <w:r w:rsidR="00272DB5" w:rsidRPr="00820C89">
        <w:t>.</w:t>
      </w:r>
      <w:r w:rsidR="00E24614" w:rsidRPr="00820C89">
        <w:t xml:space="preserve"> This section provides an overview of</w:t>
      </w:r>
      <w:r w:rsidR="00272B8F" w:rsidRPr="00820C89">
        <w:t xml:space="preserve"> the</w:t>
      </w:r>
      <w:r w:rsidR="00E24614" w:rsidRPr="00820C89">
        <w:t xml:space="preserve"> </w:t>
      </w:r>
      <w:r w:rsidR="00426D49" w:rsidRPr="00820C89">
        <w:t>way</w:t>
      </w:r>
      <w:r w:rsidR="00440B03" w:rsidRPr="00820C89">
        <w:t xml:space="preserve"> in which these</w:t>
      </w:r>
      <w:r w:rsidR="00E24614" w:rsidRPr="00820C89">
        <w:t xml:space="preserve"> activities</w:t>
      </w:r>
      <w:r w:rsidR="00440B03" w:rsidRPr="00820C89">
        <w:t xml:space="preserve"> are delivered</w:t>
      </w:r>
      <w:r w:rsidR="00E24614" w:rsidRPr="00820C89">
        <w:t>, and in doing</w:t>
      </w:r>
      <w:r w:rsidR="002F5F27" w:rsidRPr="00820C89">
        <w:t xml:space="preserve"> so, </w:t>
      </w:r>
      <w:r w:rsidR="00BC66C3" w:rsidRPr="00820C89">
        <w:t>addresses</w:t>
      </w:r>
      <w:r w:rsidR="002F5F27" w:rsidRPr="00820C89">
        <w:t xml:space="preserve"> the following evaluation question</w:t>
      </w:r>
      <w:r w:rsidR="00ED0943" w:rsidRPr="00820C89">
        <w:t>:</w:t>
      </w:r>
    </w:p>
    <w:p w14:paraId="59F363E2" w14:textId="77777777" w:rsidR="0000098B" w:rsidRPr="00820C89" w:rsidRDefault="0000098B" w:rsidP="00715F70">
      <w:pPr>
        <w:pStyle w:val="ListParagraph"/>
        <w:numPr>
          <w:ilvl w:val="0"/>
          <w:numId w:val="66"/>
        </w:numPr>
        <w:rPr>
          <w:rFonts w:asciiTheme="majorHAnsi" w:hAnsiTheme="majorHAnsi"/>
        </w:rPr>
      </w:pPr>
      <w:r w:rsidRPr="00820C89">
        <w:rPr>
          <w:rFonts w:asciiTheme="majorHAnsi" w:hAnsiTheme="majorHAnsi"/>
        </w:rPr>
        <w:t>To what extent is the program design based on evidence?</w:t>
      </w:r>
    </w:p>
    <w:p w14:paraId="694BC890" w14:textId="77777777" w:rsidR="009739B5" w:rsidRPr="00820C89" w:rsidRDefault="001B4BBE" w:rsidP="00715F70">
      <w:pPr>
        <w:pStyle w:val="Heading3"/>
        <w:numPr>
          <w:ilvl w:val="2"/>
          <w:numId w:val="69"/>
        </w:numPr>
      </w:pPr>
      <w:r w:rsidRPr="00820C89">
        <w:t>Pre-employment support</w:t>
      </w:r>
    </w:p>
    <w:p w14:paraId="1B5A38FF" w14:textId="77777777" w:rsidR="00732C85" w:rsidRPr="00820C89" w:rsidRDefault="00A26C32" w:rsidP="00D03428">
      <w:pPr>
        <w:rPr>
          <w:rFonts w:asciiTheme="majorHAnsi" w:hAnsiTheme="majorHAnsi"/>
          <w:szCs w:val="17"/>
        </w:rPr>
      </w:pPr>
      <w:r w:rsidRPr="00820C89">
        <w:rPr>
          <w:rFonts w:asciiTheme="majorHAnsi" w:hAnsiTheme="majorHAnsi"/>
        </w:rPr>
        <w:t>Pre-employment support refers to a broad range of activities that are designed to</w:t>
      </w:r>
      <w:r w:rsidR="00D03428" w:rsidRPr="00820C89">
        <w:rPr>
          <w:rFonts w:asciiTheme="majorHAnsi" w:hAnsiTheme="majorHAnsi"/>
        </w:rPr>
        <w:t xml:space="preserve"> prepare participants for their employment placement</w:t>
      </w:r>
      <w:r w:rsidR="00FC7282" w:rsidRPr="00820C89">
        <w:rPr>
          <w:rFonts w:asciiTheme="majorHAnsi" w:hAnsiTheme="majorHAnsi"/>
        </w:rPr>
        <w:t xml:space="preserve">. </w:t>
      </w:r>
      <w:r w:rsidR="00DA36A2" w:rsidRPr="00820C89">
        <w:rPr>
          <w:rFonts w:asciiTheme="majorHAnsi" w:hAnsiTheme="majorHAnsi"/>
        </w:rPr>
        <w:t>As described in the program logic, this may include:</w:t>
      </w:r>
    </w:p>
    <w:p w14:paraId="6F494BB3" w14:textId="77777777" w:rsidR="00764C96" w:rsidRPr="00820C89" w:rsidRDefault="00950A35" w:rsidP="00715F70">
      <w:pPr>
        <w:pStyle w:val="ListParagraph"/>
        <w:numPr>
          <w:ilvl w:val="0"/>
          <w:numId w:val="68"/>
        </w:numPr>
        <w:spacing w:before="170"/>
        <w:rPr>
          <w:rFonts w:asciiTheme="majorHAnsi" w:hAnsiTheme="majorHAnsi"/>
        </w:rPr>
      </w:pPr>
      <w:r w:rsidRPr="00820C89">
        <w:rPr>
          <w:rFonts w:asciiTheme="majorHAnsi" w:hAnsiTheme="majorHAnsi"/>
        </w:rPr>
        <w:t>c</w:t>
      </w:r>
      <w:r w:rsidR="008C48DA" w:rsidRPr="00820C89">
        <w:rPr>
          <w:rFonts w:asciiTheme="majorHAnsi" w:hAnsiTheme="majorHAnsi"/>
        </w:rPr>
        <w:t>ase management support</w:t>
      </w:r>
      <w:r w:rsidR="00E83C50" w:rsidRPr="00820C89">
        <w:rPr>
          <w:rFonts w:asciiTheme="majorHAnsi" w:hAnsiTheme="majorHAnsi"/>
        </w:rPr>
        <w:t xml:space="preserve">, </w:t>
      </w:r>
    </w:p>
    <w:p w14:paraId="69EA13A7" w14:textId="77777777" w:rsidR="008C48DA" w:rsidRPr="00820C89" w:rsidRDefault="003F34EB" w:rsidP="00715F70">
      <w:pPr>
        <w:pStyle w:val="ListParagraph"/>
        <w:numPr>
          <w:ilvl w:val="0"/>
          <w:numId w:val="68"/>
        </w:numPr>
        <w:spacing w:before="170"/>
        <w:rPr>
          <w:rFonts w:asciiTheme="majorHAnsi" w:hAnsiTheme="majorHAnsi"/>
        </w:rPr>
      </w:pPr>
      <w:r w:rsidRPr="00820C89">
        <w:rPr>
          <w:rFonts w:asciiTheme="majorHAnsi" w:hAnsiTheme="majorHAnsi"/>
        </w:rPr>
        <w:t>r</w:t>
      </w:r>
      <w:r w:rsidR="008C48DA" w:rsidRPr="00820C89">
        <w:rPr>
          <w:rFonts w:asciiTheme="majorHAnsi" w:hAnsiTheme="majorHAnsi"/>
        </w:rPr>
        <w:t>eferrals to other support services</w:t>
      </w:r>
      <w:r w:rsidR="00E83C50" w:rsidRPr="00820C89">
        <w:rPr>
          <w:rFonts w:asciiTheme="majorHAnsi" w:hAnsiTheme="majorHAnsi"/>
        </w:rPr>
        <w:t>,</w:t>
      </w:r>
    </w:p>
    <w:p w14:paraId="5400D0CC" w14:textId="77777777" w:rsidR="008C48DA" w:rsidRPr="00820C89" w:rsidRDefault="003F34EB" w:rsidP="00715F70">
      <w:pPr>
        <w:pStyle w:val="ListParagraph"/>
        <w:numPr>
          <w:ilvl w:val="0"/>
          <w:numId w:val="68"/>
        </w:numPr>
        <w:spacing w:before="170"/>
        <w:rPr>
          <w:rFonts w:asciiTheme="majorHAnsi" w:hAnsiTheme="majorHAnsi"/>
        </w:rPr>
      </w:pPr>
      <w:r w:rsidRPr="00820C89">
        <w:rPr>
          <w:rFonts w:asciiTheme="majorHAnsi" w:hAnsiTheme="majorHAnsi"/>
        </w:rPr>
        <w:t>d</w:t>
      </w:r>
      <w:r w:rsidR="007113E3" w:rsidRPr="00820C89">
        <w:rPr>
          <w:rFonts w:asciiTheme="majorHAnsi" w:hAnsiTheme="majorHAnsi"/>
        </w:rPr>
        <w:t>eveloping a training plan</w:t>
      </w:r>
      <w:r w:rsidR="00E83C50" w:rsidRPr="00820C89">
        <w:rPr>
          <w:rFonts w:asciiTheme="majorHAnsi" w:hAnsiTheme="majorHAnsi"/>
        </w:rPr>
        <w:t>,</w:t>
      </w:r>
      <w:r w:rsidR="007113E3" w:rsidRPr="00820C89">
        <w:rPr>
          <w:rFonts w:asciiTheme="majorHAnsi" w:hAnsiTheme="majorHAnsi"/>
        </w:rPr>
        <w:t xml:space="preserve"> </w:t>
      </w:r>
    </w:p>
    <w:p w14:paraId="3E5707DD" w14:textId="77777777" w:rsidR="009D7CCE" w:rsidRPr="00820C89" w:rsidRDefault="003F34EB" w:rsidP="00715F70">
      <w:pPr>
        <w:pStyle w:val="ListParagraph"/>
        <w:numPr>
          <w:ilvl w:val="0"/>
          <w:numId w:val="68"/>
        </w:numPr>
        <w:spacing w:before="170"/>
        <w:rPr>
          <w:rFonts w:asciiTheme="majorHAnsi" w:hAnsiTheme="majorHAnsi"/>
        </w:rPr>
      </w:pPr>
      <w:r w:rsidRPr="00820C89">
        <w:rPr>
          <w:rFonts w:asciiTheme="majorHAnsi" w:hAnsiTheme="majorHAnsi"/>
        </w:rPr>
        <w:t>h</w:t>
      </w:r>
      <w:r w:rsidR="009D7CCE" w:rsidRPr="00820C89">
        <w:rPr>
          <w:rFonts w:asciiTheme="majorHAnsi" w:hAnsiTheme="majorHAnsi"/>
        </w:rPr>
        <w:t>olding job information sessions</w:t>
      </w:r>
      <w:r w:rsidR="00E83C50" w:rsidRPr="00820C89">
        <w:rPr>
          <w:rFonts w:asciiTheme="majorHAnsi" w:hAnsiTheme="majorHAnsi"/>
        </w:rPr>
        <w:t xml:space="preserve">, </w:t>
      </w:r>
      <w:r w:rsidR="007617F0" w:rsidRPr="00820C89">
        <w:rPr>
          <w:rFonts w:asciiTheme="majorHAnsi" w:hAnsiTheme="majorHAnsi"/>
        </w:rPr>
        <w:t>and</w:t>
      </w:r>
    </w:p>
    <w:p w14:paraId="2BD57663" w14:textId="77777777" w:rsidR="009302B8" w:rsidRPr="00820C89" w:rsidRDefault="003F34EB" w:rsidP="00715F70">
      <w:pPr>
        <w:pStyle w:val="ListParagraph"/>
        <w:numPr>
          <w:ilvl w:val="0"/>
          <w:numId w:val="68"/>
        </w:numPr>
        <w:spacing w:before="170"/>
        <w:rPr>
          <w:rFonts w:asciiTheme="majorHAnsi" w:hAnsiTheme="majorHAnsi"/>
        </w:rPr>
      </w:pPr>
      <w:r w:rsidRPr="00820C89">
        <w:rPr>
          <w:rFonts w:asciiTheme="majorHAnsi" w:hAnsiTheme="majorHAnsi"/>
        </w:rPr>
        <w:t>p</w:t>
      </w:r>
      <w:r w:rsidR="00950A35" w:rsidRPr="00820C89">
        <w:rPr>
          <w:rFonts w:asciiTheme="majorHAnsi" w:hAnsiTheme="majorHAnsi"/>
        </w:rPr>
        <w:t>roviding job and interview advice.</w:t>
      </w:r>
    </w:p>
    <w:p w14:paraId="372B8A48" w14:textId="77777777" w:rsidR="009302B8" w:rsidRPr="00820C89" w:rsidRDefault="009302B8" w:rsidP="009302B8">
      <w:pPr>
        <w:rPr>
          <w:rFonts w:asciiTheme="majorHAnsi" w:hAnsiTheme="majorHAnsi"/>
        </w:rPr>
      </w:pPr>
      <w:r w:rsidRPr="00820C89">
        <w:rPr>
          <w:rFonts w:asciiTheme="majorHAnsi" w:hAnsiTheme="majorHAnsi"/>
        </w:rPr>
        <w:t>Providers stated that they exercise a degree of discretion in deciding how they screen and identify participants for a specific employment opportunity. On balance, providers appear to either prioritise finding the participants who are most suitable and capable for a specific role or finding participants who are most in need of assistance, and they believe would not operate well in mainstream programs. For example, providers note that:</w:t>
      </w:r>
    </w:p>
    <w:p w14:paraId="1C64CF97" w14:textId="77777777" w:rsidR="009302B8" w:rsidRPr="00820C89" w:rsidRDefault="009302B8" w:rsidP="009302B8">
      <w:pPr>
        <w:ind w:left="720"/>
        <w:contextualSpacing/>
        <w:rPr>
          <w:rFonts w:asciiTheme="majorHAnsi" w:hAnsiTheme="majorHAnsi"/>
          <w:i/>
        </w:rPr>
      </w:pPr>
      <w:r w:rsidRPr="00820C89">
        <w:rPr>
          <w:rFonts w:asciiTheme="majorHAnsi" w:hAnsiTheme="majorHAnsi"/>
          <w:i/>
        </w:rPr>
        <w:t xml:space="preserve">“When the committee was choosing people, it ultimately came down to an assessment of who was likely to turn up and last the distance.” (TAEG provider) </w:t>
      </w:r>
    </w:p>
    <w:p w14:paraId="627C88C1" w14:textId="77777777" w:rsidR="009302B8" w:rsidRPr="00820C89" w:rsidRDefault="009302B8" w:rsidP="009302B8">
      <w:pPr>
        <w:ind w:left="720"/>
        <w:contextualSpacing/>
        <w:rPr>
          <w:rFonts w:asciiTheme="majorHAnsi" w:hAnsiTheme="majorHAnsi"/>
          <w:i/>
        </w:rPr>
      </w:pPr>
    </w:p>
    <w:p w14:paraId="5E973718" w14:textId="77777777" w:rsidR="009302B8" w:rsidRPr="00820C89" w:rsidRDefault="009302B8" w:rsidP="003713CF">
      <w:pPr>
        <w:ind w:left="720"/>
        <w:rPr>
          <w:rFonts w:asciiTheme="majorHAnsi" w:hAnsiTheme="majorHAnsi"/>
          <w:i/>
        </w:rPr>
      </w:pPr>
      <w:r w:rsidRPr="00820C89">
        <w:rPr>
          <w:rFonts w:asciiTheme="majorHAnsi" w:hAnsiTheme="majorHAnsi"/>
          <w:i/>
        </w:rPr>
        <w:t>“We weren’t looking for people who would have been able to ace the recruitment on their own, we were looking for people we could actually work with them and they would benefit from it and hopefully get them the outcome that they were looking for.” (VTEC provider).</w:t>
      </w:r>
    </w:p>
    <w:p w14:paraId="6A296B88" w14:textId="77777777" w:rsidR="00774F11" w:rsidRPr="00820C89" w:rsidRDefault="00710C32" w:rsidP="002F7548">
      <w:pPr>
        <w:spacing w:before="170"/>
        <w:rPr>
          <w:rFonts w:asciiTheme="majorHAnsi" w:hAnsiTheme="majorHAnsi"/>
        </w:rPr>
      </w:pPr>
      <w:r w:rsidRPr="00820C89">
        <w:rPr>
          <w:rFonts w:asciiTheme="majorHAnsi" w:hAnsiTheme="majorHAnsi"/>
        </w:rPr>
        <w:t xml:space="preserve">The </w:t>
      </w:r>
      <w:r w:rsidR="002279B7" w:rsidRPr="00820C89">
        <w:rPr>
          <w:rFonts w:asciiTheme="majorHAnsi" w:hAnsiTheme="majorHAnsi"/>
        </w:rPr>
        <w:t xml:space="preserve">VTEC and TAEG </w:t>
      </w:r>
      <w:r w:rsidRPr="00820C89">
        <w:rPr>
          <w:rFonts w:asciiTheme="majorHAnsi" w:hAnsiTheme="majorHAnsi"/>
        </w:rPr>
        <w:t>provider survey reveals that</w:t>
      </w:r>
      <w:r w:rsidR="00675C0E" w:rsidRPr="00820C89">
        <w:rPr>
          <w:rFonts w:asciiTheme="majorHAnsi" w:hAnsiTheme="majorHAnsi"/>
        </w:rPr>
        <w:t>,</w:t>
      </w:r>
      <w:r w:rsidR="002279B7" w:rsidRPr="00820C89">
        <w:rPr>
          <w:rFonts w:asciiTheme="majorHAnsi" w:hAnsiTheme="majorHAnsi"/>
        </w:rPr>
        <w:t xml:space="preserve"> </w:t>
      </w:r>
      <w:r w:rsidR="007F69E4" w:rsidRPr="00820C89">
        <w:rPr>
          <w:rFonts w:asciiTheme="majorHAnsi" w:hAnsiTheme="majorHAnsi"/>
        </w:rPr>
        <w:t>in practice</w:t>
      </w:r>
      <w:r w:rsidR="00675C0E" w:rsidRPr="00820C89">
        <w:rPr>
          <w:rFonts w:asciiTheme="majorHAnsi" w:hAnsiTheme="majorHAnsi"/>
        </w:rPr>
        <w:t>,</w:t>
      </w:r>
      <w:r w:rsidR="007F69E4" w:rsidRPr="00820C89">
        <w:rPr>
          <w:rFonts w:asciiTheme="majorHAnsi" w:hAnsiTheme="majorHAnsi"/>
        </w:rPr>
        <w:t xml:space="preserve"> </w:t>
      </w:r>
      <w:r w:rsidR="001562BB" w:rsidRPr="00820C89">
        <w:rPr>
          <w:rFonts w:asciiTheme="majorHAnsi" w:hAnsiTheme="majorHAnsi"/>
        </w:rPr>
        <w:t xml:space="preserve">pre-employment </w:t>
      </w:r>
      <w:r w:rsidR="00451151" w:rsidRPr="00820C89">
        <w:rPr>
          <w:rFonts w:asciiTheme="majorHAnsi" w:hAnsiTheme="majorHAnsi"/>
        </w:rPr>
        <w:t xml:space="preserve">support </w:t>
      </w:r>
      <w:r w:rsidR="00F7761D" w:rsidRPr="00820C89">
        <w:rPr>
          <w:rFonts w:asciiTheme="majorHAnsi" w:hAnsiTheme="majorHAnsi"/>
        </w:rPr>
        <w:t>overwhelmingly</w:t>
      </w:r>
      <w:r w:rsidR="00636F68" w:rsidRPr="00820C89">
        <w:rPr>
          <w:rFonts w:asciiTheme="majorHAnsi" w:hAnsiTheme="majorHAnsi"/>
        </w:rPr>
        <w:t xml:space="preserve"> takes</w:t>
      </w:r>
      <w:r w:rsidR="002A1D8D" w:rsidRPr="00820C89">
        <w:rPr>
          <w:rFonts w:asciiTheme="majorHAnsi" w:hAnsiTheme="majorHAnsi"/>
        </w:rPr>
        <w:t xml:space="preserve"> the form of </w:t>
      </w:r>
      <w:r w:rsidR="00CA4263" w:rsidRPr="00820C89">
        <w:rPr>
          <w:rFonts w:asciiTheme="majorHAnsi" w:hAnsiTheme="majorHAnsi"/>
        </w:rPr>
        <w:t>individualised case management or mentoring</w:t>
      </w:r>
      <w:r w:rsidR="00386797" w:rsidRPr="00820C89">
        <w:rPr>
          <w:rFonts w:asciiTheme="majorHAnsi" w:hAnsiTheme="majorHAnsi"/>
        </w:rPr>
        <w:t>, with o</w:t>
      </w:r>
      <w:r w:rsidR="009739B5" w:rsidRPr="00820C89">
        <w:rPr>
          <w:rFonts w:asciiTheme="majorHAnsi" w:hAnsiTheme="majorHAnsi"/>
        </w:rPr>
        <w:t xml:space="preserve">ver 94 per cent of surveyed providers </w:t>
      </w:r>
      <w:r w:rsidR="00CA6C75" w:rsidRPr="00820C89">
        <w:rPr>
          <w:rFonts w:asciiTheme="majorHAnsi" w:hAnsiTheme="majorHAnsi"/>
        </w:rPr>
        <w:t>reporting</w:t>
      </w:r>
      <w:r w:rsidR="009739B5" w:rsidRPr="00820C89">
        <w:rPr>
          <w:rFonts w:asciiTheme="majorHAnsi" w:hAnsiTheme="majorHAnsi"/>
        </w:rPr>
        <w:t xml:space="preserve"> that all or most of their participants receive </w:t>
      </w:r>
      <w:r w:rsidR="00CA6C75" w:rsidRPr="00820C89">
        <w:rPr>
          <w:rFonts w:asciiTheme="majorHAnsi" w:hAnsiTheme="majorHAnsi"/>
        </w:rPr>
        <w:t xml:space="preserve">this </w:t>
      </w:r>
      <w:r w:rsidR="001D54AF" w:rsidRPr="00820C89">
        <w:rPr>
          <w:rFonts w:asciiTheme="majorHAnsi" w:hAnsiTheme="majorHAnsi"/>
        </w:rPr>
        <w:t xml:space="preserve">type </w:t>
      </w:r>
      <w:r w:rsidR="00431117" w:rsidRPr="00820C89">
        <w:rPr>
          <w:rFonts w:asciiTheme="majorHAnsi" w:hAnsiTheme="majorHAnsi"/>
        </w:rPr>
        <w:t xml:space="preserve">of </w:t>
      </w:r>
      <w:r w:rsidR="00CA6C75" w:rsidRPr="00820C89">
        <w:rPr>
          <w:rFonts w:asciiTheme="majorHAnsi" w:hAnsiTheme="majorHAnsi"/>
        </w:rPr>
        <w:t>support</w:t>
      </w:r>
      <w:r w:rsidR="009739B5" w:rsidRPr="00820C89">
        <w:rPr>
          <w:rFonts w:asciiTheme="majorHAnsi" w:hAnsiTheme="majorHAnsi"/>
        </w:rPr>
        <w:t>.</w:t>
      </w:r>
    </w:p>
    <w:p w14:paraId="520F3C1D" w14:textId="77777777" w:rsidR="009739B5" w:rsidRPr="00820C89" w:rsidRDefault="00AA62DC" w:rsidP="009739B5">
      <w:pPr>
        <w:rPr>
          <w:rFonts w:asciiTheme="majorHAnsi" w:hAnsiTheme="majorHAnsi"/>
        </w:rPr>
      </w:pPr>
      <w:r w:rsidRPr="00820C89">
        <w:rPr>
          <w:rFonts w:asciiTheme="majorHAnsi" w:hAnsiTheme="majorHAnsi"/>
        </w:rPr>
        <w:t xml:space="preserve">In addition, providers deliver a wide range of </w:t>
      </w:r>
      <w:r w:rsidR="00434BA8" w:rsidRPr="00820C89">
        <w:rPr>
          <w:rFonts w:asciiTheme="majorHAnsi" w:hAnsiTheme="majorHAnsi"/>
        </w:rPr>
        <w:t xml:space="preserve">other </w:t>
      </w:r>
      <w:r w:rsidRPr="00820C89">
        <w:rPr>
          <w:rFonts w:asciiTheme="majorHAnsi" w:hAnsiTheme="majorHAnsi"/>
        </w:rPr>
        <w:t>pre-employment support activities to participants, with the survey indicating that</w:t>
      </w:r>
      <w:r w:rsidR="009739B5" w:rsidRPr="00820C89">
        <w:rPr>
          <w:rFonts w:asciiTheme="majorHAnsi" w:hAnsiTheme="majorHAnsi"/>
        </w:rPr>
        <w:t xml:space="preserve"> </w:t>
      </w:r>
      <w:r w:rsidR="00B52604" w:rsidRPr="00820C89">
        <w:rPr>
          <w:rFonts w:asciiTheme="majorHAnsi" w:hAnsiTheme="majorHAnsi"/>
        </w:rPr>
        <w:t>over</w:t>
      </w:r>
      <w:r w:rsidR="009739B5" w:rsidRPr="00820C89">
        <w:rPr>
          <w:rFonts w:asciiTheme="majorHAnsi" w:hAnsiTheme="majorHAnsi"/>
        </w:rPr>
        <w:t xml:space="preserve"> 60 per cent of providers across both programs deliver the following activities to all or most participants:</w:t>
      </w:r>
    </w:p>
    <w:p w14:paraId="2D81FA1B" w14:textId="77777777" w:rsidR="009739B5" w:rsidRPr="00820C89" w:rsidRDefault="009739B5" w:rsidP="00715F70">
      <w:pPr>
        <w:numPr>
          <w:ilvl w:val="0"/>
          <w:numId w:val="24"/>
        </w:numPr>
        <w:spacing w:before="60" w:after="60"/>
        <w:rPr>
          <w:rFonts w:asciiTheme="majorHAnsi" w:hAnsiTheme="majorHAnsi"/>
        </w:rPr>
      </w:pPr>
      <w:r w:rsidRPr="00820C89">
        <w:rPr>
          <w:rFonts w:asciiTheme="majorHAnsi" w:hAnsiTheme="majorHAnsi"/>
        </w:rPr>
        <w:t>an overview of workplace expectations</w:t>
      </w:r>
      <w:r w:rsidR="00675C0E" w:rsidRPr="00820C89">
        <w:rPr>
          <w:rFonts w:asciiTheme="majorHAnsi" w:hAnsiTheme="majorHAnsi"/>
        </w:rPr>
        <w:t>,</w:t>
      </w:r>
    </w:p>
    <w:p w14:paraId="6E64A1EA" w14:textId="77777777" w:rsidR="009739B5" w:rsidRPr="00820C89" w:rsidRDefault="009739B5" w:rsidP="00715F70">
      <w:pPr>
        <w:numPr>
          <w:ilvl w:val="0"/>
          <w:numId w:val="24"/>
        </w:numPr>
        <w:spacing w:before="60" w:after="60"/>
        <w:rPr>
          <w:rFonts w:asciiTheme="majorHAnsi" w:hAnsiTheme="majorHAnsi"/>
        </w:rPr>
      </w:pPr>
      <w:r w:rsidRPr="00820C89">
        <w:rPr>
          <w:rFonts w:asciiTheme="majorHAnsi" w:hAnsiTheme="majorHAnsi"/>
        </w:rPr>
        <w:t>the preparation of a training and support plan</w:t>
      </w:r>
      <w:r w:rsidR="00675C0E" w:rsidRPr="00820C89">
        <w:rPr>
          <w:rFonts w:asciiTheme="majorHAnsi" w:hAnsiTheme="majorHAnsi"/>
        </w:rPr>
        <w:t>,</w:t>
      </w:r>
    </w:p>
    <w:p w14:paraId="25A4927C" w14:textId="77777777" w:rsidR="009739B5" w:rsidRPr="00820C89" w:rsidRDefault="00F35D7A" w:rsidP="00715F70">
      <w:pPr>
        <w:numPr>
          <w:ilvl w:val="0"/>
          <w:numId w:val="24"/>
        </w:numPr>
        <w:spacing w:before="60" w:after="60"/>
        <w:rPr>
          <w:rFonts w:asciiTheme="majorHAnsi" w:hAnsiTheme="majorHAnsi"/>
        </w:rPr>
      </w:pPr>
      <w:r w:rsidRPr="00820C89">
        <w:rPr>
          <w:rFonts w:asciiTheme="majorHAnsi" w:hAnsiTheme="majorHAnsi"/>
        </w:rPr>
        <w:t>employee cultural support</w:t>
      </w:r>
      <w:r w:rsidR="00675C0E" w:rsidRPr="00820C89">
        <w:rPr>
          <w:rFonts w:asciiTheme="majorHAnsi" w:hAnsiTheme="majorHAnsi"/>
        </w:rPr>
        <w:t>,</w:t>
      </w:r>
    </w:p>
    <w:p w14:paraId="359457EB" w14:textId="77777777" w:rsidR="009739B5" w:rsidRPr="00820C89" w:rsidRDefault="009739B5" w:rsidP="00715F70">
      <w:pPr>
        <w:numPr>
          <w:ilvl w:val="0"/>
          <w:numId w:val="24"/>
        </w:numPr>
        <w:spacing w:before="60" w:after="60"/>
        <w:rPr>
          <w:rFonts w:asciiTheme="majorHAnsi" w:hAnsiTheme="majorHAnsi"/>
        </w:rPr>
      </w:pPr>
      <w:r w:rsidRPr="00820C89">
        <w:rPr>
          <w:rFonts w:asciiTheme="majorHAnsi" w:hAnsiTheme="majorHAnsi"/>
        </w:rPr>
        <w:t>resume and interview advice</w:t>
      </w:r>
      <w:r w:rsidR="00675C0E" w:rsidRPr="00820C89">
        <w:rPr>
          <w:rFonts w:asciiTheme="majorHAnsi" w:hAnsiTheme="majorHAnsi"/>
        </w:rPr>
        <w:t>, or</w:t>
      </w:r>
    </w:p>
    <w:p w14:paraId="16FDA70B" w14:textId="77777777" w:rsidR="00C057D2" w:rsidRPr="00820C89" w:rsidRDefault="00F35D7A" w:rsidP="00715F70">
      <w:pPr>
        <w:numPr>
          <w:ilvl w:val="0"/>
          <w:numId w:val="24"/>
        </w:numPr>
        <w:spacing w:before="60" w:after="60"/>
        <w:rPr>
          <w:rFonts w:asciiTheme="majorHAnsi" w:hAnsiTheme="majorHAnsi"/>
        </w:rPr>
      </w:pPr>
      <w:r w:rsidRPr="00820C89">
        <w:rPr>
          <w:rFonts w:asciiTheme="majorHAnsi" w:hAnsiTheme="majorHAnsi"/>
        </w:rPr>
        <w:t>holding job information sessions</w:t>
      </w:r>
      <w:r w:rsidR="00675C0E" w:rsidRPr="00820C89">
        <w:rPr>
          <w:rFonts w:asciiTheme="majorHAnsi" w:hAnsiTheme="majorHAnsi"/>
        </w:rPr>
        <w:t>.</w:t>
      </w:r>
      <w:r w:rsidRPr="00820C89">
        <w:rPr>
          <w:rFonts w:asciiTheme="majorHAnsi" w:hAnsiTheme="majorHAnsi"/>
        </w:rPr>
        <w:t xml:space="preserve"> </w:t>
      </w:r>
    </w:p>
    <w:p w14:paraId="1BFE0E37" w14:textId="77777777" w:rsidR="006738F3" w:rsidRPr="00820C89" w:rsidRDefault="009739B5" w:rsidP="006738F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70"/>
        <w:rPr>
          <w:rFonts w:asciiTheme="majorHAnsi" w:hAnsiTheme="majorHAnsi"/>
        </w:rPr>
      </w:pPr>
      <w:r w:rsidRPr="00820C89">
        <w:rPr>
          <w:rFonts w:asciiTheme="majorHAnsi" w:hAnsiTheme="majorHAnsi"/>
        </w:rPr>
        <w:t xml:space="preserve">While there are broad similarities across the programs, TAEG providers appear to spend more time working with participants to develop basic literacy and numeracy skills than VTEC providers. </w:t>
      </w:r>
      <w:r w:rsidRPr="00820C89">
        <w:rPr>
          <w:rFonts w:asciiTheme="majorHAnsi" w:hAnsiTheme="majorHAnsi"/>
        </w:rPr>
        <w:lastRenderedPageBreak/>
        <w:t>Specifically, the provider survey indicates that between 24 to 28 percent of TAEG providers deliver literacy, numeracy or English language training to all or most participants, compared to only 6 to 8 percent of VTEC providers (</w:t>
      </w:r>
      <w:r w:rsidRPr="001D6F02">
        <w:rPr>
          <w:rFonts w:asciiTheme="majorHAnsi" w:hAnsiTheme="majorHAnsi"/>
        </w:rPr>
        <w:t xml:space="preserve">Charts </w:t>
      </w:r>
      <w:r w:rsidR="001048B0" w:rsidRPr="001D6F02">
        <w:rPr>
          <w:rFonts w:asciiTheme="majorHAnsi" w:hAnsiTheme="majorHAnsi"/>
        </w:rPr>
        <w:t>3.1</w:t>
      </w:r>
      <w:r w:rsidRPr="001D6F02">
        <w:rPr>
          <w:rFonts w:asciiTheme="majorHAnsi" w:hAnsiTheme="majorHAnsi"/>
        </w:rPr>
        <w:t xml:space="preserve"> and </w:t>
      </w:r>
      <w:r w:rsidR="001048B0" w:rsidRPr="001D6F02">
        <w:rPr>
          <w:rFonts w:asciiTheme="majorHAnsi" w:hAnsiTheme="majorHAnsi"/>
        </w:rPr>
        <w:t>3.2</w:t>
      </w:r>
      <w:r w:rsidRPr="001D6F02">
        <w:rPr>
          <w:rFonts w:asciiTheme="majorHAnsi" w:hAnsiTheme="majorHAnsi"/>
        </w:rPr>
        <w:t>).</w:t>
      </w:r>
      <w:r w:rsidRPr="00820C89">
        <w:rPr>
          <w:rFonts w:asciiTheme="majorHAnsi" w:hAnsiTheme="majorHAnsi"/>
        </w:rPr>
        <w:t xml:space="preserve"> TAEG providers note that:</w:t>
      </w:r>
    </w:p>
    <w:p w14:paraId="7C7416D0" w14:textId="77777777" w:rsidR="009739B5" w:rsidRPr="00820C89" w:rsidRDefault="009739B5" w:rsidP="006738F3">
      <w:pPr>
        <w:ind w:left="360"/>
        <w:contextualSpacing/>
        <w:rPr>
          <w:rFonts w:asciiTheme="majorHAnsi" w:hAnsiTheme="majorHAnsi"/>
          <w:i/>
        </w:rPr>
      </w:pPr>
      <w:r w:rsidRPr="00820C89">
        <w:rPr>
          <w:rFonts w:asciiTheme="majorHAnsi" w:hAnsiTheme="majorHAnsi"/>
          <w:i/>
        </w:rPr>
        <w:t>“…There are a range of significant barriers to employment, and training. We try and address those across the board and we have, so the main one is literacy and numeracy and we deliver literacy and numeracy support on site, one on one and in groups.” (TAEG provider)</w:t>
      </w:r>
    </w:p>
    <w:p w14:paraId="0C9C2AAB" w14:textId="77777777" w:rsidR="009739B5" w:rsidRPr="00820C89" w:rsidRDefault="009739B5" w:rsidP="009739B5">
      <w:pPr>
        <w:ind w:left="360"/>
        <w:contextualSpacing/>
        <w:rPr>
          <w:rFonts w:asciiTheme="majorHAnsi" w:hAnsiTheme="majorHAnsi"/>
          <w:i/>
        </w:rPr>
      </w:pPr>
    </w:p>
    <w:p w14:paraId="5E1D9465" w14:textId="77777777" w:rsidR="009739B5" w:rsidRPr="00820C89" w:rsidRDefault="009739B5" w:rsidP="009739B5">
      <w:pPr>
        <w:ind w:left="360"/>
        <w:contextualSpacing/>
        <w:rPr>
          <w:rFonts w:asciiTheme="majorHAnsi" w:hAnsiTheme="majorHAnsi"/>
          <w:i/>
        </w:rPr>
      </w:pPr>
      <w:r w:rsidRPr="00820C89">
        <w:rPr>
          <w:rFonts w:asciiTheme="majorHAnsi" w:hAnsiTheme="majorHAnsi"/>
          <w:i/>
        </w:rPr>
        <w:t>“So what we’re trying to do is give them that cultural understanding but also giving them the Western system of education because sometimes the literacy and numeracy levels are very low and so when we’re doing this we really try to work with them on their own level of understanding” (TAEG provider)</w:t>
      </w:r>
    </w:p>
    <w:p w14:paraId="2FD2E253" w14:textId="77777777" w:rsidR="009739B5" w:rsidRPr="00820C89" w:rsidRDefault="009739B5" w:rsidP="009739B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ajorHAnsi" w:hAnsiTheme="majorHAnsi"/>
        </w:rPr>
      </w:pPr>
    </w:p>
    <w:p w14:paraId="484158C0" w14:textId="77777777" w:rsidR="007837DE" w:rsidRPr="00820C89" w:rsidRDefault="009739B5" w:rsidP="00A423B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ajorHAnsi" w:hAnsiTheme="majorHAnsi"/>
        </w:rPr>
      </w:pPr>
      <w:r w:rsidRPr="00820C89">
        <w:rPr>
          <w:rFonts w:asciiTheme="majorHAnsi" w:hAnsiTheme="majorHAnsi"/>
        </w:rPr>
        <w:t xml:space="preserve">The provider survey suggests that VTEC providers are significantly more likely to deliver resume and interview advice to participants than TAEG providers. The survey reports that VTEC providers are 24 percentage points more likely to offer this activity to all or most participants than TAEG providers. This finding is likely a reflection of the differing design of the two programs, with VTEC delivering training with a guaranteed employment opportunity attached, meaning that they may have a greater focus on preparing participants for a specific employment opportunity.  </w:t>
      </w:r>
    </w:p>
    <w:p w14:paraId="0DF6AC59" w14:textId="77777777" w:rsidR="00F12C48" w:rsidRPr="00820C89" w:rsidRDefault="00F12C48" w:rsidP="00A423B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ajorHAnsi" w:hAnsiTheme="majorHAnsi"/>
        </w:rPr>
      </w:pPr>
    </w:p>
    <w:p w14:paraId="4B3E89B4" w14:textId="77777777" w:rsidR="00B01A1F" w:rsidRPr="00820C89" w:rsidRDefault="00A8584C" w:rsidP="00A423B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ajorHAnsi" w:hAnsiTheme="majorHAnsi"/>
        </w:rPr>
      </w:pPr>
      <w:r w:rsidRPr="00820C89">
        <w:rPr>
          <w:rFonts w:asciiTheme="majorHAnsi" w:hAnsiTheme="majorHAnsi"/>
        </w:rPr>
        <w:t xml:space="preserve">Stakeholder </w:t>
      </w:r>
      <w:r w:rsidR="00FE12BA" w:rsidRPr="00820C89">
        <w:rPr>
          <w:rFonts w:asciiTheme="majorHAnsi" w:hAnsiTheme="majorHAnsi"/>
        </w:rPr>
        <w:t xml:space="preserve">consultation </w:t>
      </w:r>
      <w:r w:rsidR="002B029D" w:rsidRPr="00820C89">
        <w:rPr>
          <w:rFonts w:asciiTheme="majorHAnsi" w:hAnsiTheme="majorHAnsi"/>
        </w:rPr>
        <w:t xml:space="preserve">suggest that EPI </w:t>
      </w:r>
      <w:r w:rsidR="00406841" w:rsidRPr="00820C89">
        <w:rPr>
          <w:rFonts w:asciiTheme="majorHAnsi" w:hAnsiTheme="majorHAnsi"/>
        </w:rPr>
        <w:t xml:space="preserve">Partners </w:t>
      </w:r>
      <w:r w:rsidR="003D6A51" w:rsidRPr="00820C89">
        <w:rPr>
          <w:rFonts w:asciiTheme="majorHAnsi" w:hAnsiTheme="majorHAnsi"/>
        </w:rPr>
        <w:t xml:space="preserve">also deliver </w:t>
      </w:r>
      <w:r w:rsidR="00406841" w:rsidRPr="00820C89">
        <w:rPr>
          <w:rFonts w:asciiTheme="majorHAnsi" w:hAnsiTheme="majorHAnsi"/>
        </w:rPr>
        <w:t xml:space="preserve">pre-employment support to participants, although this is generally done in a less intense and systematic manner than TAEG and VTEC providers. </w:t>
      </w:r>
      <w:r w:rsidR="00396CDB" w:rsidRPr="00820C89">
        <w:rPr>
          <w:rFonts w:asciiTheme="majorHAnsi" w:hAnsiTheme="majorHAnsi"/>
        </w:rPr>
        <w:t>For example, several EPI Partners noted that they had developed specialised Indigenous HR teams whose responsibility it was to identify potential Indigenous jobseekers and offer informal support and coaching to them</w:t>
      </w:r>
      <w:r w:rsidR="00425845" w:rsidRPr="00820C89">
        <w:rPr>
          <w:rFonts w:asciiTheme="majorHAnsi" w:hAnsiTheme="majorHAnsi"/>
        </w:rPr>
        <w:t xml:space="preserve">. Other EPIs </w:t>
      </w:r>
      <w:r w:rsidR="00AB20C5" w:rsidRPr="00820C89">
        <w:rPr>
          <w:rFonts w:asciiTheme="majorHAnsi" w:hAnsiTheme="majorHAnsi"/>
        </w:rPr>
        <w:t>reported offering their staff considerable autonomy in how they deliver the program</w:t>
      </w:r>
      <w:r w:rsidR="00E12603" w:rsidRPr="00820C89">
        <w:rPr>
          <w:rFonts w:asciiTheme="majorHAnsi" w:hAnsiTheme="majorHAnsi"/>
        </w:rPr>
        <w:t>, and what support they provide</w:t>
      </w:r>
      <w:r w:rsidR="00B01A1F" w:rsidRPr="00820C89">
        <w:rPr>
          <w:rFonts w:asciiTheme="majorHAnsi" w:hAnsiTheme="majorHAnsi"/>
        </w:rPr>
        <w:t xml:space="preserve">. EPI partners note: </w:t>
      </w:r>
    </w:p>
    <w:p w14:paraId="3935A126" w14:textId="77777777" w:rsidR="00B01A1F" w:rsidRPr="00820C89" w:rsidRDefault="00B01A1F" w:rsidP="00B01A1F">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09"/>
        <w:rPr>
          <w:rFonts w:asciiTheme="majorHAnsi" w:hAnsiTheme="majorHAnsi"/>
        </w:rPr>
      </w:pPr>
    </w:p>
    <w:p w14:paraId="5973F1B7" w14:textId="77777777" w:rsidR="00B01A1F" w:rsidRPr="00820C89" w:rsidRDefault="00A305C9" w:rsidP="003B7AC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09"/>
        <w:rPr>
          <w:rFonts w:asciiTheme="majorHAnsi" w:hAnsiTheme="majorHAnsi"/>
          <w:i/>
          <w:iCs/>
        </w:rPr>
      </w:pPr>
      <w:r w:rsidRPr="00820C89">
        <w:rPr>
          <w:rFonts w:asciiTheme="majorHAnsi" w:hAnsiTheme="majorHAnsi"/>
          <w:i/>
          <w:iCs/>
        </w:rPr>
        <w:t>“</w:t>
      </w:r>
      <w:r w:rsidR="00BC1F55" w:rsidRPr="00820C89">
        <w:rPr>
          <w:rFonts w:asciiTheme="majorHAnsi" w:hAnsiTheme="majorHAnsi"/>
          <w:i/>
          <w:iCs/>
        </w:rPr>
        <w:t xml:space="preserve">… corporate office will often go, “This is our target, how you achieve that is up to you”. And that’s how I deal with the EPI team as well. </w:t>
      </w:r>
      <w:r w:rsidR="003B7ACC" w:rsidRPr="00820C89">
        <w:rPr>
          <w:rFonts w:asciiTheme="majorHAnsi" w:hAnsiTheme="majorHAnsi"/>
          <w:i/>
          <w:iCs/>
        </w:rPr>
        <w:t xml:space="preserve">[…] we know what their targets are, how they do it is up to them.” (EPI Partner). </w:t>
      </w:r>
    </w:p>
    <w:p w14:paraId="500CDB30" w14:textId="77777777" w:rsidR="006B309E" w:rsidRPr="00820C89" w:rsidRDefault="006B309E" w:rsidP="003B7AC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09"/>
        <w:rPr>
          <w:rFonts w:asciiTheme="majorHAnsi" w:hAnsiTheme="majorHAnsi"/>
          <w:i/>
          <w:iCs/>
        </w:rPr>
      </w:pPr>
    </w:p>
    <w:p w14:paraId="184194E2" w14:textId="77777777" w:rsidR="006B309E" w:rsidRPr="00820C89" w:rsidRDefault="006B309E" w:rsidP="003B7AC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09"/>
        <w:rPr>
          <w:rFonts w:asciiTheme="majorHAnsi" w:hAnsiTheme="majorHAnsi"/>
          <w:i/>
          <w:iCs/>
        </w:rPr>
      </w:pPr>
      <w:r w:rsidRPr="00820C89">
        <w:rPr>
          <w:rFonts w:asciiTheme="majorHAnsi" w:hAnsiTheme="majorHAnsi"/>
          <w:i/>
          <w:iCs/>
        </w:rPr>
        <w:t>“We take a case management approach to the recruitment of employees into our properties to ensure th</w:t>
      </w:r>
      <w:r w:rsidR="00141135" w:rsidRPr="00820C89">
        <w:rPr>
          <w:rFonts w:asciiTheme="majorHAnsi" w:hAnsiTheme="majorHAnsi"/>
          <w:i/>
          <w:iCs/>
        </w:rPr>
        <w:t>at they have roles that they’re going to succeed at</w:t>
      </w:r>
      <w:r w:rsidR="00802E3B" w:rsidRPr="00820C89">
        <w:rPr>
          <w:rFonts w:asciiTheme="majorHAnsi" w:hAnsiTheme="majorHAnsi"/>
          <w:i/>
          <w:iCs/>
        </w:rPr>
        <w:t xml:space="preserve"> [</w:t>
      </w:r>
      <w:r w:rsidR="00E95780" w:rsidRPr="00820C89">
        <w:rPr>
          <w:rFonts w:asciiTheme="majorHAnsi" w:hAnsiTheme="majorHAnsi"/>
          <w:i/>
          <w:iCs/>
        </w:rPr>
        <w:t xml:space="preserve">…] we’ve used the funding specifically to enable that [recruitment and </w:t>
      </w:r>
      <w:r w:rsidR="00757D1F" w:rsidRPr="00820C89">
        <w:rPr>
          <w:rFonts w:asciiTheme="majorHAnsi" w:hAnsiTheme="majorHAnsi"/>
          <w:i/>
          <w:iCs/>
        </w:rPr>
        <w:t>screening process] to be successful</w:t>
      </w:r>
      <w:r w:rsidR="00917FED" w:rsidRPr="00820C89">
        <w:rPr>
          <w:rFonts w:asciiTheme="majorHAnsi" w:hAnsiTheme="majorHAnsi"/>
          <w:i/>
          <w:iCs/>
        </w:rPr>
        <w:t>.” (E</w:t>
      </w:r>
      <w:r w:rsidR="00DC2D87" w:rsidRPr="00820C89">
        <w:rPr>
          <w:rFonts w:asciiTheme="majorHAnsi" w:hAnsiTheme="majorHAnsi"/>
          <w:i/>
          <w:iCs/>
        </w:rPr>
        <w:t>PI Partner)</w:t>
      </w:r>
    </w:p>
    <w:p w14:paraId="26F970C7" w14:textId="77777777" w:rsidR="00EE7267" w:rsidRPr="00820C89" w:rsidRDefault="00406841" w:rsidP="00EE726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ajorHAnsi" w:hAnsiTheme="majorHAnsi"/>
        </w:rPr>
      </w:pPr>
      <w:r w:rsidRPr="00820C89">
        <w:rPr>
          <w:rFonts w:asciiTheme="majorHAnsi" w:hAnsiTheme="majorHAnsi"/>
        </w:rPr>
        <w:t xml:space="preserve"> </w:t>
      </w:r>
    </w:p>
    <w:p w14:paraId="4A68517E" w14:textId="77777777" w:rsidR="00811670" w:rsidRPr="00820C89" w:rsidRDefault="00811670" w:rsidP="00811670">
      <w:pPr>
        <w:rPr>
          <w:rFonts w:asciiTheme="majorHAnsi" w:hAnsiTheme="majorHAnsi"/>
        </w:rPr>
      </w:pPr>
    </w:p>
    <w:p w14:paraId="1F0B2864" w14:textId="77777777" w:rsidR="00811670" w:rsidRPr="00820C89" w:rsidRDefault="00811670" w:rsidP="00811670">
      <w:pPr>
        <w:rPr>
          <w:rFonts w:asciiTheme="majorHAnsi" w:hAnsiTheme="majorHAnsi"/>
        </w:rPr>
      </w:pPr>
    </w:p>
    <w:p w14:paraId="0A194119" w14:textId="77777777" w:rsidR="00811670" w:rsidRPr="00820C89" w:rsidRDefault="00811670" w:rsidP="00811670">
      <w:pPr>
        <w:rPr>
          <w:rFonts w:asciiTheme="majorHAnsi" w:hAnsiTheme="majorHAnsi"/>
        </w:rPr>
      </w:pPr>
    </w:p>
    <w:p w14:paraId="05E31B7A" w14:textId="77777777" w:rsidR="00811670" w:rsidRPr="00820C89" w:rsidRDefault="00811670" w:rsidP="00811670">
      <w:pPr>
        <w:rPr>
          <w:rFonts w:asciiTheme="majorHAnsi" w:hAnsiTheme="majorHAnsi"/>
        </w:rPr>
      </w:pPr>
    </w:p>
    <w:p w14:paraId="74A1BE0E" w14:textId="77777777" w:rsidR="00811670" w:rsidRPr="00820C89" w:rsidRDefault="00811670" w:rsidP="00811670">
      <w:pPr>
        <w:rPr>
          <w:rFonts w:asciiTheme="majorHAnsi" w:hAnsiTheme="majorHAnsi"/>
        </w:rPr>
      </w:pPr>
    </w:p>
    <w:p w14:paraId="7C051BC3" w14:textId="77777777" w:rsidR="00811670" w:rsidRPr="00820C89" w:rsidRDefault="00811670" w:rsidP="00811670">
      <w:pPr>
        <w:rPr>
          <w:rFonts w:asciiTheme="majorHAnsi" w:hAnsiTheme="majorHAnsi"/>
        </w:rPr>
      </w:pPr>
    </w:p>
    <w:p w14:paraId="6B0711A1" w14:textId="77777777" w:rsidR="009739B5" w:rsidRPr="00820C89" w:rsidRDefault="009739B5" w:rsidP="00B77021">
      <w:pPr>
        <w:pStyle w:val="CaptionChart"/>
        <w:spacing w:before="170" w:after="0"/>
        <w:rPr>
          <w:rFonts w:asciiTheme="majorHAnsi" w:hAnsiTheme="majorHAnsi"/>
        </w:rPr>
      </w:pPr>
      <w:r w:rsidRPr="001D6F02">
        <w:rPr>
          <w:rFonts w:asciiTheme="majorHAnsi" w:hAnsiTheme="majorHAnsi"/>
        </w:rPr>
        <w:lastRenderedPageBreak/>
        <w:t xml:space="preserve">: Share of TAEG participants who receive </w:t>
      </w:r>
      <w:r w:rsidR="00B14BDC" w:rsidRPr="001D6F02">
        <w:rPr>
          <w:rFonts w:asciiTheme="majorHAnsi" w:hAnsiTheme="majorHAnsi"/>
        </w:rPr>
        <w:t>pre-employment</w:t>
      </w:r>
      <w:r w:rsidR="000E65AA" w:rsidRPr="001D6F02">
        <w:rPr>
          <w:rFonts w:asciiTheme="majorHAnsi" w:hAnsiTheme="majorHAnsi"/>
        </w:rPr>
        <w:t xml:space="preserve"> support, by activity type</w:t>
      </w:r>
      <w:r w:rsidR="00B14BDC" w:rsidRPr="00820C89">
        <w:rPr>
          <w:rFonts w:asciiTheme="majorHAnsi" w:hAnsiTheme="majorHAnsi"/>
        </w:rPr>
        <w:t xml:space="preserve"> </w:t>
      </w:r>
      <w:r w:rsidR="00B14BDC" w:rsidRPr="00820C89">
        <w:rPr>
          <w:noProof/>
          <w:lang w:eastAsia="en-AU"/>
        </w:rPr>
        <w:drawing>
          <wp:inline distT="0" distB="0" distL="0" distR="0" wp14:anchorId="1B2826F3" wp14:editId="3C8117A0">
            <wp:extent cx="6175169" cy="3087585"/>
            <wp:effectExtent l="0" t="0" r="16510" b="17780"/>
            <wp:docPr id="26" name="Chart 26" descr="The chart depicts TAEG provider survey results and is contrasted against Chart 3.2: Share of VTEC participants who receive pre-employment, by activity type.&#10;&#10;The charts show the differences in focus between the two programs, specifically that between 24 to 28 percent of TAEG providers deliver literacy, numeracy or English language training to all or most participants, compared to only 6 to 8 percent of VTEC providers." title=" .">
              <a:extLst xmlns:a="http://schemas.openxmlformats.org/drawingml/2006/main">
                <a:ext uri="{FF2B5EF4-FFF2-40B4-BE49-F238E27FC236}">
                  <a16:creationId xmlns:a16="http://schemas.microsoft.com/office/drawing/2014/main" id="{94206F5C-24ED-4477-A842-EB7264DAF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3C4F31" w14:textId="77777777" w:rsidR="009739B5" w:rsidRPr="00820C89" w:rsidRDefault="009739B5" w:rsidP="009739B5">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Provider Survey (2020).</w:t>
      </w:r>
    </w:p>
    <w:p w14:paraId="69B6CE75" w14:textId="77777777" w:rsidR="009739B5" w:rsidRPr="001D6F02" w:rsidRDefault="009739B5" w:rsidP="009739B5">
      <w:pPr>
        <w:pStyle w:val="CaptionChart"/>
        <w:rPr>
          <w:rFonts w:asciiTheme="majorHAnsi" w:hAnsiTheme="majorHAnsi"/>
        </w:rPr>
      </w:pPr>
      <w:r w:rsidRPr="001D6F02">
        <w:rPr>
          <w:rFonts w:asciiTheme="majorHAnsi" w:hAnsiTheme="majorHAnsi"/>
        </w:rPr>
        <w:t xml:space="preserve">: Share of VTEC participants who receive </w:t>
      </w:r>
      <w:r w:rsidR="00B14BDC" w:rsidRPr="001D6F02">
        <w:rPr>
          <w:rFonts w:asciiTheme="majorHAnsi" w:hAnsiTheme="majorHAnsi"/>
        </w:rPr>
        <w:t>pre-employment</w:t>
      </w:r>
      <w:r w:rsidR="000E65AA" w:rsidRPr="001D6F02">
        <w:rPr>
          <w:rFonts w:asciiTheme="majorHAnsi" w:hAnsiTheme="majorHAnsi"/>
        </w:rPr>
        <w:t>, by activity type</w:t>
      </w:r>
      <w:r w:rsidR="00B14BDC" w:rsidRPr="001D6F02">
        <w:rPr>
          <w:rFonts w:asciiTheme="majorHAnsi" w:hAnsiTheme="majorHAnsi"/>
        </w:rPr>
        <w:t xml:space="preserve"> </w:t>
      </w:r>
    </w:p>
    <w:p w14:paraId="251B5F88" w14:textId="77777777" w:rsidR="009739B5" w:rsidRPr="00820C89" w:rsidRDefault="002051DF" w:rsidP="009739B5">
      <w:pPr>
        <w:rPr>
          <w:rFonts w:asciiTheme="majorHAnsi" w:hAnsiTheme="majorHAnsi"/>
        </w:rPr>
      </w:pPr>
      <w:r w:rsidRPr="00820C89">
        <w:rPr>
          <w:noProof/>
          <w:lang w:eastAsia="en-AU"/>
        </w:rPr>
        <w:drawing>
          <wp:inline distT="0" distB="0" distL="0" distR="0" wp14:anchorId="16A3DFA2" wp14:editId="7C04B03E">
            <wp:extent cx="6269990" cy="3370521"/>
            <wp:effectExtent l="0" t="0" r="16510" b="1905"/>
            <wp:docPr id="31" name="Chart 31" descr=" " title=" .">
              <a:extLst xmlns:a="http://schemas.openxmlformats.org/drawingml/2006/main">
                <a:ext uri="{FF2B5EF4-FFF2-40B4-BE49-F238E27FC236}">
                  <a16:creationId xmlns:a16="http://schemas.microsoft.com/office/drawing/2014/main" id="{1F288C84-FB80-4829-8FB8-69D8E780D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2CB601" w14:textId="77777777" w:rsidR="009739B5" w:rsidRPr="00820C89" w:rsidRDefault="009739B5" w:rsidP="009739B5">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Provider Survey (2020).</w:t>
      </w:r>
    </w:p>
    <w:p w14:paraId="1C4F16C9" w14:textId="77777777" w:rsidR="00E45F8D" w:rsidRPr="00820C89" w:rsidRDefault="00412B24" w:rsidP="00B77021">
      <w:pPr>
        <w:pStyle w:val="Heading3"/>
      </w:pPr>
      <w:r w:rsidRPr="00820C89">
        <w:t>Support during employment</w:t>
      </w:r>
    </w:p>
    <w:p w14:paraId="2129EF5E" w14:textId="77777777" w:rsidR="00742A93" w:rsidRPr="00820C89" w:rsidRDefault="00C105C5" w:rsidP="00742A93">
      <w:pPr>
        <w:rPr>
          <w:rFonts w:asciiTheme="majorHAnsi" w:hAnsiTheme="majorHAnsi"/>
        </w:rPr>
      </w:pPr>
      <w:r w:rsidRPr="00820C89">
        <w:rPr>
          <w:rFonts w:asciiTheme="majorHAnsi" w:hAnsiTheme="majorHAnsi"/>
        </w:rPr>
        <w:t xml:space="preserve">Employment support </w:t>
      </w:r>
      <w:r w:rsidR="00F01873" w:rsidRPr="00820C89">
        <w:rPr>
          <w:rFonts w:asciiTheme="majorHAnsi" w:hAnsiTheme="majorHAnsi"/>
        </w:rPr>
        <w:t>refer</w:t>
      </w:r>
      <w:r w:rsidR="003E5E83" w:rsidRPr="00820C89">
        <w:rPr>
          <w:rFonts w:asciiTheme="majorHAnsi" w:hAnsiTheme="majorHAnsi"/>
        </w:rPr>
        <w:t>s</w:t>
      </w:r>
      <w:r w:rsidRPr="00820C89">
        <w:rPr>
          <w:rFonts w:asciiTheme="majorHAnsi" w:hAnsiTheme="majorHAnsi"/>
        </w:rPr>
        <w:t xml:space="preserve"> to activities that providers or partners deliver to </w:t>
      </w:r>
      <w:r w:rsidR="00F40733" w:rsidRPr="00820C89">
        <w:rPr>
          <w:rFonts w:asciiTheme="majorHAnsi" w:hAnsiTheme="majorHAnsi"/>
        </w:rPr>
        <w:t>participants</w:t>
      </w:r>
      <w:r w:rsidR="00C11B1E" w:rsidRPr="00820C89">
        <w:rPr>
          <w:rFonts w:asciiTheme="majorHAnsi" w:hAnsiTheme="majorHAnsi"/>
        </w:rPr>
        <w:t xml:space="preserve"> to support</w:t>
      </w:r>
      <w:r w:rsidR="00E91714" w:rsidRPr="00820C89">
        <w:rPr>
          <w:rFonts w:asciiTheme="majorHAnsi" w:hAnsiTheme="majorHAnsi"/>
        </w:rPr>
        <w:t xml:space="preserve"> </w:t>
      </w:r>
      <w:r w:rsidR="00C11B1E" w:rsidRPr="00820C89">
        <w:rPr>
          <w:rFonts w:asciiTheme="majorHAnsi" w:hAnsiTheme="majorHAnsi"/>
        </w:rPr>
        <w:t xml:space="preserve">them to </w:t>
      </w:r>
      <w:r w:rsidRPr="00820C89">
        <w:rPr>
          <w:rFonts w:asciiTheme="majorHAnsi" w:hAnsiTheme="majorHAnsi"/>
        </w:rPr>
        <w:t xml:space="preserve">remain in employment. </w:t>
      </w:r>
      <w:r w:rsidR="0098463A" w:rsidRPr="00820C89">
        <w:rPr>
          <w:rFonts w:asciiTheme="majorHAnsi" w:hAnsiTheme="majorHAnsi"/>
        </w:rPr>
        <w:t xml:space="preserve">This may include a broad range of activities that are intended to overcome the </w:t>
      </w:r>
      <w:r w:rsidR="00280487" w:rsidRPr="00820C89">
        <w:rPr>
          <w:rFonts w:asciiTheme="majorHAnsi" w:hAnsiTheme="majorHAnsi"/>
        </w:rPr>
        <w:t>varied</w:t>
      </w:r>
      <w:r w:rsidR="00536DD7" w:rsidRPr="00820C89">
        <w:rPr>
          <w:rFonts w:asciiTheme="majorHAnsi" w:hAnsiTheme="majorHAnsi"/>
        </w:rPr>
        <w:t xml:space="preserve"> and often complicated </w:t>
      </w:r>
      <w:r w:rsidR="0098463A" w:rsidRPr="00820C89">
        <w:rPr>
          <w:rFonts w:asciiTheme="majorHAnsi" w:hAnsiTheme="majorHAnsi"/>
        </w:rPr>
        <w:t xml:space="preserve">barriers that </w:t>
      </w:r>
      <w:r w:rsidR="006A5614" w:rsidRPr="00820C89">
        <w:rPr>
          <w:rFonts w:asciiTheme="majorHAnsi" w:hAnsiTheme="majorHAnsi"/>
        </w:rPr>
        <w:t>participants</w:t>
      </w:r>
      <w:r w:rsidR="00D328A7" w:rsidRPr="00820C89">
        <w:rPr>
          <w:rFonts w:asciiTheme="majorHAnsi" w:hAnsiTheme="majorHAnsi"/>
        </w:rPr>
        <w:t xml:space="preserve"> face to </w:t>
      </w:r>
      <w:r w:rsidR="00280487" w:rsidRPr="00820C89">
        <w:rPr>
          <w:rFonts w:asciiTheme="majorHAnsi" w:hAnsiTheme="majorHAnsi"/>
        </w:rPr>
        <w:t>remaining in employment.</w:t>
      </w:r>
      <w:r w:rsidR="00280647" w:rsidRPr="00820C89">
        <w:rPr>
          <w:rFonts w:asciiTheme="majorHAnsi" w:hAnsiTheme="majorHAnsi"/>
        </w:rPr>
        <w:t xml:space="preserve"> </w:t>
      </w:r>
      <w:r w:rsidR="00A626FF" w:rsidRPr="00820C89">
        <w:rPr>
          <w:rFonts w:asciiTheme="majorHAnsi" w:hAnsiTheme="majorHAnsi"/>
        </w:rPr>
        <w:t xml:space="preserve">The provision of employment support is a central element to each of the </w:t>
      </w:r>
      <w:r w:rsidR="00105508" w:rsidRPr="00820C89">
        <w:rPr>
          <w:rFonts w:asciiTheme="majorHAnsi" w:hAnsiTheme="majorHAnsi"/>
        </w:rPr>
        <w:t>sub-</w:t>
      </w:r>
      <w:r w:rsidR="008F4B9B" w:rsidRPr="00820C89">
        <w:rPr>
          <w:rFonts w:asciiTheme="majorHAnsi" w:hAnsiTheme="majorHAnsi"/>
        </w:rPr>
        <w:t>programs</w:t>
      </w:r>
      <w:r w:rsidR="00A626FF" w:rsidRPr="00820C89">
        <w:rPr>
          <w:rFonts w:asciiTheme="majorHAnsi" w:hAnsiTheme="majorHAnsi"/>
        </w:rPr>
        <w:t xml:space="preserve"> and an activity that providers/</w:t>
      </w:r>
      <w:r w:rsidR="000009CE" w:rsidRPr="00820C89">
        <w:rPr>
          <w:rFonts w:asciiTheme="majorHAnsi" w:hAnsiTheme="majorHAnsi"/>
        </w:rPr>
        <w:t xml:space="preserve"> </w:t>
      </w:r>
      <w:r w:rsidR="00A626FF" w:rsidRPr="00820C89">
        <w:rPr>
          <w:rFonts w:asciiTheme="majorHAnsi" w:hAnsiTheme="majorHAnsi"/>
        </w:rPr>
        <w:t xml:space="preserve">partners are </w:t>
      </w:r>
      <w:r w:rsidR="00DB6AA9" w:rsidRPr="00820C89">
        <w:rPr>
          <w:rFonts w:asciiTheme="majorHAnsi" w:hAnsiTheme="majorHAnsi"/>
        </w:rPr>
        <w:t>incentivised</w:t>
      </w:r>
      <w:r w:rsidR="00A626FF" w:rsidRPr="00820C89">
        <w:rPr>
          <w:rFonts w:asciiTheme="majorHAnsi" w:hAnsiTheme="majorHAnsi"/>
        </w:rPr>
        <w:t xml:space="preserve"> to deliver to successfully obtain outcome payments. </w:t>
      </w:r>
      <w:r w:rsidR="0098463A" w:rsidRPr="00820C89">
        <w:rPr>
          <w:rFonts w:asciiTheme="majorHAnsi" w:hAnsiTheme="majorHAnsi"/>
        </w:rPr>
        <w:t xml:space="preserve"> </w:t>
      </w:r>
      <w:r w:rsidR="00DE09D1" w:rsidRPr="00820C89">
        <w:rPr>
          <w:rFonts w:asciiTheme="majorHAnsi" w:hAnsiTheme="majorHAnsi"/>
        </w:rPr>
        <w:t xml:space="preserve"> </w:t>
      </w:r>
    </w:p>
    <w:p w14:paraId="60D0B486" w14:textId="77777777" w:rsidR="00742A93" w:rsidRPr="001D6F02" w:rsidRDefault="00742A93" w:rsidP="00742A93">
      <w:pPr>
        <w:rPr>
          <w:rFonts w:asciiTheme="majorHAnsi" w:hAnsiTheme="majorHAnsi"/>
        </w:rPr>
      </w:pPr>
      <w:r w:rsidRPr="00820C89">
        <w:rPr>
          <w:rFonts w:asciiTheme="majorHAnsi" w:hAnsiTheme="majorHAnsi"/>
        </w:rPr>
        <w:lastRenderedPageBreak/>
        <w:t>The provider survey highlights that</w:t>
      </w:r>
      <w:r w:rsidRPr="00820C89">
        <w:rPr>
          <w:rFonts w:asciiTheme="majorHAnsi" w:hAnsiTheme="majorHAnsi"/>
          <w:b/>
        </w:rPr>
        <w:t xml:space="preserve"> </w:t>
      </w:r>
      <w:r w:rsidRPr="00820C89">
        <w:rPr>
          <w:rFonts w:asciiTheme="majorHAnsi" w:hAnsiTheme="majorHAnsi"/>
        </w:rPr>
        <w:t>VTEC and TAEG participants gain access to a wide range of employment supports</w:t>
      </w:r>
      <w:r w:rsidRPr="00820C89">
        <w:rPr>
          <w:rFonts w:asciiTheme="majorHAnsi" w:hAnsiTheme="majorHAnsi"/>
          <w:b/>
        </w:rPr>
        <w:t xml:space="preserve"> </w:t>
      </w:r>
      <w:r w:rsidRPr="00820C89">
        <w:rPr>
          <w:rFonts w:asciiTheme="majorHAnsi" w:hAnsiTheme="majorHAnsi"/>
        </w:rPr>
        <w:t xml:space="preserve">through the </w:t>
      </w:r>
      <w:r w:rsidRPr="001D6F02">
        <w:rPr>
          <w:rFonts w:asciiTheme="majorHAnsi" w:hAnsiTheme="majorHAnsi"/>
        </w:rPr>
        <w:t>programs. Chart 3.</w:t>
      </w:r>
      <w:r w:rsidR="00DF0EAB" w:rsidRPr="001D6F02">
        <w:rPr>
          <w:rFonts w:asciiTheme="majorHAnsi" w:hAnsiTheme="majorHAnsi"/>
        </w:rPr>
        <w:t>3</w:t>
      </w:r>
      <w:r w:rsidRPr="001D6F02">
        <w:rPr>
          <w:rFonts w:asciiTheme="majorHAnsi" w:hAnsiTheme="majorHAnsi"/>
        </w:rPr>
        <w:t xml:space="preserve"> below provides an overview of the breadth and intensity of the key employment supports that are delivered to participants.</w:t>
      </w:r>
    </w:p>
    <w:p w14:paraId="41AA6E8B" w14:textId="77777777" w:rsidR="00742A93" w:rsidRPr="00820C89" w:rsidRDefault="00742A93" w:rsidP="00742A93">
      <w:pPr>
        <w:rPr>
          <w:rFonts w:asciiTheme="majorHAnsi" w:hAnsiTheme="majorHAnsi"/>
        </w:rPr>
      </w:pPr>
      <w:r w:rsidRPr="001D6F02">
        <w:rPr>
          <w:rFonts w:asciiTheme="majorHAnsi" w:hAnsiTheme="majorHAnsi"/>
        </w:rPr>
        <w:t xml:space="preserve">This analysis reveals that the four most commonly delivered supports, which over 85 per cent of providers deliver to all or most participants, are </w:t>
      </w:r>
      <w:r w:rsidR="0061169B" w:rsidRPr="001D6F02">
        <w:rPr>
          <w:rFonts w:asciiTheme="majorHAnsi" w:hAnsiTheme="majorHAnsi"/>
        </w:rPr>
        <w:t xml:space="preserve">directly related to supporting </w:t>
      </w:r>
      <w:r w:rsidR="00845E83" w:rsidRPr="001D6F02">
        <w:rPr>
          <w:rFonts w:asciiTheme="majorHAnsi" w:hAnsiTheme="majorHAnsi"/>
        </w:rPr>
        <w:t>participants</w:t>
      </w:r>
      <w:r w:rsidR="0061169B" w:rsidRPr="001D6F02">
        <w:rPr>
          <w:rFonts w:asciiTheme="majorHAnsi" w:hAnsiTheme="majorHAnsi"/>
        </w:rPr>
        <w:t xml:space="preserve"> to remain in employment</w:t>
      </w:r>
      <w:r w:rsidR="00F23D4D" w:rsidRPr="001D6F02">
        <w:rPr>
          <w:rFonts w:asciiTheme="majorHAnsi" w:hAnsiTheme="majorHAnsi"/>
        </w:rPr>
        <w:t xml:space="preserve"> and overcome </w:t>
      </w:r>
      <w:r w:rsidR="006C672B" w:rsidRPr="001D6F02">
        <w:rPr>
          <w:rFonts w:asciiTheme="majorHAnsi" w:hAnsiTheme="majorHAnsi"/>
        </w:rPr>
        <w:t xml:space="preserve">the </w:t>
      </w:r>
      <w:r w:rsidR="00F30249" w:rsidRPr="001D6F02">
        <w:rPr>
          <w:rFonts w:asciiTheme="majorHAnsi" w:hAnsiTheme="majorHAnsi"/>
        </w:rPr>
        <w:t>barriers they may face</w:t>
      </w:r>
      <w:r w:rsidR="0061169B" w:rsidRPr="001D6F02">
        <w:rPr>
          <w:rFonts w:asciiTheme="majorHAnsi" w:hAnsiTheme="majorHAnsi"/>
        </w:rPr>
        <w:t xml:space="preserve"> </w:t>
      </w:r>
      <w:r w:rsidRPr="001D6F02">
        <w:rPr>
          <w:rFonts w:asciiTheme="majorHAnsi" w:hAnsiTheme="majorHAnsi"/>
        </w:rPr>
        <w:t>(Chart 3.</w:t>
      </w:r>
      <w:r w:rsidR="00DF0EAB" w:rsidRPr="001D6F02">
        <w:rPr>
          <w:rFonts w:asciiTheme="majorHAnsi" w:hAnsiTheme="majorHAnsi"/>
        </w:rPr>
        <w:t>3</w:t>
      </w:r>
      <w:r w:rsidRPr="001D6F02">
        <w:rPr>
          <w:rFonts w:asciiTheme="majorHAnsi" w:hAnsiTheme="majorHAnsi"/>
        </w:rPr>
        <w:t>).</w:t>
      </w:r>
      <w:r w:rsidRPr="00820C89">
        <w:rPr>
          <w:rFonts w:asciiTheme="majorHAnsi" w:hAnsiTheme="majorHAnsi"/>
        </w:rPr>
        <w:t xml:space="preserve"> Stakeholder consultations with providers suggest that these services are likely to include: </w:t>
      </w:r>
    </w:p>
    <w:p w14:paraId="425F999F" w14:textId="77777777" w:rsidR="00742A93" w:rsidRPr="00820C89" w:rsidRDefault="00742A93" w:rsidP="00715F70">
      <w:pPr>
        <w:numPr>
          <w:ilvl w:val="0"/>
          <w:numId w:val="14"/>
        </w:numPr>
        <w:spacing w:before="60" w:after="60"/>
        <w:ind w:left="425" w:hanging="357"/>
        <w:rPr>
          <w:rFonts w:asciiTheme="majorHAnsi" w:hAnsiTheme="majorHAnsi"/>
        </w:rPr>
      </w:pPr>
      <w:r w:rsidRPr="00820C89">
        <w:rPr>
          <w:rFonts w:asciiTheme="majorHAnsi" w:hAnsiTheme="majorHAnsi"/>
          <w:b/>
        </w:rPr>
        <w:t>employee mentoring</w:t>
      </w:r>
      <w:r w:rsidRPr="00820C89">
        <w:rPr>
          <w:rFonts w:asciiTheme="majorHAnsi" w:hAnsiTheme="majorHAnsi"/>
        </w:rPr>
        <w:t>: weekly or fortnightly check-ins with participants to understand how they are finding their employment experience, and whether any additional support services are required</w:t>
      </w:r>
    </w:p>
    <w:p w14:paraId="68953B68" w14:textId="77777777" w:rsidR="00742A93" w:rsidRPr="00820C89" w:rsidRDefault="00742A93" w:rsidP="00715F70">
      <w:pPr>
        <w:numPr>
          <w:ilvl w:val="0"/>
          <w:numId w:val="14"/>
        </w:numPr>
        <w:spacing w:before="60" w:after="60"/>
        <w:ind w:left="425" w:hanging="357"/>
        <w:rPr>
          <w:rFonts w:asciiTheme="majorHAnsi" w:hAnsiTheme="majorHAnsi"/>
        </w:rPr>
      </w:pPr>
      <w:r w:rsidRPr="00820C89">
        <w:rPr>
          <w:rFonts w:asciiTheme="majorHAnsi" w:hAnsiTheme="majorHAnsi"/>
          <w:b/>
        </w:rPr>
        <w:t>overview of workplace expectations:</w:t>
      </w:r>
      <w:r w:rsidRPr="00820C89">
        <w:rPr>
          <w:rFonts w:asciiTheme="majorHAnsi" w:hAnsiTheme="majorHAnsi"/>
        </w:rPr>
        <w:t xml:space="preserve"> a high-level overview of the habits and practices that are expected in the workplace (or a particular industry)</w:t>
      </w:r>
    </w:p>
    <w:p w14:paraId="4014EC08" w14:textId="77777777" w:rsidR="00742A93" w:rsidRPr="00820C89" w:rsidRDefault="00742A93" w:rsidP="00715F70">
      <w:pPr>
        <w:numPr>
          <w:ilvl w:val="0"/>
          <w:numId w:val="14"/>
        </w:numPr>
        <w:spacing w:before="60" w:after="60"/>
        <w:ind w:left="425" w:hanging="357"/>
        <w:rPr>
          <w:rFonts w:asciiTheme="majorHAnsi" w:hAnsiTheme="majorHAnsi"/>
        </w:rPr>
      </w:pPr>
      <w:r w:rsidRPr="00820C89">
        <w:rPr>
          <w:rFonts w:asciiTheme="majorHAnsi" w:hAnsiTheme="majorHAnsi"/>
          <w:b/>
        </w:rPr>
        <w:t>issues management:</w:t>
      </w:r>
      <w:r w:rsidRPr="00820C89">
        <w:rPr>
          <w:rFonts w:asciiTheme="majorHAnsi" w:hAnsiTheme="majorHAnsi"/>
        </w:rPr>
        <w:t xml:space="preserve"> resolving issues that may arise while a participant is completing their employment placement. For example, this may involve a provider advocating on behalf of a participant to change their working arrangements or hours</w:t>
      </w:r>
    </w:p>
    <w:p w14:paraId="7DAFD448" w14:textId="77777777" w:rsidR="00A173FB" w:rsidRPr="00820C89" w:rsidRDefault="00A173FB" w:rsidP="00715F70">
      <w:pPr>
        <w:numPr>
          <w:ilvl w:val="0"/>
          <w:numId w:val="14"/>
        </w:numPr>
        <w:spacing w:before="60" w:after="60"/>
        <w:ind w:left="425" w:hanging="357"/>
        <w:rPr>
          <w:rFonts w:asciiTheme="majorHAnsi" w:hAnsiTheme="majorHAnsi"/>
        </w:rPr>
      </w:pPr>
      <w:r w:rsidRPr="00820C89">
        <w:rPr>
          <w:rFonts w:asciiTheme="majorHAnsi" w:hAnsiTheme="majorHAnsi"/>
          <w:b/>
        </w:rPr>
        <w:t>other ongoing employee support:</w:t>
      </w:r>
      <w:r w:rsidRPr="00820C89">
        <w:rPr>
          <w:rFonts w:asciiTheme="majorHAnsi" w:hAnsiTheme="majorHAnsi"/>
        </w:rPr>
        <w:t xml:space="preserve"> a broad range of ongoing support measures, including, for example, providing transport for participants to travel to or from work.</w:t>
      </w:r>
    </w:p>
    <w:p w14:paraId="5D6FC524" w14:textId="77777777" w:rsidR="00742A93" w:rsidRPr="001D6F02" w:rsidRDefault="00742A93" w:rsidP="00742A93">
      <w:pPr>
        <w:pStyle w:val="CaptionChart"/>
        <w:spacing w:before="170" w:after="0"/>
        <w:rPr>
          <w:rFonts w:asciiTheme="majorHAnsi" w:hAnsiTheme="majorHAnsi"/>
        </w:rPr>
      </w:pPr>
      <w:bookmarkStart w:id="75" w:name="_Ref56694112"/>
      <w:r w:rsidRPr="001D6F02">
        <w:rPr>
          <w:rFonts w:asciiTheme="majorHAnsi" w:hAnsiTheme="majorHAnsi"/>
        </w:rPr>
        <w:t xml:space="preserve">: </w:t>
      </w:r>
      <w:bookmarkStart w:id="76" w:name="_Ref56690868"/>
      <w:r w:rsidRPr="001D6F02">
        <w:rPr>
          <w:rFonts w:asciiTheme="majorHAnsi" w:hAnsiTheme="majorHAnsi"/>
        </w:rPr>
        <w:t>Level of participation in TAEG and VTEC employment services</w:t>
      </w:r>
      <w:bookmarkEnd w:id="75"/>
      <w:bookmarkEnd w:id="76"/>
    </w:p>
    <w:p w14:paraId="23EAE101" w14:textId="77777777" w:rsidR="00742A93" w:rsidRPr="00820C89" w:rsidRDefault="008B4E3F" w:rsidP="00742A93">
      <w:pPr>
        <w:rPr>
          <w:rFonts w:asciiTheme="majorHAnsi" w:hAnsiTheme="majorHAnsi"/>
        </w:rPr>
      </w:pPr>
      <w:r w:rsidRPr="00820C89">
        <w:rPr>
          <w:noProof/>
          <w:lang w:eastAsia="en-AU"/>
        </w:rPr>
        <w:drawing>
          <wp:inline distT="0" distB="0" distL="0" distR="0" wp14:anchorId="19F6B9E9" wp14:editId="4349DB6E">
            <wp:extent cx="6334125" cy="4086225"/>
            <wp:effectExtent l="0" t="0" r="9525" b="9525"/>
            <wp:docPr id="32" name="Chart 32" descr="  " title=" .">
              <a:extLst xmlns:a="http://schemas.openxmlformats.org/drawingml/2006/main">
                <a:ext uri="{FF2B5EF4-FFF2-40B4-BE49-F238E27FC236}">
                  <a16:creationId xmlns:a16="http://schemas.microsoft.com/office/drawing/2014/main" id="{EF553E1F-8A5A-4385-8507-4DB034937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C69E90" w14:textId="77777777" w:rsidR="00742A93" w:rsidRPr="00820C89" w:rsidRDefault="00742A93" w:rsidP="00742A93">
      <w:pPr>
        <w:pStyle w:val="Source"/>
        <w:rPr>
          <w:rFonts w:asciiTheme="majorHAnsi" w:hAnsiTheme="majorHAnsi"/>
        </w:rPr>
      </w:pPr>
      <w:r w:rsidRPr="00820C89">
        <w:rPr>
          <w:rFonts w:asciiTheme="majorHAnsi" w:hAnsiTheme="majorHAnsi"/>
        </w:rPr>
        <w:t>Source: Provider survey (2020).</w:t>
      </w:r>
    </w:p>
    <w:p w14:paraId="52BD9A75" w14:textId="77777777" w:rsidR="00742A93" w:rsidRPr="00820C89" w:rsidRDefault="00742A93" w:rsidP="00742A93">
      <w:pPr>
        <w:rPr>
          <w:rFonts w:asciiTheme="majorHAnsi" w:hAnsiTheme="majorHAnsi"/>
        </w:rPr>
      </w:pPr>
      <w:r w:rsidRPr="00820C89">
        <w:rPr>
          <w:rFonts w:asciiTheme="majorHAnsi" w:hAnsiTheme="majorHAnsi"/>
        </w:rPr>
        <w:t xml:space="preserve">Additionally, providers </w:t>
      </w:r>
      <w:r w:rsidR="0060522D" w:rsidRPr="00820C89">
        <w:rPr>
          <w:rFonts w:asciiTheme="majorHAnsi" w:hAnsiTheme="majorHAnsi"/>
        </w:rPr>
        <w:t>note</w:t>
      </w:r>
      <w:r w:rsidRPr="00820C89">
        <w:rPr>
          <w:rFonts w:asciiTheme="majorHAnsi" w:hAnsiTheme="majorHAnsi"/>
        </w:rPr>
        <w:t xml:space="preserve"> to be responsive and genuine in supporting the needs of participants, </w:t>
      </w:r>
      <w:r w:rsidR="00C64EDA" w:rsidRPr="00820C89">
        <w:rPr>
          <w:rFonts w:asciiTheme="majorHAnsi" w:hAnsiTheme="majorHAnsi"/>
        </w:rPr>
        <w:t>mentoring</w:t>
      </w:r>
      <w:r w:rsidRPr="00820C89">
        <w:rPr>
          <w:rFonts w:asciiTheme="majorHAnsi" w:hAnsiTheme="majorHAnsi"/>
        </w:rPr>
        <w:t xml:space="preserve"> services </w:t>
      </w:r>
      <w:r w:rsidR="00B50F6A" w:rsidRPr="00820C89">
        <w:rPr>
          <w:rFonts w:asciiTheme="majorHAnsi" w:hAnsiTheme="majorHAnsi"/>
        </w:rPr>
        <w:t>often extend</w:t>
      </w:r>
      <w:r w:rsidRPr="00820C89">
        <w:rPr>
          <w:rFonts w:asciiTheme="majorHAnsi" w:hAnsiTheme="majorHAnsi"/>
        </w:rPr>
        <w:t xml:space="preserve"> beyond program guidelines. For instance, providers spoke of being on call 24/7 to support with issues as they arose, supporting participant family members and providing practical assistance (such as transport) even when not funded to do so. It was emphasised that this holistic approach was required to meaningfully support participants to overcome barriers to employment.</w:t>
      </w:r>
    </w:p>
    <w:p w14:paraId="4EDB516C" w14:textId="77777777" w:rsidR="00742A93" w:rsidRPr="00820C89" w:rsidRDefault="00742A93" w:rsidP="00742A93">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Pr>
          <w:rFonts w:asciiTheme="majorHAnsi" w:hAnsiTheme="majorHAnsi"/>
          <w:i/>
        </w:rPr>
      </w:pPr>
      <w:r w:rsidRPr="00820C89">
        <w:rPr>
          <w:rFonts w:asciiTheme="majorHAnsi" w:hAnsiTheme="majorHAnsi"/>
          <w:i/>
        </w:rPr>
        <w:lastRenderedPageBreak/>
        <w:t xml:space="preserve">“[We heard, from community feedback] that there’s a group of jobseekers that we’re probably not necessarily supporting as well as what we could and that’s that group of jobseekers that are very, very disadvantaged, long term unemployed and require the additional support, more than the once a week. So, we’ve tried to listen to that feedback and that’s resulted in us putting a full-time staff member within that pre-employment space. So, it’s a significant investment from our end - which is unfunded” (VTEC provider). </w:t>
      </w:r>
    </w:p>
    <w:p w14:paraId="4ECF6AAF" w14:textId="77777777" w:rsidR="00D5101F" w:rsidRPr="00820C89" w:rsidRDefault="00D5101F" w:rsidP="00D5101F">
      <w:pPr>
        <w:rPr>
          <w:rFonts w:asciiTheme="majorHAnsi" w:hAnsiTheme="majorHAnsi"/>
          <w:b/>
          <w:i/>
          <w:color w:val="86BC25" w:themeColor="accent1"/>
        </w:rPr>
      </w:pPr>
      <w:r w:rsidRPr="00820C89">
        <w:rPr>
          <w:rFonts w:asciiTheme="majorHAnsi" w:hAnsiTheme="majorHAnsi"/>
        </w:rPr>
        <w:t>EPI partners appear to</w:t>
      </w:r>
      <w:r w:rsidR="001436DA" w:rsidRPr="00820C89">
        <w:rPr>
          <w:rFonts w:asciiTheme="majorHAnsi" w:hAnsiTheme="majorHAnsi"/>
        </w:rPr>
        <w:t xml:space="preserve"> offer a range of ongoing supports to participants</w:t>
      </w:r>
      <w:r w:rsidRPr="00820C89">
        <w:rPr>
          <w:rFonts w:asciiTheme="majorHAnsi" w:hAnsiTheme="majorHAnsi"/>
        </w:rPr>
        <w:t xml:space="preserve">, although </w:t>
      </w:r>
      <w:r w:rsidR="001436DA" w:rsidRPr="00820C89">
        <w:rPr>
          <w:rFonts w:asciiTheme="majorHAnsi" w:hAnsiTheme="majorHAnsi"/>
        </w:rPr>
        <w:t xml:space="preserve">these are generally less intense and </w:t>
      </w:r>
      <w:r w:rsidR="00BE3393" w:rsidRPr="00820C89">
        <w:rPr>
          <w:rFonts w:asciiTheme="majorHAnsi" w:hAnsiTheme="majorHAnsi"/>
        </w:rPr>
        <w:t>individualised</w:t>
      </w:r>
      <w:r w:rsidR="001436DA" w:rsidRPr="00820C89">
        <w:rPr>
          <w:rFonts w:asciiTheme="majorHAnsi" w:hAnsiTheme="majorHAnsi"/>
        </w:rPr>
        <w:t xml:space="preserve"> than those delivered by TAEG and VTEC</w:t>
      </w:r>
      <w:r w:rsidRPr="00820C89">
        <w:rPr>
          <w:rFonts w:asciiTheme="majorHAnsi" w:hAnsiTheme="majorHAnsi"/>
        </w:rPr>
        <w:t xml:space="preserve">. This may be because EPI partners have a comparatively job-ready group of participants, meaning that these jobseekers are less in need of foundational skill development. </w:t>
      </w:r>
    </w:p>
    <w:p w14:paraId="063C9C3C" w14:textId="77777777" w:rsidR="00D5101F" w:rsidRPr="00820C89" w:rsidRDefault="00D5101F" w:rsidP="00D5101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heme="majorHAnsi" w:hAnsiTheme="majorHAnsi"/>
        </w:rPr>
      </w:pPr>
      <w:r w:rsidRPr="00820C89">
        <w:rPr>
          <w:rFonts w:asciiTheme="majorHAnsi" w:hAnsiTheme="majorHAnsi"/>
        </w:rPr>
        <w:t>Consultations did find, however, that EPI partners do still offer forms of informal support that may help build participants general behavioural and workplace skills. For example, during consultations EPI partners noted that:</w:t>
      </w:r>
    </w:p>
    <w:p w14:paraId="5E426969" w14:textId="77777777" w:rsidR="00D5101F" w:rsidRPr="00820C89" w:rsidRDefault="00D5101F" w:rsidP="00715F70">
      <w:pPr>
        <w:numPr>
          <w:ilvl w:val="0"/>
          <w:numId w:val="22"/>
        </w:numPr>
        <w:spacing w:before="60" w:after="60"/>
        <w:ind w:left="357" w:hanging="357"/>
        <w:rPr>
          <w:rFonts w:asciiTheme="majorHAnsi" w:hAnsiTheme="majorHAnsi"/>
        </w:rPr>
      </w:pPr>
      <w:r w:rsidRPr="00820C89">
        <w:rPr>
          <w:rFonts w:asciiTheme="majorHAnsi" w:hAnsiTheme="majorHAnsi"/>
        </w:rPr>
        <w:t>their internal recruitment team acts as an ongoing form of support and informal mentoring to program participants. They noted that this support can be used to improve participants conflict resolution and communication skills</w:t>
      </w:r>
    </w:p>
    <w:p w14:paraId="34D2C327" w14:textId="77777777" w:rsidR="00D5101F" w:rsidRPr="00820C89" w:rsidRDefault="00D5101F" w:rsidP="00715F70">
      <w:pPr>
        <w:numPr>
          <w:ilvl w:val="0"/>
          <w:numId w:val="22"/>
        </w:numPr>
        <w:spacing w:before="60" w:after="60"/>
        <w:ind w:left="357" w:hanging="357"/>
        <w:rPr>
          <w:rFonts w:asciiTheme="majorHAnsi" w:hAnsiTheme="majorHAnsi"/>
        </w:rPr>
      </w:pPr>
      <w:r w:rsidRPr="00820C89">
        <w:rPr>
          <w:rFonts w:asciiTheme="majorHAnsi" w:hAnsiTheme="majorHAnsi"/>
        </w:rPr>
        <w:t>individual line managers often play an important role in mentoring program participants and helping them understand workplace practices and expectations</w:t>
      </w:r>
    </w:p>
    <w:p w14:paraId="14957920" w14:textId="77777777" w:rsidR="00D5101F" w:rsidRPr="00820C89" w:rsidRDefault="00D5101F" w:rsidP="00715F70">
      <w:pPr>
        <w:numPr>
          <w:ilvl w:val="0"/>
          <w:numId w:val="22"/>
        </w:numPr>
        <w:spacing w:before="60" w:after="60"/>
        <w:ind w:left="357" w:hanging="357"/>
        <w:rPr>
          <w:rFonts w:asciiTheme="majorHAnsi" w:hAnsiTheme="majorHAnsi"/>
        </w:rPr>
      </w:pPr>
      <w:r w:rsidRPr="00820C89">
        <w:rPr>
          <w:rFonts w:asciiTheme="majorHAnsi" w:hAnsiTheme="majorHAnsi"/>
        </w:rPr>
        <w:t>one partner organised an external provider to deliver a resilience training program to participants, to help equip them with the tools needed to overcome the new challenges they may encounter in the workplace.</w:t>
      </w:r>
    </w:p>
    <w:p w14:paraId="45547ED1" w14:textId="77777777" w:rsidR="00F34763" w:rsidRPr="00820C89" w:rsidRDefault="009C4E0D" w:rsidP="0080551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heme="majorHAnsi" w:hAnsiTheme="majorHAnsi"/>
        </w:rPr>
      </w:pPr>
      <w:r w:rsidRPr="00820C89">
        <w:rPr>
          <w:rFonts w:asciiTheme="majorHAnsi" w:hAnsiTheme="majorHAnsi"/>
        </w:rPr>
        <w:t>Several</w:t>
      </w:r>
      <w:r w:rsidR="00742A93" w:rsidRPr="00820C89">
        <w:rPr>
          <w:rFonts w:asciiTheme="majorHAnsi" w:hAnsiTheme="majorHAnsi"/>
        </w:rPr>
        <w:t xml:space="preserve"> EPI partners also draw on third parties to provide support for recruitment, training and retention of staff. Depending on the nature and quality of this outsourcing, this can also influence the extent to which participants are exposed to culturally inclusive and engaging supports. </w:t>
      </w:r>
    </w:p>
    <w:p w14:paraId="5591E89F" w14:textId="77777777" w:rsidR="005F2EE3" w:rsidRPr="00820C89" w:rsidRDefault="0046090D" w:rsidP="005F2EE3">
      <w:pPr>
        <w:pStyle w:val="Heading3"/>
      </w:pPr>
      <w:r w:rsidRPr="00820C89">
        <w:t>Vocational education and training</w:t>
      </w:r>
    </w:p>
    <w:p w14:paraId="59960DA7" w14:textId="77777777" w:rsidR="00B5096A" w:rsidRPr="00820C89" w:rsidRDefault="00B5096A" w:rsidP="0009418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hAnsiTheme="majorHAnsi"/>
        </w:rPr>
      </w:pPr>
      <w:r w:rsidRPr="00820C89">
        <w:rPr>
          <w:rFonts w:asciiTheme="majorHAnsi" w:hAnsiTheme="majorHAnsi"/>
        </w:rPr>
        <w:t xml:space="preserve">To varying degrees, the </w:t>
      </w:r>
      <w:r w:rsidR="00410B40" w:rsidRPr="00820C89">
        <w:rPr>
          <w:rFonts w:asciiTheme="majorHAnsi" w:hAnsiTheme="majorHAnsi"/>
        </w:rPr>
        <w:t>sub-programs</w:t>
      </w:r>
      <w:r w:rsidRPr="00820C89">
        <w:rPr>
          <w:rFonts w:asciiTheme="majorHAnsi" w:hAnsiTheme="majorHAnsi"/>
        </w:rPr>
        <w:t xml:space="preserve"> deliver formal vocational education and training qualifications to </w:t>
      </w:r>
      <w:r w:rsidR="00C83E17" w:rsidRPr="00820C89">
        <w:rPr>
          <w:rFonts w:asciiTheme="majorHAnsi" w:hAnsiTheme="majorHAnsi"/>
        </w:rPr>
        <w:t xml:space="preserve">participants to </w:t>
      </w:r>
      <w:r w:rsidRPr="00820C89">
        <w:rPr>
          <w:rFonts w:asciiTheme="majorHAnsi" w:hAnsiTheme="majorHAnsi"/>
        </w:rPr>
        <w:t xml:space="preserve">supplement the on-the-job and informal training </w:t>
      </w:r>
      <w:r w:rsidR="00636E33" w:rsidRPr="00820C89">
        <w:rPr>
          <w:rFonts w:asciiTheme="majorHAnsi" w:hAnsiTheme="majorHAnsi"/>
        </w:rPr>
        <w:t>they</w:t>
      </w:r>
      <w:r w:rsidRPr="00820C89">
        <w:rPr>
          <w:rFonts w:asciiTheme="majorHAnsi" w:hAnsiTheme="majorHAnsi"/>
        </w:rPr>
        <w:t xml:space="preserve"> receive.</w:t>
      </w:r>
      <w:r w:rsidR="006D468A" w:rsidRPr="00820C89">
        <w:rPr>
          <w:rFonts w:asciiTheme="majorHAnsi" w:hAnsiTheme="majorHAnsi"/>
        </w:rPr>
        <w:t xml:space="preserve"> This training </w:t>
      </w:r>
      <w:r w:rsidR="00212F64" w:rsidRPr="00820C89">
        <w:rPr>
          <w:rFonts w:asciiTheme="majorHAnsi" w:hAnsiTheme="majorHAnsi"/>
        </w:rPr>
        <w:t xml:space="preserve">is intended to develop practical job-specific skills that </w:t>
      </w:r>
      <w:r w:rsidR="00593588" w:rsidRPr="00820C89">
        <w:rPr>
          <w:rFonts w:asciiTheme="majorHAnsi" w:hAnsiTheme="majorHAnsi"/>
        </w:rPr>
        <w:t>help</w:t>
      </w:r>
      <w:r w:rsidR="00AD3CFE" w:rsidRPr="00820C89">
        <w:rPr>
          <w:rFonts w:asciiTheme="majorHAnsi" w:hAnsiTheme="majorHAnsi"/>
        </w:rPr>
        <w:t>s</w:t>
      </w:r>
      <w:r w:rsidR="00212F64" w:rsidRPr="00820C89">
        <w:rPr>
          <w:rFonts w:asciiTheme="majorHAnsi" w:hAnsiTheme="majorHAnsi"/>
        </w:rPr>
        <w:t xml:space="preserve"> participants gain and maintain employment in a specialised area.</w:t>
      </w:r>
      <w:r w:rsidR="00CB40EA" w:rsidRPr="00820C89">
        <w:rPr>
          <w:rFonts w:asciiTheme="majorHAnsi" w:hAnsiTheme="majorHAnsi"/>
        </w:rPr>
        <w:t xml:space="preserve"> This training </w:t>
      </w:r>
      <w:r w:rsidR="006D468A" w:rsidRPr="00820C89">
        <w:rPr>
          <w:rFonts w:asciiTheme="majorHAnsi" w:hAnsiTheme="majorHAnsi"/>
        </w:rPr>
        <w:t>may either be delivered internally</w:t>
      </w:r>
      <w:r w:rsidR="00CB40EA" w:rsidRPr="00820C89">
        <w:rPr>
          <w:rFonts w:asciiTheme="majorHAnsi" w:hAnsiTheme="majorHAnsi"/>
        </w:rPr>
        <w:t xml:space="preserve"> (i.e. by the provider or partner)</w:t>
      </w:r>
      <w:r w:rsidR="006D468A" w:rsidRPr="00820C89">
        <w:rPr>
          <w:rFonts w:asciiTheme="majorHAnsi" w:hAnsiTheme="majorHAnsi"/>
        </w:rPr>
        <w:t xml:space="preserve"> or by an external Registered Training Organisation (RTO).</w:t>
      </w:r>
      <w:r w:rsidR="005D03C5" w:rsidRPr="00820C89">
        <w:rPr>
          <w:rFonts w:asciiTheme="majorHAnsi" w:hAnsiTheme="majorHAnsi"/>
        </w:rPr>
        <w:t xml:space="preserve"> While there is no data systematically captured on the </w:t>
      </w:r>
      <w:r w:rsidR="00EC2317" w:rsidRPr="00820C89">
        <w:rPr>
          <w:rFonts w:asciiTheme="majorHAnsi" w:hAnsiTheme="majorHAnsi"/>
        </w:rPr>
        <w:t>nature</w:t>
      </w:r>
      <w:r w:rsidR="005D03C5" w:rsidRPr="00820C89">
        <w:rPr>
          <w:rFonts w:asciiTheme="majorHAnsi" w:hAnsiTheme="majorHAnsi"/>
        </w:rPr>
        <w:t xml:space="preserve"> of</w:t>
      </w:r>
      <w:r w:rsidR="00EC2317" w:rsidRPr="00820C89">
        <w:rPr>
          <w:rFonts w:asciiTheme="majorHAnsi" w:hAnsiTheme="majorHAnsi"/>
        </w:rPr>
        <w:t xml:space="preserve"> t</w:t>
      </w:r>
      <w:r w:rsidR="00BA4CC0" w:rsidRPr="00820C89">
        <w:rPr>
          <w:rFonts w:asciiTheme="majorHAnsi" w:hAnsiTheme="majorHAnsi"/>
        </w:rPr>
        <w:t>he</w:t>
      </w:r>
      <w:r w:rsidR="005D03C5" w:rsidRPr="00820C89">
        <w:rPr>
          <w:rFonts w:asciiTheme="majorHAnsi" w:hAnsiTheme="majorHAnsi"/>
        </w:rPr>
        <w:t xml:space="preserve"> qualification</w:t>
      </w:r>
      <w:r w:rsidR="00C83C36" w:rsidRPr="00820C89">
        <w:rPr>
          <w:rFonts w:asciiTheme="majorHAnsi" w:hAnsiTheme="majorHAnsi"/>
        </w:rPr>
        <w:t>s</w:t>
      </w:r>
      <w:r w:rsidR="005D03C5" w:rsidRPr="00820C89">
        <w:rPr>
          <w:rFonts w:asciiTheme="majorHAnsi" w:hAnsiTheme="majorHAnsi"/>
        </w:rPr>
        <w:t xml:space="preserve"> </w:t>
      </w:r>
      <w:r w:rsidR="00EC2317" w:rsidRPr="00820C89">
        <w:rPr>
          <w:rFonts w:asciiTheme="majorHAnsi" w:hAnsiTheme="majorHAnsi"/>
        </w:rPr>
        <w:t xml:space="preserve">that participants gain, </w:t>
      </w:r>
      <w:r w:rsidR="00094182" w:rsidRPr="00820C89">
        <w:rPr>
          <w:rFonts w:asciiTheme="majorHAnsi" w:hAnsiTheme="majorHAnsi"/>
        </w:rPr>
        <w:t>the provider survey suggests that typical qualifications include:</w:t>
      </w:r>
    </w:p>
    <w:p w14:paraId="6C969D1A" w14:textId="77777777" w:rsidR="00B5096A" w:rsidRPr="00820C89" w:rsidRDefault="00B5096A" w:rsidP="00715F70">
      <w:pPr>
        <w:numPr>
          <w:ilvl w:val="0"/>
          <w:numId w:val="33"/>
        </w:numPr>
        <w:contextualSpacing/>
        <w:rPr>
          <w:rFonts w:asciiTheme="majorHAnsi" w:hAnsiTheme="majorHAnsi"/>
        </w:rPr>
      </w:pPr>
      <w:r w:rsidRPr="00820C89">
        <w:rPr>
          <w:rFonts w:asciiTheme="majorHAnsi" w:hAnsiTheme="majorHAnsi"/>
        </w:rPr>
        <w:t>Certificate II or III in Hospitality</w:t>
      </w:r>
    </w:p>
    <w:p w14:paraId="6915DBB0" w14:textId="77777777" w:rsidR="00B5096A" w:rsidRPr="00820C89" w:rsidRDefault="00B5096A" w:rsidP="00715F70">
      <w:pPr>
        <w:numPr>
          <w:ilvl w:val="0"/>
          <w:numId w:val="33"/>
        </w:numPr>
        <w:contextualSpacing/>
        <w:rPr>
          <w:rFonts w:asciiTheme="majorHAnsi" w:hAnsiTheme="majorHAnsi"/>
        </w:rPr>
      </w:pPr>
      <w:r w:rsidRPr="00820C89">
        <w:rPr>
          <w:rFonts w:asciiTheme="majorHAnsi" w:hAnsiTheme="majorHAnsi"/>
        </w:rPr>
        <w:t>Certificate I, II or II in Construction</w:t>
      </w:r>
    </w:p>
    <w:p w14:paraId="0699E8DA" w14:textId="77777777" w:rsidR="00B5096A" w:rsidRPr="00820C89" w:rsidRDefault="00B5096A" w:rsidP="00715F70">
      <w:pPr>
        <w:numPr>
          <w:ilvl w:val="0"/>
          <w:numId w:val="33"/>
        </w:numPr>
        <w:contextualSpacing/>
        <w:rPr>
          <w:rFonts w:asciiTheme="majorHAnsi" w:hAnsiTheme="majorHAnsi"/>
        </w:rPr>
      </w:pPr>
      <w:r w:rsidRPr="00820C89">
        <w:rPr>
          <w:rFonts w:asciiTheme="majorHAnsi" w:hAnsiTheme="majorHAnsi"/>
        </w:rPr>
        <w:t>Certificate III in Early Childhood Education and Care</w:t>
      </w:r>
    </w:p>
    <w:p w14:paraId="5986949D" w14:textId="77777777" w:rsidR="009739B5" w:rsidRPr="00820C89" w:rsidRDefault="00B5096A" w:rsidP="00EB20E4">
      <w:pPr>
        <w:spacing w:before="240"/>
        <w:rPr>
          <w:rFonts w:asciiTheme="majorHAnsi" w:hAnsiTheme="majorHAnsi"/>
        </w:rPr>
      </w:pPr>
      <w:r w:rsidRPr="00820C89">
        <w:rPr>
          <w:rFonts w:asciiTheme="majorHAnsi" w:hAnsiTheme="majorHAnsi"/>
        </w:rPr>
        <w:t>While all</w:t>
      </w:r>
      <w:r w:rsidR="000B7F2C" w:rsidRPr="00820C89">
        <w:rPr>
          <w:rFonts w:asciiTheme="majorHAnsi" w:hAnsiTheme="majorHAnsi"/>
        </w:rPr>
        <w:t xml:space="preserve"> in-scope</w:t>
      </w:r>
      <w:r w:rsidRPr="00820C89">
        <w:rPr>
          <w:rFonts w:asciiTheme="majorHAnsi" w:hAnsiTheme="majorHAnsi"/>
        </w:rPr>
        <w:t xml:space="preserve"> </w:t>
      </w:r>
      <w:r w:rsidR="00410B40" w:rsidRPr="00820C89">
        <w:rPr>
          <w:rFonts w:asciiTheme="majorHAnsi" w:hAnsiTheme="majorHAnsi"/>
        </w:rPr>
        <w:t>sub-programs</w:t>
      </w:r>
      <w:r w:rsidRPr="00820C89">
        <w:rPr>
          <w:rFonts w:asciiTheme="majorHAnsi" w:hAnsiTheme="majorHAnsi"/>
        </w:rPr>
        <w:t xml:space="preserve"> have improved job skills as an objective, </w:t>
      </w:r>
      <w:r w:rsidR="00266FA7" w:rsidRPr="00820C89">
        <w:rPr>
          <w:rFonts w:asciiTheme="majorHAnsi" w:hAnsiTheme="majorHAnsi"/>
        </w:rPr>
        <w:t xml:space="preserve">the </w:t>
      </w:r>
      <w:r w:rsidR="006F2BC2" w:rsidRPr="00820C89">
        <w:rPr>
          <w:rFonts w:asciiTheme="majorHAnsi" w:hAnsiTheme="majorHAnsi"/>
        </w:rPr>
        <w:t xml:space="preserve">differing </w:t>
      </w:r>
      <w:r w:rsidR="000B7F2C" w:rsidRPr="00820C89">
        <w:rPr>
          <w:rFonts w:asciiTheme="majorHAnsi" w:hAnsiTheme="majorHAnsi"/>
        </w:rPr>
        <w:t>program designs</w:t>
      </w:r>
      <w:r w:rsidRPr="00820C89">
        <w:rPr>
          <w:rFonts w:asciiTheme="majorHAnsi" w:hAnsiTheme="majorHAnsi"/>
        </w:rPr>
        <w:t xml:space="preserve"> </w:t>
      </w:r>
      <w:r w:rsidR="002C0B17" w:rsidRPr="00820C89">
        <w:rPr>
          <w:rFonts w:asciiTheme="majorHAnsi" w:hAnsiTheme="majorHAnsi"/>
        </w:rPr>
        <w:t xml:space="preserve">may </w:t>
      </w:r>
      <w:r w:rsidR="000B7F2C" w:rsidRPr="00820C89">
        <w:rPr>
          <w:rFonts w:asciiTheme="majorHAnsi" w:hAnsiTheme="majorHAnsi"/>
        </w:rPr>
        <w:t xml:space="preserve">impact the extent to which they </w:t>
      </w:r>
      <w:r w:rsidRPr="00820C89">
        <w:rPr>
          <w:rFonts w:asciiTheme="majorHAnsi" w:hAnsiTheme="majorHAnsi"/>
        </w:rPr>
        <w:t xml:space="preserve">prioritise </w:t>
      </w:r>
      <w:r w:rsidR="00F91928" w:rsidRPr="00820C89">
        <w:rPr>
          <w:rFonts w:asciiTheme="majorHAnsi" w:hAnsiTheme="majorHAnsi"/>
        </w:rPr>
        <w:t>vocational education and</w:t>
      </w:r>
      <w:r w:rsidRPr="00820C89">
        <w:rPr>
          <w:rFonts w:asciiTheme="majorHAnsi" w:hAnsiTheme="majorHAnsi"/>
        </w:rPr>
        <w:t xml:space="preserve"> training. </w:t>
      </w:r>
      <w:r w:rsidR="00EB20E4" w:rsidRPr="00820C89">
        <w:rPr>
          <w:rFonts w:asciiTheme="majorHAnsi" w:hAnsiTheme="majorHAnsi"/>
        </w:rPr>
        <w:t>However, t</w:t>
      </w:r>
      <w:r w:rsidR="009739B5" w:rsidRPr="00820C89">
        <w:rPr>
          <w:rFonts w:asciiTheme="majorHAnsi" w:hAnsiTheme="majorHAnsi"/>
        </w:rPr>
        <w:t>he provider survey suggests that TAEG providers are similarly likely to offer vocational training to participants as VTEC providers</w:t>
      </w:r>
      <w:r w:rsidR="00F6672F" w:rsidRPr="00820C89">
        <w:rPr>
          <w:rFonts w:asciiTheme="majorHAnsi" w:hAnsiTheme="majorHAnsi"/>
        </w:rPr>
        <w:t xml:space="preserve"> (72% of TAEG participants </w:t>
      </w:r>
      <w:r w:rsidR="003E1A47" w:rsidRPr="00820C89">
        <w:rPr>
          <w:rFonts w:asciiTheme="majorHAnsi" w:hAnsiTheme="majorHAnsi"/>
        </w:rPr>
        <w:t>commence vocational education and training, compared to 76% of VTEC participants)</w:t>
      </w:r>
      <w:r w:rsidR="001C3E93" w:rsidRPr="00820C89">
        <w:rPr>
          <w:rFonts w:asciiTheme="majorHAnsi" w:hAnsiTheme="majorHAnsi"/>
        </w:rPr>
        <w:t xml:space="preserve">, </w:t>
      </w:r>
      <w:r w:rsidR="009739B5" w:rsidRPr="00820C89">
        <w:rPr>
          <w:rFonts w:asciiTheme="majorHAnsi" w:hAnsiTheme="majorHAnsi"/>
        </w:rPr>
        <w:t>and in fact have a higher estimated completion rate</w:t>
      </w:r>
      <w:r w:rsidR="00B5574F" w:rsidRPr="00820C89">
        <w:rPr>
          <w:rFonts w:asciiTheme="majorHAnsi" w:hAnsiTheme="majorHAnsi"/>
        </w:rPr>
        <w:t xml:space="preserve">. </w:t>
      </w:r>
      <w:r w:rsidR="009739B5" w:rsidRPr="00820C89">
        <w:rPr>
          <w:rFonts w:asciiTheme="majorHAnsi" w:hAnsiTheme="majorHAnsi"/>
        </w:rPr>
        <w:t xml:space="preserve">However, the current program data captured by </w:t>
      </w:r>
      <w:r w:rsidR="001B05A7" w:rsidRPr="00820C89">
        <w:rPr>
          <w:rFonts w:asciiTheme="majorHAnsi" w:hAnsiTheme="majorHAnsi"/>
        </w:rPr>
        <w:t xml:space="preserve">the </w:t>
      </w:r>
      <w:r w:rsidR="009739B5" w:rsidRPr="00820C89">
        <w:rPr>
          <w:rFonts w:asciiTheme="majorHAnsi" w:hAnsiTheme="majorHAnsi"/>
        </w:rPr>
        <w:t>NIAA does not systematically record the type of qualifications offered or completion rates, meaning that it is not possible to comment on the degree to which this training aligns with participants’ employment placement.</w:t>
      </w:r>
    </w:p>
    <w:p w14:paraId="1B002554" w14:textId="77777777" w:rsidR="0089527B" w:rsidRPr="00820C89" w:rsidRDefault="0089527B" w:rsidP="0089527B">
      <w:pPr>
        <w:rPr>
          <w:rFonts w:asciiTheme="majorHAnsi" w:hAnsiTheme="majorHAnsi"/>
        </w:rPr>
      </w:pPr>
      <w:r w:rsidRPr="00820C89">
        <w:rPr>
          <w:rFonts w:asciiTheme="majorHAnsi" w:hAnsiTheme="majorHAnsi"/>
        </w:rPr>
        <w:t>In line with program guidelines, VTEC providers have a strong focus on delivering targeted, job-specific training to prepare participants for their employment placement. These providers generally emphasise that they use vocational training strategically to fill qualification gaps, rather than as a generic part of their service offering that is applied to all jobseekers. These stakeholders note that:</w:t>
      </w:r>
    </w:p>
    <w:p w14:paraId="6FA4B645" w14:textId="77777777" w:rsidR="000302B9" w:rsidRPr="00820C89" w:rsidRDefault="0089527B" w:rsidP="003E1A47">
      <w:pPr>
        <w:ind w:left="357"/>
        <w:rPr>
          <w:rFonts w:asciiTheme="majorHAnsi" w:hAnsiTheme="majorHAnsi"/>
          <w:i/>
        </w:rPr>
      </w:pPr>
      <w:r w:rsidRPr="00820C89">
        <w:rPr>
          <w:rFonts w:asciiTheme="majorHAnsi" w:hAnsiTheme="majorHAnsi"/>
          <w:i/>
        </w:rPr>
        <w:t xml:space="preserve">“If we identify any particular participants that do need some upskilling in their qualifications in that training perspective, that’s where we would work together with the training provider in </w:t>
      </w:r>
      <w:r w:rsidRPr="00820C89">
        <w:rPr>
          <w:rFonts w:asciiTheme="majorHAnsi" w:hAnsiTheme="majorHAnsi"/>
          <w:i/>
        </w:rPr>
        <w:lastRenderedPageBreak/>
        <w:t>the community to source suitable training options, whether that’s for individual participants or in a group referral situation.”  (VTEC provider)</w:t>
      </w:r>
    </w:p>
    <w:p w14:paraId="1CF15C18" w14:textId="77777777" w:rsidR="0046090D" w:rsidRPr="00820C89" w:rsidRDefault="008B52B6" w:rsidP="00A311C0">
      <w:pPr>
        <w:pStyle w:val="Heading3"/>
      </w:pPr>
      <w:r w:rsidRPr="00820C89">
        <w:t>Employer training</w:t>
      </w:r>
    </w:p>
    <w:p w14:paraId="7266D544" w14:textId="77777777" w:rsidR="005F31A6" w:rsidRPr="00820C89" w:rsidRDefault="00356329" w:rsidP="005F31A6">
      <w:r w:rsidRPr="00820C89">
        <w:t>Employer training</w:t>
      </w:r>
      <w:r w:rsidR="00816A37" w:rsidRPr="00820C89">
        <w:t xml:space="preserve"> refers to activities that are delivered by VTEC and TAEG providers </w:t>
      </w:r>
      <w:r w:rsidR="00A26905" w:rsidRPr="00820C89">
        <w:t>to enhance t</w:t>
      </w:r>
      <w:r w:rsidR="005F31A6" w:rsidRPr="00820C89">
        <w:t>he cultural capability of the organisations in which participants work.</w:t>
      </w:r>
      <w:r w:rsidR="00AC28AF" w:rsidRPr="00820C89">
        <w:t xml:space="preserve"> </w:t>
      </w:r>
      <w:r w:rsidR="00B05FAE" w:rsidRPr="00820C89">
        <w:t xml:space="preserve">Such trainings are </w:t>
      </w:r>
      <w:r w:rsidR="002106CB" w:rsidRPr="00820C89">
        <w:t>intended to chang</w:t>
      </w:r>
      <w:r w:rsidR="000C685A" w:rsidRPr="00820C89">
        <w:t>e</w:t>
      </w:r>
      <w:r w:rsidR="002106CB" w:rsidRPr="00820C89">
        <w:t xml:space="preserve"> employer attitude</w:t>
      </w:r>
      <w:r w:rsidR="001A1560" w:rsidRPr="00820C89">
        <w:t>s</w:t>
      </w:r>
      <w:r w:rsidR="002106CB" w:rsidRPr="00820C89">
        <w:t xml:space="preserve"> towards Indigenous Australians </w:t>
      </w:r>
      <w:r w:rsidR="004A205B" w:rsidRPr="00820C89">
        <w:t xml:space="preserve">and </w:t>
      </w:r>
      <w:r w:rsidR="002D41CA" w:rsidRPr="00820C89">
        <w:t>their</w:t>
      </w:r>
      <w:r w:rsidR="00422F90" w:rsidRPr="00820C89">
        <w:t xml:space="preserve"> understanding of the unique challenges faced by </w:t>
      </w:r>
      <w:r w:rsidR="00B209FE" w:rsidRPr="00820C89">
        <w:t>these individuals</w:t>
      </w:r>
      <w:r w:rsidR="00422F90" w:rsidRPr="00820C89">
        <w:t xml:space="preserve"> in the workplace.</w:t>
      </w:r>
      <w:r w:rsidR="00AC28AF" w:rsidRPr="00820C89">
        <w:t xml:space="preserve"> </w:t>
      </w:r>
    </w:p>
    <w:p w14:paraId="6E1075A8" w14:textId="77777777" w:rsidR="0095111F" w:rsidRPr="00820C89" w:rsidRDefault="00B87AF3" w:rsidP="00A50792">
      <w:pPr>
        <w:spacing w:after="0"/>
        <w:rPr>
          <w:rFonts w:asciiTheme="majorHAnsi" w:hAnsiTheme="majorHAnsi"/>
        </w:rPr>
      </w:pPr>
      <w:r w:rsidRPr="00820C89">
        <w:rPr>
          <w:rFonts w:asciiTheme="majorHAnsi" w:hAnsiTheme="majorHAnsi"/>
        </w:rPr>
        <w:t xml:space="preserve">VTEC and TAEG providers spend a comparatively small portion of their time </w:t>
      </w:r>
      <w:r w:rsidR="002A3D90" w:rsidRPr="00820C89">
        <w:rPr>
          <w:rFonts w:asciiTheme="majorHAnsi" w:hAnsiTheme="majorHAnsi"/>
        </w:rPr>
        <w:t xml:space="preserve">(20%) </w:t>
      </w:r>
      <w:r w:rsidRPr="00820C89">
        <w:rPr>
          <w:rFonts w:asciiTheme="majorHAnsi" w:hAnsiTheme="majorHAnsi"/>
        </w:rPr>
        <w:t>working directly with employers</w:t>
      </w:r>
      <w:r w:rsidR="00A610E3" w:rsidRPr="00820C89">
        <w:rPr>
          <w:rFonts w:asciiTheme="majorHAnsi" w:hAnsiTheme="majorHAnsi"/>
        </w:rPr>
        <w:t xml:space="preserve"> (Chart 3.</w:t>
      </w:r>
      <w:r w:rsidR="0026485F" w:rsidRPr="00820C89">
        <w:rPr>
          <w:rFonts w:asciiTheme="majorHAnsi" w:hAnsiTheme="majorHAnsi"/>
        </w:rPr>
        <w:t>4</w:t>
      </w:r>
      <w:r w:rsidR="00A610E3" w:rsidRPr="00820C89">
        <w:rPr>
          <w:rFonts w:asciiTheme="majorHAnsi" w:hAnsiTheme="majorHAnsi"/>
        </w:rPr>
        <w:t>).</w:t>
      </w:r>
      <w:r w:rsidR="00A758E7" w:rsidRPr="00820C89">
        <w:rPr>
          <w:rFonts w:asciiTheme="majorHAnsi" w:hAnsiTheme="majorHAnsi"/>
        </w:rPr>
        <w:t xml:space="preserve"> </w:t>
      </w:r>
      <w:r w:rsidR="00A610E3" w:rsidRPr="001D6F02">
        <w:rPr>
          <w:rFonts w:asciiTheme="majorHAnsi" w:hAnsiTheme="majorHAnsi"/>
        </w:rPr>
        <w:t>T</w:t>
      </w:r>
      <w:r w:rsidR="00A758E7" w:rsidRPr="001D6F02">
        <w:rPr>
          <w:rFonts w:asciiTheme="majorHAnsi" w:hAnsiTheme="majorHAnsi"/>
        </w:rPr>
        <w:t xml:space="preserve">his effort appears to be largely focused on </w:t>
      </w:r>
      <w:r w:rsidR="007C3F3B" w:rsidRPr="001D6F02">
        <w:rPr>
          <w:rFonts w:asciiTheme="majorHAnsi" w:hAnsiTheme="majorHAnsi"/>
        </w:rPr>
        <w:t xml:space="preserve">delivering cultural awareness </w:t>
      </w:r>
      <w:r w:rsidR="00A83708" w:rsidRPr="001D6F02">
        <w:rPr>
          <w:rFonts w:asciiTheme="majorHAnsi" w:hAnsiTheme="majorHAnsi"/>
        </w:rPr>
        <w:t>training</w:t>
      </w:r>
      <w:r w:rsidR="00A50792" w:rsidRPr="001D6F02">
        <w:rPr>
          <w:rFonts w:asciiTheme="majorHAnsi" w:hAnsiTheme="majorHAnsi"/>
        </w:rPr>
        <w:t>, with the provider survey suggesting that between 67 to 69 per cent of both TAEG and VTEC providers deliver cultural awareness training to all or most employers they work with</w:t>
      </w:r>
      <w:r w:rsidR="00A83708" w:rsidRPr="001D6F02">
        <w:rPr>
          <w:rFonts w:asciiTheme="majorHAnsi" w:hAnsiTheme="majorHAnsi"/>
        </w:rPr>
        <w:t xml:space="preserve"> (</w:t>
      </w:r>
      <w:r w:rsidR="009C162E" w:rsidRPr="001D6F02">
        <w:rPr>
          <w:rFonts w:asciiTheme="majorHAnsi" w:hAnsiTheme="majorHAnsi"/>
        </w:rPr>
        <w:t>Chart 3.</w:t>
      </w:r>
      <w:r w:rsidR="0026485F" w:rsidRPr="001D6F02">
        <w:rPr>
          <w:rFonts w:asciiTheme="majorHAnsi" w:hAnsiTheme="majorHAnsi"/>
        </w:rPr>
        <w:t>5</w:t>
      </w:r>
      <w:r w:rsidR="009C162E" w:rsidRPr="001D6F02">
        <w:rPr>
          <w:rFonts w:asciiTheme="majorHAnsi" w:hAnsiTheme="majorHAnsi"/>
        </w:rPr>
        <w:t>).</w:t>
      </w:r>
      <w:r w:rsidR="00A50792" w:rsidRPr="00820C89">
        <w:rPr>
          <w:rFonts w:asciiTheme="majorHAnsi" w:hAnsiTheme="majorHAnsi"/>
        </w:rPr>
        <w:t xml:space="preserve"> </w:t>
      </w:r>
      <w:r w:rsidR="0095111F" w:rsidRPr="00820C89">
        <w:rPr>
          <w:rFonts w:asciiTheme="majorHAnsi" w:hAnsiTheme="majorHAnsi"/>
        </w:rPr>
        <w:t>Further, stakeholder consultations with providers reaffirm that providers view the work they do with employers to be of critical importance to ensuring that they successfully employ Indigenous staff.</w:t>
      </w:r>
      <w:r w:rsidR="006F2BC2" w:rsidRPr="00820C89">
        <w:rPr>
          <w:rFonts w:asciiTheme="majorHAnsi" w:hAnsiTheme="majorHAnsi"/>
        </w:rPr>
        <w:br/>
      </w:r>
    </w:p>
    <w:p w14:paraId="087E93DD" w14:textId="77777777" w:rsidR="00063F5B" w:rsidRPr="001D6F02" w:rsidRDefault="00CD1736" w:rsidP="0095111F">
      <w:pPr>
        <w:pStyle w:val="CaptionChart"/>
        <w:rPr>
          <w:rFonts w:asciiTheme="majorHAnsi" w:hAnsiTheme="majorHAnsi"/>
        </w:rPr>
      </w:pPr>
      <w:r w:rsidRPr="001D6F02">
        <w:rPr>
          <w:rFonts w:asciiTheme="majorHAnsi" w:hAnsiTheme="majorHAnsi"/>
        </w:rPr>
        <w:t xml:space="preserve">: Share of provider effort, by activity type </w:t>
      </w:r>
    </w:p>
    <w:p w14:paraId="7AFB3310" w14:textId="77777777" w:rsidR="00063F5B" w:rsidRPr="00820C89" w:rsidRDefault="00063F5B" w:rsidP="0095111F">
      <w:pPr>
        <w:rPr>
          <w:rFonts w:asciiTheme="majorHAnsi" w:hAnsiTheme="majorHAnsi"/>
        </w:rPr>
      </w:pPr>
      <w:r w:rsidRPr="00820C89">
        <w:rPr>
          <w:rFonts w:asciiTheme="majorHAnsi" w:hAnsiTheme="majorHAnsi"/>
          <w:noProof/>
          <w:lang w:eastAsia="en-AU"/>
        </w:rPr>
        <w:drawing>
          <wp:inline distT="0" distB="0" distL="0" distR="0" wp14:anchorId="20DE32BE" wp14:editId="77CD447E">
            <wp:extent cx="5731510" cy="2552700"/>
            <wp:effectExtent l="0" t="0" r="2540" b="0"/>
            <wp:docPr id="33" name="Chart 33" descr="The chart shows, by percentage, where VTEC and TAEG providers spend the bulk of their effort. On avergae, 48 per cent spend their time working directly with program participants; 20 per cent working with employers; 15 per cent for program administration and reporting; 8 per cent working with community organisations or leaders and the remaining 2 per cent on other activities." title=" .">
              <a:extLst xmlns:a="http://schemas.openxmlformats.org/drawingml/2006/main">
                <a:ext uri="{FF2B5EF4-FFF2-40B4-BE49-F238E27FC236}">
                  <a16:creationId xmlns:a16="http://schemas.microsoft.com/office/drawing/2014/main" id="{83BDEDBD-ACAC-4850-83E2-FD5733ABE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E2EC58" w14:textId="77777777" w:rsidR="00180C0A" w:rsidRPr="00820C89" w:rsidRDefault="00180C0A" w:rsidP="0095111F">
      <w:pPr>
        <w:rPr>
          <w:rFonts w:asciiTheme="majorHAnsi" w:hAnsiTheme="majorHAnsi"/>
        </w:rPr>
      </w:pPr>
      <w:r w:rsidRPr="00820C89">
        <w:rPr>
          <w:rFonts w:asciiTheme="majorHAnsi" w:hAnsiTheme="majorHAnsi"/>
          <w:color w:val="75787B" w:themeColor="accent6"/>
          <w:sz w:val="14"/>
        </w:rPr>
        <w:t>Source: Provider Survey (2020).</w:t>
      </w:r>
    </w:p>
    <w:p w14:paraId="4991A570" w14:textId="77777777" w:rsidR="0095111F" w:rsidRPr="001D6F02" w:rsidRDefault="0095111F" w:rsidP="0095111F">
      <w:pPr>
        <w:pStyle w:val="CaptionChart"/>
        <w:rPr>
          <w:rFonts w:asciiTheme="majorHAnsi" w:hAnsiTheme="majorHAnsi"/>
        </w:rPr>
      </w:pPr>
      <w:bookmarkStart w:id="77" w:name="_Ref56702531"/>
      <w:r w:rsidRPr="001D6F02">
        <w:rPr>
          <w:rFonts w:asciiTheme="majorHAnsi" w:hAnsiTheme="majorHAnsi"/>
        </w:rPr>
        <w:t>: Level of employer participation in provider cultural awareness training, by program</w:t>
      </w:r>
      <w:bookmarkEnd w:id="77"/>
      <w:r w:rsidRPr="001D6F02">
        <w:rPr>
          <w:rFonts w:asciiTheme="majorHAnsi" w:hAnsiTheme="majorHAnsi"/>
        </w:rPr>
        <w:t xml:space="preserve"> </w:t>
      </w:r>
    </w:p>
    <w:p w14:paraId="73849FBD" w14:textId="77777777" w:rsidR="0095111F" w:rsidRPr="00820C89" w:rsidRDefault="0095111F" w:rsidP="0095111F">
      <w:pPr>
        <w:rPr>
          <w:rFonts w:asciiTheme="majorHAnsi" w:hAnsiTheme="majorHAnsi"/>
        </w:rPr>
      </w:pPr>
      <w:r w:rsidRPr="00820C89">
        <w:rPr>
          <w:noProof/>
          <w:lang w:eastAsia="en-AU"/>
        </w:rPr>
        <w:drawing>
          <wp:inline distT="0" distB="0" distL="0" distR="0" wp14:anchorId="3D9D36EE" wp14:editId="54964D28">
            <wp:extent cx="4596766" cy="2139950"/>
            <wp:effectExtent l="0" t="0" r="0" b="0"/>
            <wp:docPr id="1489793657" name="Picture 1489793657"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793657"/>
                    <pic:cNvPicPr/>
                  </pic:nvPicPr>
                  <pic:blipFill>
                    <a:blip r:embed="rId34">
                      <a:extLst>
                        <a:ext uri="{28A0092B-C50C-407E-A947-70E740481C1C}">
                          <a14:useLocalDpi xmlns:a14="http://schemas.microsoft.com/office/drawing/2010/main" val="0"/>
                        </a:ext>
                      </a:extLst>
                    </a:blip>
                    <a:stretch>
                      <a:fillRect/>
                    </a:stretch>
                  </pic:blipFill>
                  <pic:spPr>
                    <a:xfrm>
                      <a:off x="0" y="0"/>
                      <a:ext cx="4596766" cy="2139950"/>
                    </a:xfrm>
                    <a:prstGeom prst="rect">
                      <a:avLst/>
                    </a:prstGeom>
                  </pic:spPr>
                </pic:pic>
              </a:graphicData>
            </a:graphic>
          </wp:inline>
        </w:drawing>
      </w:r>
    </w:p>
    <w:p w14:paraId="41F0FEA3" w14:textId="77777777" w:rsidR="0095111F" w:rsidRPr="00820C89" w:rsidRDefault="0095111F" w:rsidP="0095111F">
      <w:pPr>
        <w:rPr>
          <w:rFonts w:asciiTheme="majorHAnsi" w:hAnsiTheme="majorHAnsi"/>
        </w:rPr>
      </w:pPr>
      <w:r w:rsidRPr="00820C89">
        <w:rPr>
          <w:rFonts w:asciiTheme="majorHAnsi" w:hAnsiTheme="majorHAnsi"/>
          <w:color w:val="75787B" w:themeColor="accent6"/>
          <w:sz w:val="14"/>
        </w:rPr>
        <w:t>Source: Provider Survey (2020).</w:t>
      </w:r>
    </w:p>
    <w:p w14:paraId="5565791F" w14:textId="77777777" w:rsidR="00440A24" w:rsidRPr="00820C89" w:rsidRDefault="00440A24" w:rsidP="00440A24">
      <w:pPr>
        <w:pStyle w:val="Heading2"/>
      </w:pPr>
      <w:bookmarkStart w:id="78" w:name="_Toc82710777"/>
      <w:bookmarkStart w:id="79" w:name="_Toc101343292"/>
      <w:r w:rsidRPr="00820C89">
        <w:lastRenderedPageBreak/>
        <w:t>Participant profile</w:t>
      </w:r>
      <w:bookmarkEnd w:id="78"/>
      <w:bookmarkEnd w:id="79"/>
    </w:p>
    <w:p w14:paraId="30E48629" w14:textId="77777777" w:rsidR="00575639" w:rsidRPr="001D6F02" w:rsidRDefault="00575639" w:rsidP="00575639">
      <w:pPr>
        <w:rPr>
          <w:rFonts w:asciiTheme="majorHAnsi" w:hAnsiTheme="majorHAnsi"/>
        </w:rPr>
      </w:pPr>
      <w:r w:rsidRPr="001D6F02">
        <w:rPr>
          <w:rFonts w:asciiTheme="majorHAnsi" w:hAnsiTheme="majorHAnsi"/>
        </w:rPr>
        <w:t>As shown in Chart</w:t>
      </w:r>
      <w:r w:rsidR="000750D5" w:rsidRPr="001D6F02">
        <w:rPr>
          <w:rFonts w:asciiTheme="majorHAnsi" w:hAnsiTheme="majorHAnsi"/>
        </w:rPr>
        <w:t xml:space="preserve"> 3.6</w:t>
      </w:r>
      <w:r w:rsidRPr="001D6F02">
        <w:rPr>
          <w:rFonts w:asciiTheme="majorHAnsi" w:hAnsiTheme="majorHAnsi"/>
        </w:rPr>
        <w:t xml:space="preserve">, </w:t>
      </w:r>
      <w:r w:rsidR="007351F0" w:rsidRPr="001D6F02">
        <w:rPr>
          <w:rFonts w:asciiTheme="majorHAnsi" w:hAnsiTheme="majorHAnsi"/>
        </w:rPr>
        <w:t xml:space="preserve">employment commencements in the </w:t>
      </w:r>
      <w:r w:rsidRPr="001D6F02">
        <w:rPr>
          <w:rFonts w:asciiTheme="majorHAnsi" w:hAnsiTheme="majorHAnsi"/>
        </w:rPr>
        <w:t xml:space="preserve">IEP </w:t>
      </w:r>
      <w:r w:rsidR="001B482B" w:rsidRPr="001D6F02">
        <w:rPr>
          <w:rFonts w:asciiTheme="majorHAnsi" w:hAnsiTheme="majorHAnsi"/>
        </w:rPr>
        <w:t xml:space="preserve">have </w:t>
      </w:r>
      <w:r w:rsidRPr="001D6F02">
        <w:rPr>
          <w:rFonts w:asciiTheme="majorHAnsi" w:hAnsiTheme="majorHAnsi"/>
        </w:rPr>
        <w:t>fluctuated significantly over time.</w:t>
      </w:r>
      <w:r w:rsidRPr="001D6F02">
        <w:rPr>
          <w:rFonts w:asciiTheme="majorHAnsi" w:hAnsiTheme="majorHAnsi"/>
          <w:b/>
        </w:rPr>
        <w:t xml:space="preserve"> </w:t>
      </w:r>
      <w:r w:rsidRPr="001D6F02">
        <w:rPr>
          <w:rFonts w:asciiTheme="majorHAnsi" w:hAnsiTheme="majorHAnsi"/>
        </w:rPr>
        <w:t xml:space="preserve">Total </w:t>
      </w:r>
      <w:r w:rsidR="00E111AE" w:rsidRPr="001D6F02">
        <w:rPr>
          <w:rFonts w:asciiTheme="majorHAnsi" w:hAnsiTheme="majorHAnsi"/>
        </w:rPr>
        <w:t xml:space="preserve">monthly commencements </w:t>
      </w:r>
      <w:r w:rsidRPr="001D6F02">
        <w:rPr>
          <w:rFonts w:asciiTheme="majorHAnsi" w:hAnsiTheme="majorHAnsi"/>
        </w:rPr>
        <w:t xml:space="preserve">peaked in October 2017 at </w:t>
      </w:r>
      <w:r w:rsidR="00F37F84" w:rsidRPr="001D6F02">
        <w:rPr>
          <w:rFonts w:asciiTheme="majorHAnsi" w:hAnsiTheme="majorHAnsi"/>
        </w:rPr>
        <w:t xml:space="preserve">726 </w:t>
      </w:r>
      <w:r w:rsidRPr="001D6F02">
        <w:rPr>
          <w:rFonts w:asciiTheme="majorHAnsi" w:hAnsiTheme="majorHAnsi"/>
        </w:rPr>
        <w:t xml:space="preserve">and have trended downwards since, to approximately </w:t>
      </w:r>
      <w:r w:rsidR="00CF3BB1" w:rsidRPr="001D6F02">
        <w:rPr>
          <w:rFonts w:asciiTheme="majorHAnsi" w:hAnsiTheme="majorHAnsi"/>
        </w:rPr>
        <w:t xml:space="preserve">430 </w:t>
      </w:r>
      <w:r w:rsidRPr="001D6F02">
        <w:rPr>
          <w:rFonts w:asciiTheme="majorHAnsi" w:hAnsiTheme="majorHAnsi"/>
        </w:rPr>
        <w:t xml:space="preserve">in the second half of 2019. Since program inception, VTEC commencements have consistently decreased, potentially reflecting the introduction of the other </w:t>
      </w:r>
      <w:r w:rsidR="008E4EFF" w:rsidRPr="001D6F02">
        <w:rPr>
          <w:rFonts w:asciiTheme="majorHAnsi" w:hAnsiTheme="majorHAnsi"/>
        </w:rPr>
        <w:t xml:space="preserve">Indigenous employment programs </w:t>
      </w:r>
      <w:r w:rsidRPr="001D6F02">
        <w:rPr>
          <w:rFonts w:asciiTheme="majorHAnsi" w:hAnsiTheme="majorHAnsi"/>
        </w:rPr>
        <w:t>capturing part of the market for Indigenous jobseekers or changes to the VTEC provider eligibility criteria.</w:t>
      </w:r>
    </w:p>
    <w:p w14:paraId="49FB9BF3" w14:textId="77777777" w:rsidR="00575639" w:rsidRPr="001D6F02" w:rsidRDefault="00575639" w:rsidP="00575639">
      <w:pPr>
        <w:pStyle w:val="CaptionChart"/>
        <w:rPr>
          <w:rFonts w:asciiTheme="majorHAnsi" w:hAnsiTheme="majorHAnsi"/>
        </w:rPr>
      </w:pPr>
      <w:r w:rsidRPr="001D6F02">
        <w:rPr>
          <w:rFonts w:asciiTheme="majorHAnsi" w:hAnsiTheme="majorHAnsi"/>
        </w:rPr>
        <w:t xml:space="preserve">: Time-series of monthly </w:t>
      </w:r>
      <w:r w:rsidR="00D7331C" w:rsidRPr="001D6F02">
        <w:rPr>
          <w:rFonts w:asciiTheme="majorHAnsi" w:hAnsiTheme="majorHAnsi"/>
        </w:rPr>
        <w:t>employment commencements</w:t>
      </w:r>
      <w:r w:rsidRPr="001D6F02">
        <w:rPr>
          <w:rFonts w:asciiTheme="majorHAnsi" w:hAnsiTheme="majorHAnsi"/>
        </w:rPr>
        <w:t>, by program</w:t>
      </w:r>
    </w:p>
    <w:p w14:paraId="549A96F0" w14:textId="77777777" w:rsidR="00575639" w:rsidRPr="00820C89" w:rsidRDefault="003160B7" w:rsidP="00575639">
      <w:pPr>
        <w:rPr>
          <w:rFonts w:asciiTheme="majorHAnsi" w:hAnsiTheme="majorHAnsi"/>
        </w:rPr>
      </w:pPr>
      <w:r w:rsidRPr="00820C89">
        <w:rPr>
          <w:noProof/>
          <w:lang w:eastAsia="en-AU"/>
        </w:rPr>
        <w:drawing>
          <wp:inline distT="0" distB="0" distL="0" distR="0" wp14:anchorId="6A757774" wp14:editId="13F4B886">
            <wp:extent cx="5153024" cy="2290968"/>
            <wp:effectExtent l="0" t="0" r="0" b="0"/>
            <wp:docPr id="44" name="Picture 44"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5">
                      <a:extLst>
                        <a:ext uri="{28A0092B-C50C-407E-A947-70E740481C1C}">
                          <a14:useLocalDpi xmlns:a14="http://schemas.microsoft.com/office/drawing/2010/main" val="0"/>
                        </a:ext>
                      </a:extLst>
                    </a:blip>
                    <a:stretch>
                      <a:fillRect/>
                    </a:stretch>
                  </pic:blipFill>
                  <pic:spPr>
                    <a:xfrm>
                      <a:off x="0" y="0"/>
                      <a:ext cx="5153024" cy="2290968"/>
                    </a:xfrm>
                    <a:prstGeom prst="rect">
                      <a:avLst/>
                    </a:prstGeom>
                  </pic:spPr>
                </pic:pic>
              </a:graphicData>
            </a:graphic>
          </wp:inline>
        </w:drawing>
      </w:r>
    </w:p>
    <w:p w14:paraId="499D50F9" w14:textId="77777777" w:rsidR="00575639" w:rsidRPr="00820C89" w:rsidRDefault="00575639" w:rsidP="00575639">
      <w:pPr>
        <w:pStyle w:val="Source"/>
        <w:rPr>
          <w:rFonts w:asciiTheme="majorHAnsi" w:hAnsiTheme="majorHAnsi"/>
        </w:rPr>
      </w:pPr>
      <w:r w:rsidRPr="00820C89">
        <w:rPr>
          <w:rFonts w:asciiTheme="majorHAnsi" w:hAnsiTheme="majorHAnsi"/>
        </w:rPr>
        <w:t>Source: NIAA Program Data (2014-2019). Note: ‘Monthly participation’ includes both training and employment commencements.</w:t>
      </w:r>
    </w:p>
    <w:p w14:paraId="33384DDA" w14:textId="77777777" w:rsidR="00575639" w:rsidRPr="001D6F02" w:rsidRDefault="00575639" w:rsidP="00575639">
      <w:pPr>
        <w:rPr>
          <w:rFonts w:asciiTheme="majorHAnsi" w:hAnsiTheme="majorHAnsi"/>
        </w:rPr>
      </w:pPr>
      <w:r w:rsidRPr="00820C89">
        <w:rPr>
          <w:rFonts w:asciiTheme="majorHAnsi" w:hAnsiTheme="majorHAnsi"/>
        </w:rPr>
        <w:t xml:space="preserve">The IEP participant population is overrepresented in younger age groups compared to the general unemployed Indigenous population. </w:t>
      </w:r>
      <w:r w:rsidRPr="001D6F02">
        <w:rPr>
          <w:rFonts w:asciiTheme="majorHAnsi" w:hAnsiTheme="majorHAnsi"/>
        </w:rPr>
        <w:t xml:space="preserve">As shown in Chart </w:t>
      </w:r>
      <w:r w:rsidR="00E30359" w:rsidRPr="001D6F02">
        <w:rPr>
          <w:rFonts w:asciiTheme="majorHAnsi" w:hAnsiTheme="majorHAnsi"/>
        </w:rPr>
        <w:t>3.7</w:t>
      </w:r>
      <w:r w:rsidRPr="001D6F02">
        <w:rPr>
          <w:rFonts w:asciiTheme="majorHAnsi" w:hAnsiTheme="majorHAnsi"/>
        </w:rPr>
        <w:t xml:space="preserve"> below, approximately 2</w:t>
      </w:r>
      <w:r w:rsidR="009B2A5E" w:rsidRPr="001D6F02">
        <w:rPr>
          <w:rFonts w:asciiTheme="majorHAnsi" w:hAnsiTheme="majorHAnsi"/>
        </w:rPr>
        <w:t>6</w:t>
      </w:r>
      <w:r w:rsidRPr="001D6F02">
        <w:rPr>
          <w:rFonts w:asciiTheme="majorHAnsi" w:hAnsiTheme="majorHAnsi"/>
        </w:rPr>
        <w:t xml:space="preserve"> per cent of IEP participants are between the age of 20 and 24 years old, compared to 21 per cent in the broader unemployed Indigenous population and 17 per cent in the unemployed Australian population. </w:t>
      </w:r>
      <w:r w:rsidRPr="001D6F02">
        <w:rPr>
          <w:rFonts w:asciiTheme="majorHAnsi" w:hAnsiTheme="majorHAnsi"/>
          <w:b/>
        </w:rPr>
        <w:t xml:space="preserve"> </w:t>
      </w:r>
      <w:r w:rsidRPr="001D6F02">
        <w:rPr>
          <w:rFonts w:asciiTheme="majorHAnsi" w:hAnsiTheme="majorHAnsi"/>
        </w:rPr>
        <w:t xml:space="preserve"> </w:t>
      </w:r>
    </w:p>
    <w:p w14:paraId="120F8588" w14:textId="77777777" w:rsidR="00575639" w:rsidRPr="001D6F02" w:rsidRDefault="00575639" w:rsidP="00575639">
      <w:pPr>
        <w:pStyle w:val="CaptionChart"/>
        <w:rPr>
          <w:rFonts w:asciiTheme="majorHAnsi" w:hAnsiTheme="majorHAnsi"/>
        </w:rPr>
      </w:pPr>
      <w:r w:rsidRPr="001D6F02">
        <w:rPr>
          <w:rFonts w:asciiTheme="majorHAnsi" w:hAnsiTheme="majorHAnsi"/>
        </w:rPr>
        <w:t>: Distribution of participants age, by program</w:t>
      </w:r>
    </w:p>
    <w:p w14:paraId="78826401" w14:textId="77777777" w:rsidR="00575639" w:rsidRPr="00820C89" w:rsidRDefault="00EA73A2" w:rsidP="00EA73A2">
      <w:pPr>
        <w:rPr>
          <w:rFonts w:asciiTheme="majorHAnsi" w:hAnsiTheme="majorHAnsi"/>
        </w:rPr>
      </w:pPr>
      <w:r w:rsidRPr="00820C89">
        <w:rPr>
          <w:noProof/>
          <w:lang w:eastAsia="en-AU"/>
        </w:rPr>
        <w:drawing>
          <wp:inline distT="0" distB="0" distL="0" distR="0" wp14:anchorId="0CD9AC45" wp14:editId="7B4EC37B">
            <wp:extent cx="5426077" cy="2816860"/>
            <wp:effectExtent l="0" t="0" r="3175" b="2540"/>
            <wp:docPr id="60" name="Picture 60"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6">
                      <a:extLst>
                        <a:ext uri="{28A0092B-C50C-407E-A947-70E740481C1C}">
                          <a14:useLocalDpi xmlns:a14="http://schemas.microsoft.com/office/drawing/2010/main" val="0"/>
                        </a:ext>
                      </a:extLst>
                    </a:blip>
                    <a:stretch>
                      <a:fillRect/>
                    </a:stretch>
                  </pic:blipFill>
                  <pic:spPr>
                    <a:xfrm>
                      <a:off x="0" y="0"/>
                      <a:ext cx="5426077" cy="2816860"/>
                    </a:xfrm>
                    <a:prstGeom prst="rect">
                      <a:avLst/>
                    </a:prstGeom>
                  </pic:spPr>
                </pic:pic>
              </a:graphicData>
            </a:graphic>
          </wp:inline>
        </w:drawing>
      </w:r>
    </w:p>
    <w:p w14:paraId="3D438402" w14:textId="77777777" w:rsidR="00575639" w:rsidRPr="00820C89" w:rsidRDefault="00575639" w:rsidP="00575639">
      <w:pPr>
        <w:pStyle w:val="Source"/>
        <w:rPr>
          <w:rFonts w:asciiTheme="majorHAnsi" w:hAnsiTheme="majorHAnsi"/>
        </w:rPr>
      </w:pPr>
      <w:r w:rsidRPr="00820C89">
        <w:rPr>
          <w:rFonts w:asciiTheme="majorHAnsi" w:hAnsiTheme="majorHAnsi"/>
        </w:rPr>
        <w:t>Source: NIAA Program Data (2014-2019)</w:t>
      </w:r>
      <w:r w:rsidR="00E011FF" w:rsidRPr="00820C89">
        <w:rPr>
          <w:rFonts w:asciiTheme="majorHAnsi" w:hAnsiTheme="majorHAnsi"/>
        </w:rPr>
        <w:t xml:space="preserve">, ABS </w:t>
      </w:r>
      <w:r w:rsidR="00820AB6" w:rsidRPr="00820C89">
        <w:rPr>
          <w:rFonts w:asciiTheme="majorHAnsi" w:hAnsiTheme="majorHAnsi"/>
        </w:rPr>
        <w:t>Census of Population and housing (2016).</w:t>
      </w:r>
      <w:r w:rsidRPr="00820C89">
        <w:rPr>
          <w:rFonts w:asciiTheme="majorHAnsi" w:hAnsiTheme="majorHAnsi"/>
        </w:rPr>
        <w:t xml:space="preserve"> Note: This analysis includes all IEP participants listed in the program data, including those who do not commence employment.</w:t>
      </w:r>
    </w:p>
    <w:p w14:paraId="622C0E20" w14:textId="77777777" w:rsidR="00575639" w:rsidRPr="00820C89" w:rsidRDefault="00575639" w:rsidP="00575639">
      <w:pPr>
        <w:rPr>
          <w:rFonts w:asciiTheme="majorHAnsi" w:hAnsiTheme="majorHAnsi"/>
        </w:rPr>
      </w:pPr>
      <w:r w:rsidRPr="00820C89">
        <w:rPr>
          <w:rFonts w:asciiTheme="majorHAnsi" w:hAnsiTheme="majorHAnsi"/>
        </w:rPr>
        <w:lastRenderedPageBreak/>
        <w:t>The EPI participant pool is heavily skewed towards metropolitan-based candidates, whereas VTEC and TAEG have greater numbers of regional and remote program participants (Chart 3</w:t>
      </w:r>
      <w:r w:rsidR="00E30359" w:rsidRPr="00820C89">
        <w:rPr>
          <w:rFonts w:asciiTheme="majorHAnsi" w:hAnsiTheme="majorHAnsi"/>
        </w:rPr>
        <w:t>.8</w:t>
      </w:r>
      <w:r w:rsidRPr="00820C89">
        <w:rPr>
          <w:rFonts w:asciiTheme="majorHAnsi" w:hAnsiTheme="majorHAnsi"/>
        </w:rPr>
        <w:t>).</w:t>
      </w:r>
    </w:p>
    <w:p w14:paraId="4F26D3D1" w14:textId="77777777" w:rsidR="00575639" w:rsidRPr="00820C89" w:rsidRDefault="00575639" w:rsidP="00575639">
      <w:pPr>
        <w:pStyle w:val="CaptionChart"/>
        <w:rPr>
          <w:rFonts w:asciiTheme="majorHAnsi" w:hAnsiTheme="majorHAnsi"/>
        </w:rPr>
      </w:pPr>
      <w:r w:rsidRPr="00820C89">
        <w:rPr>
          <w:rFonts w:asciiTheme="majorHAnsi" w:hAnsiTheme="majorHAnsi"/>
        </w:rPr>
        <w:t>: Participant remoteness, by program</w:t>
      </w:r>
    </w:p>
    <w:p w14:paraId="1F98CBE0" w14:textId="77777777" w:rsidR="00575639" w:rsidRPr="00820C89" w:rsidRDefault="00097D80" w:rsidP="00575639">
      <w:pPr>
        <w:rPr>
          <w:rFonts w:asciiTheme="majorHAnsi" w:hAnsiTheme="majorHAnsi"/>
        </w:rPr>
      </w:pPr>
      <w:r w:rsidRPr="00820C89">
        <w:rPr>
          <w:noProof/>
          <w:lang w:eastAsia="en-AU"/>
        </w:rPr>
        <w:drawing>
          <wp:inline distT="0" distB="0" distL="0" distR="0" wp14:anchorId="7C679999" wp14:editId="5613F00B">
            <wp:extent cx="5524500" cy="2790825"/>
            <wp:effectExtent l="0" t="0" r="0" b="9525"/>
            <wp:docPr id="61" name="Chart 61" descr=" " title=" .">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D206C6" w14:textId="77777777" w:rsidR="00575639" w:rsidRPr="00820C89" w:rsidRDefault="00575639" w:rsidP="00575639">
      <w:pPr>
        <w:pStyle w:val="Source"/>
        <w:rPr>
          <w:rFonts w:asciiTheme="majorHAnsi" w:hAnsiTheme="majorHAnsi"/>
        </w:rPr>
      </w:pPr>
      <w:r w:rsidRPr="00820C89">
        <w:rPr>
          <w:rFonts w:asciiTheme="majorHAnsi" w:hAnsiTheme="majorHAnsi"/>
        </w:rPr>
        <w:t>Source: NIAA Program Data (2014-2019). Note: This analysis includes all IEP participants listed in the program data, including those who do not commence employment.</w:t>
      </w:r>
    </w:p>
    <w:p w14:paraId="6B5AAED2" w14:textId="77777777" w:rsidR="00575639" w:rsidRPr="00820C89" w:rsidRDefault="00575639" w:rsidP="00575639">
      <w:pPr>
        <w:rPr>
          <w:rFonts w:asciiTheme="majorHAnsi" w:hAnsiTheme="majorHAnsi"/>
          <w:b/>
        </w:rPr>
      </w:pPr>
      <w:r w:rsidRPr="00820C89">
        <w:rPr>
          <w:rFonts w:asciiTheme="majorHAnsi" w:hAnsiTheme="majorHAnsi"/>
        </w:rPr>
        <w:t xml:space="preserve">Over time, the proportion of participants in remote areas has decreased significantly (Chart </w:t>
      </w:r>
      <w:r w:rsidR="00E30359" w:rsidRPr="00820C89">
        <w:rPr>
          <w:rFonts w:asciiTheme="majorHAnsi" w:hAnsiTheme="majorHAnsi"/>
        </w:rPr>
        <w:t>3.9)</w:t>
      </w:r>
      <w:r w:rsidRPr="00820C89">
        <w:rPr>
          <w:rFonts w:asciiTheme="majorHAnsi" w:hAnsiTheme="majorHAnsi"/>
        </w:rPr>
        <w:t xml:space="preserve">. This is partially explained by the introduction of EPI which has a large representation of metropolitan participants (as shown above). However, even within the TAEG and VTEC programs the share of remote participants has consistently decreased. </w:t>
      </w:r>
      <w:r w:rsidR="00024748" w:rsidRPr="00820C89">
        <w:rPr>
          <w:rFonts w:asciiTheme="majorHAnsi" w:hAnsiTheme="majorHAnsi"/>
        </w:rPr>
        <w:t xml:space="preserve">While the exact drivers of this change cannot be conclusively determined, it is possible that this reflects the fact that it is easier for providers to work with participants in metropolitan areas, given the relative abundance of potential employers and other support services. </w:t>
      </w:r>
    </w:p>
    <w:p w14:paraId="10F1A6C7" w14:textId="77777777" w:rsidR="00575639" w:rsidRPr="00820C89" w:rsidRDefault="00575639" w:rsidP="00575639">
      <w:pPr>
        <w:pStyle w:val="CaptionChart"/>
        <w:rPr>
          <w:rFonts w:asciiTheme="majorHAnsi" w:hAnsiTheme="majorHAnsi"/>
        </w:rPr>
      </w:pPr>
      <w:r w:rsidRPr="00820C89">
        <w:rPr>
          <w:rFonts w:asciiTheme="majorHAnsi" w:hAnsiTheme="majorHAnsi"/>
        </w:rPr>
        <w:t>: Time-series of participant remoteness, by program</w:t>
      </w:r>
    </w:p>
    <w:p w14:paraId="2197D6C5" w14:textId="77777777" w:rsidR="00575639" w:rsidRPr="00820C89" w:rsidRDefault="00CD25D5" w:rsidP="00575639">
      <w:pPr>
        <w:rPr>
          <w:rFonts w:asciiTheme="majorHAnsi" w:hAnsiTheme="majorHAnsi"/>
        </w:rPr>
      </w:pPr>
      <w:r w:rsidRPr="00820C89">
        <w:rPr>
          <w:noProof/>
          <w:lang w:eastAsia="en-AU"/>
        </w:rPr>
        <w:drawing>
          <wp:inline distT="0" distB="0" distL="0" distR="0" wp14:anchorId="19D24BE0" wp14:editId="76E31D63">
            <wp:extent cx="5210175" cy="2971800"/>
            <wp:effectExtent l="0" t="0" r="9525" b="0"/>
            <wp:docPr id="62" name="Chart 62" descr=" " title=" .">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916F910" w14:textId="77777777" w:rsidR="00575639" w:rsidRPr="00820C89" w:rsidRDefault="00575639" w:rsidP="002B70A6">
      <w:pPr>
        <w:pStyle w:val="Source"/>
      </w:pPr>
      <w:r w:rsidRPr="00820C89">
        <w:rPr>
          <w:rFonts w:asciiTheme="majorHAnsi" w:hAnsiTheme="majorHAnsi"/>
        </w:rPr>
        <w:t>Source: NIAA Program Data (2014-2019). Note: This analysis includes all IEP participants listed in the program data, including those who do not commence employment.</w:t>
      </w:r>
    </w:p>
    <w:p w14:paraId="615DCF2D" w14:textId="77777777" w:rsidR="00A30088" w:rsidRPr="00820C89" w:rsidRDefault="00A23B77" w:rsidP="00A30088">
      <w:pPr>
        <w:pStyle w:val="Heading2"/>
      </w:pPr>
      <w:bookmarkStart w:id="80" w:name="_Toc82710778"/>
      <w:bookmarkStart w:id="81" w:name="_Toc101343293"/>
      <w:r w:rsidRPr="00820C89">
        <w:lastRenderedPageBreak/>
        <w:t>Provider and EPI partner profile</w:t>
      </w:r>
      <w:bookmarkEnd w:id="80"/>
      <w:bookmarkEnd w:id="81"/>
    </w:p>
    <w:p w14:paraId="66E1CE8E" w14:textId="77777777" w:rsidR="000337F8" w:rsidRPr="001D6F02" w:rsidRDefault="000337F8" w:rsidP="000337F8">
      <w:pPr>
        <w:rPr>
          <w:rFonts w:asciiTheme="majorHAnsi" w:hAnsiTheme="majorHAnsi"/>
        </w:rPr>
      </w:pPr>
      <w:r w:rsidRPr="001D6F02">
        <w:rPr>
          <w:rFonts w:asciiTheme="majorHAnsi" w:hAnsiTheme="majorHAnsi"/>
        </w:rPr>
        <w:t xml:space="preserve">The VTEC provider landscape is comprised of a smaller number of larger, more tenured providers than the TAEG program (Table </w:t>
      </w:r>
      <w:r w:rsidR="00A540A0" w:rsidRPr="001D6F02">
        <w:rPr>
          <w:rFonts w:asciiTheme="majorHAnsi" w:hAnsiTheme="majorHAnsi"/>
        </w:rPr>
        <w:t>3.10</w:t>
      </w:r>
      <w:r w:rsidRPr="001D6F02">
        <w:rPr>
          <w:rFonts w:asciiTheme="majorHAnsi" w:hAnsiTheme="majorHAnsi"/>
        </w:rPr>
        <w:t xml:space="preserve">). In addition, the provider survey suggests that VTEC providers generally have a higher share of Indigenous staff (likely a reflection of the Indigenous ownership requirement), while TAEG providers are more likely to be a direct employer of program participants. </w:t>
      </w:r>
    </w:p>
    <w:p w14:paraId="7FBE1C49" w14:textId="77777777" w:rsidR="000337F8" w:rsidRPr="001D6F02" w:rsidRDefault="000337F8" w:rsidP="000337F8">
      <w:pPr>
        <w:pStyle w:val="CaptionChart"/>
        <w:rPr>
          <w:rFonts w:asciiTheme="majorHAnsi" w:hAnsiTheme="majorHAnsi"/>
        </w:rPr>
      </w:pPr>
      <w:r w:rsidRPr="001D6F02">
        <w:rPr>
          <w:rFonts w:asciiTheme="majorHAnsi" w:hAnsiTheme="majorHAnsi"/>
        </w:rPr>
        <w:t>: Share of Indigenous staff, by program</w:t>
      </w:r>
    </w:p>
    <w:p w14:paraId="3B5022A4" w14:textId="77777777" w:rsidR="000337F8" w:rsidRPr="00820C89" w:rsidRDefault="000337F8" w:rsidP="000337F8">
      <w:pPr>
        <w:rPr>
          <w:rFonts w:asciiTheme="majorHAnsi" w:hAnsiTheme="majorHAnsi"/>
        </w:rPr>
      </w:pPr>
      <w:r w:rsidRPr="00820C89">
        <w:rPr>
          <w:rFonts w:asciiTheme="majorHAnsi" w:hAnsiTheme="majorHAnsi"/>
          <w:noProof/>
          <w:lang w:eastAsia="en-AU"/>
        </w:rPr>
        <w:drawing>
          <wp:inline distT="0" distB="0" distL="0" distR="0" wp14:anchorId="596A0782" wp14:editId="2F8C55A6">
            <wp:extent cx="5635256" cy="2030818"/>
            <wp:effectExtent l="0" t="0" r="3810" b="7620"/>
            <wp:docPr id="42" name="Chart 42" descr=" " title=" .">
              <a:extLst xmlns:a="http://schemas.openxmlformats.org/drawingml/2006/main">
                <a:ext uri="{FF2B5EF4-FFF2-40B4-BE49-F238E27FC236}">
                  <a16:creationId xmlns:a16="http://schemas.microsoft.com/office/drawing/2014/main" id="{E952C040-64F8-4617-A0DB-CB9F8ADF9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C4DCCD1" w14:textId="77777777" w:rsidR="000337F8" w:rsidRPr="00820C89" w:rsidRDefault="000337F8" w:rsidP="000337F8">
      <w:pPr>
        <w:pStyle w:val="Source"/>
        <w:rPr>
          <w:rFonts w:asciiTheme="majorHAnsi" w:hAnsiTheme="majorHAnsi"/>
        </w:rPr>
      </w:pPr>
      <w:r w:rsidRPr="00820C89">
        <w:rPr>
          <w:rFonts w:asciiTheme="majorHAnsi" w:hAnsiTheme="majorHAnsi"/>
        </w:rPr>
        <w:t>Source: NIAA Provider Survey (2020).</w:t>
      </w:r>
    </w:p>
    <w:p w14:paraId="1FB71C3C" w14:textId="77777777" w:rsidR="00657707" w:rsidRPr="00820C89" w:rsidRDefault="000337F8" w:rsidP="00657707">
      <w:pPr>
        <w:spacing w:before="60" w:after="60"/>
        <w:rPr>
          <w:rFonts w:asciiTheme="majorHAnsi" w:hAnsiTheme="majorHAnsi"/>
        </w:rPr>
      </w:pPr>
      <w:r w:rsidRPr="00820C89">
        <w:rPr>
          <w:rFonts w:asciiTheme="majorHAnsi" w:hAnsiTheme="majorHAnsi"/>
        </w:rPr>
        <w:t xml:space="preserve">However, within these broad averages, there are several notable points of variation, including that: </w:t>
      </w:r>
    </w:p>
    <w:p w14:paraId="4EC2E703" w14:textId="77777777" w:rsidR="000337F8" w:rsidRPr="00820C89" w:rsidRDefault="000337F8" w:rsidP="00715F70">
      <w:pPr>
        <w:pStyle w:val="ListParagraph"/>
        <w:numPr>
          <w:ilvl w:val="0"/>
          <w:numId w:val="75"/>
        </w:numPr>
        <w:spacing w:before="60" w:after="60"/>
        <w:rPr>
          <w:rFonts w:asciiTheme="majorHAnsi" w:hAnsiTheme="majorHAnsi"/>
        </w:rPr>
      </w:pPr>
      <w:r w:rsidRPr="00820C89">
        <w:rPr>
          <w:rFonts w:asciiTheme="majorHAnsi" w:hAnsiTheme="majorHAnsi"/>
        </w:rPr>
        <w:t>while the TAEG program has the smallest average number of participants per project (73), the TAEG program also has the single largest project (Aboriginal Employment Strategy, 2,400 commencements)</w:t>
      </w:r>
    </w:p>
    <w:p w14:paraId="2625474B" w14:textId="77777777" w:rsidR="000337F8" w:rsidRPr="00820C89" w:rsidRDefault="000337F8" w:rsidP="00715F70">
      <w:pPr>
        <w:pStyle w:val="ListParagraph"/>
        <w:numPr>
          <w:ilvl w:val="0"/>
          <w:numId w:val="47"/>
        </w:numPr>
        <w:spacing w:before="60" w:after="60"/>
        <w:ind w:left="357" w:hanging="357"/>
        <w:contextualSpacing w:val="0"/>
        <w:rPr>
          <w:rFonts w:asciiTheme="majorHAnsi" w:hAnsiTheme="majorHAnsi"/>
        </w:rPr>
      </w:pPr>
      <w:r w:rsidRPr="00820C89">
        <w:rPr>
          <w:rFonts w:asciiTheme="majorHAnsi" w:hAnsiTheme="majorHAnsi"/>
        </w:rPr>
        <w:t xml:space="preserve">while the average share of Indigenous staff across both TAEG and VTEC ranges between 50 to 74 percent, there are a large group of providers across both programs with a very low share of Indigenous staff (Chart </w:t>
      </w:r>
      <w:r w:rsidR="00092C4F" w:rsidRPr="00820C89">
        <w:rPr>
          <w:rFonts w:asciiTheme="majorHAnsi" w:hAnsiTheme="majorHAnsi"/>
        </w:rPr>
        <w:t>3.10</w:t>
      </w:r>
      <w:r w:rsidRPr="00820C89">
        <w:rPr>
          <w:rFonts w:asciiTheme="majorHAnsi" w:hAnsiTheme="majorHAnsi"/>
        </w:rPr>
        <w:t>)</w:t>
      </w:r>
    </w:p>
    <w:p w14:paraId="7F2CBC9E" w14:textId="77777777" w:rsidR="000337F8" w:rsidRPr="00820C89" w:rsidRDefault="000337F8" w:rsidP="00715F70">
      <w:pPr>
        <w:pStyle w:val="ListParagraph"/>
        <w:numPr>
          <w:ilvl w:val="0"/>
          <w:numId w:val="47"/>
        </w:numPr>
        <w:spacing w:before="60" w:after="60"/>
        <w:ind w:left="357" w:hanging="357"/>
        <w:contextualSpacing w:val="0"/>
        <w:rPr>
          <w:rFonts w:asciiTheme="majorHAnsi" w:hAnsiTheme="majorHAnsi"/>
        </w:rPr>
      </w:pPr>
      <w:r w:rsidRPr="00820C89">
        <w:rPr>
          <w:rFonts w:asciiTheme="majorHAnsi" w:hAnsiTheme="majorHAnsi"/>
        </w:rPr>
        <w:t>while 90</w:t>
      </w:r>
      <w:r w:rsidR="003A40EA" w:rsidRPr="00820C89">
        <w:rPr>
          <w:rFonts w:asciiTheme="majorHAnsi" w:hAnsiTheme="majorHAnsi"/>
        </w:rPr>
        <w:t xml:space="preserve"> percent</w:t>
      </w:r>
      <w:r w:rsidRPr="00820C89">
        <w:rPr>
          <w:rFonts w:asciiTheme="majorHAnsi" w:hAnsiTheme="majorHAnsi"/>
        </w:rPr>
        <w:t xml:space="preserve"> of providers have either </w:t>
      </w:r>
      <w:r w:rsidR="003A40EA" w:rsidRPr="00820C89">
        <w:rPr>
          <w:rFonts w:asciiTheme="majorHAnsi" w:hAnsiTheme="majorHAnsi"/>
        </w:rPr>
        <w:t>one</w:t>
      </w:r>
      <w:r w:rsidRPr="00820C89">
        <w:rPr>
          <w:rFonts w:asciiTheme="majorHAnsi" w:hAnsiTheme="majorHAnsi"/>
        </w:rPr>
        <w:t xml:space="preserve"> or </w:t>
      </w:r>
      <w:r w:rsidR="003A40EA" w:rsidRPr="00820C89">
        <w:rPr>
          <w:rFonts w:asciiTheme="majorHAnsi" w:hAnsiTheme="majorHAnsi"/>
        </w:rPr>
        <w:t xml:space="preserve">two </w:t>
      </w:r>
      <w:r w:rsidRPr="00820C89">
        <w:rPr>
          <w:rFonts w:asciiTheme="majorHAnsi" w:hAnsiTheme="majorHAnsi"/>
        </w:rPr>
        <w:t>projects in total, one provider (Group Training Australia) has had nine projects across both the VTEC and TAEG programs.</w:t>
      </w:r>
    </w:p>
    <w:p w14:paraId="724CF853" w14:textId="77777777" w:rsidR="000337F8" w:rsidRPr="00820C89" w:rsidRDefault="000337F8" w:rsidP="000337F8">
      <w:pPr>
        <w:spacing w:before="170"/>
        <w:rPr>
          <w:rFonts w:asciiTheme="majorHAnsi" w:hAnsiTheme="majorHAnsi"/>
        </w:rPr>
      </w:pPr>
      <w:r w:rsidRPr="00820C89">
        <w:rPr>
          <w:rFonts w:asciiTheme="majorHAnsi" w:hAnsiTheme="majorHAnsi"/>
        </w:rPr>
        <w:t xml:space="preserve">In line with program guidelines, EPI consists of only 13 partner organisations, each with a large number of program participants. Further, these organisations have the longest average tenure of the IEP (3.7 years) as </w:t>
      </w:r>
      <w:r w:rsidR="008C2019" w:rsidRPr="00820C89">
        <w:rPr>
          <w:rFonts w:asciiTheme="majorHAnsi" w:hAnsiTheme="majorHAnsi"/>
        </w:rPr>
        <w:t>all</w:t>
      </w:r>
      <w:r w:rsidRPr="00820C89">
        <w:rPr>
          <w:rFonts w:asciiTheme="majorHAnsi" w:hAnsiTheme="majorHAnsi"/>
        </w:rPr>
        <w:t xml:space="preserve"> the original founding EPI partners</w:t>
      </w:r>
      <w:r w:rsidR="008C2019" w:rsidRPr="00820C89">
        <w:rPr>
          <w:rFonts w:asciiTheme="majorHAnsi" w:hAnsiTheme="majorHAnsi"/>
        </w:rPr>
        <w:t xml:space="preserve"> are still</w:t>
      </w:r>
      <w:r w:rsidRPr="00820C89">
        <w:rPr>
          <w:rFonts w:asciiTheme="majorHAnsi" w:hAnsiTheme="majorHAnsi"/>
        </w:rPr>
        <w:t xml:space="preserve"> part of the program.</w:t>
      </w:r>
    </w:p>
    <w:p w14:paraId="0DDF7CF8" w14:textId="77777777" w:rsidR="000337F8" w:rsidRPr="00820C89" w:rsidRDefault="000337F8" w:rsidP="00BA052A">
      <w:pPr>
        <w:pStyle w:val="CaptionTable"/>
        <w:spacing w:before="170" w:after="0"/>
        <w:ind w:left="0"/>
        <w:rPr>
          <w:rFonts w:asciiTheme="majorHAnsi" w:hAnsiTheme="majorHAnsi"/>
        </w:rPr>
      </w:pPr>
      <w:bookmarkStart w:id="82" w:name="_Hlk54715754"/>
      <w:r w:rsidRPr="00820C89">
        <w:rPr>
          <w:rFonts w:asciiTheme="majorHAnsi" w:hAnsiTheme="majorHAnsi"/>
        </w:rPr>
        <w:t xml:space="preserve">: Provider and project overview </w:t>
      </w:r>
    </w:p>
    <w:tbl>
      <w:tblPr>
        <w:tblStyle w:val="Deloittetable"/>
        <w:tblpPr w:leftFromText="180" w:rightFromText="180" w:vertAnchor="text" w:horzAnchor="margin" w:tblpY="72"/>
        <w:tblW w:w="9781" w:type="dxa"/>
        <w:tblLayout w:type="fixed"/>
        <w:tblLook w:val="04A0" w:firstRow="1" w:lastRow="0" w:firstColumn="1" w:lastColumn="0" w:noHBand="0" w:noVBand="1"/>
      </w:tblPr>
      <w:tblGrid>
        <w:gridCol w:w="3828"/>
        <w:gridCol w:w="1275"/>
        <w:gridCol w:w="2552"/>
        <w:gridCol w:w="992"/>
        <w:gridCol w:w="1134"/>
      </w:tblGrid>
      <w:tr w:rsidR="000337F8" w:rsidRPr="00820C89" w14:paraId="34CC7490" w14:textId="77777777" w:rsidTr="00B91D03">
        <w:trPr>
          <w:cnfStyle w:val="100000000000" w:firstRow="1" w:lastRow="0" w:firstColumn="0" w:lastColumn="0" w:oddVBand="0" w:evenVBand="0" w:oddHBand="0" w:evenHBand="0" w:firstRowFirstColumn="0" w:firstRowLastColumn="0" w:lastRowFirstColumn="0" w:lastRowLastColumn="0"/>
          <w:trHeight w:val="211"/>
          <w:tblHeader/>
        </w:trPr>
        <w:tc>
          <w:tcPr>
            <w:tcW w:w="3828" w:type="dxa"/>
            <w:noWrap/>
            <w:hideMark/>
          </w:tcPr>
          <w:bookmarkEnd w:id="82"/>
          <w:p w14:paraId="51C9F076" w14:textId="77777777" w:rsidR="000337F8" w:rsidRPr="00820C89" w:rsidRDefault="000337F8" w:rsidP="00590BC4">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 </w:t>
            </w:r>
          </w:p>
        </w:tc>
        <w:tc>
          <w:tcPr>
            <w:tcW w:w="1275" w:type="dxa"/>
            <w:noWrap/>
            <w:vAlign w:val="center"/>
          </w:tcPr>
          <w:p w14:paraId="4B1ACBD0" w14:textId="77777777" w:rsidR="000337F8" w:rsidRPr="00820C89" w:rsidRDefault="000337F8" w:rsidP="00590BC4">
            <w:pPr>
              <w:spacing w:after="0" w:line="240" w:lineRule="auto"/>
              <w:jc w:val="center"/>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TAEG</w:t>
            </w:r>
          </w:p>
        </w:tc>
        <w:tc>
          <w:tcPr>
            <w:tcW w:w="2552" w:type="dxa"/>
            <w:vAlign w:val="center"/>
          </w:tcPr>
          <w:p w14:paraId="5E09C872" w14:textId="77777777" w:rsidR="000337F8" w:rsidRPr="00820C89" w:rsidRDefault="000337F8" w:rsidP="00590BC4">
            <w:pPr>
              <w:spacing w:after="0" w:line="240" w:lineRule="auto"/>
              <w:jc w:val="center"/>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VTEC</w:t>
            </w:r>
          </w:p>
        </w:tc>
        <w:tc>
          <w:tcPr>
            <w:tcW w:w="992" w:type="dxa"/>
            <w:noWrap/>
            <w:vAlign w:val="center"/>
          </w:tcPr>
          <w:p w14:paraId="385BAE1B" w14:textId="77777777" w:rsidR="000337F8" w:rsidRPr="00820C89" w:rsidRDefault="000337F8" w:rsidP="00590BC4">
            <w:pPr>
              <w:spacing w:after="0" w:line="240" w:lineRule="auto"/>
              <w:jc w:val="center"/>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EPI</w:t>
            </w:r>
          </w:p>
        </w:tc>
        <w:tc>
          <w:tcPr>
            <w:tcW w:w="1134" w:type="dxa"/>
            <w:noWrap/>
            <w:vAlign w:val="center"/>
          </w:tcPr>
          <w:p w14:paraId="303322D8" w14:textId="77777777" w:rsidR="000337F8" w:rsidRPr="00820C89" w:rsidRDefault="000337F8" w:rsidP="00590BC4">
            <w:pPr>
              <w:spacing w:after="0" w:line="240" w:lineRule="auto"/>
              <w:jc w:val="center"/>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Overall</w:t>
            </w:r>
          </w:p>
        </w:tc>
      </w:tr>
      <w:tr w:rsidR="000337F8" w:rsidRPr="00820C89" w14:paraId="25FCFCF1" w14:textId="77777777" w:rsidTr="00BC1F88">
        <w:trPr>
          <w:trHeight w:val="211"/>
        </w:trPr>
        <w:tc>
          <w:tcPr>
            <w:tcW w:w="3828" w:type="dxa"/>
            <w:noWrap/>
            <w:hideMark/>
          </w:tcPr>
          <w:p w14:paraId="22A085B7" w14:textId="77777777" w:rsidR="000337F8" w:rsidRPr="00820C89" w:rsidRDefault="000337F8" w:rsidP="00590BC4">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Total number of projects</w:t>
            </w:r>
          </w:p>
        </w:tc>
        <w:tc>
          <w:tcPr>
            <w:tcW w:w="1275" w:type="dxa"/>
            <w:noWrap/>
            <w:vAlign w:val="center"/>
          </w:tcPr>
          <w:p w14:paraId="03368950"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101</w:t>
            </w:r>
          </w:p>
        </w:tc>
        <w:tc>
          <w:tcPr>
            <w:tcW w:w="2552" w:type="dxa"/>
            <w:vAlign w:val="center"/>
          </w:tcPr>
          <w:p w14:paraId="5E3E6EA5"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76</w:t>
            </w:r>
          </w:p>
        </w:tc>
        <w:tc>
          <w:tcPr>
            <w:tcW w:w="992" w:type="dxa"/>
            <w:noWrap/>
            <w:vAlign w:val="center"/>
          </w:tcPr>
          <w:p w14:paraId="1C278CB5"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15</w:t>
            </w:r>
          </w:p>
        </w:tc>
        <w:tc>
          <w:tcPr>
            <w:tcW w:w="1134" w:type="dxa"/>
            <w:noWrap/>
            <w:vAlign w:val="center"/>
          </w:tcPr>
          <w:p w14:paraId="344DC14A"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192</w:t>
            </w:r>
          </w:p>
        </w:tc>
      </w:tr>
      <w:tr w:rsidR="000337F8" w:rsidRPr="00820C89" w14:paraId="5AF0DCEA" w14:textId="77777777" w:rsidTr="00BC1F88">
        <w:trPr>
          <w:trHeight w:val="211"/>
        </w:trPr>
        <w:tc>
          <w:tcPr>
            <w:tcW w:w="3828" w:type="dxa"/>
            <w:noWrap/>
            <w:vAlign w:val="center"/>
            <w:hideMark/>
          </w:tcPr>
          <w:p w14:paraId="758060D8" w14:textId="77777777" w:rsidR="000337F8" w:rsidRPr="00820C89" w:rsidRDefault="000337F8" w:rsidP="00590BC4">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Total number of providers or EPI partners</w:t>
            </w:r>
          </w:p>
        </w:tc>
        <w:tc>
          <w:tcPr>
            <w:tcW w:w="1275" w:type="dxa"/>
            <w:noWrap/>
            <w:vAlign w:val="center"/>
          </w:tcPr>
          <w:p w14:paraId="5910409E"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73</w:t>
            </w:r>
          </w:p>
        </w:tc>
        <w:tc>
          <w:tcPr>
            <w:tcW w:w="2552" w:type="dxa"/>
            <w:vAlign w:val="center"/>
          </w:tcPr>
          <w:p w14:paraId="5F8BDADE"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52</w:t>
            </w:r>
          </w:p>
        </w:tc>
        <w:tc>
          <w:tcPr>
            <w:tcW w:w="992" w:type="dxa"/>
            <w:noWrap/>
            <w:vAlign w:val="center"/>
          </w:tcPr>
          <w:p w14:paraId="13585EF4"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13</w:t>
            </w:r>
          </w:p>
        </w:tc>
        <w:tc>
          <w:tcPr>
            <w:tcW w:w="1134" w:type="dxa"/>
            <w:noWrap/>
            <w:vAlign w:val="center"/>
          </w:tcPr>
          <w:p w14:paraId="403F641F"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143</w:t>
            </w:r>
          </w:p>
        </w:tc>
      </w:tr>
      <w:tr w:rsidR="000337F8" w:rsidRPr="00820C89" w14:paraId="074383EA" w14:textId="77777777" w:rsidTr="00BC1F88">
        <w:trPr>
          <w:trHeight w:val="211"/>
        </w:trPr>
        <w:tc>
          <w:tcPr>
            <w:tcW w:w="3828" w:type="dxa"/>
            <w:noWrap/>
            <w:vAlign w:val="center"/>
            <w:hideMark/>
          </w:tcPr>
          <w:p w14:paraId="6557ED2C" w14:textId="77777777" w:rsidR="000337F8" w:rsidRPr="00820C89" w:rsidRDefault="000337F8" w:rsidP="00590BC4">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Average participants per project</w:t>
            </w:r>
          </w:p>
        </w:tc>
        <w:tc>
          <w:tcPr>
            <w:tcW w:w="1275" w:type="dxa"/>
            <w:noWrap/>
            <w:vAlign w:val="center"/>
          </w:tcPr>
          <w:p w14:paraId="7932ADF6"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83</w:t>
            </w:r>
          </w:p>
        </w:tc>
        <w:tc>
          <w:tcPr>
            <w:tcW w:w="2552" w:type="dxa"/>
            <w:vAlign w:val="center"/>
          </w:tcPr>
          <w:p w14:paraId="2848B5AC"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169</w:t>
            </w:r>
          </w:p>
        </w:tc>
        <w:tc>
          <w:tcPr>
            <w:tcW w:w="992" w:type="dxa"/>
            <w:noWrap/>
            <w:vAlign w:val="center"/>
          </w:tcPr>
          <w:p w14:paraId="086E5257"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402</w:t>
            </w:r>
          </w:p>
        </w:tc>
        <w:tc>
          <w:tcPr>
            <w:tcW w:w="1134" w:type="dxa"/>
            <w:noWrap/>
            <w:vAlign w:val="center"/>
          </w:tcPr>
          <w:p w14:paraId="0B5998B1"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138</w:t>
            </w:r>
          </w:p>
        </w:tc>
      </w:tr>
      <w:tr w:rsidR="000337F8" w:rsidRPr="00820C89" w14:paraId="37DB7A0F" w14:textId="77777777" w:rsidTr="00BC1F88">
        <w:trPr>
          <w:trHeight w:val="211"/>
        </w:trPr>
        <w:tc>
          <w:tcPr>
            <w:tcW w:w="3828" w:type="dxa"/>
            <w:noWrap/>
            <w:vAlign w:val="center"/>
          </w:tcPr>
          <w:p w14:paraId="442851AB" w14:textId="77777777" w:rsidR="000337F8" w:rsidRPr="00820C89" w:rsidRDefault="000337F8" w:rsidP="00590BC4">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Average projects per provider</w:t>
            </w:r>
          </w:p>
        </w:tc>
        <w:tc>
          <w:tcPr>
            <w:tcW w:w="1275" w:type="dxa"/>
            <w:noWrap/>
            <w:vAlign w:val="center"/>
          </w:tcPr>
          <w:p w14:paraId="59D1E6A9"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1.3</w:t>
            </w:r>
          </w:p>
        </w:tc>
        <w:tc>
          <w:tcPr>
            <w:tcW w:w="2552" w:type="dxa"/>
            <w:vAlign w:val="center"/>
          </w:tcPr>
          <w:p w14:paraId="648ABD8E"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1.5</w:t>
            </w:r>
          </w:p>
        </w:tc>
        <w:tc>
          <w:tcPr>
            <w:tcW w:w="992" w:type="dxa"/>
            <w:noWrap/>
            <w:vAlign w:val="center"/>
          </w:tcPr>
          <w:p w14:paraId="3996DA76"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1.2</w:t>
            </w:r>
          </w:p>
        </w:tc>
        <w:tc>
          <w:tcPr>
            <w:tcW w:w="1134" w:type="dxa"/>
            <w:noWrap/>
            <w:vAlign w:val="center"/>
          </w:tcPr>
          <w:p w14:paraId="6B47AD97"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p>
        </w:tc>
      </w:tr>
      <w:tr w:rsidR="000337F8" w:rsidRPr="00820C89" w14:paraId="20380706" w14:textId="77777777" w:rsidTr="00BC1F88">
        <w:trPr>
          <w:trHeight w:val="211"/>
        </w:trPr>
        <w:tc>
          <w:tcPr>
            <w:tcW w:w="3828" w:type="dxa"/>
            <w:noWrap/>
            <w:vAlign w:val="center"/>
          </w:tcPr>
          <w:p w14:paraId="79E66331" w14:textId="77777777" w:rsidR="000337F8" w:rsidRPr="00820C89" w:rsidRDefault="000337F8" w:rsidP="00590BC4">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Average provider tenure</w:t>
            </w:r>
          </w:p>
        </w:tc>
        <w:tc>
          <w:tcPr>
            <w:tcW w:w="1275" w:type="dxa"/>
            <w:noWrap/>
            <w:vAlign w:val="center"/>
          </w:tcPr>
          <w:p w14:paraId="16785586"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1.8 years</w:t>
            </w:r>
          </w:p>
        </w:tc>
        <w:tc>
          <w:tcPr>
            <w:tcW w:w="2552" w:type="dxa"/>
            <w:vAlign w:val="center"/>
          </w:tcPr>
          <w:p w14:paraId="2175BFF0"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3.4 years</w:t>
            </w:r>
          </w:p>
        </w:tc>
        <w:tc>
          <w:tcPr>
            <w:tcW w:w="992" w:type="dxa"/>
            <w:noWrap/>
            <w:vAlign w:val="center"/>
          </w:tcPr>
          <w:p w14:paraId="3D510DE3"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 xml:space="preserve">3.7 years </w:t>
            </w:r>
          </w:p>
        </w:tc>
        <w:tc>
          <w:tcPr>
            <w:tcW w:w="1134" w:type="dxa"/>
            <w:noWrap/>
            <w:vAlign w:val="center"/>
          </w:tcPr>
          <w:p w14:paraId="698EA40A"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p>
        </w:tc>
      </w:tr>
      <w:tr w:rsidR="000337F8" w:rsidRPr="00820C89" w14:paraId="00BC7DBC" w14:textId="77777777" w:rsidTr="00BC1F88">
        <w:trPr>
          <w:trHeight w:val="211"/>
        </w:trPr>
        <w:tc>
          <w:tcPr>
            <w:tcW w:w="3828" w:type="dxa"/>
            <w:noWrap/>
            <w:vAlign w:val="center"/>
          </w:tcPr>
          <w:p w14:paraId="20724088" w14:textId="77777777" w:rsidR="000337F8" w:rsidRPr="00820C89" w:rsidRDefault="000337F8" w:rsidP="00574C38">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0"/>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 xml:space="preserve">Share of providers who are Indigenous owned, controlled or a joint venture with an Indigenous organisation </w:t>
            </w:r>
          </w:p>
        </w:tc>
        <w:tc>
          <w:tcPr>
            <w:tcW w:w="1275" w:type="dxa"/>
            <w:noWrap/>
            <w:vAlign w:val="center"/>
          </w:tcPr>
          <w:p w14:paraId="5A226298" w14:textId="77777777" w:rsidR="000337F8" w:rsidRPr="00820C89" w:rsidRDefault="000337F8" w:rsidP="00BC1F88">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50%</w:t>
            </w:r>
          </w:p>
        </w:tc>
        <w:tc>
          <w:tcPr>
            <w:tcW w:w="2552" w:type="dxa"/>
            <w:vAlign w:val="center"/>
          </w:tcPr>
          <w:p w14:paraId="742D3C1B" w14:textId="77777777" w:rsidR="000337F8" w:rsidRPr="00820C89" w:rsidRDefault="000337F8" w:rsidP="00BC1F88">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74%</w:t>
            </w:r>
          </w:p>
        </w:tc>
        <w:tc>
          <w:tcPr>
            <w:tcW w:w="992" w:type="dxa"/>
            <w:noWrap/>
            <w:vAlign w:val="center"/>
          </w:tcPr>
          <w:p w14:paraId="0667BE50"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w:t>
            </w:r>
          </w:p>
        </w:tc>
        <w:tc>
          <w:tcPr>
            <w:tcW w:w="1134" w:type="dxa"/>
            <w:noWrap/>
            <w:vAlign w:val="center"/>
          </w:tcPr>
          <w:p w14:paraId="54FCC91F"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w:t>
            </w:r>
          </w:p>
        </w:tc>
      </w:tr>
    </w:tbl>
    <w:p w14:paraId="5A30561C" w14:textId="77777777" w:rsidR="000337F8" w:rsidRPr="00820C89" w:rsidRDefault="000337F8" w:rsidP="000337F8">
      <w:pPr>
        <w:pStyle w:val="Source"/>
        <w:rPr>
          <w:rFonts w:asciiTheme="majorHAnsi" w:hAnsiTheme="majorHAnsi"/>
        </w:rPr>
      </w:pPr>
      <w:r w:rsidRPr="00820C89">
        <w:rPr>
          <w:rFonts w:asciiTheme="majorHAnsi" w:hAnsiTheme="majorHAnsi"/>
        </w:rPr>
        <w:t>Source: NIAA Program Data (2014-2019), VTEC and TAEG provider Survey (2020).</w:t>
      </w:r>
    </w:p>
    <w:p w14:paraId="0B644E96" w14:textId="2500573C" w:rsidR="001E2E48" w:rsidRPr="00820C89" w:rsidRDefault="00710B04" w:rsidP="001D6F02">
      <w:pPr>
        <w:pStyle w:val="Heading2"/>
        <w:spacing w:after="240"/>
      </w:pPr>
      <w:bookmarkStart w:id="83" w:name="_Toc82710779"/>
      <w:bookmarkStart w:id="84" w:name="_Toc101343294"/>
      <w:r w:rsidRPr="00820C89">
        <w:lastRenderedPageBreak/>
        <w:t>C</w:t>
      </w:r>
      <w:r w:rsidR="000D043B" w:rsidRPr="00820C89">
        <w:t>hallenges</w:t>
      </w:r>
      <w:r w:rsidRPr="00820C89">
        <w:t xml:space="preserve"> </w:t>
      </w:r>
      <w:r w:rsidR="000D043B" w:rsidRPr="00820C89">
        <w:t>in deliver</w:t>
      </w:r>
      <w:r w:rsidRPr="00820C89">
        <w:t>ing</w:t>
      </w:r>
      <w:r w:rsidR="000D043B" w:rsidRPr="00820C89">
        <w:t xml:space="preserve"> the program</w:t>
      </w:r>
      <w:bookmarkEnd w:id="83"/>
      <w:bookmarkEnd w:id="84"/>
    </w:p>
    <w:p w14:paraId="65B8BAA9" w14:textId="77777777" w:rsidR="001D6F02" w:rsidRPr="00BC7EC7"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findings</w:t>
      </w:r>
    </w:p>
    <w:p w14:paraId="7ADDC407" w14:textId="77777777" w:rsidR="001D6F02" w:rsidRDefault="001D6F02" w:rsidP="00715F70">
      <w:pPr>
        <w:pStyle w:val="ListParagraph"/>
        <w:numPr>
          <w:ilvl w:val="0"/>
          <w:numId w:val="77"/>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Pr>
          <w:b/>
          <w:bCs/>
          <w:i/>
          <w:iCs/>
          <w:color w:val="62B5E5" w:themeColor="accent3"/>
        </w:rPr>
        <w:t xml:space="preserve">Providers are constrained by the specific local labour market conditions they each operate within. Specifically, providers operating within regional or rural communities can be limited by the number of appropriate employment opportunities available. </w:t>
      </w:r>
      <w:r>
        <w:rPr>
          <w:b/>
          <w:bCs/>
          <w:i/>
          <w:iCs/>
          <w:color w:val="62B5E5" w:themeColor="accent3"/>
        </w:rPr>
        <w:br/>
      </w:r>
    </w:p>
    <w:p w14:paraId="28B62A32" w14:textId="77777777" w:rsidR="001D6F02" w:rsidRPr="00887500" w:rsidRDefault="001D6F02" w:rsidP="00715F70">
      <w:pPr>
        <w:pStyle w:val="ListParagraph"/>
        <w:numPr>
          <w:ilvl w:val="0"/>
          <w:numId w:val="77"/>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i/>
          <w:color w:val="62B5E5" w:themeColor="accent3"/>
        </w:rPr>
      </w:pPr>
      <w:r w:rsidRPr="00F14C5C">
        <w:rPr>
          <w:b/>
          <w:bCs/>
          <w:i/>
          <w:iCs/>
          <w:color w:val="62B5E5" w:themeColor="accent3"/>
        </w:rPr>
        <w:t xml:space="preserve">It is unclear whether the existing outcomes-based funding model adequately compensates providers for the true costs of effective program delivery. </w:t>
      </w:r>
      <w:r w:rsidRPr="00887500">
        <w:rPr>
          <w:b/>
          <w:bCs/>
          <w:i/>
          <w:iCs/>
          <w:color w:val="62B5E5" w:themeColor="accent3"/>
        </w:rPr>
        <w:br/>
      </w:r>
    </w:p>
    <w:p w14:paraId="1D1D8DC7" w14:textId="412D5480" w:rsidR="001D6F02" w:rsidRPr="001D6F02" w:rsidRDefault="001D6F02" w:rsidP="00715F70">
      <w:pPr>
        <w:pStyle w:val="ListParagraph"/>
        <w:numPr>
          <w:ilvl w:val="0"/>
          <w:numId w:val="77"/>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Pr>
          <w:b/>
          <w:bCs/>
          <w:i/>
          <w:iCs/>
          <w:color w:val="62B5E5" w:themeColor="accent3"/>
        </w:rPr>
        <w:t xml:space="preserve">Participant and provider eligibility criteria are particularly restrictive for the VTEC program, which has limited the pool of available applicants and service providers to engage in the program. </w:t>
      </w:r>
    </w:p>
    <w:p w14:paraId="22278A57" w14:textId="315175B6" w:rsidR="004E129D" w:rsidRPr="00820C89" w:rsidRDefault="00E605E9" w:rsidP="001E2E48">
      <w:r w:rsidRPr="00820C89">
        <w:t>Each partner and provider face their own set of challeng</w:t>
      </w:r>
      <w:r w:rsidR="006661A0" w:rsidRPr="00820C89">
        <w:t xml:space="preserve">es in delivering </w:t>
      </w:r>
      <w:r w:rsidR="00E7647E" w:rsidRPr="00820C89">
        <w:t>the IEP</w:t>
      </w:r>
      <w:r w:rsidR="00820D25" w:rsidRPr="00820C89">
        <w:t>.</w:t>
      </w:r>
      <w:r w:rsidR="00AE750B" w:rsidRPr="00820C89">
        <w:t xml:space="preserve"> These challenges </w:t>
      </w:r>
      <w:r w:rsidR="001A455E" w:rsidRPr="00820C89">
        <w:t>are related to</w:t>
      </w:r>
      <w:r w:rsidR="00AE750B" w:rsidRPr="00820C89">
        <w:t xml:space="preserve"> external factors (i.e. environmental factors outside</w:t>
      </w:r>
      <w:r w:rsidR="00760C06" w:rsidRPr="00820C89">
        <w:t xml:space="preserve"> </w:t>
      </w:r>
      <w:r w:rsidR="002C3130" w:rsidRPr="00820C89">
        <w:t>provider or program</w:t>
      </w:r>
      <w:r w:rsidR="00AE750B" w:rsidRPr="00820C89">
        <w:t xml:space="preserve"> control), </w:t>
      </w:r>
      <w:r w:rsidR="004D5048" w:rsidRPr="00820C89">
        <w:t xml:space="preserve">and specific program design features. Both </w:t>
      </w:r>
      <w:r w:rsidR="002C3130" w:rsidRPr="00820C89">
        <w:t xml:space="preserve">categories are discussed in the following section, drawing on </w:t>
      </w:r>
      <w:r w:rsidR="00C40133" w:rsidRPr="00820C89">
        <w:t>themes and direct quotes from stakeholder consultations.</w:t>
      </w:r>
      <w:r w:rsidR="006D4D23" w:rsidRPr="00820C89">
        <w:t xml:space="preserve"> </w:t>
      </w:r>
    </w:p>
    <w:p w14:paraId="61F2E7C5" w14:textId="77777777" w:rsidR="001E2E48" w:rsidRPr="00820C89" w:rsidRDefault="00074F61" w:rsidP="001E2E48">
      <w:r w:rsidRPr="00820C89">
        <w:t xml:space="preserve">Specifically, this section responds to the following </w:t>
      </w:r>
      <w:r w:rsidR="00645284" w:rsidRPr="00820C89">
        <w:t xml:space="preserve">evaluation questions: </w:t>
      </w:r>
    </w:p>
    <w:p w14:paraId="3EB26B4D" w14:textId="77777777" w:rsidR="00645284" w:rsidRPr="00820C89" w:rsidRDefault="00645284" w:rsidP="00715F70">
      <w:pPr>
        <w:pStyle w:val="ListParagraph"/>
        <w:numPr>
          <w:ilvl w:val="0"/>
          <w:numId w:val="78"/>
        </w:numPr>
      </w:pPr>
      <w:r w:rsidRPr="00820C89">
        <w:t xml:space="preserve">What challenges have been encountered in implementing the suite of programs as intended? </w:t>
      </w:r>
    </w:p>
    <w:p w14:paraId="5DCB30AD" w14:textId="77777777" w:rsidR="00645284" w:rsidRPr="00820C89" w:rsidRDefault="00645284" w:rsidP="00715F70">
      <w:pPr>
        <w:pStyle w:val="ListParagraph"/>
        <w:numPr>
          <w:ilvl w:val="0"/>
          <w:numId w:val="78"/>
        </w:numPr>
      </w:pPr>
      <w:r w:rsidRPr="00820C89">
        <w:t xml:space="preserve">What is the effect of funding/ payment milestones on the activities being delivered? </w:t>
      </w:r>
      <w:r w:rsidR="003A7676" w:rsidRPr="00820C89">
        <w:t xml:space="preserve">Is the funding/ payment model financially sustainable for providers? </w:t>
      </w:r>
    </w:p>
    <w:p w14:paraId="5F33E3C6" w14:textId="6A0714D2" w:rsidR="00F56DF9" w:rsidRPr="00820C89" w:rsidRDefault="00F56DF9" w:rsidP="001656D4">
      <w:r w:rsidRPr="00820C89">
        <w:t>In assessing the challenges associated with deliver</w:t>
      </w:r>
      <w:r w:rsidR="001133F8" w:rsidRPr="00820C89">
        <w:t>ing</w:t>
      </w:r>
      <w:r w:rsidRPr="00820C89">
        <w:t xml:space="preserve"> the program, this section relies heavily on evidence collected from stakeholder consultations with provide</w:t>
      </w:r>
      <w:r w:rsidR="00D833A5" w:rsidRPr="00820C89">
        <w:t>rs</w:t>
      </w:r>
      <w:r w:rsidR="001133F8" w:rsidRPr="00820C89">
        <w:t>.</w:t>
      </w:r>
      <w:r w:rsidR="00A3360E" w:rsidRPr="00820C89">
        <w:t xml:space="preserve"> In addition, Head Agreements and shell Schedules for each program were made available to the evaluation. However, the details of individual contracts </w:t>
      </w:r>
      <w:r w:rsidR="00AF3FF9" w:rsidRPr="00820C89">
        <w:t xml:space="preserve">could not be accessed </w:t>
      </w:r>
      <w:r w:rsidR="00B966A4" w:rsidRPr="00820C89">
        <w:t>because of</w:t>
      </w:r>
      <w:r w:rsidR="00AF3FF9" w:rsidRPr="00820C89">
        <w:t xml:space="preserve"> confidentiality and legal reasons.</w:t>
      </w:r>
    </w:p>
    <w:p w14:paraId="355F78A6" w14:textId="77777777" w:rsidR="005F41EC" w:rsidRPr="00820C89" w:rsidRDefault="006766CE" w:rsidP="005F41EC">
      <w:pPr>
        <w:pStyle w:val="Heading3"/>
      </w:pPr>
      <w:r w:rsidRPr="00820C89">
        <w:t xml:space="preserve">External factors </w:t>
      </w:r>
      <w:r w:rsidR="005F41EC" w:rsidRPr="00820C89">
        <w:br/>
      </w:r>
    </w:p>
    <w:p w14:paraId="2AA43898" w14:textId="77777777" w:rsidR="00D9770E" w:rsidRPr="00820C89" w:rsidRDefault="007625B2" w:rsidP="00D9770E">
      <w:r w:rsidRPr="00820C89">
        <w:rPr>
          <w:b/>
          <w:color w:val="75787B" w:themeColor="accent6"/>
        </w:rPr>
        <w:t xml:space="preserve">Local labour market </w:t>
      </w:r>
      <w:r w:rsidRPr="00820C89">
        <w:t xml:space="preserve">- </w:t>
      </w:r>
      <w:r w:rsidR="00A36343" w:rsidRPr="00820C89">
        <w:t>t</w:t>
      </w:r>
      <w:r w:rsidR="00D9770E" w:rsidRPr="00820C89">
        <w:t>he IEP model operates under the assumption that there are sufficient and appropriate employment opportunities available.</w:t>
      </w:r>
      <w:r w:rsidR="003C55DE" w:rsidRPr="00820C89">
        <w:t xml:space="preserve"> </w:t>
      </w:r>
      <w:r w:rsidR="00505F63" w:rsidRPr="00820C89">
        <w:t>In practice, the</w:t>
      </w:r>
      <w:r w:rsidR="00605A68" w:rsidRPr="00820C89">
        <w:t xml:space="preserve"> number of</w:t>
      </w:r>
      <w:r w:rsidR="00014DEC" w:rsidRPr="00820C89">
        <w:t xml:space="preserve"> appropriate and meaningful employment opportunities</w:t>
      </w:r>
      <w:r w:rsidR="004C31EA" w:rsidRPr="00820C89">
        <w:t xml:space="preserve"> </w:t>
      </w:r>
      <w:r w:rsidR="00605A68" w:rsidRPr="00820C89">
        <w:t>are limited.</w:t>
      </w:r>
      <w:r w:rsidR="00421016" w:rsidRPr="00820C89">
        <w:t xml:space="preserve"> </w:t>
      </w:r>
      <w:r w:rsidR="003C55DE" w:rsidRPr="00820C89">
        <w:t xml:space="preserve">Providers </w:t>
      </w:r>
      <w:r w:rsidR="00605A68" w:rsidRPr="00820C89">
        <w:t xml:space="preserve">and community stakeholders consistently reflected on this as a challenge, including: </w:t>
      </w:r>
    </w:p>
    <w:p w14:paraId="791BF336" w14:textId="77777777" w:rsidR="006D2CB1" w:rsidRPr="00820C89" w:rsidRDefault="005D2C32" w:rsidP="005D2C32">
      <w:pPr>
        <w:ind w:left="720"/>
      </w:pPr>
      <w:r w:rsidRPr="00820C89">
        <w:rPr>
          <w:i/>
          <w:iCs/>
        </w:rPr>
        <w:t>“[In a different geographical context]</w:t>
      </w:r>
      <w:r w:rsidR="000B1A4A" w:rsidRPr="00820C89">
        <w:rPr>
          <w:i/>
          <w:iCs/>
        </w:rPr>
        <w:t xml:space="preserve"> we did all the assessments and that, and at the end of that third week, those three major employers came and selected 20 people out of that group. They all got jobs. That’s how a VTEC should work. Out here, I can’t do that. </w:t>
      </w:r>
      <w:r w:rsidR="002D4ED3" w:rsidRPr="00820C89">
        <w:rPr>
          <w:i/>
          <w:iCs/>
        </w:rPr>
        <w:t xml:space="preserve">How many tier one companies are actually here? None.” </w:t>
      </w:r>
      <w:r w:rsidR="002D4ED3" w:rsidRPr="00820C89">
        <w:t xml:space="preserve">(VTEC provider) </w:t>
      </w:r>
    </w:p>
    <w:p w14:paraId="404E5035" w14:textId="77777777" w:rsidR="00C15299" w:rsidRPr="00820C89" w:rsidRDefault="00693FCD" w:rsidP="0034306F">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709"/>
        <w:rPr>
          <w:rStyle w:val="st"/>
          <w:rFonts w:asciiTheme="majorHAnsi" w:hAnsiTheme="majorHAnsi" w:cs="Calibri"/>
          <w:i/>
          <w:iCs/>
          <w:szCs w:val="22"/>
        </w:rPr>
      </w:pPr>
      <w:r w:rsidRPr="00820C89">
        <w:rPr>
          <w:rStyle w:val="st"/>
          <w:rFonts w:asciiTheme="majorHAnsi" w:hAnsiTheme="majorHAnsi" w:cs="Calibri"/>
          <w:i/>
          <w:iCs/>
          <w:szCs w:val="22"/>
        </w:rPr>
        <w:t>“</w:t>
      </w:r>
      <w:r w:rsidR="008A3124" w:rsidRPr="00820C89">
        <w:rPr>
          <w:rStyle w:val="st"/>
          <w:rFonts w:asciiTheme="majorHAnsi" w:hAnsiTheme="majorHAnsi" w:cs="Calibri"/>
          <w:i/>
          <w:iCs/>
          <w:szCs w:val="22"/>
        </w:rPr>
        <w:t>W</w:t>
      </w:r>
      <w:r w:rsidRPr="00820C89">
        <w:rPr>
          <w:rStyle w:val="st"/>
          <w:rFonts w:asciiTheme="majorHAnsi" w:hAnsiTheme="majorHAnsi" w:cs="Calibri"/>
          <w:i/>
          <w:iCs/>
          <w:szCs w:val="22"/>
        </w:rPr>
        <w:t xml:space="preserve">e need to recognise that in particular areas of this country, there are no employment opportunities.  If you are eight hours away from Alice Springs, 800km on a remote homeland, your employment aspects or opportunities are going to be significantly lower than someone who lives in Darwin, Katherine, Alice Springs. </w:t>
      </w:r>
      <w:r w:rsidR="008A3124" w:rsidRPr="00820C89">
        <w:rPr>
          <w:rStyle w:val="st"/>
          <w:rFonts w:asciiTheme="majorHAnsi" w:hAnsiTheme="majorHAnsi" w:cs="Calibri"/>
          <w:i/>
          <w:iCs/>
          <w:szCs w:val="22"/>
        </w:rPr>
        <w:t>[…]</w:t>
      </w:r>
      <w:r w:rsidR="00733930" w:rsidRPr="00820C89">
        <w:rPr>
          <w:rStyle w:val="st"/>
          <w:rFonts w:asciiTheme="majorHAnsi" w:hAnsiTheme="majorHAnsi" w:cs="Calibri"/>
          <w:i/>
          <w:iCs/>
          <w:szCs w:val="22"/>
        </w:rPr>
        <w:t xml:space="preserve"> </w:t>
      </w:r>
      <w:r w:rsidRPr="00820C89">
        <w:rPr>
          <w:rStyle w:val="st"/>
          <w:rFonts w:asciiTheme="majorHAnsi" w:hAnsiTheme="majorHAnsi" w:cs="Calibri"/>
          <w:i/>
          <w:iCs/>
          <w:szCs w:val="22"/>
        </w:rPr>
        <w:t>Of course</w:t>
      </w:r>
      <w:r w:rsidR="00733930" w:rsidRPr="00820C89">
        <w:rPr>
          <w:rStyle w:val="st"/>
          <w:rFonts w:asciiTheme="majorHAnsi" w:hAnsiTheme="majorHAnsi" w:cs="Calibri"/>
          <w:i/>
          <w:iCs/>
          <w:szCs w:val="22"/>
        </w:rPr>
        <w:t>,</w:t>
      </w:r>
      <w:r w:rsidRPr="00820C89">
        <w:rPr>
          <w:rStyle w:val="st"/>
          <w:rFonts w:asciiTheme="majorHAnsi" w:hAnsiTheme="majorHAnsi" w:cs="Calibri"/>
          <w:i/>
          <w:iCs/>
          <w:szCs w:val="22"/>
        </w:rPr>
        <w:t xml:space="preserve"> there's opportunities for them through art and through music, creative industries.  We certainly always have to always do more in a </w:t>
      </w:r>
      <w:r w:rsidR="00733930" w:rsidRPr="00820C89">
        <w:rPr>
          <w:rStyle w:val="st"/>
          <w:rFonts w:asciiTheme="majorHAnsi" w:hAnsiTheme="majorHAnsi" w:cs="Calibri"/>
          <w:i/>
          <w:iCs/>
          <w:szCs w:val="22"/>
        </w:rPr>
        <w:t>creative industry areas</w:t>
      </w:r>
      <w:r w:rsidRPr="00820C89">
        <w:rPr>
          <w:rStyle w:val="st"/>
          <w:rFonts w:asciiTheme="majorHAnsi" w:hAnsiTheme="majorHAnsi" w:cs="Calibri"/>
          <w:i/>
          <w:iCs/>
          <w:szCs w:val="22"/>
        </w:rPr>
        <w:t>. But we have to stop this mentality that they're lazy and they're not going to work.  Well show me what they can do out there that will give them economic opportunities and actually give them satisfaction</w:t>
      </w:r>
      <w:r w:rsidR="008A3124" w:rsidRPr="00820C89">
        <w:rPr>
          <w:rStyle w:val="st"/>
          <w:rFonts w:asciiTheme="majorHAnsi" w:hAnsiTheme="majorHAnsi" w:cs="Calibri"/>
          <w:i/>
          <w:iCs/>
          <w:szCs w:val="22"/>
        </w:rPr>
        <w:t xml:space="preserve">.” </w:t>
      </w:r>
      <w:r w:rsidR="008A3124" w:rsidRPr="001656D4">
        <w:rPr>
          <w:rStyle w:val="st"/>
          <w:rFonts w:asciiTheme="majorHAnsi" w:hAnsiTheme="majorHAnsi" w:cs="Calibri"/>
          <w:i/>
          <w:iCs/>
          <w:szCs w:val="22"/>
        </w:rPr>
        <w:t>(Community stakeholder).</w:t>
      </w:r>
      <w:r w:rsidR="008A3124" w:rsidRPr="00820C89">
        <w:rPr>
          <w:rStyle w:val="st"/>
          <w:rFonts w:asciiTheme="majorHAnsi" w:hAnsiTheme="majorHAnsi" w:cs="Calibri"/>
          <w:i/>
          <w:iCs/>
          <w:szCs w:val="22"/>
        </w:rPr>
        <w:t xml:space="preserve"> </w:t>
      </w:r>
    </w:p>
    <w:p w14:paraId="1767E92F" w14:textId="77777777" w:rsidR="0034306F" w:rsidRPr="00820C89" w:rsidRDefault="00490723" w:rsidP="0034306F">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heme="majorHAnsi" w:hAnsiTheme="majorHAnsi" w:cs="Calibri"/>
          <w:szCs w:val="22"/>
        </w:rPr>
      </w:pPr>
      <w:r w:rsidRPr="00820C89">
        <w:rPr>
          <w:rStyle w:val="st"/>
          <w:rFonts w:asciiTheme="majorHAnsi" w:hAnsiTheme="majorHAnsi" w:cs="Calibri"/>
          <w:szCs w:val="22"/>
        </w:rPr>
        <w:t>Consultations indicated that f</w:t>
      </w:r>
      <w:r w:rsidR="007E66C4" w:rsidRPr="00820C89">
        <w:rPr>
          <w:rStyle w:val="st"/>
          <w:rFonts w:asciiTheme="majorHAnsi" w:hAnsiTheme="majorHAnsi" w:cs="Calibri"/>
          <w:szCs w:val="22"/>
        </w:rPr>
        <w:t xml:space="preserve">inding appropriate employment opportunities was more of a </w:t>
      </w:r>
      <w:r w:rsidR="009210A0" w:rsidRPr="00820C89">
        <w:rPr>
          <w:rStyle w:val="st"/>
          <w:rFonts w:asciiTheme="majorHAnsi" w:hAnsiTheme="majorHAnsi" w:cs="Calibri"/>
          <w:szCs w:val="22"/>
        </w:rPr>
        <w:t>challenge</w:t>
      </w:r>
      <w:r w:rsidR="007E66C4" w:rsidRPr="00820C89">
        <w:rPr>
          <w:rStyle w:val="st"/>
          <w:rFonts w:asciiTheme="majorHAnsi" w:hAnsiTheme="majorHAnsi" w:cs="Calibri"/>
          <w:szCs w:val="22"/>
        </w:rPr>
        <w:t xml:space="preserve"> for </w:t>
      </w:r>
      <w:r w:rsidR="004C31EA" w:rsidRPr="00820C89">
        <w:rPr>
          <w:rStyle w:val="st"/>
          <w:rFonts w:asciiTheme="majorHAnsi" w:hAnsiTheme="majorHAnsi" w:cs="Calibri"/>
          <w:szCs w:val="22"/>
        </w:rPr>
        <w:t>smaller TAEG and VTEC providers,</w:t>
      </w:r>
      <w:r w:rsidR="00795D4B" w:rsidRPr="00820C89">
        <w:rPr>
          <w:rStyle w:val="st"/>
          <w:rFonts w:asciiTheme="majorHAnsi" w:hAnsiTheme="majorHAnsi" w:cs="Calibri"/>
          <w:szCs w:val="22"/>
        </w:rPr>
        <w:t xml:space="preserve"> particularly those</w:t>
      </w:r>
      <w:r w:rsidR="004C31EA" w:rsidRPr="00820C89">
        <w:rPr>
          <w:rStyle w:val="st"/>
          <w:rFonts w:asciiTheme="majorHAnsi" w:hAnsiTheme="majorHAnsi" w:cs="Calibri"/>
          <w:szCs w:val="22"/>
        </w:rPr>
        <w:t xml:space="preserve"> based in regional or remote areas. </w:t>
      </w:r>
      <w:r w:rsidR="00EA048C" w:rsidRPr="00820C89">
        <w:rPr>
          <w:rStyle w:val="st"/>
          <w:rFonts w:asciiTheme="majorHAnsi" w:hAnsiTheme="majorHAnsi" w:cs="Calibri"/>
          <w:szCs w:val="22"/>
        </w:rPr>
        <w:t xml:space="preserve">EPI </w:t>
      </w:r>
      <w:r w:rsidR="00E62EE3" w:rsidRPr="00820C89">
        <w:rPr>
          <w:rStyle w:val="st"/>
          <w:rFonts w:asciiTheme="majorHAnsi" w:hAnsiTheme="majorHAnsi" w:cs="Calibri"/>
          <w:szCs w:val="22"/>
        </w:rPr>
        <w:t>p</w:t>
      </w:r>
      <w:r w:rsidR="00EA048C" w:rsidRPr="00820C89">
        <w:rPr>
          <w:rStyle w:val="st"/>
          <w:rFonts w:asciiTheme="majorHAnsi" w:hAnsiTheme="majorHAnsi" w:cs="Calibri"/>
          <w:szCs w:val="22"/>
        </w:rPr>
        <w:t>artners</w:t>
      </w:r>
      <w:r w:rsidR="003E01B3" w:rsidRPr="00820C89">
        <w:rPr>
          <w:rStyle w:val="st"/>
          <w:rFonts w:asciiTheme="majorHAnsi" w:hAnsiTheme="majorHAnsi" w:cs="Calibri"/>
          <w:szCs w:val="22"/>
        </w:rPr>
        <w:t xml:space="preserve"> did not </w:t>
      </w:r>
      <w:r w:rsidR="00E429D8" w:rsidRPr="00820C89">
        <w:rPr>
          <w:rStyle w:val="st"/>
          <w:rFonts w:asciiTheme="majorHAnsi" w:hAnsiTheme="majorHAnsi" w:cs="Calibri"/>
          <w:szCs w:val="22"/>
        </w:rPr>
        <w:t xml:space="preserve">consider </w:t>
      </w:r>
      <w:r w:rsidR="00E62EE3" w:rsidRPr="00820C89">
        <w:rPr>
          <w:rStyle w:val="st"/>
          <w:rFonts w:asciiTheme="majorHAnsi" w:hAnsiTheme="majorHAnsi" w:cs="Calibri"/>
          <w:szCs w:val="22"/>
        </w:rPr>
        <w:t>this</w:t>
      </w:r>
      <w:r w:rsidR="00E429D8" w:rsidRPr="00820C89">
        <w:rPr>
          <w:rStyle w:val="st"/>
          <w:rFonts w:asciiTheme="majorHAnsi" w:hAnsiTheme="majorHAnsi" w:cs="Calibri"/>
          <w:szCs w:val="22"/>
        </w:rPr>
        <w:t xml:space="preserve"> to be a significant barrier, as they</w:t>
      </w:r>
      <w:r w:rsidR="00EA048C" w:rsidRPr="00820C89">
        <w:rPr>
          <w:rStyle w:val="st"/>
          <w:rFonts w:asciiTheme="majorHAnsi" w:hAnsiTheme="majorHAnsi" w:cs="Calibri"/>
          <w:szCs w:val="22"/>
        </w:rPr>
        <w:t xml:space="preserve"> </w:t>
      </w:r>
      <w:r w:rsidR="00535CAD" w:rsidRPr="00820C89">
        <w:rPr>
          <w:rStyle w:val="st"/>
          <w:rFonts w:asciiTheme="majorHAnsi" w:hAnsiTheme="majorHAnsi" w:cs="Calibri"/>
          <w:szCs w:val="22"/>
        </w:rPr>
        <w:t>typically operate nationally and</w:t>
      </w:r>
      <w:r w:rsidR="003E01B3" w:rsidRPr="00820C89">
        <w:rPr>
          <w:rStyle w:val="st"/>
          <w:rFonts w:asciiTheme="majorHAnsi" w:hAnsiTheme="majorHAnsi" w:cs="Calibri"/>
          <w:szCs w:val="22"/>
        </w:rPr>
        <w:t xml:space="preserve"> have a large pool of employment opportunities. </w:t>
      </w:r>
      <w:r w:rsidR="00943938" w:rsidRPr="00820C89">
        <w:rPr>
          <w:rStyle w:val="st"/>
          <w:rFonts w:asciiTheme="majorHAnsi" w:hAnsiTheme="majorHAnsi" w:cs="Calibri"/>
          <w:szCs w:val="22"/>
        </w:rPr>
        <w:t>However, du</w:t>
      </w:r>
      <w:r w:rsidR="00F52DA8" w:rsidRPr="00820C89">
        <w:rPr>
          <w:rStyle w:val="st"/>
          <w:rFonts w:asciiTheme="majorHAnsi" w:hAnsiTheme="majorHAnsi" w:cs="Calibri"/>
          <w:szCs w:val="22"/>
        </w:rPr>
        <w:t xml:space="preserve">ring COVID-19, certain </w:t>
      </w:r>
      <w:r w:rsidR="00BE7D81" w:rsidRPr="00820C89">
        <w:rPr>
          <w:rStyle w:val="st"/>
          <w:rFonts w:asciiTheme="majorHAnsi" w:hAnsiTheme="majorHAnsi" w:cs="Calibri"/>
          <w:szCs w:val="22"/>
        </w:rPr>
        <w:t>industries</w:t>
      </w:r>
      <w:r w:rsidR="00F52DA8" w:rsidRPr="00820C89">
        <w:rPr>
          <w:rStyle w:val="st"/>
          <w:rFonts w:asciiTheme="majorHAnsi" w:hAnsiTheme="majorHAnsi" w:cs="Calibri"/>
          <w:szCs w:val="22"/>
        </w:rPr>
        <w:t xml:space="preserve"> </w:t>
      </w:r>
      <w:r w:rsidR="00F52DA8" w:rsidRPr="00820C89">
        <w:rPr>
          <w:rStyle w:val="st"/>
          <w:rFonts w:asciiTheme="majorHAnsi" w:hAnsiTheme="majorHAnsi" w:cs="Calibri"/>
          <w:szCs w:val="22"/>
        </w:rPr>
        <w:lastRenderedPageBreak/>
        <w:t>were particularly affected</w:t>
      </w:r>
      <w:r w:rsidR="004C69AD" w:rsidRPr="00820C89">
        <w:rPr>
          <w:rStyle w:val="st"/>
          <w:rFonts w:asciiTheme="majorHAnsi" w:hAnsiTheme="majorHAnsi" w:cs="Calibri"/>
          <w:szCs w:val="22"/>
        </w:rPr>
        <w:t xml:space="preserve"> (i.e. EPI Partners delivering accommodation or hospitality services)</w:t>
      </w:r>
      <w:r w:rsidR="002918EA" w:rsidRPr="00820C89">
        <w:rPr>
          <w:rStyle w:val="st"/>
          <w:rFonts w:asciiTheme="majorHAnsi" w:hAnsiTheme="majorHAnsi" w:cs="Calibri"/>
          <w:szCs w:val="22"/>
        </w:rPr>
        <w:t>, which</w:t>
      </w:r>
      <w:r w:rsidR="00BE7D81" w:rsidRPr="00820C89">
        <w:rPr>
          <w:rStyle w:val="st"/>
          <w:rFonts w:asciiTheme="majorHAnsi" w:hAnsiTheme="majorHAnsi" w:cs="Calibri"/>
          <w:szCs w:val="22"/>
        </w:rPr>
        <w:t xml:space="preserve"> al</w:t>
      </w:r>
      <w:r w:rsidR="0052598E" w:rsidRPr="00820C89">
        <w:rPr>
          <w:rStyle w:val="st"/>
          <w:rFonts w:asciiTheme="majorHAnsi" w:hAnsiTheme="majorHAnsi" w:cs="Calibri"/>
          <w:szCs w:val="22"/>
        </w:rPr>
        <w:t>so considerably</w:t>
      </w:r>
      <w:r w:rsidR="00882588" w:rsidRPr="00820C89">
        <w:rPr>
          <w:rStyle w:val="st"/>
          <w:rFonts w:asciiTheme="majorHAnsi" w:hAnsiTheme="majorHAnsi" w:cs="Calibri"/>
          <w:szCs w:val="22"/>
        </w:rPr>
        <w:t xml:space="preserve"> impacted the number of jobs available</w:t>
      </w:r>
      <w:r w:rsidR="00BE7D81" w:rsidRPr="00820C89">
        <w:rPr>
          <w:rStyle w:val="st"/>
          <w:rFonts w:asciiTheme="majorHAnsi" w:hAnsiTheme="majorHAnsi" w:cs="Calibri"/>
          <w:szCs w:val="22"/>
        </w:rPr>
        <w:t xml:space="preserve"> through the EPI program</w:t>
      </w:r>
      <w:r w:rsidR="00882588" w:rsidRPr="00820C89">
        <w:rPr>
          <w:rStyle w:val="st"/>
          <w:rFonts w:asciiTheme="majorHAnsi" w:hAnsiTheme="majorHAnsi" w:cs="Calibri"/>
          <w:szCs w:val="22"/>
        </w:rPr>
        <w:t xml:space="preserve">. </w:t>
      </w:r>
    </w:p>
    <w:p w14:paraId="08696115" w14:textId="77777777" w:rsidR="00E934BD" w:rsidRPr="00820C89" w:rsidRDefault="00247AE6" w:rsidP="00D9770E">
      <w:r w:rsidRPr="00820C89">
        <w:rPr>
          <w:b/>
          <w:color w:val="75787B" w:themeColor="accent6"/>
        </w:rPr>
        <w:t>Employer</w:t>
      </w:r>
      <w:r w:rsidR="00613CEA" w:rsidRPr="00820C89">
        <w:rPr>
          <w:b/>
          <w:color w:val="75787B" w:themeColor="accent6"/>
        </w:rPr>
        <w:t xml:space="preserve"> capabilities and</w:t>
      </w:r>
      <w:r w:rsidR="006D30E2" w:rsidRPr="00820C89">
        <w:rPr>
          <w:b/>
          <w:color w:val="75787B" w:themeColor="accent6"/>
        </w:rPr>
        <w:t xml:space="preserve"> attitudes</w:t>
      </w:r>
      <w:r w:rsidRPr="00820C89">
        <w:rPr>
          <w:b/>
          <w:color w:val="75787B" w:themeColor="accent6"/>
        </w:rPr>
        <w:t xml:space="preserve"> </w:t>
      </w:r>
      <w:r w:rsidR="0073416D" w:rsidRPr="00820C89">
        <w:t>–</w:t>
      </w:r>
      <w:r w:rsidR="00613CEA" w:rsidRPr="00820C89">
        <w:t xml:space="preserve"> </w:t>
      </w:r>
      <w:r w:rsidR="0073416D" w:rsidRPr="00820C89">
        <w:t>EPI partners, and some TAEG providers, are both the service</w:t>
      </w:r>
      <w:r w:rsidR="00C518B2" w:rsidRPr="00820C89">
        <w:t xml:space="preserve"> provider</w:t>
      </w:r>
      <w:r w:rsidR="0073416D" w:rsidRPr="00820C89">
        <w:t xml:space="preserve"> and the employer</w:t>
      </w:r>
      <w:r w:rsidR="00613CEA" w:rsidRPr="00820C89">
        <w:t xml:space="preserve">. </w:t>
      </w:r>
      <w:r w:rsidR="00490723" w:rsidRPr="00820C89">
        <w:t>T</w:t>
      </w:r>
      <w:r w:rsidR="00221C39" w:rsidRPr="00820C89">
        <w:t xml:space="preserve">his is not the case for </w:t>
      </w:r>
      <w:r w:rsidR="00490723" w:rsidRPr="00820C89">
        <w:t>VTEC providers</w:t>
      </w:r>
      <w:r w:rsidR="00D6513E" w:rsidRPr="00820C89">
        <w:t>, and some TAEG providers,</w:t>
      </w:r>
      <w:r w:rsidR="00490723" w:rsidRPr="00820C89">
        <w:t xml:space="preserve"> who act </w:t>
      </w:r>
      <w:r w:rsidR="005B31C9" w:rsidRPr="00820C89">
        <w:t xml:space="preserve">as the conjugate between the employer and </w:t>
      </w:r>
      <w:r w:rsidR="009D5B89" w:rsidRPr="00820C89">
        <w:t>participant</w:t>
      </w:r>
      <w:r w:rsidR="00D6513E" w:rsidRPr="00820C89">
        <w:t xml:space="preserve">, </w:t>
      </w:r>
      <w:r w:rsidR="009D5B89" w:rsidRPr="00820C89">
        <w:t>and</w:t>
      </w:r>
      <w:r w:rsidR="00C518B2" w:rsidRPr="00820C89">
        <w:t xml:space="preserve"> are required to rely on external employers. </w:t>
      </w:r>
    </w:p>
    <w:p w14:paraId="4DBE0E29" w14:textId="77777777" w:rsidR="00A36343" w:rsidRPr="00820C89" w:rsidRDefault="00FA46FC" w:rsidP="00D9770E">
      <w:r w:rsidRPr="00820C89">
        <w:t xml:space="preserve">Given the program focus on capacity-building for participants, rather than employers, </w:t>
      </w:r>
      <w:r w:rsidR="00512822" w:rsidRPr="00820C89">
        <w:t xml:space="preserve">several consulted providers found that </w:t>
      </w:r>
      <w:r w:rsidR="00AA3A0A" w:rsidRPr="00820C89">
        <w:t xml:space="preserve">the </w:t>
      </w:r>
      <w:r w:rsidR="00201968" w:rsidRPr="00820C89">
        <w:t>capabilities and unrealistic expectations</w:t>
      </w:r>
      <w:r w:rsidR="00AA3A0A" w:rsidRPr="00820C89">
        <w:t xml:space="preserve"> of available employers could be con</w:t>
      </w:r>
      <w:r w:rsidR="00982C4E" w:rsidRPr="00820C89">
        <w:t>s</w:t>
      </w:r>
      <w:r w:rsidR="00AA3A0A" w:rsidRPr="00820C89">
        <w:t xml:space="preserve">training: </w:t>
      </w:r>
    </w:p>
    <w:p w14:paraId="0F322931" w14:textId="77777777" w:rsidR="001075A6" w:rsidRPr="00820C89" w:rsidRDefault="001075A6" w:rsidP="001075A6">
      <w:pPr>
        <w:ind w:left="720"/>
      </w:pPr>
      <w:r w:rsidRPr="00820C89">
        <w:rPr>
          <w:i/>
          <w:iCs/>
        </w:rPr>
        <w:t>“We still probably see a lot of employers with great intent within the space, but either have just had no experience in Indigenous engagement, let alon</w:t>
      </w:r>
      <w:r w:rsidR="000771F0" w:rsidRPr="00820C89">
        <w:rPr>
          <w:i/>
          <w:iCs/>
        </w:rPr>
        <w:t>e</w:t>
      </w:r>
      <w:r w:rsidRPr="00820C89">
        <w:rPr>
          <w:i/>
          <w:iCs/>
        </w:rPr>
        <w:t xml:space="preserve"> employment</w:t>
      </w:r>
      <w:r w:rsidR="000771F0" w:rsidRPr="00820C89">
        <w:rPr>
          <w:i/>
          <w:iCs/>
        </w:rPr>
        <w:t xml:space="preserve"> or some of the areas they’re working in, like we had a company that came in and said “we want to employ 150 Aboriginal engineers”</w:t>
      </w:r>
      <w:r w:rsidR="00B87BE3" w:rsidRPr="00820C89">
        <w:rPr>
          <w:i/>
          <w:iCs/>
        </w:rPr>
        <w:t xml:space="preserve"> […] so it’s a lot of work to get the employers on the same level and the same realistic expectations about the candidates that we’re putting forward as well”</w:t>
      </w:r>
      <w:r w:rsidR="00810710" w:rsidRPr="00820C89">
        <w:rPr>
          <w:i/>
          <w:iCs/>
        </w:rPr>
        <w:t xml:space="preserve"> </w:t>
      </w:r>
      <w:r w:rsidR="00810710" w:rsidRPr="00820C89">
        <w:t xml:space="preserve">(VTEC provider). </w:t>
      </w:r>
    </w:p>
    <w:p w14:paraId="1262FEAA" w14:textId="77777777" w:rsidR="007625B2" w:rsidRPr="00820C89" w:rsidRDefault="003E4639" w:rsidP="009D5B89">
      <w:pPr>
        <w:ind w:left="720"/>
      </w:pPr>
      <w:r w:rsidRPr="00820C89">
        <w:rPr>
          <w:i/>
          <w:iCs/>
        </w:rPr>
        <w:t>“[Employers] want motor-free cruising, so they’re looking for the Stream As. They don’t really want to deal with challenging participants and partici</w:t>
      </w:r>
      <w:r w:rsidR="009D5B89" w:rsidRPr="00820C89">
        <w:rPr>
          <w:i/>
          <w:iCs/>
        </w:rPr>
        <w:t>pants that may need a bit of extra help” (</w:t>
      </w:r>
      <w:r w:rsidR="009D5B89" w:rsidRPr="00820C89">
        <w:t xml:space="preserve">VTEC provider). </w:t>
      </w:r>
    </w:p>
    <w:p w14:paraId="7AD08CA2" w14:textId="77777777" w:rsidR="001815D4" w:rsidRPr="00820C89" w:rsidRDefault="00A851C7" w:rsidP="001815D4">
      <w:r w:rsidRPr="00820C89">
        <w:t>While some providers noted they had strict screening policies for the employers they would work with</w:t>
      </w:r>
      <w:r w:rsidR="00676E6E" w:rsidRPr="00820C89">
        <w:t xml:space="preserve"> (i.e. </w:t>
      </w:r>
      <w:r w:rsidR="001E5197" w:rsidRPr="00820C89">
        <w:t xml:space="preserve">those that were, or had the capacity to be, </w:t>
      </w:r>
      <w:r w:rsidR="00676E6E" w:rsidRPr="00820C89">
        <w:t>culturally competent</w:t>
      </w:r>
      <w:r w:rsidR="001E5197" w:rsidRPr="00820C89">
        <w:t>),</w:t>
      </w:r>
      <w:r w:rsidR="005F78E3" w:rsidRPr="00820C89">
        <w:t xml:space="preserve"> this would be more challenging for providers operating in regions with limited employment options.  </w:t>
      </w:r>
    </w:p>
    <w:p w14:paraId="2DB00AA1" w14:textId="77777777" w:rsidR="00A00C18" w:rsidRPr="00820C89" w:rsidRDefault="004D5048" w:rsidP="005F41EC">
      <w:pPr>
        <w:pStyle w:val="Heading3"/>
      </w:pPr>
      <w:r w:rsidRPr="00820C89">
        <w:t>Program design features</w:t>
      </w:r>
      <w:r w:rsidR="005F41EC" w:rsidRPr="00820C89">
        <w:br/>
      </w:r>
    </w:p>
    <w:p w14:paraId="55948BFE" w14:textId="77777777" w:rsidR="002B6772" w:rsidRPr="00820C89" w:rsidRDefault="005F41EC" w:rsidP="00A55227">
      <w:r w:rsidRPr="00820C89">
        <w:rPr>
          <w:b/>
          <w:color w:val="75787B" w:themeColor="accent6"/>
        </w:rPr>
        <w:t>Outcomes-based funding model</w:t>
      </w:r>
      <w:r w:rsidRPr="00820C89">
        <w:rPr>
          <w:color w:val="75787B" w:themeColor="accent6"/>
        </w:rPr>
        <w:t xml:space="preserve"> </w:t>
      </w:r>
      <w:r w:rsidRPr="00820C89">
        <w:t>- al</w:t>
      </w:r>
      <w:r w:rsidR="00A00C18" w:rsidRPr="00820C89">
        <w:t xml:space="preserve">l in-scope programs are </w:t>
      </w:r>
      <w:r w:rsidR="005A6E56" w:rsidRPr="00820C89">
        <w:t xml:space="preserve">funded according to an outcomes-based funding model. </w:t>
      </w:r>
      <w:r w:rsidR="00E057C9" w:rsidRPr="00820C89">
        <w:t>All providers and partners receive</w:t>
      </w:r>
      <w:r w:rsidR="009E2F2A" w:rsidRPr="00820C89">
        <w:t xml:space="preserve"> payments</w:t>
      </w:r>
      <w:r w:rsidR="00055947" w:rsidRPr="00820C89">
        <w:t xml:space="preserve"> at the </w:t>
      </w:r>
      <w:r w:rsidR="00D267AC" w:rsidRPr="00820C89">
        <w:t>26-week</w:t>
      </w:r>
      <w:r w:rsidR="00055947" w:rsidRPr="00820C89">
        <w:t xml:space="preserve"> participant milestone, however, t</w:t>
      </w:r>
      <w:r w:rsidR="00A36A3D" w:rsidRPr="00820C89">
        <w:t>here is some variation</w:t>
      </w:r>
      <w:r w:rsidR="00A54E31" w:rsidRPr="00820C89">
        <w:t xml:space="preserve"> between programs</w:t>
      </w:r>
      <w:r w:rsidR="002B6772" w:rsidRPr="00820C89">
        <w:t>,</w:t>
      </w:r>
      <w:r w:rsidR="0082775A" w:rsidRPr="00820C89">
        <w:t xml:space="preserve"> i.e</w:t>
      </w:r>
      <w:r w:rsidR="004A1726" w:rsidRPr="00820C89">
        <w:t>.</w:t>
      </w:r>
      <w:r w:rsidR="002B6772" w:rsidRPr="00820C89">
        <w:t xml:space="preserve">: </w:t>
      </w:r>
    </w:p>
    <w:p w14:paraId="3ECB7062" w14:textId="77777777" w:rsidR="002B6772" w:rsidRPr="00820C89" w:rsidRDefault="00B123BD" w:rsidP="00715F70">
      <w:pPr>
        <w:pStyle w:val="ListParagraph"/>
        <w:numPr>
          <w:ilvl w:val="0"/>
          <w:numId w:val="76"/>
        </w:numPr>
      </w:pPr>
      <w:r w:rsidRPr="00820C89">
        <w:t xml:space="preserve">EPI partner </w:t>
      </w:r>
      <w:r w:rsidR="002B6772" w:rsidRPr="00820C89">
        <w:t>milestones are negotiated on a contract basis</w:t>
      </w:r>
    </w:p>
    <w:p w14:paraId="1DA322AA" w14:textId="77777777" w:rsidR="00A54E31" w:rsidRPr="00820C89" w:rsidRDefault="002B6772" w:rsidP="00715F70">
      <w:pPr>
        <w:pStyle w:val="ListParagraph"/>
        <w:numPr>
          <w:ilvl w:val="0"/>
          <w:numId w:val="76"/>
        </w:numPr>
      </w:pPr>
      <w:r w:rsidRPr="00820C89">
        <w:t>VTEC providers receive additional early milestone payments when supporting participan</w:t>
      </w:r>
      <w:r w:rsidR="008C3825" w:rsidRPr="00820C89">
        <w:t>ts classified as highly-disadvantaged</w:t>
      </w:r>
    </w:p>
    <w:p w14:paraId="16759D0A" w14:textId="77777777" w:rsidR="00F9450F" w:rsidRPr="00820C89" w:rsidRDefault="00F9450F" w:rsidP="00715F70">
      <w:pPr>
        <w:pStyle w:val="ListParagraph"/>
        <w:numPr>
          <w:ilvl w:val="0"/>
          <w:numId w:val="76"/>
        </w:numPr>
      </w:pPr>
      <w:r w:rsidRPr="00820C89">
        <w:t>TAEG provider</w:t>
      </w:r>
      <w:r w:rsidR="00B7031B" w:rsidRPr="00820C89">
        <w:t xml:space="preserve"> </w:t>
      </w:r>
      <w:r w:rsidR="00E057C9" w:rsidRPr="00820C89">
        <w:t xml:space="preserve">payment structures </w:t>
      </w:r>
      <w:r w:rsidR="00B7031B" w:rsidRPr="00820C89">
        <w:t>vary</w:t>
      </w:r>
      <w:r w:rsidR="001C1E74" w:rsidRPr="00820C89">
        <w:t>,</w:t>
      </w:r>
      <w:r w:rsidR="00E057C9" w:rsidRPr="00820C89">
        <w:t xml:space="preserve"> with some providers receiving early payments at four and 13 weeks. </w:t>
      </w:r>
    </w:p>
    <w:p w14:paraId="391654D6" w14:textId="77777777" w:rsidR="0027361C" w:rsidRPr="00820C89" w:rsidRDefault="00E056FD" w:rsidP="0027361C">
      <w:pPr>
        <w:rPr>
          <w:rFonts w:asciiTheme="majorHAnsi" w:hAnsiTheme="majorHAnsi"/>
          <w:bCs/>
          <w:iCs/>
          <w:color w:val="000000" w:themeColor="text1"/>
        </w:rPr>
      </w:pPr>
      <w:r w:rsidRPr="00820C89">
        <w:t xml:space="preserve">The rationale behind this approach was to </w:t>
      </w:r>
      <w:r w:rsidR="00B33D96" w:rsidRPr="00820C89">
        <w:t xml:space="preserve">ensure that </w:t>
      </w:r>
      <w:r w:rsidR="000A0EFE" w:rsidRPr="00820C89">
        <w:t>provider and partners avoid ‘training for training’s sake’ and to ensure that funding is used to effectively support</w:t>
      </w:r>
      <w:r w:rsidR="00480C3D" w:rsidRPr="00820C89">
        <w:t xml:space="preserve"> participants into employment. </w:t>
      </w:r>
      <w:r w:rsidR="00D267AC" w:rsidRPr="00820C89">
        <w:t>However, c</w:t>
      </w:r>
      <w:r w:rsidR="008C2019" w:rsidRPr="00820C89">
        <w:rPr>
          <w:rFonts w:asciiTheme="majorHAnsi" w:hAnsiTheme="majorHAnsi"/>
          <w:bCs/>
          <w:iCs/>
          <w:color w:val="000000" w:themeColor="text1"/>
        </w:rPr>
        <w:t>onsulted stakeholders questioned whether the</w:t>
      </w:r>
      <w:r w:rsidR="0027361C" w:rsidRPr="00820C89">
        <w:rPr>
          <w:rFonts w:asciiTheme="majorHAnsi" w:hAnsiTheme="majorHAnsi"/>
          <w:bCs/>
          <w:iCs/>
          <w:color w:val="000000" w:themeColor="text1"/>
        </w:rPr>
        <w:t xml:space="preserve"> </w:t>
      </w:r>
      <w:r w:rsidR="00D267AC" w:rsidRPr="00820C89">
        <w:rPr>
          <w:rFonts w:asciiTheme="majorHAnsi" w:hAnsiTheme="majorHAnsi"/>
          <w:bCs/>
          <w:iCs/>
          <w:color w:val="000000" w:themeColor="text1"/>
        </w:rPr>
        <w:t>26-week</w:t>
      </w:r>
      <w:r w:rsidR="0027361C" w:rsidRPr="00820C89">
        <w:rPr>
          <w:rFonts w:asciiTheme="majorHAnsi" w:hAnsiTheme="majorHAnsi"/>
          <w:bCs/>
          <w:iCs/>
          <w:color w:val="000000" w:themeColor="text1"/>
        </w:rPr>
        <w:t xml:space="preserve"> outcome measure was</w:t>
      </w:r>
      <w:r w:rsidR="008C2019" w:rsidRPr="00820C89">
        <w:rPr>
          <w:rFonts w:asciiTheme="majorHAnsi" w:hAnsiTheme="majorHAnsi"/>
          <w:bCs/>
          <w:iCs/>
          <w:color w:val="000000" w:themeColor="text1"/>
        </w:rPr>
        <w:t xml:space="preserve"> an appropriate</w:t>
      </w:r>
      <w:r w:rsidR="0027361C" w:rsidRPr="00820C89">
        <w:rPr>
          <w:rFonts w:asciiTheme="majorHAnsi" w:hAnsiTheme="majorHAnsi"/>
          <w:bCs/>
          <w:iCs/>
          <w:color w:val="000000" w:themeColor="text1"/>
        </w:rPr>
        <w:t xml:space="preserve"> indicator of participants gaining sustainable employment, </w:t>
      </w:r>
      <w:r w:rsidR="008C2019" w:rsidRPr="00820C89">
        <w:rPr>
          <w:rFonts w:asciiTheme="majorHAnsi" w:hAnsiTheme="majorHAnsi"/>
          <w:bCs/>
          <w:iCs/>
          <w:color w:val="000000" w:themeColor="text1"/>
        </w:rPr>
        <w:t>or a</w:t>
      </w:r>
      <w:r w:rsidR="00510FB2" w:rsidRPr="00820C89">
        <w:rPr>
          <w:rFonts w:asciiTheme="majorHAnsi" w:hAnsiTheme="majorHAnsi"/>
          <w:bCs/>
          <w:iCs/>
          <w:color w:val="000000" w:themeColor="text1"/>
        </w:rPr>
        <w:t>n</w:t>
      </w:r>
      <w:r w:rsidR="0027361C" w:rsidRPr="00820C89">
        <w:rPr>
          <w:rFonts w:asciiTheme="majorHAnsi" w:hAnsiTheme="majorHAnsi"/>
          <w:bCs/>
          <w:iCs/>
          <w:color w:val="000000" w:themeColor="text1"/>
        </w:rPr>
        <w:t xml:space="preserve"> accurate measure of the support required to ensure a participant remains in employment</w:t>
      </w:r>
      <w:r w:rsidR="00831EEB" w:rsidRPr="00820C89">
        <w:rPr>
          <w:rFonts w:asciiTheme="majorHAnsi" w:hAnsiTheme="majorHAnsi"/>
          <w:bCs/>
          <w:iCs/>
          <w:color w:val="000000" w:themeColor="text1"/>
        </w:rPr>
        <w:t xml:space="preserve">: </w:t>
      </w:r>
    </w:p>
    <w:p w14:paraId="28C1652B" w14:textId="77777777" w:rsidR="00831EEB" w:rsidRPr="00820C89" w:rsidRDefault="00831EEB" w:rsidP="00831EE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 xml:space="preserve">“The people that we’re employing are often coming from </w:t>
      </w:r>
      <w:r w:rsidR="00C85CC9" w:rsidRPr="00820C89">
        <w:rPr>
          <w:rFonts w:asciiTheme="majorHAnsi" w:eastAsia="Verdana" w:hAnsiTheme="majorHAnsi" w:cs="Times New Roman"/>
          <w:i/>
          <w:color w:val="000000" w:themeColor="text1"/>
        </w:rPr>
        <w:t>j</w:t>
      </w:r>
      <w:r w:rsidRPr="00820C89">
        <w:rPr>
          <w:rFonts w:asciiTheme="majorHAnsi" w:eastAsia="Verdana" w:hAnsiTheme="majorHAnsi" w:cs="Times New Roman"/>
          <w:i/>
          <w:color w:val="000000" w:themeColor="text1"/>
        </w:rPr>
        <w:t>obactive providers involved in VTEC so they’ve either been unemployed for quite a while for a reason or they haven’t been able to stay in work for a reason.  […]  So I think if it ran 12 months you get them comfortable and stable, and then you can bed down those behaviours to make sure it’s sustained employment if not with us they can hopefully even progress into another role in another organisation and take another step up.” (VTEC provider)</w:t>
      </w:r>
    </w:p>
    <w:p w14:paraId="1E52EAC8" w14:textId="77777777" w:rsidR="00036172" w:rsidRPr="00820C89" w:rsidRDefault="00831EEB" w:rsidP="000361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“[Within] a six-month period, you can sort of go and hit certain levels, but to get them to understand it fully, you obviously need more time, more tuition. I think 12 months for the suite of programs that we have been designing, sort of custom making for each employee, really needs 12 months to play out.  Especially literacy and numeracy, [and] money management.” (TAEG provider)</w:t>
      </w:r>
    </w:p>
    <w:p w14:paraId="6E05AB0F" w14:textId="77777777" w:rsidR="00A55227" w:rsidRPr="00820C89" w:rsidRDefault="00155430" w:rsidP="003F21E9">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ajorHAnsi" w:hAnsiTheme="majorHAnsi"/>
          <w:bCs/>
          <w:iCs/>
          <w:color w:val="000000" w:themeColor="text1"/>
        </w:rPr>
      </w:pPr>
      <w:r w:rsidRPr="00820C89">
        <w:rPr>
          <w:rFonts w:asciiTheme="majorHAnsi" w:hAnsiTheme="majorHAnsi"/>
          <w:bCs/>
          <w:iCs/>
          <w:color w:val="000000" w:themeColor="text1"/>
        </w:rPr>
        <w:t>T</w:t>
      </w:r>
      <w:r w:rsidR="00C32131" w:rsidRPr="00820C89">
        <w:rPr>
          <w:rFonts w:asciiTheme="majorHAnsi" w:hAnsiTheme="majorHAnsi"/>
          <w:bCs/>
          <w:iCs/>
          <w:color w:val="000000" w:themeColor="text1"/>
        </w:rPr>
        <w:t xml:space="preserve">he challenges in delivering the program and achieving successful outcomes for jobseekers experiencing complex barriers to employment, meant that many providers reported that the costs </w:t>
      </w:r>
      <w:r w:rsidR="00C32131" w:rsidRPr="00820C89">
        <w:rPr>
          <w:rFonts w:asciiTheme="majorHAnsi" w:hAnsiTheme="majorHAnsi"/>
          <w:bCs/>
          <w:iCs/>
          <w:color w:val="000000" w:themeColor="text1"/>
        </w:rPr>
        <w:lastRenderedPageBreak/>
        <w:t xml:space="preserve">of running the program were unsustainable. </w:t>
      </w:r>
      <w:r w:rsidR="00D76F5E" w:rsidRPr="00820C89">
        <w:rPr>
          <w:rFonts w:asciiTheme="majorHAnsi" w:hAnsiTheme="majorHAnsi"/>
          <w:bCs/>
          <w:iCs/>
          <w:color w:val="000000" w:themeColor="text1"/>
        </w:rPr>
        <w:t xml:space="preserve">Community, </w:t>
      </w:r>
      <w:r w:rsidR="00BC6AB1" w:rsidRPr="00820C89">
        <w:rPr>
          <w:rFonts w:asciiTheme="majorHAnsi" w:hAnsiTheme="majorHAnsi"/>
          <w:bCs/>
          <w:iCs/>
          <w:color w:val="000000" w:themeColor="text1"/>
        </w:rPr>
        <w:t>participant,</w:t>
      </w:r>
      <w:r w:rsidR="00D76F5E" w:rsidRPr="00820C89">
        <w:rPr>
          <w:rFonts w:asciiTheme="majorHAnsi" w:hAnsiTheme="majorHAnsi"/>
          <w:bCs/>
          <w:iCs/>
          <w:color w:val="000000" w:themeColor="text1"/>
        </w:rPr>
        <w:t xml:space="preserve"> and </w:t>
      </w:r>
      <w:r w:rsidR="00BC6AB1" w:rsidRPr="00820C89">
        <w:rPr>
          <w:rFonts w:asciiTheme="majorHAnsi" w:hAnsiTheme="majorHAnsi"/>
          <w:bCs/>
          <w:iCs/>
          <w:color w:val="000000" w:themeColor="text1"/>
        </w:rPr>
        <w:t xml:space="preserve">provider consults all cited extensive barriers to employment that many Indigenous jobseekers face. </w:t>
      </w:r>
      <w:r w:rsidR="00E03C8B" w:rsidRPr="00820C89">
        <w:rPr>
          <w:rFonts w:asciiTheme="majorHAnsi" w:hAnsiTheme="majorHAnsi"/>
          <w:bCs/>
          <w:iCs/>
          <w:color w:val="000000" w:themeColor="text1"/>
        </w:rPr>
        <w:t xml:space="preserve">Some </w:t>
      </w:r>
      <w:r w:rsidR="00B80859" w:rsidRPr="00820C89">
        <w:rPr>
          <w:rFonts w:asciiTheme="majorHAnsi" w:hAnsiTheme="majorHAnsi"/>
          <w:bCs/>
          <w:iCs/>
          <w:color w:val="000000" w:themeColor="text1"/>
        </w:rPr>
        <w:t>commonly cited barriers</w:t>
      </w:r>
      <w:r w:rsidR="00BC6AB1" w:rsidRPr="00820C89">
        <w:rPr>
          <w:rFonts w:asciiTheme="majorHAnsi" w:hAnsiTheme="majorHAnsi"/>
          <w:bCs/>
          <w:iCs/>
          <w:color w:val="000000" w:themeColor="text1"/>
        </w:rPr>
        <w:t xml:space="preserve"> include:</w:t>
      </w:r>
    </w:p>
    <w:p w14:paraId="6A804553" w14:textId="77777777" w:rsidR="00DD06E6" w:rsidRPr="00820C89" w:rsidRDefault="00DD06E6" w:rsidP="00715F70">
      <w:pPr>
        <w:pStyle w:val="ListParagraph"/>
        <w:numPr>
          <w:ilvl w:val="0"/>
          <w:numId w:val="76"/>
        </w:numPr>
      </w:pPr>
      <w:r w:rsidRPr="00820C89">
        <w:t xml:space="preserve">systemic racism </w:t>
      </w:r>
    </w:p>
    <w:p w14:paraId="55F06A20" w14:textId="77777777" w:rsidR="00A55227" w:rsidRPr="00820C89" w:rsidRDefault="00DD06E6" w:rsidP="00715F70">
      <w:pPr>
        <w:pStyle w:val="ListParagraph"/>
        <w:numPr>
          <w:ilvl w:val="0"/>
          <w:numId w:val="76"/>
        </w:numPr>
      </w:pPr>
      <w:r w:rsidRPr="00820C89">
        <w:t>a</w:t>
      </w:r>
      <w:r w:rsidR="00A55227" w:rsidRPr="00820C89">
        <w:t xml:space="preserve">lcohol and/or drug dependencies </w:t>
      </w:r>
    </w:p>
    <w:p w14:paraId="032439D3" w14:textId="77777777" w:rsidR="00C4777B" w:rsidRPr="00820C89" w:rsidRDefault="00DD06E6" w:rsidP="00715F70">
      <w:pPr>
        <w:pStyle w:val="ListParagraph"/>
        <w:numPr>
          <w:ilvl w:val="0"/>
          <w:numId w:val="76"/>
        </w:numPr>
      </w:pPr>
      <w:r w:rsidRPr="00820C89">
        <w:t>c</w:t>
      </w:r>
      <w:r w:rsidR="00C4777B" w:rsidRPr="00820C89">
        <w:t>riminal background</w:t>
      </w:r>
    </w:p>
    <w:p w14:paraId="1FCB1238" w14:textId="77777777" w:rsidR="00223F47" w:rsidRPr="00820C89" w:rsidRDefault="00DD06E6" w:rsidP="00715F70">
      <w:pPr>
        <w:pStyle w:val="ListParagraph"/>
        <w:numPr>
          <w:ilvl w:val="0"/>
          <w:numId w:val="76"/>
        </w:numPr>
      </w:pPr>
      <w:r w:rsidRPr="00820C89">
        <w:t>p</w:t>
      </w:r>
      <w:r w:rsidR="00223F47" w:rsidRPr="00820C89">
        <w:t xml:space="preserve">oor mental health </w:t>
      </w:r>
    </w:p>
    <w:p w14:paraId="4C86BB86" w14:textId="77777777" w:rsidR="00B80859" w:rsidRPr="00820C89" w:rsidRDefault="00DD06E6" w:rsidP="00715F70">
      <w:pPr>
        <w:pStyle w:val="ListParagraph"/>
        <w:numPr>
          <w:ilvl w:val="0"/>
          <w:numId w:val="76"/>
        </w:numPr>
      </w:pPr>
      <w:r w:rsidRPr="00820C89">
        <w:t>l</w:t>
      </w:r>
      <w:r w:rsidR="00832D0A" w:rsidRPr="00820C89">
        <w:t>iving arrangements (e.g. homelessness, domestic violence sufferer</w:t>
      </w:r>
      <w:r w:rsidR="00B80859" w:rsidRPr="00820C89">
        <w:t>)</w:t>
      </w:r>
    </w:p>
    <w:p w14:paraId="67D4D19A" w14:textId="77777777" w:rsidR="00246944" w:rsidRPr="00820C89" w:rsidRDefault="00832D0A" w:rsidP="00715F70">
      <w:pPr>
        <w:pStyle w:val="ListParagraph"/>
        <w:numPr>
          <w:ilvl w:val="0"/>
          <w:numId w:val="76"/>
        </w:numPr>
      </w:pPr>
      <w:r w:rsidRPr="00820C89">
        <w:t>lack of family support or carer responsibilities</w:t>
      </w:r>
    </w:p>
    <w:p w14:paraId="6A79FD8C" w14:textId="77777777" w:rsidR="00A55227" w:rsidRPr="00820C89" w:rsidRDefault="00DD06E6" w:rsidP="00715F70">
      <w:pPr>
        <w:pStyle w:val="ListParagraph"/>
        <w:numPr>
          <w:ilvl w:val="0"/>
          <w:numId w:val="76"/>
        </w:numPr>
      </w:pPr>
      <w:r w:rsidRPr="00820C89">
        <w:t>l</w:t>
      </w:r>
      <w:r w:rsidR="00A55227" w:rsidRPr="00820C89">
        <w:t>ack of birth certificate or drivers’ license</w:t>
      </w:r>
      <w:r w:rsidRPr="00820C89">
        <w:t xml:space="preserve">; and </w:t>
      </w:r>
    </w:p>
    <w:p w14:paraId="6500E6AF" w14:textId="77777777" w:rsidR="00C4777B" w:rsidRPr="00820C89" w:rsidRDefault="00DD06E6" w:rsidP="00715F70">
      <w:pPr>
        <w:pStyle w:val="ListParagraph"/>
        <w:numPr>
          <w:ilvl w:val="0"/>
          <w:numId w:val="76"/>
        </w:numPr>
      </w:pPr>
      <w:r w:rsidRPr="00820C89">
        <w:t>l</w:t>
      </w:r>
      <w:r w:rsidR="00832D0A" w:rsidRPr="00820C89">
        <w:t>ow literacy, numeracy and/ or computer literacy</w:t>
      </w:r>
      <w:r w:rsidRPr="00820C89">
        <w:t xml:space="preserve">. </w:t>
      </w:r>
    </w:p>
    <w:p w14:paraId="6E9EA6F5" w14:textId="77777777" w:rsidR="00EE14AC" w:rsidRPr="00820C89" w:rsidRDefault="00A04931" w:rsidP="00EE14A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color w:val="000000" w:themeColor="text1"/>
        </w:rPr>
        <w:t>As such,</w:t>
      </w:r>
      <w:r w:rsidR="00A8713F" w:rsidRPr="00820C89">
        <w:rPr>
          <w:rFonts w:asciiTheme="majorHAnsi" w:eastAsia="Verdana" w:hAnsiTheme="majorHAnsi" w:cs="Times New Roman"/>
          <w:color w:val="000000" w:themeColor="text1"/>
        </w:rPr>
        <w:t xml:space="preserve"> one of</w:t>
      </w:r>
      <w:r w:rsidR="00EE14AC" w:rsidRPr="00820C89">
        <w:rPr>
          <w:rFonts w:asciiTheme="majorHAnsi" w:eastAsia="Verdana" w:hAnsiTheme="majorHAnsi" w:cs="Times New Roman"/>
          <w:color w:val="000000" w:themeColor="text1"/>
        </w:rPr>
        <w:t xml:space="preserve"> providers’ most common criticisms of the funding model was the extent of unfunded and unseen work they are required to undertake with participants, both pre- and post-employment – suggesting there is a greater need for support than the program is designed for</w:t>
      </w:r>
      <w:r w:rsidR="003A6316" w:rsidRPr="00820C89">
        <w:rPr>
          <w:rFonts w:asciiTheme="majorHAnsi" w:eastAsia="Verdana" w:hAnsiTheme="majorHAnsi" w:cs="Times New Roman"/>
          <w:color w:val="000000" w:themeColor="text1"/>
        </w:rPr>
        <w:t xml:space="preserve">. </w:t>
      </w:r>
      <w:r w:rsidR="008B3507" w:rsidRPr="00820C89">
        <w:rPr>
          <w:rFonts w:asciiTheme="majorHAnsi" w:eastAsia="Verdana" w:hAnsiTheme="majorHAnsi" w:cs="Times New Roman"/>
          <w:color w:val="000000" w:themeColor="text1"/>
        </w:rPr>
        <w:t>P</w:t>
      </w:r>
      <w:r w:rsidR="003A6316" w:rsidRPr="00820C89">
        <w:rPr>
          <w:rFonts w:asciiTheme="majorHAnsi" w:eastAsia="Verdana" w:hAnsiTheme="majorHAnsi" w:cs="Times New Roman"/>
          <w:color w:val="000000" w:themeColor="text1"/>
        </w:rPr>
        <w:t>roviders consistently noted that the funding amount was insufficient to deliver the complete wraparound support that many jobseekers require to address their barriers to employment</w:t>
      </w:r>
      <w:r w:rsidR="00EE14AC" w:rsidRPr="00820C89">
        <w:rPr>
          <w:rFonts w:asciiTheme="majorHAnsi" w:eastAsia="Verdana" w:hAnsiTheme="majorHAnsi" w:cs="Times New Roman"/>
          <w:color w:val="000000" w:themeColor="text1"/>
        </w:rPr>
        <w:t xml:space="preserve">: </w:t>
      </w:r>
    </w:p>
    <w:p w14:paraId="5777E79C" w14:textId="77777777" w:rsidR="00EE14AC" w:rsidRPr="00820C89" w:rsidRDefault="00EE14AC" w:rsidP="00EE14AC">
      <w:pPr>
        <w:ind w:left="720"/>
        <w:contextualSpacing/>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 xml:space="preserve">“We might have been working with 25, 30 people but there is probably only 15 that we can actually claim for by the end of September that will have actually gotten into work.  And so the rest of them we don’t get anything for and the Department thinks we have probably been skirting off and not really working with people, but we have we just can’t claim for them, that’s all” (TAEG provider).  </w:t>
      </w:r>
    </w:p>
    <w:p w14:paraId="2DFD2703" w14:textId="77777777" w:rsidR="00EE14AC" w:rsidRPr="00820C89" w:rsidRDefault="00EE14AC" w:rsidP="00EE14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contextualSpacing/>
        <w:rPr>
          <w:rFonts w:asciiTheme="majorHAnsi" w:eastAsia="Verdana" w:hAnsiTheme="majorHAnsi" w:cs="Times New Roman"/>
          <w:i/>
          <w:color w:val="000000" w:themeColor="text1"/>
        </w:rPr>
      </w:pPr>
    </w:p>
    <w:p w14:paraId="63CE61AC" w14:textId="77777777" w:rsidR="00EE14AC" w:rsidRPr="00820C89" w:rsidRDefault="00EE14AC" w:rsidP="00EE14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“We’ve been doing mentoring, but we don’t get paid for it. So, that was one of the issues as well.  We done a lot of work and didn’t get paid for it in the end run.” (VTEC provider)</w:t>
      </w:r>
    </w:p>
    <w:p w14:paraId="7F85FD8A" w14:textId="77777777" w:rsidR="00EE14AC" w:rsidRPr="00820C89" w:rsidRDefault="00BE3848" w:rsidP="00EE14AC">
      <w:pPr>
        <w:ind w:left="720"/>
        <w:rPr>
          <w:rFonts w:asciiTheme="majorHAnsi" w:hAnsiTheme="majorHAnsi"/>
          <w:i/>
          <w:color w:val="000000" w:themeColor="text1"/>
        </w:rPr>
      </w:pPr>
      <w:r w:rsidRPr="00820C89">
        <w:rPr>
          <w:rFonts w:asciiTheme="majorHAnsi" w:hAnsiTheme="majorHAnsi"/>
          <w:i/>
          <w:color w:val="000000" w:themeColor="text1"/>
        </w:rPr>
        <w:t xml:space="preserve">“You may get $1,000 as a milestone payment when you sign someone up into a job, but it can cost $5,000-6,000 to get them there” (TAEG provider). </w:t>
      </w:r>
    </w:p>
    <w:p w14:paraId="525C9337" w14:textId="77777777" w:rsidR="00C32131" w:rsidRPr="00820C89" w:rsidRDefault="00C32131" w:rsidP="00C32131">
      <w:pPr>
        <w:rPr>
          <w:rFonts w:asciiTheme="majorHAnsi" w:eastAsia="Verdana" w:hAnsiTheme="majorHAnsi" w:cs="Calibri"/>
          <w:color w:val="000000" w:themeColor="text1"/>
        </w:rPr>
      </w:pPr>
      <w:r w:rsidRPr="00820C89">
        <w:rPr>
          <w:rFonts w:asciiTheme="majorHAnsi" w:eastAsia="Verdana" w:hAnsiTheme="majorHAnsi" w:cs="Times New Roman"/>
          <w:color w:val="000000" w:themeColor="text1"/>
        </w:rPr>
        <w:t xml:space="preserve">When reflecting on the sustainability of the program, in terms of the services they need to deliver within specified budgets, providers noted: </w:t>
      </w:r>
    </w:p>
    <w:p w14:paraId="44887707" w14:textId="77777777" w:rsidR="00C32131" w:rsidRPr="00820C89" w:rsidRDefault="00C32131" w:rsidP="00C32131">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“If I was running my business, I wouldn’t be able to run it this way.” (VTEC provider)</w:t>
      </w:r>
    </w:p>
    <w:p w14:paraId="424B1D69" w14:textId="77777777" w:rsidR="00C80323" w:rsidRPr="00820C89" w:rsidRDefault="00C32131" w:rsidP="006D1E76">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“I just wonder whether that something that in a broad sense should be considered for ongoing programs and things like that that maybe there should be some quarantine money that is specifically to be spent on participants rather than expecting organisations to take it off the bottom line, which is paying for the mentor wages and the mentor car and phone and all that other stuff.” (VTEC provider)</w:t>
      </w:r>
    </w:p>
    <w:p w14:paraId="56B42520" w14:textId="77777777" w:rsidR="00C80323" w:rsidRPr="00820C89" w:rsidRDefault="00C80323" w:rsidP="00C8032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i/>
          <w:color w:val="000000" w:themeColor="text1"/>
        </w:rPr>
      </w:pPr>
      <w:r w:rsidRPr="00820C89">
        <w:rPr>
          <w:rFonts w:asciiTheme="majorHAnsi" w:eastAsia="Verdana" w:hAnsiTheme="majorHAnsi" w:cs="Times New Roman"/>
          <w:color w:val="000000" w:themeColor="text1"/>
        </w:rPr>
        <w:t xml:space="preserve">In addition to the resources dedicated to directly supporting participants, providers also reflected on the significant administrative costs involved in delivering the program. Providers indicated they often expend considerable time and effort liaising with employers to source supporting evidence to demonstrate participants have reached employment milestones. It was noted that this high administrative burden can distract providers from their core responsibilities: </w:t>
      </w:r>
    </w:p>
    <w:p w14:paraId="5801309D" w14:textId="77777777" w:rsidR="00C80323" w:rsidRPr="00820C89" w:rsidRDefault="00C80323" w:rsidP="00C80323">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Pr>
          <w:rFonts w:asciiTheme="majorHAnsi" w:hAnsiTheme="majorHAnsi"/>
          <w:i/>
          <w:color w:val="000000" w:themeColor="text1"/>
        </w:rPr>
      </w:pPr>
      <w:r w:rsidRPr="00820C89">
        <w:rPr>
          <w:rFonts w:asciiTheme="majorHAnsi" w:hAnsiTheme="majorHAnsi"/>
          <w:i/>
          <w:color w:val="000000" w:themeColor="text1"/>
        </w:rPr>
        <w:t>“I think it’s an absolute nightmare because with our outcomes [...] we have to actually provide a payroll to our contract manager and it’s very, there’s not a lot of leeway.  So, if we might be one day short, but the jobseeker is still employed, we will still have to wait that extra fortnight pay to get that additional payroll to validate that outcome.” (VTEC provider).</w:t>
      </w:r>
    </w:p>
    <w:p w14:paraId="40B2D7C5" w14:textId="77777777" w:rsidR="00C32131" w:rsidRPr="00820C89" w:rsidRDefault="00040A00" w:rsidP="00C8032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rPr>
          <w:rFonts w:asciiTheme="majorHAnsi" w:hAnsiTheme="majorHAnsi"/>
          <w:i/>
          <w:color w:val="000000" w:themeColor="text1"/>
        </w:rPr>
      </w:pPr>
      <w:r w:rsidRPr="00820C89">
        <w:rPr>
          <w:rFonts w:asciiTheme="majorHAnsi" w:eastAsia="Verdana" w:hAnsiTheme="majorHAnsi" w:cs="Times New Roman"/>
          <w:color w:val="000000" w:themeColor="text1"/>
        </w:rPr>
        <w:t xml:space="preserve">Consultations indicated that for the VTEC program in particular, providers’ expectations were that the funding would cover the full cost of services provided to participants. </w:t>
      </w:r>
      <w:r w:rsidR="00C32131" w:rsidRPr="00820C89">
        <w:rPr>
          <w:rFonts w:asciiTheme="majorHAnsi" w:eastAsia="Verdana" w:hAnsiTheme="majorHAnsi" w:cs="Times New Roman"/>
          <w:color w:val="000000" w:themeColor="text1"/>
        </w:rPr>
        <w:t xml:space="preserve">While VTEC providers noted they have been accessing other available sources of funding – and this is the intent of the funding model, many expressed frustrations with the administrative effort required to effectively </w:t>
      </w:r>
      <w:r w:rsidR="00C32131" w:rsidRPr="00820C89">
        <w:rPr>
          <w:rFonts w:asciiTheme="majorHAnsi" w:eastAsia="Verdana" w:hAnsiTheme="majorHAnsi" w:cs="Times New Roman"/>
          <w:color w:val="000000" w:themeColor="text1"/>
        </w:rPr>
        <w:lastRenderedPageBreak/>
        <w:t>jigsaw different funding together.</w:t>
      </w:r>
      <w:r w:rsidR="00C32131" w:rsidRPr="00820C89">
        <w:rPr>
          <w:rFonts w:asciiTheme="majorHAnsi" w:eastAsia="Verdana" w:hAnsiTheme="majorHAnsi" w:cs="Times New Roman"/>
          <w:b/>
          <w:color w:val="000000" w:themeColor="text1"/>
        </w:rPr>
        <w:t xml:space="preserve"> </w:t>
      </w:r>
      <w:r w:rsidR="00C32131" w:rsidRPr="00820C89">
        <w:rPr>
          <w:rFonts w:asciiTheme="majorHAnsi" w:eastAsia="Verdana" w:hAnsiTheme="majorHAnsi" w:cs="Times New Roman"/>
          <w:b/>
          <w:color w:val="000000" w:themeColor="text1"/>
        </w:rPr>
        <w:br/>
      </w:r>
    </w:p>
    <w:p w14:paraId="39490EEE" w14:textId="77777777" w:rsidR="00D5380A" w:rsidRPr="00820C89" w:rsidRDefault="00D5380A" w:rsidP="00D5380A">
      <w:pPr>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rPr>
          <w:rFonts w:asciiTheme="majorHAnsi" w:hAnsiTheme="majorHAnsi"/>
          <w:b/>
          <w:bCs/>
          <w:iCs/>
          <w:color w:val="000000" w:themeColor="text1"/>
        </w:rPr>
      </w:pPr>
      <w:bookmarkStart w:id="85" w:name="Suggestion3"/>
      <w:r w:rsidRPr="00820C89">
        <w:rPr>
          <w:rFonts w:asciiTheme="majorHAnsi" w:hAnsiTheme="majorHAnsi"/>
          <w:b/>
          <w:bCs/>
          <w:iCs/>
          <w:color w:val="000000" w:themeColor="text1"/>
        </w:rPr>
        <w:t xml:space="preserve">Suggestion 3: </w:t>
      </w:r>
      <w:bookmarkEnd w:id="85"/>
      <w:r w:rsidRPr="00820C89">
        <w:rPr>
          <w:rFonts w:asciiTheme="majorHAnsi" w:hAnsiTheme="majorHAnsi"/>
          <w:b/>
          <w:bCs/>
          <w:iCs/>
          <w:color w:val="000000" w:themeColor="text1"/>
        </w:rPr>
        <w:t>Future funding models should be informed by an understanding of the costs and/or value of service delivery, and adopt a refined approach to outcomes-based funding, based on an understanding of the circumstances in which it is appropriate and effective.</w:t>
      </w:r>
    </w:p>
    <w:p w14:paraId="42CE973A" w14:textId="77777777" w:rsidR="00D5380A" w:rsidRPr="00820C89" w:rsidRDefault="00D5380A" w:rsidP="00D5380A">
      <w:pPr>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heme="majorHAnsi" w:hAnsiTheme="majorHAnsi"/>
          <w:iCs/>
          <w:color w:val="000000" w:themeColor="text1"/>
        </w:rPr>
      </w:pPr>
    </w:p>
    <w:p w14:paraId="0A8C72F3" w14:textId="77777777" w:rsidR="00D5380A" w:rsidRPr="00820C89" w:rsidRDefault="00D5380A" w:rsidP="00D5380A">
      <w:pPr>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Cs/>
          <w:color w:val="000000" w:themeColor="text1"/>
        </w:rPr>
      </w:pPr>
      <w:r w:rsidRPr="00820C89">
        <w:rPr>
          <w:rFonts w:asciiTheme="majorHAnsi" w:hAnsiTheme="majorHAnsi"/>
          <w:iCs/>
          <w:color w:val="000000" w:themeColor="text1"/>
        </w:rPr>
        <w:t>This evaluation has been unable to identify detailed evidence of how the existing funding model was developed (beyond the simple unit-cost table and guidelines examined in Section 4.5.1). Further, the stakeholder evidence presented in this chapter suggests that there are potential issues with the existing model, in particular with the adequacy of the payments made to providers.</w:t>
      </w:r>
    </w:p>
    <w:p w14:paraId="492296D0" w14:textId="77777777" w:rsidR="00D5380A" w:rsidRPr="00820C89" w:rsidRDefault="00D5380A" w:rsidP="00D5380A">
      <w:pPr>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Cs/>
          <w:color w:val="000000" w:themeColor="text1"/>
        </w:rPr>
      </w:pPr>
      <w:r w:rsidRPr="00820C89">
        <w:rPr>
          <w:rFonts w:asciiTheme="majorHAnsi" w:hAnsiTheme="majorHAnsi"/>
          <w:iCs/>
          <w:color w:val="000000" w:themeColor="text1"/>
        </w:rPr>
        <w:t xml:space="preserve">Future funding models should be informed by either an activity or public value-based funding study (or combination of both). Exercises of this nature would establish what the true costs of service delivery </w:t>
      </w:r>
      <w:r w:rsidRPr="00820C89">
        <w:rPr>
          <w:rFonts w:asciiTheme="majorHAnsi" w:hAnsiTheme="majorHAnsi"/>
          <w:color w:val="000000" w:themeColor="text1"/>
        </w:rPr>
        <w:t>are for an effective provider and/or what the value of the outcomes achieved are for participants and the broader community. This would ensure that there is a sound analytical foundation for the program’s funding and</w:t>
      </w:r>
      <w:r w:rsidRPr="00820C89">
        <w:rPr>
          <w:rFonts w:asciiTheme="majorHAnsi" w:hAnsiTheme="majorHAnsi"/>
          <w:iCs/>
          <w:color w:val="000000" w:themeColor="text1"/>
        </w:rPr>
        <w:t xml:space="preserve"> give the agency confidence that the funding provided is appropriate.</w:t>
      </w:r>
    </w:p>
    <w:p w14:paraId="4F008ECA" w14:textId="77777777" w:rsidR="00D5380A" w:rsidRPr="00820C89" w:rsidRDefault="00D5380A" w:rsidP="00D5380A">
      <w:pPr>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Cs/>
          <w:color w:val="000000" w:themeColor="text1"/>
        </w:rPr>
      </w:pPr>
      <w:r w:rsidRPr="00820C89">
        <w:rPr>
          <w:rFonts w:asciiTheme="majorHAnsi" w:hAnsiTheme="majorHAnsi"/>
          <w:iCs/>
          <w:color w:val="000000" w:themeColor="text1"/>
        </w:rPr>
        <w:t>In designing a future model, policymakers should look to examples in the health and education sectors, both of which often make use of sophisticated funding models.</w:t>
      </w:r>
      <w:r w:rsidRPr="00820C89">
        <w:rPr>
          <w:rStyle w:val="FootnoteReference"/>
          <w:rFonts w:asciiTheme="majorHAnsi" w:hAnsiTheme="majorHAnsi"/>
          <w:iCs/>
          <w:color w:val="000000" w:themeColor="text1"/>
        </w:rPr>
        <w:footnoteReference w:id="38"/>
      </w:r>
      <w:r w:rsidRPr="00820C89">
        <w:rPr>
          <w:rFonts w:asciiTheme="majorHAnsi" w:hAnsiTheme="majorHAnsi"/>
          <w:iCs/>
          <w:color w:val="000000" w:themeColor="text1"/>
        </w:rPr>
        <w:t xml:space="preserve"> Practically, this would likely involve working with a sample of providers who operate in a diverse range of settings and are deemed to be effective at generating positive outcomes, to understand the cost of quality service provision in different environments.</w:t>
      </w:r>
    </w:p>
    <w:p w14:paraId="7E029691" w14:textId="6372C46E" w:rsidR="007720CF" w:rsidRPr="00820C89" w:rsidRDefault="00D5380A" w:rsidP="00D5380A">
      <w:pPr>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rPr>
          <w:rFonts w:asciiTheme="majorHAnsi" w:hAnsiTheme="majorHAnsi"/>
          <w:i/>
          <w:color w:val="000000" w:themeColor="text1"/>
        </w:rPr>
      </w:pPr>
      <w:r w:rsidRPr="00820C89">
        <w:rPr>
          <w:rFonts w:asciiTheme="majorHAnsi" w:hAnsiTheme="majorHAnsi"/>
          <w:iCs/>
          <w:color w:val="000000" w:themeColor="text1"/>
        </w:rPr>
        <w:t xml:space="preserve">Additionally, while elements of outcomes-based funding can be effective at encouraging provider efficiency, further care needs to be taken to understand the instances in which it is inappropriate. </w:t>
      </w:r>
      <w:r w:rsidRPr="00820C89">
        <w:rPr>
          <w:iCs/>
        </w:rPr>
        <w:t>For example, in highly remote areas where providers can only work with a very small number of participants/employers (and the cost of delivery is generally higher) further upfront funding, or the direct provision of services may be required, to ensure that services can still be delivered (see section 4.5.4 for a further exploration of the decisions the agency may need to make around service coverage).</w:t>
      </w:r>
    </w:p>
    <w:p w14:paraId="445737AE" w14:textId="77777777" w:rsidR="007720CF" w:rsidRPr="00820C89" w:rsidRDefault="007720CF" w:rsidP="00C8032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rPr>
          <w:rFonts w:asciiTheme="majorHAnsi" w:hAnsiTheme="majorHAnsi"/>
          <w:i/>
          <w:color w:val="000000" w:themeColor="text1"/>
        </w:rPr>
      </w:pPr>
    </w:p>
    <w:p w14:paraId="60FFE38D" w14:textId="77777777" w:rsidR="00A77604" w:rsidRPr="00820C89" w:rsidRDefault="001A79E9" w:rsidP="0082175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hAnsiTheme="majorHAnsi"/>
          <w:b/>
          <w:color w:val="75787B" w:themeColor="accent6"/>
        </w:rPr>
        <w:t>Contract timeframes</w:t>
      </w:r>
      <w:r w:rsidR="00BE7D81" w:rsidRPr="00820C89">
        <w:rPr>
          <w:rFonts w:asciiTheme="majorHAnsi" w:hAnsiTheme="majorHAnsi"/>
          <w:b/>
          <w:color w:val="75787B" w:themeColor="accent6"/>
        </w:rPr>
        <w:t xml:space="preserve"> </w:t>
      </w:r>
      <w:r w:rsidR="00AE2969" w:rsidRPr="00820C89">
        <w:rPr>
          <w:rFonts w:asciiTheme="majorHAnsi" w:hAnsiTheme="majorHAnsi"/>
          <w:b/>
          <w:bCs/>
          <w:color w:val="000000" w:themeColor="text1"/>
        </w:rPr>
        <w:t>–</w:t>
      </w:r>
      <w:r w:rsidR="00BE7D81" w:rsidRPr="00820C89">
        <w:rPr>
          <w:rFonts w:asciiTheme="majorHAnsi" w:hAnsiTheme="majorHAnsi"/>
          <w:b/>
          <w:bCs/>
          <w:color w:val="000000" w:themeColor="text1"/>
        </w:rPr>
        <w:t xml:space="preserve"> </w:t>
      </w:r>
      <w:r w:rsidR="00AE2969" w:rsidRPr="00820C89">
        <w:rPr>
          <w:rFonts w:asciiTheme="majorHAnsi" w:eastAsia="Verdana" w:hAnsiTheme="majorHAnsi" w:cs="Times New Roman"/>
          <w:color w:val="000000" w:themeColor="text1"/>
        </w:rPr>
        <w:t>the contract lengths vary</w:t>
      </w:r>
      <w:r w:rsidR="00DA1675" w:rsidRPr="00820C89">
        <w:rPr>
          <w:rFonts w:asciiTheme="majorHAnsi" w:eastAsia="Verdana" w:hAnsiTheme="majorHAnsi" w:cs="Times New Roman"/>
          <w:color w:val="000000" w:themeColor="text1"/>
        </w:rPr>
        <w:t xml:space="preserve"> between in-scope program</w:t>
      </w:r>
      <w:r w:rsidR="00AE2969" w:rsidRPr="00820C89">
        <w:rPr>
          <w:rFonts w:asciiTheme="majorHAnsi" w:eastAsia="Verdana" w:hAnsiTheme="majorHAnsi" w:cs="Times New Roman"/>
          <w:color w:val="000000" w:themeColor="text1"/>
        </w:rPr>
        <w:t>s</w:t>
      </w:r>
      <w:r w:rsidR="00A77604" w:rsidRPr="00820C89">
        <w:rPr>
          <w:rFonts w:asciiTheme="majorHAnsi" w:eastAsia="Verdana" w:hAnsiTheme="majorHAnsi" w:cs="Times New Roman"/>
          <w:color w:val="000000" w:themeColor="text1"/>
        </w:rPr>
        <w:t xml:space="preserve">, specifically: </w:t>
      </w:r>
    </w:p>
    <w:p w14:paraId="53C99427" w14:textId="77777777" w:rsidR="00A77604" w:rsidRPr="00820C89" w:rsidRDefault="00216380" w:rsidP="00715F70">
      <w:pPr>
        <w:pStyle w:val="ListParagraph"/>
        <w:numPr>
          <w:ilvl w:val="0"/>
          <w:numId w:val="79"/>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color w:val="000000" w:themeColor="text1"/>
        </w:rPr>
        <w:t>TAEG contracts vary in length</w:t>
      </w:r>
      <w:r w:rsidR="0082175B" w:rsidRPr="00820C89">
        <w:rPr>
          <w:rFonts w:asciiTheme="majorHAnsi" w:eastAsia="Verdana" w:hAnsiTheme="majorHAnsi" w:cs="Times New Roman"/>
          <w:color w:val="000000" w:themeColor="text1"/>
        </w:rPr>
        <w:t xml:space="preserve"> </w:t>
      </w:r>
      <w:r w:rsidRPr="00820C89">
        <w:rPr>
          <w:rFonts w:asciiTheme="majorHAnsi" w:eastAsia="Verdana" w:hAnsiTheme="majorHAnsi" w:cs="Times New Roman"/>
          <w:color w:val="000000" w:themeColor="text1"/>
        </w:rPr>
        <w:t xml:space="preserve">(with both single- and multi-year options) </w:t>
      </w:r>
    </w:p>
    <w:p w14:paraId="774586A3" w14:textId="6A46882D" w:rsidR="0082175B" w:rsidRPr="00820C89" w:rsidRDefault="0082175B" w:rsidP="00715F70">
      <w:pPr>
        <w:pStyle w:val="ListParagraph"/>
        <w:numPr>
          <w:ilvl w:val="0"/>
          <w:numId w:val="79"/>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color w:val="000000" w:themeColor="text1"/>
        </w:rPr>
        <w:t xml:space="preserve">VTEC contracts </w:t>
      </w:r>
      <w:r w:rsidR="00AA183D" w:rsidRPr="00820C89">
        <w:rPr>
          <w:rFonts w:asciiTheme="majorHAnsi" w:eastAsia="Verdana" w:hAnsiTheme="majorHAnsi" w:cs="Times New Roman"/>
          <w:color w:val="000000" w:themeColor="text1"/>
        </w:rPr>
        <w:t xml:space="preserve">were initially </w:t>
      </w:r>
      <w:r w:rsidRPr="00820C89">
        <w:rPr>
          <w:rFonts w:asciiTheme="majorHAnsi" w:eastAsia="Verdana" w:hAnsiTheme="majorHAnsi" w:cs="Times New Roman"/>
          <w:color w:val="000000" w:themeColor="text1"/>
        </w:rPr>
        <w:t>three years in length</w:t>
      </w:r>
    </w:p>
    <w:p w14:paraId="414B1FB0" w14:textId="2EE305A8" w:rsidR="00216380" w:rsidRPr="00820C89" w:rsidRDefault="00216380" w:rsidP="00715F70">
      <w:pPr>
        <w:pStyle w:val="ListParagraph"/>
        <w:numPr>
          <w:ilvl w:val="0"/>
          <w:numId w:val="79"/>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color w:val="000000" w:themeColor="text1"/>
        </w:rPr>
        <w:t xml:space="preserve">EPI contracts </w:t>
      </w:r>
      <w:r w:rsidR="00AA183D" w:rsidRPr="00820C89">
        <w:rPr>
          <w:rFonts w:asciiTheme="majorHAnsi" w:eastAsia="Verdana" w:hAnsiTheme="majorHAnsi" w:cs="Times New Roman"/>
          <w:color w:val="000000" w:themeColor="text1"/>
        </w:rPr>
        <w:t>vary</w:t>
      </w:r>
      <w:r w:rsidR="0082175B" w:rsidRPr="00820C89">
        <w:rPr>
          <w:rFonts w:asciiTheme="majorHAnsi" w:eastAsia="Verdana" w:hAnsiTheme="majorHAnsi" w:cs="Times New Roman"/>
          <w:color w:val="000000" w:themeColor="text1"/>
        </w:rPr>
        <w:t xml:space="preserve"> in length. </w:t>
      </w:r>
    </w:p>
    <w:p w14:paraId="7A0B822B" w14:textId="77777777" w:rsidR="0082175B" w:rsidRPr="00820C89" w:rsidRDefault="00A30571" w:rsidP="00A30571">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color w:val="000000" w:themeColor="text1"/>
        </w:rPr>
        <w:t>In terms of the broader contract length, VTEC offers a longer contract (three years) than some comparable programs</w:t>
      </w:r>
      <w:r w:rsidR="005317AE" w:rsidRPr="00820C89">
        <w:rPr>
          <w:rFonts w:asciiTheme="majorHAnsi" w:eastAsia="Verdana" w:hAnsiTheme="majorHAnsi" w:cs="Times New Roman"/>
          <w:color w:val="000000" w:themeColor="text1"/>
        </w:rPr>
        <w:t xml:space="preserve"> (not in-scope for review)</w:t>
      </w:r>
      <w:r w:rsidRPr="00820C89">
        <w:rPr>
          <w:rFonts w:asciiTheme="majorHAnsi" w:eastAsia="Verdana" w:hAnsiTheme="majorHAnsi" w:cs="Times New Roman"/>
          <w:color w:val="000000" w:themeColor="text1"/>
        </w:rPr>
        <w:t>, which motivated some providers to apply for the program.</w:t>
      </w:r>
      <w:r w:rsidR="005317AE" w:rsidRPr="00820C89">
        <w:rPr>
          <w:rFonts w:asciiTheme="majorHAnsi" w:eastAsia="Verdana" w:hAnsiTheme="majorHAnsi" w:cs="Times New Roman"/>
          <w:color w:val="000000" w:themeColor="text1"/>
        </w:rPr>
        <w:t xml:space="preserve"> </w:t>
      </w:r>
      <w:r w:rsidRPr="00820C89">
        <w:rPr>
          <w:rFonts w:asciiTheme="majorHAnsi" w:eastAsia="Verdana" w:hAnsiTheme="majorHAnsi" w:cs="Times New Roman"/>
          <w:color w:val="000000" w:themeColor="text1"/>
        </w:rPr>
        <w:t>However, three-year contracts are still deemed by some providers to be too short, particularly for the first contract which requires establishing the program processes and raising awareness about the program in the community</w:t>
      </w:r>
      <w:r w:rsidR="0082175B" w:rsidRPr="00820C89">
        <w:rPr>
          <w:rFonts w:asciiTheme="majorHAnsi" w:eastAsia="Verdana" w:hAnsiTheme="majorHAnsi" w:cs="Times New Roman"/>
          <w:color w:val="000000" w:themeColor="text1"/>
        </w:rPr>
        <w:t>.</w:t>
      </w:r>
      <w:r w:rsidR="00E444C8" w:rsidRPr="00820C89">
        <w:rPr>
          <w:rFonts w:asciiTheme="majorHAnsi" w:eastAsia="Verdana" w:hAnsiTheme="majorHAnsi" w:cs="Times New Roman"/>
          <w:color w:val="000000" w:themeColor="text1"/>
        </w:rPr>
        <w:t xml:space="preserve"> </w:t>
      </w:r>
      <w:r w:rsidR="00E444C8" w:rsidRPr="00820C89">
        <w:rPr>
          <w:rFonts w:asciiTheme="majorHAnsi" w:eastAsia="Verdana" w:hAnsiTheme="majorHAnsi" w:cs="Times New Roman"/>
          <w:iCs/>
          <w:color w:val="000000" w:themeColor="text1"/>
        </w:rPr>
        <w:t xml:space="preserve">The implications of this is that the providers are </w:t>
      </w:r>
      <w:r w:rsidR="000314A4" w:rsidRPr="00820C89">
        <w:rPr>
          <w:rFonts w:asciiTheme="majorHAnsi" w:eastAsia="Verdana" w:hAnsiTheme="majorHAnsi" w:cs="Times New Roman"/>
          <w:iCs/>
          <w:color w:val="000000" w:themeColor="text1"/>
        </w:rPr>
        <w:t xml:space="preserve">required to wear significant financial risk </w:t>
      </w:r>
      <w:r w:rsidR="008F25DA" w:rsidRPr="00820C89">
        <w:rPr>
          <w:rFonts w:asciiTheme="majorHAnsi" w:eastAsia="Verdana" w:hAnsiTheme="majorHAnsi" w:cs="Times New Roman"/>
          <w:iCs/>
          <w:color w:val="000000" w:themeColor="text1"/>
        </w:rPr>
        <w:t xml:space="preserve">during the establishment phase, </w:t>
      </w:r>
      <w:r w:rsidR="0085414B" w:rsidRPr="00820C89">
        <w:rPr>
          <w:rFonts w:asciiTheme="majorHAnsi" w:eastAsia="Verdana" w:hAnsiTheme="majorHAnsi" w:cs="Times New Roman"/>
          <w:iCs/>
          <w:color w:val="000000" w:themeColor="text1"/>
        </w:rPr>
        <w:t xml:space="preserve">even though it may </w:t>
      </w:r>
      <w:r w:rsidR="00D32218" w:rsidRPr="00820C89">
        <w:rPr>
          <w:rFonts w:asciiTheme="majorHAnsi" w:eastAsia="Verdana" w:hAnsiTheme="majorHAnsi" w:cs="Times New Roman"/>
          <w:iCs/>
          <w:color w:val="000000" w:themeColor="text1"/>
        </w:rPr>
        <w:t>take time for the venture to become utilised and sust</w:t>
      </w:r>
      <w:r w:rsidR="0022504B" w:rsidRPr="00820C89">
        <w:rPr>
          <w:rFonts w:asciiTheme="majorHAnsi" w:eastAsia="Verdana" w:hAnsiTheme="majorHAnsi" w:cs="Times New Roman"/>
          <w:iCs/>
          <w:color w:val="000000" w:themeColor="text1"/>
        </w:rPr>
        <w:t>ainable</w:t>
      </w:r>
      <w:r w:rsidR="008302F9" w:rsidRPr="00820C89">
        <w:rPr>
          <w:rFonts w:asciiTheme="majorHAnsi" w:eastAsia="Verdana" w:hAnsiTheme="majorHAnsi" w:cs="Times New Roman"/>
          <w:iCs/>
          <w:color w:val="000000" w:themeColor="text1"/>
        </w:rPr>
        <w:t>:</w:t>
      </w:r>
    </w:p>
    <w:p w14:paraId="268DA6A8" w14:textId="77777777" w:rsidR="0082175B" w:rsidRPr="00820C89" w:rsidRDefault="0082175B" w:rsidP="0082175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09"/>
        <w:rPr>
          <w:rFonts w:asciiTheme="majorHAnsi" w:eastAsia="Verdana" w:hAnsiTheme="majorHAnsi" w:cs="Times New Roman"/>
          <w:color w:val="000000" w:themeColor="text1"/>
        </w:rPr>
      </w:pPr>
      <w:r w:rsidRPr="00820C89">
        <w:rPr>
          <w:rFonts w:asciiTheme="majorHAnsi" w:hAnsiTheme="majorHAnsi"/>
          <w:i/>
          <w:iCs/>
          <w:color w:val="000000" w:themeColor="text1"/>
        </w:rPr>
        <w:t>“program set-up requires building significant organisational capacity around infrastructure and staffing” (TAEG provider</w:t>
      </w:r>
      <w:r w:rsidR="0024273C" w:rsidRPr="00820C89">
        <w:rPr>
          <w:rFonts w:asciiTheme="majorHAnsi" w:hAnsiTheme="majorHAnsi"/>
          <w:i/>
          <w:iCs/>
          <w:color w:val="000000" w:themeColor="text1"/>
        </w:rPr>
        <w:t>).</w:t>
      </w:r>
    </w:p>
    <w:p w14:paraId="233F3866" w14:textId="77777777" w:rsidR="00A30571" w:rsidRPr="00820C89" w:rsidRDefault="00A30571" w:rsidP="0082175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09"/>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“It took a few years for people to realise what the VTEC actually was”</w:t>
      </w:r>
      <w:r w:rsidR="0024273C" w:rsidRPr="00820C89">
        <w:rPr>
          <w:rFonts w:asciiTheme="majorHAnsi" w:eastAsia="Verdana" w:hAnsiTheme="majorHAnsi" w:cs="Times New Roman"/>
          <w:i/>
          <w:color w:val="000000" w:themeColor="text1"/>
        </w:rPr>
        <w:t xml:space="preserve"> (TAEG provider). </w:t>
      </w:r>
    </w:p>
    <w:p w14:paraId="4B6371D4" w14:textId="77777777" w:rsidR="008302F9" w:rsidRPr="00820C89" w:rsidRDefault="008302F9" w:rsidP="008302F9">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iCs/>
          <w:color w:val="000000" w:themeColor="text1"/>
        </w:rPr>
      </w:pPr>
      <w:r w:rsidRPr="00820C89">
        <w:rPr>
          <w:rFonts w:asciiTheme="majorHAnsi" w:eastAsia="Verdana" w:hAnsiTheme="majorHAnsi" w:cs="Times New Roman"/>
          <w:iCs/>
          <w:color w:val="000000" w:themeColor="text1"/>
        </w:rPr>
        <w:lastRenderedPageBreak/>
        <w:t>While NIAA does offer some advanced payments, the</w:t>
      </w:r>
      <w:r w:rsidR="003D342E" w:rsidRPr="00820C89">
        <w:rPr>
          <w:rFonts w:asciiTheme="majorHAnsi" w:eastAsia="Verdana" w:hAnsiTheme="majorHAnsi" w:cs="Times New Roman"/>
          <w:iCs/>
          <w:color w:val="000000" w:themeColor="text1"/>
        </w:rPr>
        <w:t>y</w:t>
      </w:r>
      <w:r w:rsidRPr="00820C89">
        <w:rPr>
          <w:rFonts w:asciiTheme="majorHAnsi" w:eastAsia="Verdana" w:hAnsiTheme="majorHAnsi" w:cs="Times New Roman"/>
          <w:iCs/>
          <w:color w:val="000000" w:themeColor="text1"/>
        </w:rPr>
        <w:t xml:space="preserve"> are still tied to outcomes</w:t>
      </w:r>
      <w:r w:rsidR="003D342E" w:rsidRPr="00820C89">
        <w:rPr>
          <w:rFonts w:asciiTheme="majorHAnsi" w:eastAsia="Verdana" w:hAnsiTheme="majorHAnsi" w:cs="Times New Roman"/>
          <w:iCs/>
          <w:color w:val="000000" w:themeColor="text1"/>
        </w:rPr>
        <w:t>. Thi</w:t>
      </w:r>
      <w:r w:rsidR="00D4650A" w:rsidRPr="00820C89">
        <w:rPr>
          <w:rFonts w:asciiTheme="majorHAnsi" w:eastAsia="Verdana" w:hAnsiTheme="majorHAnsi" w:cs="Times New Roman"/>
          <w:iCs/>
          <w:color w:val="000000" w:themeColor="text1"/>
        </w:rPr>
        <w:t>s</w:t>
      </w:r>
      <w:r w:rsidR="006C2130" w:rsidRPr="00820C89">
        <w:rPr>
          <w:rFonts w:asciiTheme="majorHAnsi" w:eastAsia="Verdana" w:hAnsiTheme="majorHAnsi" w:cs="Times New Roman"/>
          <w:iCs/>
          <w:color w:val="000000" w:themeColor="text1"/>
        </w:rPr>
        <w:t xml:space="preserve"> is a risk for providers early in the program, and may act as a disincentive for new or small providers entering the market. </w:t>
      </w:r>
    </w:p>
    <w:p w14:paraId="4112A483" w14:textId="77777777" w:rsidR="00160719" w:rsidRPr="00820C89" w:rsidRDefault="00E6754E" w:rsidP="00160719">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iCs/>
          <w:color w:val="000000" w:themeColor="text1"/>
        </w:rPr>
        <w:t>Consulted stakeholders indicated that</w:t>
      </w:r>
      <w:r w:rsidR="00160719" w:rsidRPr="00820C89">
        <w:rPr>
          <w:rFonts w:asciiTheme="majorHAnsi" w:eastAsia="Verdana" w:hAnsiTheme="majorHAnsi" w:cs="Times New Roman"/>
          <w:iCs/>
          <w:color w:val="000000" w:themeColor="text1"/>
        </w:rPr>
        <w:t xml:space="preserve"> </w:t>
      </w:r>
      <w:r w:rsidR="00634A30" w:rsidRPr="00820C89">
        <w:rPr>
          <w:rFonts w:asciiTheme="majorHAnsi" w:eastAsia="Verdana" w:hAnsiTheme="majorHAnsi" w:cs="Times New Roman"/>
          <w:iCs/>
          <w:color w:val="000000" w:themeColor="text1"/>
        </w:rPr>
        <w:t xml:space="preserve">both </w:t>
      </w:r>
      <w:r w:rsidR="00B76F88" w:rsidRPr="00820C89">
        <w:rPr>
          <w:rFonts w:asciiTheme="majorHAnsi" w:eastAsia="Verdana" w:hAnsiTheme="majorHAnsi" w:cs="Times New Roman"/>
          <w:iCs/>
          <w:color w:val="000000" w:themeColor="text1"/>
        </w:rPr>
        <w:t xml:space="preserve">early, and ongoing, </w:t>
      </w:r>
      <w:r w:rsidR="005F3DF6" w:rsidRPr="00820C89">
        <w:rPr>
          <w:rFonts w:asciiTheme="majorHAnsi" w:eastAsia="Verdana" w:hAnsiTheme="majorHAnsi" w:cs="Times New Roman"/>
          <w:iCs/>
          <w:color w:val="000000" w:themeColor="text1"/>
        </w:rPr>
        <w:t xml:space="preserve">refinement would likely be required to </w:t>
      </w:r>
      <w:r w:rsidR="0047240E" w:rsidRPr="00820C89">
        <w:rPr>
          <w:rFonts w:asciiTheme="majorHAnsi" w:eastAsia="Verdana" w:hAnsiTheme="majorHAnsi" w:cs="Times New Roman"/>
          <w:iCs/>
          <w:color w:val="000000" w:themeColor="text1"/>
        </w:rPr>
        <w:t xml:space="preserve">ensure the programs were </w:t>
      </w:r>
      <w:r w:rsidR="00A17223" w:rsidRPr="00820C89">
        <w:rPr>
          <w:rFonts w:asciiTheme="majorHAnsi" w:eastAsia="Verdana" w:hAnsiTheme="majorHAnsi" w:cs="Times New Roman"/>
          <w:iCs/>
          <w:color w:val="000000" w:themeColor="text1"/>
        </w:rPr>
        <w:t xml:space="preserve">appropriate and effective </w:t>
      </w:r>
      <w:r w:rsidR="00291162" w:rsidRPr="00820C89">
        <w:rPr>
          <w:rFonts w:asciiTheme="majorHAnsi" w:eastAsia="Verdana" w:hAnsiTheme="majorHAnsi" w:cs="Times New Roman"/>
          <w:iCs/>
          <w:color w:val="000000" w:themeColor="text1"/>
        </w:rPr>
        <w:t>in catering for the specific place-based needs</w:t>
      </w:r>
      <w:r w:rsidR="000C116C" w:rsidRPr="00820C89">
        <w:rPr>
          <w:rFonts w:asciiTheme="majorHAnsi" w:eastAsia="Verdana" w:hAnsiTheme="majorHAnsi" w:cs="Times New Roman"/>
          <w:iCs/>
          <w:color w:val="000000" w:themeColor="text1"/>
        </w:rPr>
        <w:t xml:space="preserve"> of </w:t>
      </w:r>
      <w:r w:rsidR="00A21295" w:rsidRPr="00820C89">
        <w:rPr>
          <w:rFonts w:asciiTheme="majorHAnsi" w:eastAsia="Verdana" w:hAnsiTheme="majorHAnsi" w:cs="Times New Roman"/>
          <w:iCs/>
          <w:color w:val="000000" w:themeColor="text1"/>
        </w:rPr>
        <w:t xml:space="preserve">the local job market and participants they were servicing. </w:t>
      </w:r>
      <w:r w:rsidRPr="00820C89">
        <w:rPr>
          <w:rFonts w:asciiTheme="majorHAnsi" w:eastAsia="Verdana" w:hAnsiTheme="majorHAnsi" w:cs="Times New Roman"/>
          <w:iCs/>
          <w:color w:val="000000" w:themeColor="text1"/>
        </w:rPr>
        <w:t xml:space="preserve">One consulted Indigenous academic advised that a </w:t>
      </w:r>
      <w:r w:rsidR="00986B9F" w:rsidRPr="00820C89">
        <w:rPr>
          <w:rFonts w:asciiTheme="majorHAnsi" w:eastAsia="Verdana" w:hAnsiTheme="majorHAnsi" w:cs="Times New Roman"/>
          <w:iCs/>
          <w:color w:val="000000" w:themeColor="text1"/>
        </w:rPr>
        <w:t>six-month grace period, in which providers are supported to tweak the</w:t>
      </w:r>
      <w:r w:rsidR="005317AE" w:rsidRPr="00820C89">
        <w:rPr>
          <w:rFonts w:asciiTheme="majorHAnsi" w:eastAsia="Verdana" w:hAnsiTheme="majorHAnsi" w:cs="Times New Roman"/>
          <w:iCs/>
          <w:color w:val="000000" w:themeColor="text1"/>
        </w:rPr>
        <w:t xml:space="preserve">ir approach, without </w:t>
      </w:r>
      <w:r w:rsidR="00634A30" w:rsidRPr="00820C89">
        <w:rPr>
          <w:rFonts w:asciiTheme="majorHAnsi" w:eastAsia="Verdana" w:hAnsiTheme="majorHAnsi" w:cs="Times New Roman"/>
          <w:iCs/>
          <w:color w:val="000000" w:themeColor="text1"/>
        </w:rPr>
        <w:t>the</w:t>
      </w:r>
      <w:r w:rsidR="00EC1D61" w:rsidRPr="00820C89">
        <w:rPr>
          <w:rFonts w:asciiTheme="majorHAnsi" w:eastAsia="Verdana" w:hAnsiTheme="majorHAnsi" w:cs="Times New Roman"/>
          <w:iCs/>
          <w:color w:val="000000" w:themeColor="text1"/>
        </w:rPr>
        <w:t xml:space="preserve"> financial risks associated with the outcomes-based funding model, would be beneficial. </w:t>
      </w:r>
    </w:p>
    <w:p w14:paraId="033E0EE9" w14:textId="77777777" w:rsidR="002423BB" w:rsidRPr="00820C89" w:rsidRDefault="006F5249" w:rsidP="006B44CE">
      <w:pPr>
        <w:rPr>
          <w:rFonts w:asciiTheme="majorHAnsi" w:eastAsia="Verdana" w:hAnsiTheme="majorHAnsi" w:cs="Times New Roman"/>
        </w:rPr>
      </w:pPr>
      <w:r w:rsidRPr="00820C89">
        <w:rPr>
          <w:rFonts w:asciiTheme="majorHAnsi" w:eastAsia="Verdana" w:hAnsiTheme="majorHAnsi" w:cs="Times New Roman"/>
          <w:b/>
          <w:color w:val="75787B" w:themeColor="accent6"/>
        </w:rPr>
        <w:t>Participant eligibility criteria</w:t>
      </w:r>
      <w:r w:rsidR="00AB1F3C" w:rsidRPr="00820C89">
        <w:rPr>
          <w:rFonts w:asciiTheme="majorHAnsi" w:eastAsia="Verdana" w:hAnsiTheme="majorHAnsi" w:cs="Times New Roman"/>
        </w:rPr>
        <w:br/>
      </w:r>
      <w:r w:rsidR="00AB1F3C" w:rsidRPr="00820C89">
        <w:rPr>
          <w:rFonts w:asciiTheme="majorHAnsi" w:eastAsia="Verdana" w:hAnsiTheme="majorHAnsi" w:cs="Times New Roman"/>
          <w:b/>
          <w:i/>
          <w:color w:val="75787B" w:themeColor="accent6"/>
        </w:rPr>
        <w:t xml:space="preserve">VTEC streaming requirement </w:t>
      </w:r>
      <w:r w:rsidR="002423BB" w:rsidRPr="00820C89">
        <w:rPr>
          <w:rFonts w:asciiTheme="majorHAnsi" w:eastAsia="Verdana" w:hAnsiTheme="majorHAnsi" w:cs="Times New Roman"/>
        </w:rPr>
        <w:t>–</w:t>
      </w:r>
      <w:r w:rsidRPr="00820C89">
        <w:rPr>
          <w:rFonts w:asciiTheme="majorHAnsi" w:eastAsia="Verdana" w:hAnsiTheme="majorHAnsi" w:cs="Times New Roman"/>
        </w:rPr>
        <w:t xml:space="preserve"> </w:t>
      </w:r>
      <w:r w:rsidR="007B1867" w:rsidRPr="00820C89">
        <w:rPr>
          <w:rFonts w:asciiTheme="majorHAnsi" w:eastAsia="Verdana" w:hAnsiTheme="majorHAnsi" w:cs="Times New Roman"/>
        </w:rPr>
        <w:t>u</w:t>
      </w:r>
      <w:r w:rsidR="003B6018" w:rsidRPr="00820C89">
        <w:rPr>
          <w:rFonts w:asciiTheme="majorHAnsi" w:eastAsia="Verdana" w:hAnsiTheme="majorHAnsi" w:cs="Times New Roman"/>
        </w:rPr>
        <w:t xml:space="preserve">nless stipulated in individual </w:t>
      </w:r>
      <w:r w:rsidR="002B3859" w:rsidRPr="00820C89">
        <w:rPr>
          <w:rFonts w:asciiTheme="majorHAnsi" w:eastAsia="Verdana" w:hAnsiTheme="majorHAnsi" w:cs="Times New Roman"/>
        </w:rPr>
        <w:t xml:space="preserve">EPI </w:t>
      </w:r>
      <w:r w:rsidR="003B6018" w:rsidRPr="00820C89">
        <w:rPr>
          <w:rFonts w:asciiTheme="majorHAnsi" w:eastAsia="Verdana" w:hAnsiTheme="majorHAnsi" w:cs="Times New Roman"/>
        </w:rPr>
        <w:t xml:space="preserve">contracts, the VTEC program is the only </w:t>
      </w:r>
      <w:r w:rsidR="00F863D3" w:rsidRPr="00820C89">
        <w:rPr>
          <w:rFonts w:asciiTheme="majorHAnsi" w:eastAsia="Verdana" w:hAnsiTheme="majorHAnsi" w:cs="Times New Roman"/>
        </w:rPr>
        <w:t xml:space="preserve">in-scope program </w:t>
      </w:r>
      <w:r w:rsidR="00CF79D5" w:rsidRPr="00820C89">
        <w:rPr>
          <w:rFonts w:asciiTheme="majorHAnsi" w:eastAsia="Verdana" w:hAnsiTheme="majorHAnsi" w:cs="Times New Roman"/>
        </w:rPr>
        <w:t xml:space="preserve">with participant streaming requirements. </w:t>
      </w:r>
    </w:p>
    <w:p w14:paraId="7ECEA189" w14:textId="77777777" w:rsidR="006B44CE" w:rsidRPr="00820C89" w:rsidRDefault="00A371C3" w:rsidP="006B44CE">
      <w:pPr>
        <w:rPr>
          <w:rFonts w:asciiTheme="majorHAnsi" w:eastAsia="Verdana" w:hAnsiTheme="majorHAnsi" w:cs="Times New Roman"/>
        </w:rPr>
      </w:pPr>
      <w:r w:rsidRPr="00820C89">
        <w:rPr>
          <w:rFonts w:asciiTheme="majorHAnsi" w:eastAsia="Verdana" w:hAnsiTheme="majorHAnsi" w:cs="Times New Roman"/>
        </w:rPr>
        <w:t>VTEC participants are streamed using the JSCI. The</w:t>
      </w:r>
      <w:r w:rsidR="006B44CE" w:rsidRPr="00820C89">
        <w:rPr>
          <w:rFonts w:asciiTheme="majorHAnsi" w:eastAsia="Verdana" w:hAnsiTheme="majorHAnsi" w:cs="Times New Roman"/>
        </w:rPr>
        <w:t xml:space="preserve"> JSCI is a </w:t>
      </w:r>
      <w:r w:rsidR="00374C74" w:rsidRPr="00820C89">
        <w:rPr>
          <w:rFonts w:asciiTheme="majorHAnsi" w:eastAsia="Verdana" w:hAnsiTheme="majorHAnsi" w:cs="Times New Roman"/>
        </w:rPr>
        <w:t>questionnaire that jobseekers</w:t>
      </w:r>
      <w:r w:rsidR="006B44CE" w:rsidRPr="00820C89">
        <w:rPr>
          <w:rFonts w:asciiTheme="majorHAnsi" w:eastAsia="Verdana" w:hAnsiTheme="majorHAnsi" w:cs="Times New Roman"/>
        </w:rPr>
        <w:t xml:space="preserve"> are required to complete when they first register for employment assistance, and when they experience changes in circumstances. Based on responses to this survey, jobseekers are classified as Stream A (least disadvantaged), B or C (highly disadvantaged).  </w:t>
      </w:r>
    </w:p>
    <w:p w14:paraId="5817FB02" w14:textId="77777777" w:rsidR="006B44CE" w:rsidRPr="00820C89" w:rsidRDefault="006B44CE" w:rsidP="006B44C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heme="majorHAnsi" w:eastAsia="Verdana" w:hAnsiTheme="majorHAnsi" w:cs="Times New Roman"/>
        </w:rPr>
      </w:pPr>
      <w:r w:rsidRPr="00820C89">
        <w:rPr>
          <w:rFonts w:asciiTheme="majorHAnsi" w:eastAsia="Verdana" w:hAnsiTheme="majorHAnsi" w:cs="Times New Roman"/>
        </w:rPr>
        <w:t xml:space="preserve">This streaming approach is a critical element of the design of VTECs, as it has implications for how providers </w:t>
      </w:r>
      <w:r w:rsidR="005510FE" w:rsidRPr="00820C89">
        <w:rPr>
          <w:rFonts w:asciiTheme="majorHAnsi" w:eastAsia="Verdana" w:hAnsiTheme="majorHAnsi" w:cs="Times New Roman"/>
        </w:rPr>
        <w:t>can</w:t>
      </w:r>
      <w:r w:rsidRPr="00820C89">
        <w:rPr>
          <w:rFonts w:asciiTheme="majorHAnsi" w:eastAsia="Verdana" w:hAnsiTheme="majorHAnsi" w:cs="Times New Roman"/>
        </w:rPr>
        <w:t xml:space="preserve"> deliver services, specifically: </w:t>
      </w:r>
    </w:p>
    <w:p w14:paraId="2B055E69" w14:textId="77777777" w:rsidR="006B44CE" w:rsidRPr="00820C89" w:rsidRDefault="006B44CE" w:rsidP="00715F70">
      <w:pPr>
        <w:numPr>
          <w:ilvl w:val="0"/>
          <w:numId w:val="74"/>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59" w:lineRule="auto"/>
        <w:ind w:left="357" w:hanging="357"/>
        <w:rPr>
          <w:rFonts w:asciiTheme="majorHAnsi" w:eastAsia="Verdana" w:hAnsiTheme="majorHAnsi" w:cs="Times New Roman"/>
        </w:rPr>
      </w:pPr>
      <w:r w:rsidRPr="00820C89">
        <w:rPr>
          <w:rFonts w:asciiTheme="majorHAnsi" w:eastAsia="Verdana" w:hAnsiTheme="majorHAnsi" w:cs="Times New Roman"/>
        </w:rPr>
        <w:t>providers receive differing payments for participants, depending on their stream classification, and</w:t>
      </w:r>
    </w:p>
    <w:p w14:paraId="08039E17" w14:textId="77777777" w:rsidR="00D9574B" w:rsidRPr="00820C89" w:rsidRDefault="006B44CE" w:rsidP="00715F70">
      <w:pPr>
        <w:numPr>
          <w:ilvl w:val="0"/>
          <w:numId w:val="74"/>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59" w:lineRule="auto"/>
        <w:ind w:left="357" w:hanging="357"/>
        <w:rPr>
          <w:rFonts w:asciiTheme="majorHAnsi" w:eastAsia="Verdana" w:hAnsiTheme="majorHAnsi" w:cs="Times New Roman"/>
        </w:rPr>
      </w:pPr>
      <w:r w:rsidRPr="00820C89">
        <w:rPr>
          <w:rFonts w:asciiTheme="majorHAnsi" w:eastAsia="Verdana" w:hAnsiTheme="majorHAnsi" w:cs="Times New Roman"/>
        </w:rPr>
        <w:t xml:space="preserve">providers are limited by the number of Stream A candidates they </w:t>
      </w:r>
      <w:r w:rsidR="00DE5437" w:rsidRPr="00820C89">
        <w:rPr>
          <w:rFonts w:asciiTheme="majorHAnsi" w:eastAsia="Verdana" w:hAnsiTheme="majorHAnsi" w:cs="Times New Roman"/>
        </w:rPr>
        <w:t>can</w:t>
      </w:r>
      <w:r w:rsidRPr="00820C89">
        <w:rPr>
          <w:rFonts w:asciiTheme="majorHAnsi" w:eastAsia="Verdana" w:hAnsiTheme="majorHAnsi" w:cs="Times New Roman"/>
        </w:rPr>
        <w:t xml:space="preserve"> support. </w:t>
      </w:r>
    </w:p>
    <w:p w14:paraId="0DD497D3" w14:textId="77777777" w:rsidR="00DD2B6B" w:rsidRPr="00820C89" w:rsidRDefault="00D45A73" w:rsidP="00204D06">
      <w:pPr>
        <w:rPr>
          <w:rFonts w:asciiTheme="majorHAnsi" w:hAnsiTheme="majorHAnsi"/>
          <w:b/>
          <w:bCs/>
          <w:iCs/>
          <w:color w:val="000000" w:themeColor="text1"/>
        </w:rPr>
      </w:pPr>
      <w:r w:rsidRPr="00820C89">
        <w:t xml:space="preserve">The JSCI streaming requirement was the </w:t>
      </w:r>
      <w:r w:rsidR="00456FA0" w:rsidRPr="00820C89">
        <w:rPr>
          <w:rFonts w:asciiTheme="majorHAnsi" w:hAnsiTheme="majorHAnsi"/>
          <w:iCs/>
          <w:color w:val="000000" w:themeColor="text1"/>
        </w:rPr>
        <w:t>most cited</w:t>
      </w:r>
      <w:r w:rsidRPr="00820C89">
        <w:rPr>
          <w:rFonts w:asciiTheme="majorHAnsi" w:hAnsiTheme="majorHAnsi"/>
          <w:iCs/>
          <w:color w:val="000000" w:themeColor="text1"/>
        </w:rPr>
        <w:t xml:space="preserve"> issue with program design among VTEC providers</w:t>
      </w:r>
      <w:r w:rsidR="00EF4B1B" w:rsidRPr="00820C89">
        <w:rPr>
          <w:rFonts w:asciiTheme="majorHAnsi" w:hAnsiTheme="majorHAnsi"/>
          <w:iCs/>
          <w:color w:val="000000" w:themeColor="text1"/>
        </w:rPr>
        <w:t>. Providers</w:t>
      </w:r>
      <w:r w:rsidR="00DD2B6B" w:rsidRPr="00820C89">
        <w:rPr>
          <w:rFonts w:asciiTheme="majorHAnsi" w:hAnsiTheme="majorHAnsi"/>
          <w:iCs/>
          <w:color w:val="000000" w:themeColor="text1"/>
        </w:rPr>
        <w:t xml:space="preserve"> deemed </w:t>
      </w:r>
      <w:r w:rsidR="00EF4B1B" w:rsidRPr="00820C89">
        <w:rPr>
          <w:rFonts w:asciiTheme="majorHAnsi" w:hAnsiTheme="majorHAnsi"/>
          <w:iCs/>
          <w:color w:val="000000" w:themeColor="text1"/>
        </w:rPr>
        <w:t>the approach</w:t>
      </w:r>
      <w:r w:rsidR="00DD2B6B" w:rsidRPr="00820C89">
        <w:rPr>
          <w:rFonts w:asciiTheme="majorHAnsi" w:hAnsiTheme="majorHAnsi"/>
          <w:iCs/>
          <w:color w:val="000000" w:themeColor="text1"/>
        </w:rPr>
        <w:t xml:space="preserve"> particularly inappropriate for Indigenous jobseekers, who may have a negative relationship with government services or may feel ashamed to respond truthfully</w:t>
      </w:r>
      <w:r w:rsidR="00936DF3" w:rsidRPr="00820C89">
        <w:rPr>
          <w:rFonts w:asciiTheme="majorHAnsi" w:hAnsiTheme="majorHAnsi"/>
          <w:iCs/>
          <w:color w:val="000000" w:themeColor="text1"/>
        </w:rPr>
        <w:t>:</w:t>
      </w:r>
    </w:p>
    <w:p w14:paraId="2FD1275C" w14:textId="77777777" w:rsidR="0075230C" w:rsidRPr="00820C89" w:rsidRDefault="00BA17BA" w:rsidP="0075230C">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709"/>
      </w:pPr>
      <w:r w:rsidRPr="00820C89">
        <w:tab/>
      </w:r>
      <w:r w:rsidR="00F24B66" w:rsidRPr="00820C89">
        <w:rPr>
          <w:i/>
          <w:iCs/>
        </w:rPr>
        <w:t xml:space="preserve">“[Jobseekers will need to] </w:t>
      </w:r>
      <w:r w:rsidRPr="00820C89">
        <w:rPr>
          <w:i/>
          <w:iCs/>
        </w:rPr>
        <w:t>speak to a stranger who they’ve never spoken to before and they’re asking them some really personal detailed questions of the JSCI.  And there’s an element of shame with some participants who really don’t want to tell them that they’re going through DV situations or they’ve got some issues with drug usage or whatever the issues may be. They’re talking to a complete stranger and they don’t feel comfortable in answering those questions</w:t>
      </w:r>
      <w:r w:rsidR="00F24B66" w:rsidRPr="00820C89">
        <w:rPr>
          <w:i/>
          <w:iCs/>
        </w:rPr>
        <w:t xml:space="preserve">” </w:t>
      </w:r>
      <w:r w:rsidR="0075230C" w:rsidRPr="00820C89">
        <w:t>(</w:t>
      </w:r>
      <w:r w:rsidR="005C0D61" w:rsidRPr="00820C89">
        <w:t xml:space="preserve">VTEC provider). </w:t>
      </w:r>
    </w:p>
    <w:p w14:paraId="05DFC69F" w14:textId="77777777" w:rsidR="000C5794" w:rsidRPr="00820C89" w:rsidRDefault="0075230C" w:rsidP="000C5794">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pPr>
      <w:r w:rsidRPr="00820C89">
        <w:rPr>
          <w:i/>
          <w:iCs/>
        </w:rPr>
        <w:t xml:space="preserve">“The system for assessing whether [participants are] an A, B or C is flawed.  And so in reality, the A, B or C really only dictates how much money we’re going to get; it does not dictate how much support they need.  That’s not the assessment.  That’s a challenge, and I’d like to see that rectified” </w:t>
      </w:r>
      <w:r w:rsidRPr="00820C89">
        <w:t xml:space="preserve">(VTEC provider). </w:t>
      </w:r>
    </w:p>
    <w:p w14:paraId="74D37F33" w14:textId="77777777" w:rsidR="00D016AF" w:rsidRPr="00820C89" w:rsidRDefault="00DD2B6B" w:rsidP="000C5794">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Cs/>
          <w:color w:val="000000" w:themeColor="text1"/>
        </w:rPr>
      </w:pPr>
      <w:r w:rsidRPr="00820C89">
        <w:rPr>
          <w:rFonts w:asciiTheme="majorHAnsi" w:hAnsiTheme="majorHAnsi"/>
          <w:iCs/>
          <w:color w:val="000000" w:themeColor="text1"/>
        </w:rPr>
        <w:t>Additionally,</w:t>
      </w:r>
      <w:r w:rsidR="00D45A73" w:rsidRPr="00820C89">
        <w:rPr>
          <w:rFonts w:asciiTheme="majorHAnsi" w:hAnsiTheme="majorHAnsi"/>
          <w:iCs/>
          <w:color w:val="000000" w:themeColor="text1"/>
        </w:rPr>
        <w:t xml:space="preserve"> providers report</w:t>
      </w:r>
      <w:r w:rsidR="00390AF7" w:rsidRPr="00820C89">
        <w:rPr>
          <w:rFonts w:asciiTheme="majorHAnsi" w:hAnsiTheme="majorHAnsi"/>
          <w:iCs/>
          <w:color w:val="000000" w:themeColor="text1"/>
        </w:rPr>
        <w:t xml:space="preserve">ed </w:t>
      </w:r>
      <w:r w:rsidR="00D45A73" w:rsidRPr="00820C89">
        <w:rPr>
          <w:rFonts w:asciiTheme="majorHAnsi" w:hAnsiTheme="majorHAnsi"/>
          <w:iCs/>
          <w:color w:val="000000" w:themeColor="text1"/>
        </w:rPr>
        <w:t xml:space="preserve">that even when streaming is inaccurate, </w:t>
      </w:r>
      <w:r w:rsidR="00E35B0A" w:rsidRPr="00820C89">
        <w:rPr>
          <w:rFonts w:asciiTheme="majorHAnsi" w:hAnsiTheme="majorHAnsi"/>
          <w:iCs/>
          <w:color w:val="000000" w:themeColor="text1"/>
        </w:rPr>
        <w:t xml:space="preserve">it is challenging </w:t>
      </w:r>
      <w:r w:rsidR="00D45A73" w:rsidRPr="00820C89">
        <w:rPr>
          <w:rFonts w:asciiTheme="majorHAnsi" w:hAnsiTheme="majorHAnsi"/>
          <w:iCs/>
          <w:color w:val="000000" w:themeColor="text1"/>
        </w:rPr>
        <w:t>to modify participant JSCI categorisations</w:t>
      </w:r>
      <w:r w:rsidR="00936DF3" w:rsidRPr="00820C89">
        <w:rPr>
          <w:rFonts w:asciiTheme="majorHAnsi" w:hAnsiTheme="majorHAnsi"/>
          <w:iCs/>
          <w:color w:val="000000" w:themeColor="text1"/>
        </w:rPr>
        <w:t xml:space="preserve">: </w:t>
      </w:r>
    </w:p>
    <w:p w14:paraId="70C3C5A1" w14:textId="77777777" w:rsidR="00D016AF" w:rsidRPr="00820C89" w:rsidRDefault="002621A5" w:rsidP="00D016AF">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pPr>
      <w:r w:rsidRPr="00820C89">
        <w:rPr>
          <w:i/>
          <w:iCs/>
        </w:rPr>
        <w:t>“[Ideally there would be]</w:t>
      </w:r>
      <w:r w:rsidR="008319A8" w:rsidRPr="00820C89">
        <w:rPr>
          <w:i/>
          <w:iCs/>
        </w:rPr>
        <w:t xml:space="preserve"> just a streamline mechanism to change </w:t>
      </w:r>
      <w:r w:rsidRPr="00820C89">
        <w:rPr>
          <w:i/>
          <w:iCs/>
        </w:rPr>
        <w:t>[an incorrect streaming]</w:t>
      </w:r>
      <w:r w:rsidR="008319A8" w:rsidRPr="00820C89">
        <w:rPr>
          <w:i/>
          <w:iCs/>
        </w:rPr>
        <w:t xml:space="preserve">.  A dedicated person at Services Australia that can change the screening based on, you know, similar to what we do when we have to change people from other providers.  If you can demonstrate what barriers someone has to employment and you advocate on their behalf, then it seems like a no-brainer to me that you would change their </w:t>
      </w:r>
      <w:r w:rsidR="0024273C" w:rsidRPr="00820C89">
        <w:rPr>
          <w:i/>
          <w:iCs/>
        </w:rPr>
        <w:t xml:space="preserve">[streaming assessment]” </w:t>
      </w:r>
      <w:r w:rsidR="0024273C" w:rsidRPr="00820C89">
        <w:t>(VTEC provider).</w:t>
      </w:r>
    </w:p>
    <w:p w14:paraId="744AA892" w14:textId="77777777" w:rsidR="0041777D" w:rsidRDefault="0041777D">
      <w:pPr>
        <w:spacing w:after="0"/>
        <w:rPr>
          <w:b/>
          <w:bCs/>
        </w:rPr>
      </w:pPr>
      <w:bookmarkStart w:id="86" w:name="Suggestion4"/>
      <w:r>
        <w:rPr>
          <w:b/>
          <w:bCs/>
        </w:rPr>
        <w:br w:type="page"/>
      </w:r>
    </w:p>
    <w:p w14:paraId="47F3436D" w14:textId="3968607F" w:rsidR="00047830" w:rsidRPr="00820C89" w:rsidRDefault="00047830" w:rsidP="00047830">
      <w:pPr>
        <w:pStyle w:val="BodyText"/>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820C89">
        <w:rPr>
          <w:b/>
          <w:bCs/>
        </w:rPr>
        <w:lastRenderedPageBreak/>
        <w:t xml:space="preserve">Suggestion 4: </w:t>
      </w:r>
      <w:bookmarkStart w:id="87" w:name="_Hlk76572849"/>
      <w:bookmarkEnd w:id="86"/>
      <w:r w:rsidRPr="00820C89">
        <w:rPr>
          <w:b/>
          <w:bCs/>
        </w:rPr>
        <w:t xml:space="preserve">The streaming process should be amended to be made more culturally appropriate for Indigenous jobseekers. </w:t>
      </w:r>
      <w:bookmarkEnd w:id="87"/>
    </w:p>
    <w:p w14:paraId="5A6E7CEB" w14:textId="77777777" w:rsidR="00047830" w:rsidRPr="00820C89" w:rsidRDefault="00047830" w:rsidP="00047830">
      <w:pPr>
        <w:pStyle w:val="BodyText"/>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820C89">
        <w:rPr>
          <w:i/>
          <w:iCs/>
        </w:rPr>
        <w:t xml:space="preserve">“Tools of classification are notoriously difficult to apply to Indigenous Australians. Leaving aside the sometimes-difficult literacy and/or language connections or the inherent vulnerabilities of Indigenous community, there are also the profound disconnects in the purpose of classification and relative meanings of specified terms in these instruments </w:t>
      </w:r>
    </w:p>
    <w:p w14:paraId="5BBB38C8" w14:textId="77777777" w:rsidR="00047830" w:rsidRPr="00820C89" w:rsidRDefault="00047830" w:rsidP="00047830">
      <w:pPr>
        <w:pStyle w:val="BodyText"/>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820C89">
        <w:rPr>
          <w:i/>
          <w:iCs/>
        </w:rPr>
        <w:t xml:space="preserve">A further complication in the process of classification is the cultural overlay of authority, community and even sometimes gender in the way different people react to questioning from particular individuals in different circumstances. </w:t>
      </w:r>
    </w:p>
    <w:p w14:paraId="387E42B3" w14:textId="77777777" w:rsidR="00047830" w:rsidRPr="00820C89" w:rsidRDefault="00047830" w:rsidP="00047830">
      <w:pPr>
        <w:pStyle w:val="BodyText"/>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820C89">
        <w:rPr>
          <w:i/>
          <w:iCs/>
        </w:rPr>
        <w:t xml:space="preserve">All of these differences can be misread as resistance to JSCI streaming processes, when in fact there are often more substantive cultural and personal reasons behind the quiet response and perceived reluctance of some participants. </w:t>
      </w:r>
    </w:p>
    <w:p w14:paraId="5ED19209" w14:textId="77777777" w:rsidR="00047830" w:rsidRPr="00820C89" w:rsidRDefault="00047830" w:rsidP="00047830">
      <w:pPr>
        <w:pStyle w:val="BodyText"/>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820C89">
        <w:rPr>
          <w:i/>
          <w:iCs/>
        </w:rPr>
        <w:t xml:space="preserve">Solving for these is both very simple and very complex. At the simple level, improving engagement with Indigenous Australians requires an increase in the humanity of interactions. Sitting with jobseekers, recognising them as people, rather than their role in the system as an employment or community statistic. At the more complex level the approach needs to also translate to the tools and processes that underpin streaming and allocation processes, where it is well established that there are inherent biases in standardised processes and in particular in normative survey instruments. </w:t>
      </w:r>
    </w:p>
    <w:p w14:paraId="3DFBC3F9" w14:textId="28DC4846" w:rsidR="003E5048" w:rsidRPr="00820C89" w:rsidRDefault="00047830" w:rsidP="00047830">
      <w:pPr>
        <w:pStyle w:val="BodyText"/>
        <w:shd w:val="clear" w:color="auto" w:fill="DFF0F9" w:themeFill="accent3" w:themeFillTint="33"/>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820C89">
        <w:rPr>
          <w:i/>
          <w:iCs/>
        </w:rPr>
        <w:t>There is formal process that can underpin this (for instance; changes to interview guides, cultural hiring and interview protocols, family support, in-home discussions etc…), as well as potential changes to the tools of questioning in the survey led models of JSCI to improve tailoring and sensitivity.”</w:t>
      </w:r>
      <w:r w:rsidRPr="00820C89">
        <w:t xml:space="preserve"> (Prof. Deen Sanders OAM)</w:t>
      </w:r>
    </w:p>
    <w:p w14:paraId="7E99EFC2" w14:textId="2B7F1596" w:rsidR="00D016AF" w:rsidRPr="00820C89" w:rsidRDefault="00A018AC" w:rsidP="00D016AF">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eastAsia="Verdana" w:hAnsiTheme="majorHAnsi" w:cs="Times New Roman"/>
        </w:rPr>
      </w:pPr>
      <w:r w:rsidRPr="00820C89">
        <w:rPr>
          <w:rFonts w:asciiTheme="majorHAnsi" w:eastAsia="Verdana" w:hAnsiTheme="majorHAnsi" w:cs="Times New Roman"/>
          <w:b/>
          <w:i/>
          <w:color w:val="75787B" w:themeColor="accent6"/>
        </w:rPr>
        <w:t>Minimum hours requirement</w:t>
      </w:r>
      <w:r w:rsidR="00AB1F3C" w:rsidRPr="00820C89">
        <w:rPr>
          <w:rFonts w:asciiTheme="majorHAnsi" w:eastAsia="Verdana" w:hAnsiTheme="majorHAnsi" w:cs="Times New Roman"/>
          <w:b/>
          <w:i/>
          <w:color w:val="75787B" w:themeColor="accent6"/>
        </w:rPr>
        <w:t xml:space="preserve"> </w:t>
      </w:r>
      <w:r w:rsidR="00AB1F3C" w:rsidRPr="00820C89">
        <w:rPr>
          <w:rFonts w:asciiTheme="majorHAnsi" w:eastAsia="Verdana" w:hAnsiTheme="majorHAnsi" w:cs="Times New Roman"/>
          <w:b/>
          <w:bCs/>
        </w:rPr>
        <w:t>–</w:t>
      </w:r>
      <w:r w:rsidR="00A05C00" w:rsidRPr="00820C89">
        <w:rPr>
          <w:rFonts w:asciiTheme="majorHAnsi" w:eastAsia="Verdana" w:hAnsiTheme="majorHAnsi" w:cs="Times New Roman"/>
          <w:b/>
          <w:bCs/>
        </w:rPr>
        <w:t xml:space="preserve"> </w:t>
      </w:r>
      <w:r w:rsidR="00027890" w:rsidRPr="00820C89">
        <w:rPr>
          <w:rFonts w:asciiTheme="majorHAnsi" w:eastAsia="Verdana" w:hAnsiTheme="majorHAnsi" w:cs="Times New Roman"/>
        </w:rPr>
        <w:t xml:space="preserve">participants </w:t>
      </w:r>
      <w:r w:rsidR="002771A5" w:rsidRPr="00820C89">
        <w:rPr>
          <w:rFonts w:asciiTheme="majorHAnsi" w:eastAsia="Verdana" w:hAnsiTheme="majorHAnsi" w:cs="Times New Roman"/>
        </w:rPr>
        <w:t>need to</w:t>
      </w:r>
      <w:r w:rsidR="00027890" w:rsidRPr="00820C89">
        <w:rPr>
          <w:rFonts w:asciiTheme="majorHAnsi" w:eastAsia="Verdana" w:hAnsiTheme="majorHAnsi" w:cs="Times New Roman"/>
        </w:rPr>
        <w:t xml:space="preserve"> </w:t>
      </w:r>
      <w:r w:rsidR="00C106DC" w:rsidRPr="00820C89">
        <w:rPr>
          <w:rFonts w:asciiTheme="majorHAnsi" w:eastAsia="Verdana" w:hAnsiTheme="majorHAnsi" w:cs="Times New Roman"/>
        </w:rPr>
        <w:t>complete a minimum hour requirement in employment (or training in some TAEG programs)</w:t>
      </w:r>
      <w:r w:rsidR="00A05C00" w:rsidRPr="00820C89">
        <w:rPr>
          <w:rFonts w:asciiTheme="majorHAnsi" w:eastAsia="Verdana" w:hAnsiTheme="majorHAnsi" w:cs="Times New Roman"/>
        </w:rPr>
        <w:t xml:space="preserve"> for partners and providers to receive participant outcomes payments</w:t>
      </w:r>
      <w:r w:rsidR="00C106DC" w:rsidRPr="00820C89">
        <w:rPr>
          <w:rFonts w:asciiTheme="majorHAnsi" w:eastAsia="Verdana" w:hAnsiTheme="majorHAnsi" w:cs="Times New Roman"/>
        </w:rPr>
        <w:t xml:space="preserve">. </w:t>
      </w:r>
      <w:r w:rsidR="00424892" w:rsidRPr="00820C89">
        <w:rPr>
          <w:rFonts w:asciiTheme="majorHAnsi" w:eastAsia="Verdana" w:hAnsiTheme="majorHAnsi" w:cs="Times New Roman"/>
        </w:rPr>
        <w:t>This minimum hour requirement is 38 hours for VTEC and EPI</w:t>
      </w:r>
      <w:r w:rsidR="00A05C00" w:rsidRPr="00820C89">
        <w:rPr>
          <w:rFonts w:asciiTheme="majorHAnsi" w:eastAsia="Verdana" w:hAnsiTheme="majorHAnsi" w:cs="Times New Roman"/>
        </w:rPr>
        <w:t xml:space="preserve"> participants</w:t>
      </w:r>
      <w:r w:rsidR="00424892" w:rsidRPr="00820C89">
        <w:rPr>
          <w:rFonts w:asciiTheme="majorHAnsi" w:eastAsia="Verdana" w:hAnsiTheme="majorHAnsi" w:cs="Times New Roman"/>
        </w:rPr>
        <w:t>, or 15 hours for TAEG p</w:t>
      </w:r>
      <w:r w:rsidR="008F62FE" w:rsidRPr="00820C89">
        <w:rPr>
          <w:rFonts w:asciiTheme="majorHAnsi" w:eastAsia="Verdana" w:hAnsiTheme="majorHAnsi" w:cs="Times New Roman"/>
        </w:rPr>
        <w:t>articipants</w:t>
      </w:r>
      <w:r w:rsidR="00424892" w:rsidRPr="00820C89">
        <w:rPr>
          <w:rFonts w:asciiTheme="majorHAnsi" w:eastAsia="Verdana" w:hAnsiTheme="majorHAnsi" w:cs="Times New Roman"/>
        </w:rPr>
        <w:t xml:space="preserve">. </w:t>
      </w:r>
      <w:r w:rsidR="009E5497" w:rsidRPr="00820C89">
        <w:rPr>
          <w:rFonts w:asciiTheme="majorHAnsi" w:eastAsia="Verdana" w:hAnsiTheme="majorHAnsi" w:cs="Times New Roman"/>
        </w:rPr>
        <w:t xml:space="preserve">In addition, partial outcome payments are paid under all three programs </w:t>
      </w:r>
      <w:r w:rsidR="00D043A6" w:rsidRPr="00820C89">
        <w:rPr>
          <w:rFonts w:asciiTheme="majorHAnsi" w:eastAsia="Verdana" w:hAnsiTheme="majorHAnsi" w:cs="Times New Roman"/>
        </w:rPr>
        <w:t>to part-time participants.</w:t>
      </w:r>
    </w:p>
    <w:p w14:paraId="728FF08A" w14:textId="77777777" w:rsidR="00E1588D" w:rsidRPr="00820C89" w:rsidRDefault="008F62FE" w:rsidP="00E1588D">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eastAsia="Verdana" w:hAnsiTheme="majorHAnsi" w:cs="Times New Roman"/>
        </w:rPr>
      </w:pPr>
      <w:r w:rsidRPr="00820C89">
        <w:rPr>
          <w:rFonts w:asciiTheme="majorHAnsi" w:eastAsia="Verdana" w:hAnsiTheme="majorHAnsi" w:cs="Times New Roman"/>
        </w:rPr>
        <w:t>Several</w:t>
      </w:r>
      <w:r w:rsidR="00F566EC" w:rsidRPr="00820C89">
        <w:rPr>
          <w:rFonts w:asciiTheme="majorHAnsi" w:eastAsia="Verdana" w:hAnsiTheme="majorHAnsi" w:cs="Times New Roman"/>
        </w:rPr>
        <w:t xml:space="preserve"> providers </w:t>
      </w:r>
      <w:r w:rsidRPr="00820C89">
        <w:rPr>
          <w:rFonts w:asciiTheme="majorHAnsi" w:eastAsia="Verdana" w:hAnsiTheme="majorHAnsi" w:cs="Times New Roman"/>
        </w:rPr>
        <w:t>criticised this requirement</w:t>
      </w:r>
      <w:r w:rsidR="00F566EC" w:rsidRPr="00820C89">
        <w:rPr>
          <w:rFonts w:asciiTheme="majorHAnsi" w:eastAsia="Verdana" w:hAnsiTheme="majorHAnsi" w:cs="Times New Roman"/>
        </w:rPr>
        <w:t xml:space="preserve">, noting that </w:t>
      </w:r>
      <w:r w:rsidR="000C5794" w:rsidRPr="00820C89">
        <w:rPr>
          <w:rFonts w:asciiTheme="majorHAnsi" w:eastAsia="Verdana" w:hAnsiTheme="majorHAnsi" w:cs="Times New Roman"/>
        </w:rPr>
        <w:t>full-time (or even part-time hours</w:t>
      </w:r>
      <w:r w:rsidR="00F5054B" w:rsidRPr="00820C89">
        <w:rPr>
          <w:rFonts w:asciiTheme="majorHAnsi" w:eastAsia="Verdana" w:hAnsiTheme="majorHAnsi" w:cs="Times New Roman"/>
        </w:rPr>
        <w:t>)</w:t>
      </w:r>
      <w:r w:rsidR="00424892" w:rsidRPr="00820C89">
        <w:rPr>
          <w:rFonts w:asciiTheme="majorHAnsi" w:eastAsia="Verdana" w:hAnsiTheme="majorHAnsi" w:cs="Times New Roman"/>
        </w:rPr>
        <w:t xml:space="preserve"> </w:t>
      </w:r>
      <w:r w:rsidR="00D016AF" w:rsidRPr="00820C89">
        <w:rPr>
          <w:rFonts w:asciiTheme="majorHAnsi" w:eastAsia="Verdana" w:hAnsiTheme="majorHAnsi" w:cs="Times New Roman"/>
        </w:rPr>
        <w:t>was unrealistic for chronically unemployed cohorts</w:t>
      </w:r>
      <w:r w:rsidR="00ED5687" w:rsidRPr="00820C89">
        <w:rPr>
          <w:rFonts w:asciiTheme="majorHAnsi" w:eastAsia="Verdana" w:hAnsiTheme="majorHAnsi" w:cs="Times New Roman"/>
        </w:rPr>
        <w:t xml:space="preserve">: </w:t>
      </w:r>
    </w:p>
    <w:p w14:paraId="170BE322" w14:textId="565CD9AB" w:rsidR="00E1588D" w:rsidRPr="00820C89" w:rsidRDefault="00E1588D" w:rsidP="00E1588D">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Pr>
          <w:rFonts w:asciiTheme="majorHAnsi" w:eastAsia="Verdana" w:hAnsiTheme="majorHAnsi" w:cs="Times New Roman"/>
        </w:rPr>
      </w:pPr>
      <w:r w:rsidRPr="00820C89">
        <w:rPr>
          <w:rFonts w:asciiTheme="majorHAnsi" w:eastAsia="Verdana" w:hAnsiTheme="majorHAnsi" w:cs="Times New Roman"/>
          <w:i/>
          <w:iCs/>
        </w:rPr>
        <w:t>“</w:t>
      </w:r>
      <w:r w:rsidRPr="00820C89">
        <w:rPr>
          <w:i/>
          <w:iCs/>
        </w:rPr>
        <w:t xml:space="preserve">when you’re putting someone into their very first job, an 8-hour job is a good way to start, rather than trying to go into 4-5 days a week.  So that has a real, we do put people into jobs with less hours but most people wouldn’t.  They wouldn’t put a person into a 1-day a week job or even a 2-day a week job.  Because it’s not going to end in any outcome for them” </w:t>
      </w:r>
      <w:r w:rsidRPr="00820C89">
        <w:t xml:space="preserve">(TAEG provider). </w:t>
      </w:r>
    </w:p>
    <w:p w14:paraId="3E1552B6" w14:textId="77777777" w:rsidR="006F5249" w:rsidRPr="00820C89" w:rsidRDefault="00F5054B" w:rsidP="0023627A">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20C89">
        <w:t xml:space="preserve">Providers also </w:t>
      </w:r>
      <w:r w:rsidR="00D84BB8" w:rsidRPr="00820C89">
        <w:t>note that th</w:t>
      </w:r>
      <w:r w:rsidR="00CF2327" w:rsidRPr="00820C89">
        <w:t>is</w:t>
      </w:r>
      <w:r w:rsidR="00C314AA" w:rsidRPr="00820C89">
        <w:t xml:space="preserve"> minimum hours</w:t>
      </w:r>
      <w:r w:rsidR="00D84BB8" w:rsidRPr="00820C89">
        <w:t xml:space="preserve"> requirement</w:t>
      </w:r>
      <w:r w:rsidR="00CF2327" w:rsidRPr="00820C89">
        <w:t xml:space="preserve">, and the parameter that participants </w:t>
      </w:r>
      <w:r w:rsidR="00046EEB" w:rsidRPr="00820C89">
        <w:t xml:space="preserve">cannot take more than two weeks of leave within the 25 weeks, </w:t>
      </w:r>
      <w:r w:rsidR="00D84BB8" w:rsidRPr="00820C89">
        <w:t xml:space="preserve">did not </w:t>
      </w:r>
      <w:r w:rsidR="00A078B3" w:rsidRPr="00820C89">
        <w:t>respect the many</w:t>
      </w:r>
      <w:r w:rsidR="00631742" w:rsidRPr="00820C89">
        <w:t xml:space="preserve"> cultural, community and familial obligations </w:t>
      </w:r>
      <w:r w:rsidR="006277FC" w:rsidRPr="00820C89">
        <w:t xml:space="preserve">and priorities </w:t>
      </w:r>
      <w:r w:rsidR="00631742" w:rsidRPr="00820C89">
        <w:t>that Indigenou</w:t>
      </w:r>
      <w:r w:rsidR="000E3D95" w:rsidRPr="00820C89">
        <w:t xml:space="preserve">s employees </w:t>
      </w:r>
      <w:r w:rsidR="00A078B3" w:rsidRPr="00820C89">
        <w:t xml:space="preserve">often </w:t>
      </w:r>
      <w:r w:rsidR="00B74A50" w:rsidRPr="00820C89">
        <w:t xml:space="preserve">had </w:t>
      </w:r>
      <w:r w:rsidR="000E3D95" w:rsidRPr="00820C89">
        <w:t>alongside their formal employment</w:t>
      </w:r>
      <w:r w:rsidR="00B74A50" w:rsidRPr="00820C89">
        <w:t xml:space="preserve">. </w:t>
      </w:r>
      <w:r w:rsidR="00E27AEC" w:rsidRPr="00820C89">
        <w:t>This point was reiterated by several consulted participants who indicated they</w:t>
      </w:r>
      <w:r w:rsidR="0064760F" w:rsidRPr="00820C89">
        <w:t xml:space="preserve"> needed to move away from their family and community to pursue employment, as </w:t>
      </w:r>
      <w:r w:rsidR="009E16CA" w:rsidRPr="00820C89">
        <w:t>it was too challenging to manage the expectations of both</w:t>
      </w:r>
      <w:r w:rsidR="0023627A" w:rsidRPr="00820C89">
        <w:t xml:space="preserve"> parties. </w:t>
      </w:r>
    </w:p>
    <w:p w14:paraId="5312F545" w14:textId="6F1650E1" w:rsidR="00046EEB" w:rsidRPr="00820C89" w:rsidRDefault="005900BB" w:rsidP="0023627A">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20C89">
        <w:rPr>
          <w:b/>
          <w:i/>
          <w:color w:val="75787B" w:themeColor="accent6"/>
        </w:rPr>
        <w:t xml:space="preserve">Other IEP supports received </w:t>
      </w:r>
      <w:r w:rsidRPr="00820C89">
        <w:rPr>
          <w:b/>
          <w:bCs/>
          <w:i/>
          <w:iCs/>
        </w:rPr>
        <w:t xml:space="preserve">– </w:t>
      </w:r>
      <w:r w:rsidR="00361C88" w:rsidRPr="00820C89">
        <w:t>to be eligible for</w:t>
      </w:r>
      <w:r w:rsidR="00A608B0" w:rsidRPr="00820C89">
        <w:t xml:space="preserve"> one of the </w:t>
      </w:r>
      <w:r w:rsidR="00E7647E" w:rsidRPr="00820C89">
        <w:t>sub-programs,</w:t>
      </w:r>
      <w:r w:rsidR="00361C88" w:rsidRPr="00820C89">
        <w:t xml:space="preserve"> </w:t>
      </w:r>
      <w:r w:rsidRPr="00820C89">
        <w:t xml:space="preserve">participants cannot </w:t>
      </w:r>
      <w:r w:rsidR="00361C88" w:rsidRPr="00820C89">
        <w:t>have received support under another in-scope IEP within</w:t>
      </w:r>
      <w:r w:rsidR="00A608B0" w:rsidRPr="00820C89">
        <w:t xml:space="preserve"> the last six months.</w:t>
      </w:r>
      <w:r w:rsidR="0083796C" w:rsidRPr="00820C89">
        <w:t xml:space="preserve"> </w:t>
      </w:r>
      <w:r w:rsidR="00966BD3" w:rsidRPr="00820C89">
        <w:t xml:space="preserve">The only exception to this is VTEC and EPI, </w:t>
      </w:r>
      <w:r w:rsidR="00765C16" w:rsidRPr="00820C89">
        <w:t xml:space="preserve">where </w:t>
      </w:r>
      <w:r w:rsidR="007E79DB" w:rsidRPr="00820C89">
        <w:t xml:space="preserve">if </w:t>
      </w:r>
      <w:r w:rsidR="00765C16" w:rsidRPr="00820C89">
        <w:t xml:space="preserve">a </w:t>
      </w:r>
      <w:r w:rsidR="007E79DB" w:rsidRPr="00820C89">
        <w:t xml:space="preserve">VTEC provider </w:t>
      </w:r>
      <w:r w:rsidR="00765C16" w:rsidRPr="00820C89">
        <w:t>delivers</w:t>
      </w:r>
      <w:r w:rsidR="007E79DB" w:rsidRPr="00820C89">
        <w:t xml:space="preserve"> employee support services and </w:t>
      </w:r>
      <w:r w:rsidR="009D2F81" w:rsidRPr="00820C89">
        <w:t xml:space="preserve">a </w:t>
      </w:r>
      <w:r w:rsidR="007E79DB" w:rsidRPr="00820C89">
        <w:t xml:space="preserve">EPI </w:t>
      </w:r>
      <w:r w:rsidR="00DE73E3" w:rsidRPr="00820C89">
        <w:t>partner was the employer</w:t>
      </w:r>
      <w:r w:rsidR="00765C16" w:rsidRPr="00820C89">
        <w:t xml:space="preserve"> the two parties able </w:t>
      </w:r>
      <w:r w:rsidR="008922D2" w:rsidRPr="00820C89">
        <w:t>are able to share an outcome payment.</w:t>
      </w:r>
      <w:r w:rsidR="00765C16" w:rsidRPr="00820C89" w:rsidDel="00765C16">
        <w:t xml:space="preserve"> </w:t>
      </w:r>
    </w:p>
    <w:p w14:paraId="19583A26" w14:textId="77777777" w:rsidR="00052623" w:rsidRPr="00820C89" w:rsidRDefault="0083796C" w:rsidP="00CD64A0">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20C89">
        <w:t>Providers note that</w:t>
      </w:r>
      <w:r w:rsidR="00940594" w:rsidRPr="00820C89">
        <w:t xml:space="preserve"> participants undertaking school-based training programs </w:t>
      </w:r>
      <w:r w:rsidR="00AA6DB1" w:rsidRPr="00820C89">
        <w:t xml:space="preserve">were </w:t>
      </w:r>
      <w:r w:rsidR="00F9200C" w:rsidRPr="00820C89">
        <w:t xml:space="preserve">also </w:t>
      </w:r>
      <w:r w:rsidR="00AA6DB1" w:rsidRPr="00820C89">
        <w:t>ineligible for the VTEC program</w:t>
      </w:r>
      <w:r w:rsidR="00F9200C" w:rsidRPr="00820C89">
        <w:t xml:space="preserve"> within the </w:t>
      </w:r>
      <w:r w:rsidR="003A08AE" w:rsidRPr="00820C89">
        <w:t xml:space="preserve">following </w:t>
      </w:r>
      <w:r w:rsidR="007D6FCE" w:rsidRPr="00820C89">
        <w:t>six-month</w:t>
      </w:r>
      <w:r w:rsidR="00F9200C" w:rsidRPr="00820C89">
        <w:t xml:space="preserve"> period</w:t>
      </w:r>
      <w:r w:rsidR="003A08AE" w:rsidRPr="00820C89">
        <w:t xml:space="preserve">, </w:t>
      </w:r>
      <w:r w:rsidR="00FE25CE" w:rsidRPr="00820C89">
        <w:t>which</w:t>
      </w:r>
      <w:r w:rsidR="003A08AE" w:rsidRPr="00820C89">
        <w:t xml:space="preserve"> presents a significant challenge </w:t>
      </w:r>
      <w:r w:rsidR="003A08AE" w:rsidRPr="00820C89">
        <w:lastRenderedPageBreak/>
        <w:t>for young Indigenous graduates seeking employmen</w:t>
      </w:r>
      <w:r w:rsidR="00052623" w:rsidRPr="00820C89">
        <w:t>t</w:t>
      </w:r>
      <w:r w:rsidR="00CD64A0" w:rsidRPr="00820C89">
        <w:t xml:space="preserve">. </w:t>
      </w:r>
    </w:p>
    <w:p w14:paraId="68BB94BA" w14:textId="77777777" w:rsidR="002578E0" w:rsidRPr="00820C89" w:rsidRDefault="00BD4B24" w:rsidP="00BD4B24">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pPr>
      <w:r w:rsidRPr="00820C89">
        <w:rPr>
          <w:i/>
          <w:iCs/>
        </w:rPr>
        <w:t>“</w:t>
      </w:r>
      <w:r w:rsidR="005845F6" w:rsidRPr="00820C89">
        <w:rPr>
          <w:i/>
          <w:iCs/>
        </w:rPr>
        <w:t xml:space="preserve">You can’t [transition school-leavers into a VTEC model] without having a six month hiatus, or a six month break in funding. So what do we do? Do we actually let these people do for six months, if we haven’t already found a tertiary education or a job?” </w:t>
      </w:r>
      <w:r w:rsidR="005845F6" w:rsidRPr="00820C89">
        <w:t xml:space="preserve">(VTEC provider). </w:t>
      </w:r>
    </w:p>
    <w:p w14:paraId="7F458400" w14:textId="77777777" w:rsidR="00C131EF" w:rsidRPr="00820C89" w:rsidRDefault="0012612B" w:rsidP="00C131EF">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20C89">
        <w:t xml:space="preserve">Providers </w:t>
      </w:r>
      <w:r w:rsidR="001F0904" w:rsidRPr="00820C89">
        <w:t>criticised t</w:t>
      </w:r>
      <w:r w:rsidRPr="00820C89">
        <w:t>his eligibility criteria</w:t>
      </w:r>
      <w:r w:rsidR="001F0904" w:rsidRPr="00820C89">
        <w:t xml:space="preserve"> as it fails </w:t>
      </w:r>
      <w:r w:rsidR="00374583" w:rsidRPr="00820C89">
        <w:t>to</w:t>
      </w:r>
      <w:r w:rsidR="0073132D" w:rsidRPr="00820C89">
        <w:t xml:space="preserve"> recognise, or support, participants through </w:t>
      </w:r>
      <w:r w:rsidR="00682409" w:rsidRPr="00820C89">
        <w:t xml:space="preserve">the </w:t>
      </w:r>
      <w:r w:rsidR="0073132D" w:rsidRPr="00820C89">
        <w:t>series of ‘false starts’</w:t>
      </w:r>
      <w:r w:rsidR="00374583" w:rsidRPr="00820C89">
        <w:t xml:space="preserve"> that </w:t>
      </w:r>
      <w:r w:rsidR="0073132D" w:rsidRPr="00820C89">
        <w:t xml:space="preserve">they will inevitably face as a highly disadvantaged or chronically unemployed </w:t>
      </w:r>
      <w:r w:rsidR="00374583" w:rsidRPr="00820C89">
        <w:t>cohort</w:t>
      </w:r>
      <w:r w:rsidR="0073132D" w:rsidRPr="00820C89">
        <w:t>.</w:t>
      </w:r>
      <w:r w:rsidR="00374583" w:rsidRPr="00820C89">
        <w:t xml:space="preserve"> Providers and community stakeholders</w:t>
      </w:r>
      <w:r w:rsidR="00861BD0" w:rsidRPr="00820C89">
        <w:t xml:space="preserve"> report that</w:t>
      </w:r>
      <w:r w:rsidR="007F730A" w:rsidRPr="00820C89">
        <w:t xml:space="preserve"> </w:t>
      </w:r>
      <w:r w:rsidR="004D2B74" w:rsidRPr="00820C89">
        <w:t>participants who need to wait six months before receiving</w:t>
      </w:r>
      <w:r w:rsidR="007F730A" w:rsidRPr="00820C89">
        <w:t xml:space="preserve"> employment support</w:t>
      </w:r>
      <w:r w:rsidR="00052623" w:rsidRPr="00820C89">
        <w:t>, can have a detrimental impact on jobseekers’</w:t>
      </w:r>
      <w:r w:rsidR="00A65AC2" w:rsidRPr="00820C89">
        <w:t xml:space="preserve"> motivation and confidence to reengage in the workforce.</w:t>
      </w:r>
    </w:p>
    <w:p w14:paraId="28E5EB70" w14:textId="77777777" w:rsidR="009D59FF" w:rsidRPr="00820C89" w:rsidRDefault="006F5249" w:rsidP="009D59FF">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eastAsia="Verdana" w:hAnsiTheme="majorHAnsi" w:cs="Times New Roman"/>
        </w:rPr>
      </w:pPr>
      <w:r w:rsidRPr="00820C89">
        <w:rPr>
          <w:rFonts w:asciiTheme="majorHAnsi" w:hAnsiTheme="majorHAnsi"/>
          <w:b/>
          <w:color w:val="75787B" w:themeColor="accent6"/>
        </w:rPr>
        <w:t>Provider eligibility requirements</w:t>
      </w:r>
      <w:r w:rsidRPr="00820C89">
        <w:rPr>
          <w:rFonts w:asciiTheme="majorHAnsi" w:hAnsiTheme="majorHAnsi"/>
          <w:color w:val="75787B" w:themeColor="accent6"/>
        </w:rPr>
        <w:t xml:space="preserve"> </w:t>
      </w:r>
      <w:r w:rsidR="00CB5B03" w:rsidRPr="00820C89">
        <w:rPr>
          <w:rFonts w:asciiTheme="majorHAnsi" w:hAnsiTheme="majorHAnsi"/>
          <w:color w:val="75787B" w:themeColor="accent6"/>
        </w:rPr>
        <w:br/>
      </w:r>
      <w:r w:rsidR="00CB5B03" w:rsidRPr="00820C89">
        <w:rPr>
          <w:rFonts w:asciiTheme="majorHAnsi" w:hAnsiTheme="majorHAnsi"/>
          <w:b/>
          <w:bCs/>
          <w:i/>
          <w:iCs/>
          <w:color w:val="75787B" w:themeColor="accent6"/>
        </w:rPr>
        <w:t xml:space="preserve">Indigeneity requirement </w:t>
      </w:r>
      <w:r w:rsidR="00274E19" w:rsidRPr="00820C89">
        <w:rPr>
          <w:rFonts w:asciiTheme="majorHAnsi" w:hAnsiTheme="majorHAnsi"/>
          <w:iCs/>
          <w:color w:val="000000" w:themeColor="text1"/>
        </w:rPr>
        <w:t>–</w:t>
      </w:r>
      <w:r w:rsidRPr="00820C89">
        <w:rPr>
          <w:rFonts w:asciiTheme="majorHAnsi" w:hAnsiTheme="majorHAnsi"/>
          <w:iCs/>
          <w:color w:val="000000" w:themeColor="text1"/>
        </w:rPr>
        <w:t xml:space="preserve"> </w:t>
      </w:r>
      <w:r w:rsidR="00274E19" w:rsidRPr="00820C89">
        <w:rPr>
          <w:rFonts w:asciiTheme="majorHAnsi" w:hAnsiTheme="majorHAnsi"/>
          <w:iCs/>
          <w:color w:val="000000" w:themeColor="text1"/>
        </w:rPr>
        <w:t>as of 2018, there was a requirement for VTECs to be, or have a joint venture with, an Indigenous-owned and controlled organisation</w:t>
      </w:r>
      <w:r w:rsidR="00E465E0" w:rsidRPr="00820C89">
        <w:rPr>
          <w:rFonts w:asciiTheme="majorHAnsi" w:hAnsiTheme="majorHAnsi"/>
          <w:iCs/>
          <w:color w:val="000000" w:themeColor="text1"/>
        </w:rPr>
        <w:t xml:space="preserve">. </w:t>
      </w:r>
      <w:r w:rsidR="004831AE" w:rsidRPr="00820C89">
        <w:rPr>
          <w:rFonts w:asciiTheme="majorHAnsi" w:hAnsiTheme="majorHAnsi"/>
          <w:iCs/>
          <w:color w:val="000000" w:themeColor="text1"/>
        </w:rPr>
        <w:t>As such, p</w:t>
      </w:r>
      <w:r w:rsidR="00AC2BC4" w:rsidRPr="00820C89">
        <w:rPr>
          <w:rFonts w:asciiTheme="majorHAnsi" w:eastAsia="Verdana" w:hAnsiTheme="majorHAnsi" w:cs="Times New Roman"/>
        </w:rPr>
        <w:t xml:space="preserve">roviders who planned to continue delivering services as a VTEC following the introduction of the Indigeneity requirement have either transitioned to an Indigenous-controlled organisation (typically, through a joint venture), or are in the process of doing so. </w:t>
      </w:r>
    </w:p>
    <w:p w14:paraId="1785EFD9" w14:textId="77777777" w:rsidR="00552433" w:rsidRPr="00820C89" w:rsidRDefault="00AB3D03" w:rsidP="00C131EF">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eastAsia="Verdana" w:hAnsiTheme="majorHAnsi" w:cs="Times New Roman"/>
        </w:rPr>
      </w:pPr>
      <w:r w:rsidRPr="00820C89">
        <w:rPr>
          <w:rFonts w:asciiTheme="majorHAnsi" w:eastAsia="Verdana" w:hAnsiTheme="majorHAnsi" w:cs="Times New Roman"/>
        </w:rPr>
        <w:t>Of the sample of VTECs that responded to the provider survey, 74 percent indicated they were either Indigenous-controlled, or in a joint venture with an Indigenous organisation. In consultation NIAA policy staff reported that 23 of the 24 current VTECs had met this requirement. This difference may be explained based on an interpretative difference as to whether they were transitioning to meet the requirement or had already met this requirement.</w:t>
      </w:r>
      <w:r w:rsidR="00713121" w:rsidRPr="00820C89">
        <w:rPr>
          <w:rFonts w:asciiTheme="majorHAnsi" w:eastAsia="Verdana" w:hAnsiTheme="majorHAnsi" w:cs="Times New Roman"/>
        </w:rPr>
        <w:br/>
      </w:r>
      <w:r w:rsidR="00552433" w:rsidRPr="00820C89">
        <w:rPr>
          <w:rFonts w:asciiTheme="majorHAnsi" w:eastAsia="Verdana" w:hAnsiTheme="majorHAnsi" w:cs="Times New Roman"/>
        </w:rPr>
        <w:t xml:space="preserve">VTEC providers and NIAA staff report that the Indigeneity requirement has a strong rationale, and in the long-term will ensure services are culturally appropriate. This is because it ensures that Indigenous Australians are at the centre of the VTEC model and </w:t>
      </w:r>
      <w:r w:rsidR="001A0A5B" w:rsidRPr="00820C89">
        <w:rPr>
          <w:rFonts w:asciiTheme="majorHAnsi" w:eastAsia="Verdana" w:hAnsiTheme="majorHAnsi" w:cs="Times New Roman"/>
        </w:rPr>
        <w:t xml:space="preserve">have the ability to drive decisions </w:t>
      </w:r>
      <w:r w:rsidR="001A0A5B" w:rsidRPr="00820C89">
        <w:rPr>
          <w:rFonts w:asciiTheme="majorHAnsi" w:hAnsiTheme="majorHAnsi"/>
        </w:rPr>
        <w:t>around how they engage with communities, the locations that they focus their efforts, the types of jobs they source and employers that they work with, as well as how the utilise other funding streams to support participants.</w:t>
      </w:r>
      <w:r w:rsidR="00552433" w:rsidRPr="00820C89">
        <w:rPr>
          <w:rFonts w:asciiTheme="majorHAnsi" w:eastAsia="Verdana" w:hAnsiTheme="majorHAnsi" w:cs="Times New Roman"/>
        </w:rPr>
        <w:t xml:space="preserve"> </w:t>
      </w:r>
    </w:p>
    <w:p w14:paraId="084F083D" w14:textId="77777777" w:rsidR="00552433" w:rsidRPr="00820C89" w:rsidRDefault="00552433" w:rsidP="00552433">
      <w:pPr>
        <w:rPr>
          <w:rFonts w:asciiTheme="majorHAnsi" w:eastAsia="Verdana" w:hAnsiTheme="majorHAnsi" w:cs="Times New Roman"/>
        </w:rPr>
      </w:pPr>
      <w:r w:rsidRPr="00820C89">
        <w:rPr>
          <w:rFonts w:asciiTheme="majorHAnsi" w:eastAsia="Verdana" w:hAnsiTheme="majorHAnsi" w:cs="Times New Roman"/>
        </w:rPr>
        <w:t xml:space="preserve">At the same time, there have been significant issues in implementing this requirement. Providers who were required to change their organisational structure and/or develop partnerships with other organisations to satisfy this new requirement were more critical, noting: </w:t>
      </w:r>
    </w:p>
    <w:p w14:paraId="5AFBCCAC" w14:textId="77777777" w:rsidR="00552433" w:rsidRPr="00820C89" w:rsidRDefault="00552433" w:rsidP="00552433">
      <w:pPr>
        <w:ind w:left="720"/>
        <w:contextualSpacing/>
        <w:rPr>
          <w:rFonts w:asciiTheme="majorHAnsi" w:eastAsia="Verdana" w:hAnsiTheme="majorHAnsi" w:cs="Times New Roman"/>
          <w:i/>
        </w:rPr>
      </w:pPr>
      <w:r w:rsidRPr="00820C89">
        <w:rPr>
          <w:rFonts w:asciiTheme="majorHAnsi" w:eastAsia="Verdana" w:hAnsiTheme="majorHAnsi" w:cs="Times New Roman"/>
          <w:i/>
        </w:rPr>
        <w:t>“We’ve had a long history of delivering these Indigenous programs, but we’re certainly not an Indigenous organisation […] we were disappointed in that move because of our commitment, both tangibly and culturally, I suppose, to Aboriginal and Torres Strait Islander employment initiatives, and we were set to withdraw from the VTEC progra</w:t>
      </w:r>
      <w:r w:rsidR="00EC1D61" w:rsidRPr="00820C89">
        <w:rPr>
          <w:rFonts w:asciiTheme="majorHAnsi" w:eastAsia="Verdana" w:hAnsiTheme="majorHAnsi" w:cs="Times New Roman"/>
          <w:i/>
        </w:rPr>
        <w:t>m</w:t>
      </w:r>
      <w:r w:rsidRPr="00820C89">
        <w:rPr>
          <w:rFonts w:asciiTheme="majorHAnsi" w:eastAsia="Verdana" w:hAnsiTheme="majorHAnsi" w:cs="Times New Roman"/>
          <w:i/>
        </w:rPr>
        <w:t xml:space="preserve">” </w:t>
      </w:r>
      <w:r w:rsidRPr="00820C89">
        <w:rPr>
          <w:rFonts w:asciiTheme="majorHAnsi" w:eastAsia="Verdana" w:hAnsiTheme="majorHAnsi" w:cs="Times New Roman"/>
          <w:iCs/>
        </w:rPr>
        <w:t>(VTEC provider)</w:t>
      </w:r>
      <w:r w:rsidR="00EC1D61" w:rsidRPr="00820C89">
        <w:rPr>
          <w:rFonts w:asciiTheme="majorHAnsi" w:eastAsia="Verdana" w:hAnsiTheme="majorHAnsi" w:cs="Times New Roman"/>
          <w:iCs/>
        </w:rPr>
        <w:t>.</w:t>
      </w:r>
    </w:p>
    <w:p w14:paraId="08E7CB63" w14:textId="77777777" w:rsidR="00552433" w:rsidRPr="00820C89" w:rsidRDefault="00552433" w:rsidP="00552433">
      <w:pPr>
        <w:ind w:left="720"/>
        <w:contextualSpacing/>
        <w:rPr>
          <w:rFonts w:asciiTheme="majorHAnsi" w:eastAsia="Verdana" w:hAnsiTheme="majorHAnsi" w:cs="Times New Roman"/>
          <w:i/>
        </w:rPr>
      </w:pPr>
    </w:p>
    <w:p w14:paraId="16C8FCD6" w14:textId="31AEB01F" w:rsidR="002008AE" w:rsidRPr="00820C89" w:rsidRDefault="00552433" w:rsidP="00552433">
      <w:pPr>
        <w:ind w:left="720"/>
        <w:contextualSpacing/>
        <w:rPr>
          <w:rFonts w:asciiTheme="majorHAnsi" w:eastAsia="Verdana" w:hAnsiTheme="majorHAnsi" w:cs="Times New Roman"/>
          <w:iCs/>
        </w:rPr>
      </w:pPr>
      <w:r w:rsidRPr="00820C89">
        <w:rPr>
          <w:rFonts w:asciiTheme="majorHAnsi" w:eastAsia="Verdana" w:hAnsiTheme="majorHAnsi" w:cs="Times New Roman"/>
          <w:i/>
        </w:rPr>
        <w:t xml:space="preserve">“We’ve got good networks with Indigenous community groups anyway, so I wouldn’t say that we, being Indigenous-owned, there’s really been a change at all” </w:t>
      </w:r>
      <w:r w:rsidRPr="00820C89">
        <w:rPr>
          <w:rFonts w:asciiTheme="majorHAnsi" w:eastAsia="Verdana" w:hAnsiTheme="majorHAnsi" w:cs="Times New Roman"/>
          <w:iCs/>
        </w:rPr>
        <w:t>(VTEC provider)</w:t>
      </w:r>
      <w:r w:rsidR="00EC1D61" w:rsidRPr="00820C89">
        <w:rPr>
          <w:rFonts w:asciiTheme="majorHAnsi" w:eastAsia="Verdana" w:hAnsiTheme="majorHAnsi" w:cs="Times New Roman"/>
          <w:iCs/>
        </w:rPr>
        <w:t>.</w:t>
      </w:r>
    </w:p>
    <w:p w14:paraId="35E6CA0A" w14:textId="77777777" w:rsidR="00552433" w:rsidRPr="00820C89" w:rsidRDefault="00552433" w:rsidP="002008AE">
      <w:pPr>
        <w:ind w:left="720"/>
        <w:contextualSpacing/>
        <w:rPr>
          <w:rFonts w:asciiTheme="majorHAnsi" w:eastAsia="Verdana" w:hAnsiTheme="majorHAnsi" w:cs="Times New Roman"/>
          <w:i/>
        </w:rPr>
      </w:pPr>
    </w:p>
    <w:p w14:paraId="71E1BB65" w14:textId="77777777" w:rsidR="003100A6" w:rsidRPr="00820C89" w:rsidRDefault="00552433" w:rsidP="0055243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rPr>
      </w:pPr>
      <w:r w:rsidRPr="00820C89">
        <w:rPr>
          <w:rFonts w:asciiTheme="majorHAnsi" w:eastAsia="Verdana" w:hAnsiTheme="majorHAnsi" w:cs="Times New Roman"/>
        </w:rPr>
        <w:t xml:space="preserve">Another provider reflected that this new requirement further restricts the pool of providers that are eligible to deliver this program, noting it is unlikely there would be enough appetite within small to medium sized Indigenous organisations to run job readiness employment programs, particularly with the level of upfront risk and investment that the program model demands. </w:t>
      </w:r>
    </w:p>
    <w:p w14:paraId="7BDF02C1" w14:textId="5941CC0A" w:rsidR="00EE2D72" w:rsidRPr="00820C89" w:rsidRDefault="001A0D63" w:rsidP="00EE2D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09"/>
        <w:rPr>
          <w:rFonts w:asciiTheme="majorHAnsi" w:eastAsia="Verdana" w:hAnsiTheme="majorHAnsi" w:cs="Times New Roman"/>
          <w:i/>
          <w:iCs/>
        </w:rPr>
      </w:pPr>
      <w:r w:rsidRPr="00820C89">
        <w:rPr>
          <w:rFonts w:asciiTheme="majorHAnsi" w:eastAsia="Verdana" w:hAnsiTheme="majorHAnsi" w:cs="Times New Roman"/>
          <w:i/>
          <w:iCs/>
        </w:rPr>
        <w:t xml:space="preserve">“[The NIAA] were hoping that other Aboriginal organisations just might wholly and solely take it on, but they’ve got to understand that the Aboriginal organisations, some of it’s not their core business. </w:t>
      </w:r>
      <w:r w:rsidR="00C255C9" w:rsidRPr="00820C89">
        <w:rPr>
          <w:rFonts w:asciiTheme="majorHAnsi" w:eastAsia="Verdana" w:hAnsiTheme="majorHAnsi" w:cs="Times New Roman"/>
          <w:i/>
          <w:iCs/>
        </w:rPr>
        <w:t xml:space="preserve">Their core business is health services, not employment. They’re struggling with the capacity that they have running their own organisations and their own core business” (VTEC provider). </w:t>
      </w:r>
    </w:p>
    <w:p w14:paraId="30B5C7D6" w14:textId="51B44044" w:rsidR="00B4360C" w:rsidRPr="00820C89" w:rsidRDefault="003A6484" w:rsidP="004618FA">
      <w:pPr>
        <w:pStyle w:val="Heading2"/>
        <w:rPr>
          <w:rFonts w:asciiTheme="majorHAnsi" w:hAnsiTheme="majorHAnsi"/>
        </w:rPr>
      </w:pPr>
      <w:bookmarkStart w:id="88" w:name="_Toc82710780"/>
      <w:bookmarkStart w:id="89" w:name="_Toc101343295"/>
      <w:bookmarkEnd w:id="62"/>
      <w:bookmarkEnd w:id="63"/>
      <w:r w:rsidRPr="00820C89">
        <w:rPr>
          <w:rFonts w:asciiTheme="majorHAnsi" w:hAnsiTheme="majorHAnsi"/>
        </w:rPr>
        <w:t>Governance structure</w:t>
      </w:r>
      <w:bookmarkEnd w:id="88"/>
      <w:bookmarkEnd w:id="89"/>
    </w:p>
    <w:p w14:paraId="5D36DED7" w14:textId="77777777" w:rsidR="00DA6CA1" w:rsidRPr="00820C89" w:rsidRDefault="00DA6CA1" w:rsidP="00DA6CA1">
      <w:pPr>
        <w:rPr>
          <w:rFonts w:asciiTheme="majorHAnsi" w:hAnsiTheme="majorHAnsi"/>
        </w:rPr>
      </w:pPr>
      <w:r w:rsidRPr="00820C89">
        <w:rPr>
          <w:rFonts w:asciiTheme="majorHAnsi" w:hAnsiTheme="majorHAnsi"/>
        </w:rPr>
        <w:t xml:space="preserve">The question of governance arose as a consistent theme in the consultations with stakeholders, unprompted, thereby forming an essential consideration for the overall implementation of the IEP. </w:t>
      </w:r>
    </w:p>
    <w:p w14:paraId="1D0FD94A" w14:textId="77777777" w:rsidR="00DA6CA1" w:rsidRPr="00820C89" w:rsidRDefault="00DA6CA1" w:rsidP="00DA6CA1">
      <w:pPr>
        <w:rPr>
          <w:rFonts w:asciiTheme="majorHAnsi" w:hAnsiTheme="majorHAnsi"/>
        </w:rPr>
      </w:pPr>
      <w:r w:rsidRPr="00820C89">
        <w:rPr>
          <w:rFonts w:asciiTheme="majorHAnsi" w:hAnsiTheme="majorHAnsi"/>
        </w:rPr>
        <w:lastRenderedPageBreak/>
        <w:t xml:space="preserve">We recognise that governance is a fraught topic with limited quantitative data to draw on, but it is informative as to process and points to indicators of success for the future. This section considers the contract management and overall effectiveness of the governance structures of the program. </w:t>
      </w:r>
    </w:p>
    <w:p w14:paraId="040FB70A" w14:textId="77777777" w:rsidR="00DA6CA1" w:rsidRPr="00820C89" w:rsidRDefault="00DA6CA1" w:rsidP="00DA6CA1">
      <w:pPr>
        <w:rPr>
          <w:rFonts w:asciiTheme="majorHAnsi" w:hAnsiTheme="majorHAnsi"/>
        </w:rPr>
      </w:pPr>
      <w:r w:rsidRPr="00820C89">
        <w:rPr>
          <w:rFonts w:asciiTheme="majorHAnsi" w:hAnsiTheme="majorHAnsi"/>
        </w:rPr>
        <w:t xml:space="preserve">In doing so, the section examines whether it is preferable for different aspects of the program to be centralised or decentralised - a natural tension present in any complex program of service delivery. History shows that when the preconditions for effective devolution aren’t in place, it is less preferrable than a centralised structure. </w:t>
      </w:r>
    </w:p>
    <w:p w14:paraId="69EDB539" w14:textId="7CF0808A" w:rsidR="00DA6CA1" w:rsidRPr="00820C89" w:rsidRDefault="00DA6CA1" w:rsidP="00DA6CA1">
      <w:pPr>
        <w:rPr>
          <w:rFonts w:asciiTheme="majorHAnsi" w:hAnsiTheme="majorHAnsi"/>
        </w:rPr>
      </w:pPr>
      <w:r w:rsidRPr="00820C89">
        <w:rPr>
          <w:rFonts w:asciiTheme="majorHAnsi" w:hAnsiTheme="majorHAnsi"/>
        </w:rPr>
        <w:t xml:space="preserve">While stakeholders and the evaluation do not favour a swinging pendulum in respect of centralisation v. decentralisation, the hypothesis here is that the conditions for devolution success are now increasingly in place, or should be invested in as the path to improved outcomes from these kinds of investments. It is also </w:t>
      </w:r>
      <w:r w:rsidR="00B570DB" w:rsidRPr="00820C89">
        <w:rPr>
          <w:rFonts w:asciiTheme="majorHAnsi" w:hAnsiTheme="majorHAnsi"/>
        </w:rPr>
        <w:t>noted</w:t>
      </w:r>
      <w:r w:rsidRPr="00820C89">
        <w:rPr>
          <w:rFonts w:asciiTheme="majorHAnsi" w:hAnsiTheme="majorHAnsi"/>
        </w:rPr>
        <w:t xml:space="preserve"> that subsidiarity </w:t>
      </w:r>
      <w:r w:rsidR="001E5AEE" w:rsidRPr="00820C89">
        <w:rPr>
          <w:rFonts w:asciiTheme="majorHAnsi" w:hAnsiTheme="majorHAnsi"/>
        </w:rPr>
        <w:t>is</w:t>
      </w:r>
      <w:r w:rsidRPr="00820C89">
        <w:rPr>
          <w:rFonts w:asciiTheme="majorHAnsi" w:hAnsiTheme="majorHAnsi"/>
        </w:rPr>
        <w:t xml:space="preserve"> fundamental to Indigenous policy.</w:t>
      </w:r>
    </w:p>
    <w:p w14:paraId="5F4E4D8E" w14:textId="6A3DA1E0" w:rsidR="00DA6CA1" w:rsidRDefault="00BA39E0" w:rsidP="00DA6CA1">
      <w:pPr>
        <w:rPr>
          <w:rFonts w:asciiTheme="majorHAnsi" w:hAnsiTheme="majorHAnsi"/>
        </w:rPr>
      </w:pPr>
      <w:r w:rsidRPr="001656D4">
        <w:rPr>
          <w:rFonts w:asciiTheme="majorHAnsi" w:hAnsiTheme="majorHAnsi"/>
        </w:rPr>
        <w:t>In the end, g</w:t>
      </w:r>
      <w:r w:rsidR="00DA6CA1" w:rsidRPr="001656D4">
        <w:rPr>
          <w:rFonts w:asciiTheme="majorHAnsi" w:hAnsiTheme="majorHAnsi"/>
        </w:rPr>
        <w:t xml:space="preserve">overnance structures are among the most important and overarching conclusions </w:t>
      </w:r>
      <w:r w:rsidR="00332B43" w:rsidRPr="001656D4">
        <w:rPr>
          <w:rFonts w:asciiTheme="majorHAnsi" w:hAnsiTheme="majorHAnsi"/>
        </w:rPr>
        <w:t>with respect to the implementation of program</w:t>
      </w:r>
      <w:r w:rsidRPr="001656D4">
        <w:rPr>
          <w:rFonts w:asciiTheme="majorHAnsi" w:hAnsiTheme="majorHAnsi"/>
        </w:rPr>
        <w:t>s</w:t>
      </w:r>
      <w:r w:rsidR="00DA6CA1" w:rsidRPr="001656D4">
        <w:rPr>
          <w:rFonts w:asciiTheme="majorHAnsi" w:hAnsiTheme="majorHAnsi"/>
        </w:rPr>
        <w:t xml:space="preserve"> - this relates to both internal and external structures of governance. It</w:t>
      </w:r>
      <w:r w:rsidR="00A31CAE" w:rsidRPr="001656D4">
        <w:rPr>
          <w:rFonts w:asciiTheme="majorHAnsi" w:hAnsiTheme="majorHAnsi"/>
        </w:rPr>
        <w:t xml:space="preserve"> is also </w:t>
      </w:r>
      <w:r w:rsidR="00DA6CA1" w:rsidRPr="001656D4">
        <w:rPr>
          <w:rFonts w:asciiTheme="majorHAnsi" w:hAnsiTheme="majorHAnsi"/>
        </w:rPr>
        <w:t>not uncommon for internal structures in service delivery organisations to need to be reviewed and redesigned with purpose as contexts change</w:t>
      </w:r>
      <w:r w:rsidR="00A34900" w:rsidRPr="00820C89">
        <w:rPr>
          <w:rFonts w:asciiTheme="majorHAnsi" w:hAnsiTheme="majorHAnsi"/>
        </w:rPr>
        <w:t>, just like external structures</w:t>
      </w:r>
      <w:r w:rsidR="004E797E" w:rsidRPr="00820C89">
        <w:rPr>
          <w:rFonts w:asciiTheme="majorHAnsi" w:hAnsiTheme="majorHAnsi"/>
        </w:rPr>
        <w:t xml:space="preserve"> are.</w:t>
      </w:r>
      <w:r w:rsidR="00DA6CA1" w:rsidRPr="001656D4">
        <w:rPr>
          <w:rFonts w:asciiTheme="majorHAnsi" w:hAnsiTheme="majorHAnsi"/>
        </w:rPr>
        <w:t xml:space="preserve"> </w:t>
      </w:r>
    </w:p>
    <w:p w14:paraId="51FDFE30" w14:textId="77777777" w:rsidR="001D6F02" w:rsidRPr="00BC7EC7" w:rsidRDefault="001D6F02" w:rsidP="001D6F02">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w:t>
      </w:r>
    </w:p>
    <w:p w14:paraId="180D4BD0" w14:textId="77777777" w:rsidR="001D6F02" w:rsidRPr="005F6072" w:rsidRDefault="001D6F02" w:rsidP="00715F70">
      <w:pPr>
        <w:pStyle w:val="ListParagraph"/>
        <w:numPr>
          <w:ilvl w:val="0"/>
          <w:numId w:val="85"/>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Pr>
          <w:rFonts w:asciiTheme="majorHAnsi" w:hAnsiTheme="majorHAnsi"/>
          <w:b/>
          <w:bCs/>
          <w:i/>
          <w:iCs/>
          <w:color w:val="62B5E5" w:themeColor="accent3"/>
        </w:rPr>
        <w:t>A highly</w:t>
      </w:r>
      <w:r w:rsidRPr="00525BFE">
        <w:rPr>
          <w:rFonts w:asciiTheme="majorHAnsi" w:hAnsiTheme="majorHAnsi"/>
          <w:b/>
          <w:bCs/>
          <w:i/>
          <w:iCs/>
          <w:color w:val="62B5E5" w:themeColor="accent3"/>
        </w:rPr>
        <w:t xml:space="preserve"> centralised governance structure impact</w:t>
      </w:r>
      <w:r>
        <w:rPr>
          <w:rFonts w:asciiTheme="majorHAnsi" w:hAnsiTheme="majorHAnsi"/>
          <w:b/>
          <w:bCs/>
          <w:i/>
          <w:iCs/>
          <w:color w:val="62B5E5" w:themeColor="accent3"/>
        </w:rPr>
        <w:t>s</w:t>
      </w:r>
      <w:r w:rsidRPr="00525BFE">
        <w:rPr>
          <w:rFonts w:asciiTheme="majorHAnsi" w:hAnsiTheme="majorHAnsi"/>
          <w:b/>
          <w:bCs/>
          <w:i/>
          <w:iCs/>
          <w:color w:val="62B5E5" w:themeColor="accent3"/>
        </w:rPr>
        <w:t xml:space="preserve"> providers’ ability to deliver the programs in a place-based, responsive manner and in more extreme cases, </w:t>
      </w:r>
      <w:r>
        <w:rPr>
          <w:rFonts w:asciiTheme="majorHAnsi" w:hAnsiTheme="majorHAnsi"/>
          <w:b/>
          <w:bCs/>
          <w:i/>
          <w:iCs/>
          <w:color w:val="62B5E5" w:themeColor="accent3"/>
        </w:rPr>
        <w:t xml:space="preserve">leads to </w:t>
      </w:r>
      <w:r w:rsidRPr="00525BFE">
        <w:rPr>
          <w:rFonts w:asciiTheme="majorHAnsi" w:hAnsiTheme="majorHAnsi"/>
          <w:b/>
          <w:bCs/>
          <w:i/>
          <w:iCs/>
          <w:color w:val="62B5E5" w:themeColor="accent3"/>
        </w:rPr>
        <w:t xml:space="preserve">missed opportunities. </w:t>
      </w:r>
    </w:p>
    <w:p w14:paraId="57547DE0" w14:textId="241B2873" w:rsidR="00594A64" w:rsidRPr="00820C89" w:rsidRDefault="00594A64" w:rsidP="0015084A">
      <w:pPr>
        <w:pStyle w:val="Heading3"/>
        <w:rPr>
          <w:rFonts w:asciiTheme="majorHAnsi" w:hAnsiTheme="majorHAnsi"/>
        </w:rPr>
      </w:pPr>
      <w:r w:rsidRPr="00820C89">
        <w:rPr>
          <w:rFonts w:asciiTheme="majorHAnsi" w:hAnsiTheme="majorHAnsi"/>
        </w:rPr>
        <w:t>Contract management</w:t>
      </w:r>
    </w:p>
    <w:p w14:paraId="5F6DD736" w14:textId="5543E184" w:rsidR="00594A64" w:rsidRPr="00820C89" w:rsidRDefault="00D40900" w:rsidP="00594A64">
      <w:pPr>
        <w:rPr>
          <w:rFonts w:asciiTheme="majorHAnsi" w:hAnsiTheme="majorHAnsi"/>
        </w:rPr>
      </w:pPr>
      <w:r w:rsidRPr="00820C89">
        <w:rPr>
          <w:rFonts w:asciiTheme="majorHAnsi" w:hAnsiTheme="majorHAnsi"/>
        </w:rPr>
        <w:t xml:space="preserve">In administration of the IEP, the NIAA is simultaneously tasked with ensuring consistent, transparent and fair application of the programs across the nation, while also ensuring programs are responsive to shifting opportunities and areas of need in order to maximise impact. </w:t>
      </w:r>
      <w:r w:rsidR="00051273" w:rsidRPr="00820C89">
        <w:rPr>
          <w:rFonts w:asciiTheme="majorHAnsi" w:hAnsiTheme="majorHAnsi"/>
        </w:rPr>
        <w:t xml:space="preserve">While some activities </w:t>
      </w:r>
      <w:r w:rsidR="003D5B95" w:rsidRPr="00820C89">
        <w:rPr>
          <w:rFonts w:asciiTheme="majorHAnsi" w:hAnsiTheme="majorHAnsi"/>
        </w:rPr>
        <w:t>fall under regional office responsibilities, i</w:t>
      </w:r>
      <w:r w:rsidR="00594A64" w:rsidRPr="00820C89">
        <w:rPr>
          <w:rFonts w:asciiTheme="majorHAnsi" w:hAnsiTheme="majorHAnsi"/>
        </w:rPr>
        <w:t xml:space="preserve">n recent years, decision making regarding contract sign-off and distribution of funding across each program has been centralised. </w:t>
      </w:r>
    </w:p>
    <w:p w14:paraId="13E60E7B" w14:textId="77777777" w:rsidR="00594A64" w:rsidRPr="00820C89" w:rsidRDefault="00594A64" w:rsidP="00594A64">
      <w:pPr>
        <w:rPr>
          <w:rFonts w:asciiTheme="majorHAnsi" w:hAnsiTheme="majorHAnsi"/>
        </w:rPr>
      </w:pPr>
      <w:r w:rsidRPr="00820C89">
        <w:rPr>
          <w:rFonts w:asciiTheme="majorHAnsi" w:hAnsiTheme="majorHAnsi"/>
        </w:rPr>
        <w:t>Consulted stakeholders noted how the changes in federal government structures had impacted on the way that NIAA staff undertake their role. NIAA staff reflected that the transition from the Department of Education, Employment and Workplace Relations (DEEWR) to Prime Minister and Cabinet (PM&amp;C) and then to the NIAA had meant that processes had become increasingly centralised. This plays out slightly different</w:t>
      </w:r>
      <w:r w:rsidR="00AE455D" w:rsidRPr="00820C89">
        <w:rPr>
          <w:rFonts w:asciiTheme="majorHAnsi" w:hAnsiTheme="majorHAnsi"/>
        </w:rPr>
        <w:t>ly</w:t>
      </w:r>
      <w:r w:rsidRPr="00820C89">
        <w:rPr>
          <w:rFonts w:asciiTheme="majorHAnsi" w:hAnsiTheme="majorHAnsi"/>
        </w:rPr>
        <w:t xml:space="preserve"> across each of the three </w:t>
      </w:r>
      <w:r w:rsidR="00AD5DDA" w:rsidRPr="00820C89">
        <w:rPr>
          <w:rFonts w:asciiTheme="majorHAnsi" w:hAnsiTheme="majorHAnsi"/>
        </w:rPr>
        <w:t>sub-programs</w:t>
      </w:r>
      <w:r w:rsidRPr="00820C89">
        <w:rPr>
          <w:rFonts w:asciiTheme="majorHAnsi" w:hAnsiTheme="majorHAnsi"/>
        </w:rPr>
        <w:t xml:space="preserve"> in terms of roles and responsibilities:</w:t>
      </w:r>
    </w:p>
    <w:p w14:paraId="7BC652AE" w14:textId="77777777" w:rsidR="00594A64" w:rsidRPr="00820C89" w:rsidRDefault="00594A64" w:rsidP="00715F70">
      <w:pPr>
        <w:pStyle w:val="ListParagraph"/>
        <w:numPr>
          <w:ilvl w:val="0"/>
          <w:numId w:val="55"/>
        </w:numPr>
        <w:spacing w:before="60" w:after="60"/>
        <w:ind w:left="357" w:hanging="357"/>
        <w:contextualSpacing w:val="0"/>
        <w:rPr>
          <w:rFonts w:asciiTheme="majorHAnsi" w:hAnsiTheme="majorHAnsi"/>
        </w:rPr>
      </w:pPr>
      <w:r w:rsidRPr="00820C89">
        <w:rPr>
          <w:rFonts w:asciiTheme="majorHAnsi" w:hAnsiTheme="majorHAnsi"/>
          <w:b/>
          <w:bCs/>
        </w:rPr>
        <w:t xml:space="preserve">EPI - </w:t>
      </w:r>
      <w:r w:rsidRPr="00820C89">
        <w:rPr>
          <w:rFonts w:asciiTheme="majorHAnsi" w:hAnsiTheme="majorHAnsi"/>
        </w:rPr>
        <w:t>NIAA regional offices have very little contact with the EPI program, as this is managed through a central NIAA team of staff who work individually with each EPI partner</w:t>
      </w:r>
    </w:p>
    <w:p w14:paraId="025EE0CA" w14:textId="77777777" w:rsidR="00594A64" w:rsidRPr="00820C89" w:rsidRDefault="00594A64" w:rsidP="00715F70">
      <w:pPr>
        <w:pStyle w:val="ListParagraph"/>
        <w:numPr>
          <w:ilvl w:val="0"/>
          <w:numId w:val="55"/>
        </w:numPr>
        <w:spacing w:before="60" w:after="60"/>
        <w:ind w:left="357" w:hanging="357"/>
        <w:contextualSpacing w:val="0"/>
        <w:rPr>
          <w:rFonts w:asciiTheme="majorHAnsi" w:hAnsiTheme="majorHAnsi"/>
        </w:rPr>
      </w:pPr>
      <w:r w:rsidRPr="00820C89">
        <w:rPr>
          <w:rFonts w:asciiTheme="majorHAnsi" w:hAnsiTheme="majorHAnsi"/>
          <w:b/>
          <w:bCs/>
        </w:rPr>
        <w:t xml:space="preserve">TAEG - </w:t>
      </w:r>
      <w:r w:rsidRPr="00820C89">
        <w:rPr>
          <w:rFonts w:asciiTheme="majorHAnsi" w:hAnsiTheme="majorHAnsi"/>
        </w:rPr>
        <w:t xml:space="preserve">NIAA regional offices are involved in the application process for TAEG programs as they work with potential providers to develop an initial proposal. The decision to fund particular TAEG projects, however, is made by </w:t>
      </w:r>
      <w:r w:rsidR="00C342A0" w:rsidRPr="00820C89">
        <w:rPr>
          <w:rFonts w:asciiTheme="majorHAnsi" w:hAnsiTheme="majorHAnsi"/>
        </w:rPr>
        <w:t xml:space="preserve">the Minister, or delegate in </w:t>
      </w:r>
      <w:r w:rsidRPr="00820C89">
        <w:rPr>
          <w:rFonts w:asciiTheme="majorHAnsi" w:hAnsiTheme="majorHAnsi"/>
        </w:rPr>
        <w:t>NIAA central office. The intent is that this enables a NIAA central team to make consistent choices nation-wide about the investment of TAEG funding</w:t>
      </w:r>
    </w:p>
    <w:p w14:paraId="0CE2575D" w14:textId="1DB4F4A5" w:rsidR="00594A64" w:rsidRPr="00820C89" w:rsidRDefault="00594A64" w:rsidP="00715F70">
      <w:pPr>
        <w:pStyle w:val="ListParagraph"/>
        <w:numPr>
          <w:ilvl w:val="0"/>
          <w:numId w:val="55"/>
        </w:numPr>
        <w:spacing w:before="60" w:after="60"/>
        <w:ind w:left="357" w:hanging="357"/>
        <w:contextualSpacing w:val="0"/>
        <w:rPr>
          <w:rFonts w:asciiTheme="majorHAnsi" w:eastAsia="Verdana" w:hAnsiTheme="majorHAnsi" w:cs="Times New Roman"/>
        </w:rPr>
      </w:pPr>
      <w:r w:rsidRPr="00820C89">
        <w:rPr>
          <w:rFonts w:asciiTheme="majorHAnsi" w:eastAsia="Verdana" w:hAnsiTheme="majorHAnsi" w:cs="Times New Roman"/>
          <w:b/>
          <w:bCs/>
        </w:rPr>
        <w:t xml:space="preserve">VTEC - </w:t>
      </w:r>
      <w:r w:rsidRPr="00820C89">
        <w:rPr>
          <w:rFonts w:asciiTheme="majorHAnsi" w:eastAsia="Verdana" w:hAnsiTheme="majorHAnsi" w:cs="Times New Roman"/>
        </w:rPr>
        <w:t>NIAA region</w:t>
      </w:r>
      <w:r w:rsidR="00146C22" w:rsidRPr="00820C89">
        <w:rPr>
          <w:rFonts w:asciiTheme="majorHAnsi" w:eastAsia="Verdana" w:hAnsiTheme="majorHAnsi" w:cs="Times New Roman"/>
        </w:rPr>
        <w:t>s</w:t>
      </w:r>
      <w:r w:rsidRPr="00820C89">
        <w:rPr>
          <w:rFonts w:asciiTheme="majorHAnsi" w:eastAsia="Verdana" w:hAnsiTheme="majorHAnsi" w:cs="Times New Roman"/>
        </w:rPr>
        <w:t xml:space="preserve"> include </w:t>
      </w:r>
      <w:r w:rsidR="00146C22" w:rsidRPr="00820C89">
        <w:rPr>
          <w:rFonts w:asciiTheme="majorHAnsi" w:eastAsia="Verdana" w:hAnsiTheme="majorHAnsi" w:cs="Times New Roman"/>
        </w:rPr>
        <w:t>regionally based grant management staff as well as regional engagement staff.  Grant management staff</w:t>
      </w:r>
      <w:r w:rsidRPr="00820C89">
        <w:rPr>
          <w:rFonts w:asciiTheme="majorHAnsi" w:eastAsia="Verdana" w:hAnsiTheme="majorHAnsi" w:cs="Times New Roman"/>
        </w:rPr>
        <w:t xml:space="preserve"> are the main point of interaction with VTEC and TAEG providers</w:t>
      </w:r>
      <w:r w:rsidR="00146C22" w:rsidRPr="00820C89">
        <w:rPr>
          <w:rFonts w:asciiTheme="majorHAnsi" w:eastAsia="Verdana" w:hAnsiTheme="majorHAnsi" w:cs="Times New Roman"/>
        </w:rPr>
        <w:t xml:space="preserve"> on contract matters, and regional engagement staff are responsible for broader engagement with providers</w:t>
      </w:r>
      <w:r w:rsidRPr="00820C89">
        <w:rPr>
          <w:rFonts w:asciiTheme="majorHAnsi" w:eastAsia="Verdana" w:hAnsiTheme="majorHAnsi" w:cs="Times New Roman"/>
        </w:rPr>
        <w:t xml:space="preserve">. While regional </w:t>
      </w:r>
      <w:r w:rsidR="00146C22" w:rsidRPr="00820C89">
        <w:rPr>
          <w:rFonts w:asciiTheme="majorHAnsi" w:eastAsia="Verdana" w:hAnsiTheme="majorHAnsi" w:cs="Times New Roman"/>
        </w:rPr>
        <w:t xml:space="preserve">engagement </w:t>
      </w:r>
      <w:r w:rsidRPr="00820C89">
        <w:rPr>
          <w:rFonts w:asciiTheme="majorHAnsi" w:eastAsia="Verdana" w:hAnsiTheme="majorHAnsi" w:cs="Times New Roman"/>
        </w:rPr>
        <w:t>staff have a role in managing contracts, they reported that often decisions regarding contracts, such as modifying or clarifying a contract, were forwarded on</w:t>
      </w:r>
      <w:r w:rsidR="00146C22" w:rsidRPr="00820C89">
        <w:rPr>
          <w:rFonts w:asciiTheme="majorHAnsi" w:eastAsia="Verdana" w:hAnsiTheme="majorHAnsi" w:cs="Times New Roman"/>
        </w:rPr>
        <w:t xml:space="preserve"> by grant management staff</w:t>
      </w:r>
      <w:r w:rsidRPr="00820C89">
        <w:rPr>
          <w:rFonts w:asciiTheme="majorHAnsi" w:eastAsia="Verdana" w:hAnsiTheme="majorHAnsi" w:cs="Times New Roman"/>
        </w:rPr>
        <w:t xml:space="preserve"> to </w:t>
      </w:r>
      <w:r w:rsidR="00146C22" w:rsidRPr="00820C89">
        <w:rPr>
          <w:rFonts w:asciiTheme="majorHAnsi" w:eastAsia="Verdana" w:hAnsiTheme="majorHAnsi" w:cs="Times New Roman"/>
        </w:rPr>
        <w:t>be</w:t>
      </w:r>
      <w:r w:rsidR="00A024E6" w:rsidRPr="00820C89">
        <w:rPr>
          <w:rFonts w:asciiTheme="majorHAnsi" w:eastAsia="Verdana" w:hAnsiTheme="majorHAnsi" w:cs="Times New Roman"/>
        </w:rPr>
        <w:t xml:space="preserve"> </w:t>
      </w:r>
      <w:r w:rsidRPr="00820C89">
        <w:rPr>
          <w:rFonts w:asciiTheme="majorHAnsi" w:eastAsia="Verdana" w:hAnsiTheme="majorHAnsi" w:cs="Times New Roman"/>
        </w:rPr>
        <w:t xml:space="preserve">made by central staff who hold the budget responsibilities. Central NIAA staff provide </w:t>
      </w:r>
      <w:r w:rsidR="00146C22" w:rsidRPr="00820C89">
        <w:rPr>
          <w:rFonts w:asciiTheme="majorHAnsi" w:eastAsia="Verdana" w:hAnsiTheme="majorHAnsi" w:cs="Times New Roman"/>
        </w:rPr>
        <w:t xml:space="preserve">program level </w:t>
      </w:r>
      <w:r w:rsidRPr="00820C89">
        <w:rPr>
          <w:rFonts w:asciiTheme="majorHAnsi" w:eastAsia="Verdana" w:hAnsiTheme="majorHAnsi" w:cs="Times New Roman"/>
        </w:rPr>
        <w:t>oversight to the VTEC program, which is intended to ensure consistency in contract implementation, a central monitoring process and a national lens to enable strategic investment of VTEC funding.</w:t>
      </w:r>
    </w:p>
    <w:p w14:paraId="623E442E" w14:textId="421A2E0A" w:rsidR="00362009" w:rsidRPr="00820C89" w:rsidRDefault="00594A64" w:rsidP="00594A64">
      <w:pPr>
        <w:spacing w:before="170"/>
        <w:rPr>
          <w:rFonts w:asciiTheme="majorHAnsi" w:eastAsia="Verdana" w:hAnsiTheme="majorHAnsi" w:cs="Times New Roman"/>
        </w:rPr>
      </w:pPr>
      <w:r w:rsidRPr="00820C89">
        <w:rPr>
          <w:rFonts w:asciiTheme="majorHAnsi" w:eastAsia="Verdana" w:hAnsiTheme="majorHAnsi" w:cs="Times New Roman"/>
        </w:rPr>
        <w:lastRenderedPageBreak/>
        <w:t xml:space="preserve">NIAA staff commented that these roles had changed with the transitions between DEEWR, PM&amp;C and the NIAA, and that under current arrangements regional </w:t>
      </w:r>
      <w:r w:rsidR="00146C22" w:rsidRPr="00820C89">
        <w:rPr>
          <w:rFonts w:asciiTheme="majorHAnsi" w:eastAsia="Verdana" w:hAnsiTheme="majorHAnsi" w:cs="Times New Roman"/>
        </w:rPr>
        <w:t xml:space="preserve">engagement </w:t>
      </w:r>
      <w:r w:rsidRPr="00820C89">
        <w:rPr>
          <w:rFonts w:asciiTheme="majorHAnsi" w:eastAsia="Verdana" w:hAnsiTheme="majorHAnsi" w:cs="Times New Roman"/>
        </w:rPr>
        <w:t xml:space="preserve">staff had less agency to make decisions. </w:t>
      </w:r>
    </w:p>
    <w:p w14:paraId="09CA8ECB" w14:textId="77777777" w:rsidR="0015084A" w:rsidRPr="00820C89" w:rsidRDefault="0015084A" w:rsidP="0015084A">
      <w:pPr>
        <w:rPr>
          <w:rFonts w:asciiTheme="majorHAnsi" w:hAnsiTheme="majorHAnsi"/>
        </w:rPr>
      </w:pPr>
      <w:r w:rsidRPr="00820C89">
        <w:rPr>
          <w:rFonts w:asciiTheme="majorHAnsi" w:hAnsiTheme="majorHAnsi"/>
        </w:rPr>
        <w:t>The outcomes-based funding model</w:t>
      </w:r>
      <w:r w:rsidR="009C4776" w:rsidRPr="00820C89">
        <w:rPr>
          <w:rFonts w:asciiTheme="majorHAnsi" w:hAnsiTheme="majorHAnsi"/>
        </w:rPr>
        <w:t xml:space="preserve"> offers</w:t>
      </w:r>
      <w:r w:rsidRPr="00820C89">
        <w:rPr>
          <w:rFonts w:asciiTheme="majorHAnsi" w:hAnsiTheme="majorHAnsi"/>
        </w:rPr>
        <w:t xml:space="preserve"> a strong accountability mechanism, in that if providers fail to meet their milestones – they will not be paid. However, visibility over service provision is still required to ensure that programs are being delivered in line with contract obligations and outcomes are verified. This is the responsibility of NIAA staff within regional office. </w:t>
      </w:r>
    </w:p>
    <w:p w14:paraId="3AD4B021" w14:textId="77777777" w:rsidR="0015084A" w:rsidRPr="00820C89" w:rsidRDefault="0015084A" w:rsidP="0015084A">
      <w:pPr>
        <w:rPr>
          <w:rFonts w:asciiTheme="majorHAnsi" w:hAnsiTheme="majorHAnsi"/>
        </w:rPr>
      </w:pPr>
      <w:r w:rsidRPr="00820C89">
        <w:rPr>
          <w:rFonts w:asciiTheme="majorHAnsi" w:hAnsiTheme="majorHAnsi"/>
        </w:rPr>
        <w:t>Staff in regional NIAA offices described this contract management relationship in varied ways:</w:t>
      </w:r>
    </w:p>
    <w:p w14:paraId="0C75A62D" w14:textId="21D207C6" w:rsidR="0015084A" w:rsidRPr="00820C89" w:rsidRDefault="0015084A" w:rsidP="0015084A">
      <w:pPr>
        <w:ind w:left="720"/>
        <w:rPr>
          <w:rFonts w:asciiTheme="majorHAnsi" w:hAnsiTheme="majorHAnsi"/>
          <w:i/>
        </w:rPr>
      </w:pPr>
      <w:r w:rsidRPr="00820C89">
        <w:rPr>
          <w:rFonts w:asciiTheme="majorHAnsi" w:hAnsiTheme="majorHAnsi"/>
          <w:i/>
        </w:rPr>
        <w:t>“[It has] turned the team into contract administrators, made the team more passive. [We’re] not as active in seeking opportunities.” (NIAA Regional Office)</w:t>
      </w:r>
    </w:p>
    <w:p w14:paraId="1874CB11" w14:textId="1B70B527" w:rsidR="0015084A" w:rsidRPr="00820C89" w:rsidRDefault="0015084A" w:rsidP="0015084A">
      <w:pPr>
        <w:ind w:left="720"/>
        <w:rPr>
          <w:rFonts w:asciiTheme="majorHAnsi" w:hAnsiTheme="majorHAnsi"/>
        </w:rPr>
      </w:pPr>
      <w:r w:rsidRPr="00820C89">
        <w:rPr>
          <w:rFonts w:asciiTheme="majorHAnsi" w:hAnsiTheme="majorHAnsi"/>
          <w:i/>
        </w:rPr>
        <w:t>“Provider conversations are really regular if they have a contract with them [such as] a new VTEC they’re holding fortnightly meetings… At first the priority was internal governance and ensuring they’re meeting record keeping requirements. Then linking them in with the right people/meetings/connections.” (NIAA Regional Office)</w:t>
      </w:r>
    </w:p>
    <w:p w14:paraId="539EFFED" w14:textId="77777777" w:rsidR="0015084A" w:rsidRPr="00820C89" w:rsidRDefault="0015084A" w:rsidP="0015084A">
      <w:pPr>
        <w:rPr>
          <w:rFonts w:asciiTheme="majorHAnsi" w:hAnsiTheme="majorHAnsi"/>
          <w:bCs/>
          <w:iCs/>
        </w:rPr>
      </w:pPr>
      <w:r w:rsidRPr="00820C89">
        <w:rPr>
          <w:rFonts w:asciiTheme="majorHAnsi" w:hAnsiTheme="majorHAnsi"/>
          <w:bCs/>
          <w:iCs/>
        </w:rPr>
        <w:t xml:space="preserve">While outcomes-based funding models are typically non-prescriptive in relation to the delivery of services, enabling provider innovation and flexible responses, this is not the case across all </w:t>
      </w:r>
      <w:r w:rsidR="00AD5DDA" w:rsidRPr="00820C89">
        <w:rPr>
          <w:rFonts w:asciiTheme="majorHAnsi" w:hAnsiTheme="majorHAnsi"/>
          <w:bCs/>
          <w:iCs/>
        </w:rPr>
        <w:t>sub-programs</w:t>
      </w:r>
      <w:r w:rsidRPr="00820C89">
        <w:rPr>
          <w:rFonts w:asciiTheme="majorHAnsi" w:hAnsiTheme="majorHAnsi"/>
          <w:bCs/>
          <w:iCs/>
        </w:rPr>
        <w:t xml:space="preserve">. </w:t>
      </w:r>
    </w:p>
    <w:p w14:paraId="15CCFC25" w14:textId="77777777" w:rsidR="0015084A" w:rsidRPr="00820C89" w:rsidRDefault="0015084A" w:rsidP="0015084A">
      <w:pPr>
        <w:rPr>
          <w:rFonts w:asciiTheme="majorHAnsi" w:hAnsiTheme="majorHAnsi"/>
        </w:rPr>
      </w:pPr>
      <w:r w:rsidRPr="00820C89">
        <w:rPr>
          <w:rFonts w:asciiTheme="majorHAnsi" w:hAnsiTheme="majorHAnsi"/>
        </w:rPr>
        <w:t xml:space="preserve">Government procurement of service delivery can be considered to exist upon a spectrum of ‘high control’, where guidelines for program design and implementation are prescriptive, to ‘high trust’, where providers are empowered to flexibly deliver services. A ‘high control’ approach is most appropriate where the risks associated with program delivery are high, or where best practice design and implementation features are well-established and uniform. A ‘high trust’ approach is appropriate where adaptability and responsiveness in service delivery is required. </w:t>
      </w:r>
    </w:p>
    <w:p w14:paraId="73F1D122" w14:textId="637FFE82" w:rsidR="0015084A" w:rsidRPr="00820C89" w:rsidRDefault="0015084A" w:rsidP="0015084A">
      <w:pPr>
        <w:rPr>
          <w:rFonts w:asciiTheme="majorHAnsi" w:hAnsiTheme="majorHAnsi"/>
        </w:rPr>
      </w:pPr>
      <w:r w:rsidRPr="00820C89">
        <w:rPr>
          <w:rFonts w:asciiTheme="majorHAnsi" w:hAnsiTheme="majorHAnsi"/>
        </w:rPr>
        <w:t>In their current design, the IEP employ</w:t>
      </w:r>
      <w:r w:rsidR="00A549AD" w:rsidRPr="00820C89">
        <w:rPr>
          <w:rFonts w:asciiTheme="majorHAnsi" w:hAnsiTheme="majorHAnsi"/>
        </w:rPr>
        <w:t>s</w:t>
      </w:r>
      <w:r w:rsidRPr="00820C89">
        <w:rPr>
          <w:rFonts w:asciiTheme="majorHAnsi" w:hAnsiTheme="majorHAnsi"/>
        </w:rPr>
        <w:t xml:space="preserve"> a hybrid mix of these two approaches. An outcomes-funding model is a feature of a ‘high trust’ approach, and yet </w:t>
      </w:r>
      <w:r w:rsidR="008638D6" w:rsidRPr="00820C89">
        <w:rPr>
          <w:rFonts w:asciiTheme="majorHAnsi" w:hAnsiTheme="majorHAnsi"/>
        </w:rPr>
        <w:t>each of the sub-programs</w:t>
      </w:r>
      <w:r w:rsidRPr="00820C89">
        <w:rPr>
          <w:rFonts w:asciiTheme="majorHAnsi" w:hAnsiTheme="majorHAnsi"/>
        </w:rPr>
        <w:t xml:space="preserve"> </w:t>
      </w:r>
      <w:r w:rsidR="00F66F1E" w:rsidRPr="00820C89">
        <w:rPr>
          <w:rFonts w:asciiTheme="majorHAnsi" w:hAnsiTheme="majorHAnsi"/>
        </w:rPr>
        <w:t>are</w:t>
      </w:r>
      <w:r w:rsidRPr="00820C89">
        <w:rPr>
          <w:rFonts w:asciiTheme="majorHAnsi" w:hAnsiTheme="majorHAnsi"/>
        </w:rPr>
        <w:t xml:space="preserve"> coupled with prescriptive guidelines or contracts, which places the risk of these prescriptive features being effective or not with the provider</w:t>
      </w:r>
      <w:r w:rsidR="0048575E" w:rsidRPr="00820C89">
        <w:rPr>
          <w:rFonts w:asciiTheme="majorHAnsi" w:hAnsiTheme="majorHAnsi"/>
        </w:rPr>
        <w:t xml:space="preserve"> or </w:t>
      </w:r>
      <w:r w:rsidR="00F66F1E" w:rsidRPr="00820C89">
        <w:rPr>
          <w:rFonts w:asciiTheme="majorHAnsi" w:hAnsiTheme="majorHAnsi"/>
        </w:rPr>
        <w:t>partner</w:t>
      </w:r>
      <w:r w:rsidRPr="00820C89">
        <w:rPr>
          <w:rFonts w:asciiTheme="majorHAnsi" w:hAnsiTheme="majorHAnsi"/>
        </w:rPr>
        <w:t xml:space="preserve">. In turn, these prescriptive features can weaken the capacity for these programs to recognise the strengths of place-based approaches and local knowledge. </w:t>
      </w:r>
    </w:p>
    <w:p w14:paraId="1EF10050" w14:textId="77777777" w:rsidR="0015084A" w:rsidRPr="00820C89" w:rsidRDefault="0015084A" w:rsidP="0015084A">
      <w:pPr>
        <w:rPr>
          <w:rFonts w:asciiTheme="majorHAnsi" w:hAnsiTheme="majorHAnsi"/>
        </w:rPr>
      </w:pPr>
      <w:r w:rsidRPr="00820C89">
        <w:rPr>
          <w:rFonts w:asciiTheme="majorHAnsi" w:hAnsiTheme="majorHAnsi"/>
        </w:rPr>
        <w:t>A model that moves away from prescription and closer to a ‘high trust’ model, with appropriate accountability mechanisms in place, has the capacity to empower providers (rather than the centre) to become the evidentiary authority on best-practice across various contexts. This flexibility, if coupled with strong service relationships and avenues to support the sharing of best</w:t>
      </w:r>
      <w:r w:rsidR="00A11C1A" w:rsidRPr="00820C89">
        <w:rPr>
          <w:rFonts w:asciiTheme="majorHAnsi" w:hAnsiTheme="majorHAnsi"/>
        </w:rPr>
        <w:t xml:space="preserve"> </w:t>
      </w:r>
      <w:r w:rsidRPr="00820C89">
        <w:rPr>
          <w:rFonts w:asciiTheme="majorHAnsi" w:hAnsiTheme="majorHAnsi"/>
        </w:rPr>
        <w:t>practice across sector, could support a cycle of system improvement embedded in local responses.</w:t>
      </w:r>
    </w:p>
    <w:p w14:paraId="1EA5B363" w14:textId="2BE8FFCA" w:rsidR="00362009" w:rsidRPr="00820C89" w:rsidRDefault="0015084A" w:rsidP="00862ABC">
      <w:pPr>
        <w:rPr>
          <w:rFonts w:asciiTheme="majorHAnsi" w:hAnsiTheme="majorHAnsi"/>
        </w:rPr>
      </w:pPr>
      <w:r w:rsidRPr="00820C89">
        <w:rPr>
          <w:rFonts w:asciiTheme="majorHAnsi" w:hAnsiTheme="majorHAnsi"/>
        </w:rPr>
        <w:t>It should be also noted that</w:t>
      </w:r>
      <w:r w:rsidR="00DB5CFF" w:rsidRPr="00820C89">
        <w:rPr>
          <w:rFonts w:asciiTheme="majorHAnsi" w:hAnsiTheme="majorHAnsi"/>
        </w:rPr>
        <w:t xml:space="preserve"> in</w:t>
      </w:r>
      <w:r w:rsidRPr="00820C89">
        <w:rPr>
          <w:rFonts w:asciiTheme="majorHAnsi" w:hAnsiTheme="majorHAnsi"/>
        </w:rPr>
        <w:t xml:space="preserve"> </w:t>
      </w:r>
      <w:r w:rsidR="00DC13B3" w:rsidRPr="00820C89">
        <w:rPr>
          <w:rFonts w:asciiTheme="majorHAnsi" w:hAnsiTheme="majorHAnsi"/>
        </w:rPr>
        <w:t>certain instances</w:t>
      </w:r>
      <w:r w:rsidR="00B23DE9" w:rsidRPr="00820C89">
        <w:rPr>
          <w:rFonts w:asciiTheme="majorHAnsi" w:hAnsiTheme="majorHAnsi"/>
        </w:rPr>
        <w:t xml:space="preserve"> outcomes-based funding arrangements may not be the most effective mechanism to </w:t>
      </w:r>
      <w:r w:rsidR="00D058E3" w:rsidRPr="00820C89">
        <w:rPr>
          <w:rFonts w:asciiTheme="majorHAnsi" w:hAnsiTheme="majorHAnsi"/>
        </w:rPr>
        <w:t>support</w:t>
      </w:r>
      <w:r w:rsidR="00B23DE9" w:rsidRPr="00820C89">
        <w:rPr>
          <w:rFonts w:asciiTheme="majorHAnsi" w:hAnsiTheme="majorHAnsi"/>
        </w:rPr>
        <w:t xml:space="preserve"> contract management.  </w:t>
      </w:r>
      <w:r w:rsidR="00F5639D" w:rsidRPr="00820C89">
        <w:rPr>
          <w:rFonts w:asciiTheme="majorHAnsi" w:hAnsiTheme="majorHAnsi"/>
        </w:rPr>
        <w:t>For example, this may be the case where</w:t>
      </w:r>
      <w:r w:rsidRPr="00820C89">
        <w:rPr>
          <w:rFonts w:asciiTheme="majorHAnsi" w:hAnsiTheme="majorHAnsi"/>
        </w:rPr>
        <w:t xml:space="preserve"> it is difficult to adjust market-settings in a way that will incentivise providers towards the intended model or where the risks of non-delivery are </w:t>
      </w:r>
      <w:r w:rsidR="00F5639D" w:rsidRPr="00820C89">
        <w:rPr>
          <w:rFonts w:asciiTheme="majorHAnsi" w:hAnsiTheme="majorHAnsi"/>
        </w:rPr>
        <w:t xml:space="preserve">particularly </w:t>
      </w:r>
      <w:r w:rsidRPr="00820C89">
        <w:rPr>
          <w:rFonts w:asciiTheme="majorHAnsi" w:hAnsiTheme="majorHAnsi"/>
        </w:rPr>
        <w:t>high</w:t>
      </w:r>
      <w:r w:rsidR="00F5639D" w:rsidRPr="00820C89">
        <w:rPr>
          <w:rFonts w:asciiTheme="majorHAnsi" w:hAnsiTheme="majorHAnsi"/>
        </w:rPr>
        <w:t>.</w:t>
      </w:r>
    </w:p>
    <w:p w14:paraId="55DFAAE4" w14:textId="77777777" w:rsidR="004618FA" w:rsidRPr="00820C89" w:rsidRDefault="006100FB" w:rsidP="004618FA">
      <w:pPr>
        <w:pStyle w:val="Heading3"/>
        <w:rPr>
          <w:rFonts w:asciiTheme="majorHAnsi" w:hAnsiTheme="majorHAnsi"/>
        </w:rPr>
      </w:pPr>
      <w:r w:rsidRPr="00820C89">
        <w:rPr>
          <w:rFonts w:asciiTheme="majorHAnsi" w:hAnsiTheme="majorHAnsi"/>
        </w:rPr>
        <w:t>E</w:t>
      </w:r>
      <w:r w:rsidR="004618FA" w:rsidRPr="00820C89">
        <w:rPr>
          <w:rFonts w:asciiTheme="majorHAnsi" w:hAnsiTheme="majorHAnsi"/>
        </w:rPr>
        <w:t>ffectiveness of governance structures</w:t>
      </w:r>
    </w:p>
    <w:p w14:paraId="00ABC313" w14:textId="1C39FCA9" w:rsidR="004618FA" w:rsidRPr="00820C89" w:rsidRDefault="008E1FEA" w:rsidP="004618FA">
      <w:pPr>
        <w:rPr>
          <w:rFonts w:asciiTheme="majorHAnsi" w:hAnsiTheme="majorHAnsi"/>
        </w:rPr>
      </w:pPr>
      <w:r w:rsidRPr="00820C89">
        <w:rPr>
          <w:rFonts w:asciiTheme="majorHAnsi" w:hAnsiTheme="majorHAnsi"/>
        </w:rPr>
        <w:t xml:space="preserve">A majority of stakeholders consulted </w:t>
      </w:r>
      <w:r w:rsidR="00246A8C" w:rsidRPr="00820C89">
        <w:rPr>
          <w:rFonts w:asciiTheme="majorHAnsi" w:hAnsiTheme="majorHAnsi"/>
        </w:rPr>
        <w:t>have</w:t>
      </w:r>
      <w:r w:rsidR="004618FA" w:rsidRPr="00820C89">
        <w:rPr>
          <w:rFonts w:asciiTheme="majorHAnsi" w:hAnsiTheme="majorHAnsi"/>
        </w:rPr>
        <w:t xml:space="preserve"> observed that while the centralised decision-making model may hold advantages in terms of ensuring consistent treatment of IEP providers and opportunities, these have not been without significant practical implications</w:t>
      </w:r>
      <w:r w:rsidR="007C15E4" w:rsidRPr="00820C89">
        <w:rPr>
          <w:rFonts w:asciiTheme="majorHAnsi" w:hAnsiTheme="majorHAnsi"/>
        </w:rPr>
        <w:t xml:space="preserve">, including </w:t>
      </w:r>
      <w:r w:rsidR="00092E70" w:rsidRPr="00820C89">
        <w:rPr>
          <w:rFonts w:asciiTheme="majorHAnsi" w:hAnsiTheme="majorHAnsi"/>
        </w:rPr>
        <w:t>reduce</w:t>
      </w:r>
      <w:r w:rsidR="00BF4C73" w:rsidRPr="00820C89">
        <w:rPr>
          <w:rFonts w:asciiTheme="majorHAnsi" w:hAnsiTheme="majorHAnsi"/>
        </w:rPr>
        <w:t>d</w:t>
      </w:r>
      <w:r w:rsidR="00092E70" w:rsidRPr="00820C89">
        <w:rPr>
          <w:rFonts w:asciiTheme="majorHAnsi" w:hAnsiTheme="majorHAnsi"/>
        </w:rPr>
        <w:t xml:space="preserve"> autonomy at the coalface of regional engagement, where local employment conditions and opportunities </w:t>
      </w:r>
      <w:r w:rsidR="00BF4C73" w:rsidRPr="00820C89">
        <w:rPr>
          <w:rFonts w:asciiTheme="majorHAnsi" w:hAnsiTheme="majorHAnsi"/>
        </w:rPr>
        <w:t>could be maximised with better place based decision making and agency</w:t>
      </w:r>
      <w:r w:rsidR="004618FA" w:rsidRPr="00820C89">
        <w:rPr>
          <w:rFonts w:asciiTheme="majorHAnsi" w:hAnsiTheme="majorHAnsi"/>
        </w:rPr>
        <w:t xml:space="preserve">. </w:t>
      </w:r>
    </w:p>
    <w:p w14:paraId="58676600" w14:textId="6FCBCFCB" w:rsidR="004618FA" w:rsidRPr="00820C89" w:rsidRDefault="00DF0B70" w:rsidP="00C02318">
      <w:pPr>
        <w:rPr>
          <w:rFonts w:asciiTheme="majorHAnsi" w:hAnsiTheme="majorHAnsi"/>
          <w:b/>
          <w:iCs/>
        </w:rPr>
      </w:pPr>
      <w:r w:rsidRPr="00820C89">
        <w:rPr>
          <w:rFonts w:asciiTheme="majorHAnsi" w:hAnsiTheme="majorHAnsi"/>
          <w:b/>
          <w:iCs/>
        </w:rPr>
        <w:t xml:space="preserve">Lengthy processing times - </w:t>
      </w:r>
      <w:r w:rsidRPr="00820C89">
        <w:rPr>
          <w:rFonts w:asciiTheme="majorHAnsi" w:hAnsiTheme="majorHAnsi"/>
          <w:bCs/>
          <w:iCs/>
        </w:rPr>
        <w:t>b</w:t>
      </w:r>
      <w:r w:rsidR="00B56FCA" w:rsidRPr="00820C89">
        <w:rPr>
          <w:rFonts w:asciiTheme="majorHAnsi" w:hAnsiTheme="majorHAnsi"/>
        </w:rPr>
        <w:t>oth</w:t>
      </w:r>
      <w:r w:rsidR="004618FA" w:rsidRPr="00820C89">
        <w:rPr>
          <w:rFonts w:asciiTheme="majorHAnsi" w:hAnsiTheme="majorHAnsi"/>
        </w:rPr>
        <w:t xml:space="preserve"> providers and NIAA regional staff consistently observed that the centralised governance model limited the ability of the </w:t>
      </w:r>
      <w:r w:rsidR="005145EC" w:rsidRPr="00820C89">
        <w:rPr>
          <w:rFonts w:asciiTheme="majorHAnsi" w:hAnsiTheme="majorHAnsi"/>
        </w:rPr>
        <w:t>sub-program</w:t>
      </w:r>
      <w:r w:rsidR="004618FA" w:rsidRPr="00820C89">
        <w:rPr>
          <w:rFonts w:asciiTheme="majorHAnsi" w:hAnsiTheme="majorHAnsi"/>
        </w:rPr>
        <w:t xml:space="preserve">s to respond to labour market opportunities in a timely manner. </w:t>
      </w:r>
      <w:r w:rsidR="00CD6765" w:rsidRPr="00820C89">
        <w:rPr>
          <w:rFonts w:asciiTheme="majorHAnsi" w:hAnsiTheme="majorHAnsi"/>
        </w:rPr>
        <w:t>An example</w:t>
      </w:r>
      <w:r w:rsidR="004618FA" w:rsidRPr="00820C89">
        <w:rPr>
          <w:rFonts w:asciiTheme="majorHAnsi" w:hAnsiTheme="majorHAnsi"/>
        </w:rPr>
        <w:t xml:space="preserve"> of the timeliness in the approvals process causing negative impacts for providers and regional </w:t>
      </w:r>
      <w:r w:rsidR="00734CB7" w:rsidRPr="00820C89">
        <w:rPr>
          <w:rFonts w:asciiTheme="majorHAnsi" w:hAnsiTheme="majorHAnsi"/>
        </w:rPr>
        <w:t xml:space="preserve">NIAA </w:t>
      </w:r>
      <w:r w:rsidR="004618FA" w:rsidRPr="00820C89">
        <w:rPr>
          <w:rFonts w:asciiTheme="majorHAnsi" w:hAnsiTheme="majorHAnsi"/>
        </w:rPr>
        <w:t xml:space="preserve">staff </w:t>
      </w:r>
      <w:r w:rsidR="00CD6765" w:rsidRPr="00820C89">
        <w:rPr>
          <w:rFonts w:asciiTheme="majorHAnsi" w:hAnsiTheme="majorHAnsi"/>
        </w:rPr>
        <w:t>is</w:t>
      </w:r>
      <w:r w:rsidR="004618FA" w:rsidRPr="00820C89">
        <w:rPr>
          <w:rFonts w:asciiTheme="majorHAnsi" w:hAnsiTheme="majorHAnsi"/>
        </w:rPr>
        <w:t xml:space="preserve"> highlighted in the box below. </w:t>
      </w:r>
    </w:p>
    <w:p w14:paraId="26E0190D" w14:textId="63B9B272" w:rsidR="00F1720D" w:rsidRPr="00820C89" w:rsidRDefault="00F1720D" w:rsidP="00F1720D">
      <w:pPr>
        <w:keepNext/>
        <w:shd w:val="clear" w:color="auto" w:fill="E7F5CF" w:themeFill="accent1" w:themeFillTint="33"/>
        <w:spacing w:before="170"/>
        <w:rPr>
          <w:rFonts w:asciiTheme="majorHAnsi" w:hAnsiTheme="majorHAnsi"/>
          <w:b/>
        </w:rPr>
      </w:pPr>
      <w:r w:rsidRPr="00820C89">
        <w:rPr>
          <w:rFonts w:asciiTheme="majorHAnsi" w:hAnsiTheme="majorHAnsi"/>
          <w:b/>
        </w:rPr>
        <w:lastRenderedPageBreak/>
        <w:t>Case study: A provider’s perspective on contract approval delays</w:t>
      </w:r>
    </w:p>
    <w:p w14:paraId="7E2DD38C" w14:textId="77777777" w:rsidR="00F1720D" w:rsidRPr="00820C89" w:rsidRDefault="00F1720D" w:rsidP="00F1720D">
      <w:pPr>
        <w:shd w:val="clear" w:color="auto" w:fill="E7F5CF" w:themeFill="accent1" w:themeFillTint="33"/>
        <w:spacing w:before="170"/>
        <w:rPr>
          <w:rFonts w:asciiTheme="majorHAnsi" w:hAnsiTheme="majorHAnsi"/>
        </w:rPr>
      </w:pPr>
      <w:r w:rsidRPr="00820C89">
        <w:rPr>
          <w:rFonts w:asciiTheme="majorHAnsi" w:hAnsiTheme="majorHAnsi"/>
        </w:rPr>
        <w:t xml:space="preserve">One IEP provider stated that they had a close and productive working relationship with the local NIAA regional office, but this was threatened by subsequent delays in the contract approval decision-making process. </w:t>
      </w:r>
    </w:p>
    <w:p w14:paraId="3F199B2B" w14:textId="77777777" w:rsidR="00F1720D" w:rsidRPr="00820C89" w:rsidRDefault="00F1720D" w:rsidP="00F1720D">
      <w:pPr>
        <w:shd w:val="clear" w:color="auto" w:fill="E7F5CF" w:themeFill="accent1" w:themeFillTint="33"/>
        <w:spacing w:before="170"/>
        <w:rPr>
          <w:rFonts w:asciiTheme="majorHAnsi" w:hAnsiTheme="majorHAnsi"/>
          <w:b/>
        </w:rPr>
      </w:pPr>
      <w:r w:rsidRPr="00820C89">
        <w:rPr>
          <w:rFonts w:asciiTheme="majorHAnsi" w:hAnsiTheme="majorHAnsi"/>
        </w:rPr>
        <w:t xml:space="preserve">The provider stated that they worked collaboratively with the regional office to design their programs in line with NIAA intent and priorities, optimising the opportunity for success. They reflected that sometimes these proposals were developed in response to direct approaches from NIAA relating to opportunities. However, even through this process – </w:t>
      </w:r>
      <w:r w:rsidRPr="00820C89">
        <w:rPr>
          <w:rFonts w:asciiTheme="majorHAnsi" w:hAnsiTheme="majorHAnsi"/>
          <w:b/>
        </w:rPr>
        <w:t xml:space="preserve">opportunities were missed due to slow decision making. </w:t>
      </w:r>
    </w:p>
    <w:p w14:paraId="54629D75" w14:textId="443C5709" w:rsidR="00F1720D" w:rsidRPr="00820C89" w:rsidRDefault="001D6F02" w:rsidP="001D6F02">
      <w:pPr>
        <w:shd w:val="clear" w:color="auto" w:fill="E7F5CF" w:themeFill="accent1" w:themeFillTint="33"/>
        <w:spacing w:before="170"/>
        <w:rPr>
          <w:rFonts w:asciiTheme="majorHAnsi" w:hAnsiTheme="majorHAnsi"/>
          <w:i/>
        </w:rPr>
      </w:pPr>
      <w:r>
        <w:rPr>
          <w:rFonts w:asciiTheme="majorHAnsi" w:hAnsiTheme="majorHAnsi"/>
          <w:i/>
        </w:rPr>
        <w:tab/>
      </w:r>
      <w:r w:rsidR="00F1720D" w:rsidRPr="00820C89">
        <w:rPr>
          <w:rFonts w:asciiTheme="majorHAnsi" w:hAnsiTheme="majorHAnsi"/>
          <w:i/>
        </w:rPr>
        <w:t xml:space="preserve">“We’ve got one TAEG proposal that’s sitting there with 30 funded jobs, promised $500,000 </w:t>
      </w:r>
      <w:r>
        <w:rPr>
          <w:rFonts w:asciiTheme="majorHAnsi" w:hAnsiTheme="majorHAnsi"/>
          <w:i/>
        </w:rPr>
        <w:tab/>
      </w:r>
      <w:r w:rsidR="00F1720D" w:rsidRPr="00820C89">
        <w:rPr>
          <w:rFonts w:asciiTheme="majorHAnsi" w:hAnsiTheme="majorHAnsi"/>
          <w:i/>
        </w:rPr>
        <w:t xml:space="preserve">worth of co-contribution to a grant of $200,000 or whatever, and we’ve had that sitting </w:t>
      </w:r>
      <w:r>
        <w:rPr>
          <w:rFonts w:asciiTheme="majorHAnsi" w:hAnsiTheme="majorHAnsi"/>
          <w:i/>
        </w:rPr>
        <w:tab/>
      </w:r>
      <w:r w:rsidR="00F1720D" w:rsidRPr="00820C89">
        <w:rPr>
          <w:rFonts w:asciiTheme="majorHAnsi" w:hAnsiTheme="majorHAnsi"/>
          <w:i/>
        </w:rPr>
        <w:t xml:space="preserve">there in the assessment stage at the National Office for the last four months.  The </w:t>
      </w:r>
      <w:r>
        <w:rPr>
          <w:rFonts w:asciiTheme="majorHAnsi" w:hAnsiTheme="majorHAnsi"/>
          <w:i/>
        </w:rPr>
        <w:tab/>
      </w:r>
      <w:r w:rsidR="00F1720D" w:rsidRPr="00820C89">
        <w:rPr>
          <w:rFonts w:asciiTheme="majorHAnsi" w:hAnsiTheme="majorHAnsi"/>
          <w:i/>
        </w:rPr>
        <w:t xml:space="preserve">employer is ready to go.  The employer has clients, they have a viable business model, </w:t>
      </w:r>
      <w:r>
        <w:rPr>
          <w:rFonts w:asciiTheme="majorHAnsi" w:hAnsiTheme="majorHAnsi"/>
          <w:i/>
        </w:rPr>
        <w:tab/>
      </w:r>
      <w:r w:rsidR="00F1720D" w:rsidRPr="00820C89">
        <w:rPr>
          <w:rFonts w:asciiTheme="majorHAnsi" w:hAnsiTheme="majorHAnsi"/>
          <w:i/>
        </w:rPr>
        <w:t xml:space="preserve">they are an Aboriginal organisation employing up to, I think around now, 30 Indigenous </w:t>
      </w:r>
      <w:r>
        <w:rPr>
          <w:rFonts w:asciiTheme="majorHAnsi" w:hAnsiTheme="majorHAnsi"/>
          <w:i/>
        </w:rPr>
        <w:tab/>
      </w:r>
      <w:r w:rsidR="00F1720D" w:rsidRPr="00820C89">
        <w:rPr>
          <w:rFonts w:asciiTheme="majorHAnsi" w:hAnsiTheme="majorHAnsi"/>
          <w:i/>
        </w:rPr>
        <w:t xml:space="preserve">employees.  We’ve more than fulfilled our brief, the employer has more than fulfilled their </w:t>
      </w:r>
      <w:r>
        <w:rPr>
          <w:rFonts w:asciiTheme="majorHAnsi" w:hAnsiTheme="majorHAnsi"/>
          <w:i/>
        </w:rPr>
        <w:tab/>
      </w:r>
      <w:r w:rsidR="00F1720D" w:rsidRPr="00820C89">
        <w:rPr>
          <w:rFonts w:asciiTheme="majorHAnsi" w:hAnsiTheme="majorHAnsi"/>
          <w:i/>
        </w:rPr>
        <w:t xml:space="preserve">capacities, they’ve pledged that what they’ll do over the next, and these are all permanent </w:t>
      </w:r>
      <w:r>
        <w:rPr>
          <w:rFonts w:asciiTheme="majorHAnsi" w:hAnsiTheme="majorHAnsi"/>
          <w:i/>
        </w:rPr>
        <w:tab/>
      </w:r>
      <w:r w:rsidR="00F1720D" w:rsidRPr="00820C89">
        <w:rPr>
          <w:rFonts w:asciiTheme="majorHAnsi" w:hAnsiTheme="majorHAnsi"/>
          <w:i/>
        </w:rPr>
        <w:t xml:space="preserve">positions…And yet all they [NIAA] need to do is say yes, that’s all they need to do.” (TAEG </w:t>
      </w:r>
      <w:r>
        <w:rPr>
          <w:rFonts w:asciiTheme="majorHAnsi" w:hAnsiTheme="majorHAnsi"/>
          <w:i/>
        </w:rPr>
        <w:tab/>
      </w:r>
      <w:r w:rsidR="00F1720D" w:rsidRPr="00820C89">
        <w:rPr>
          <w:rFonts w:asciiTheme="majorHAnsi" w:hAnsiTheme="majorHAnsi"/>
          <w:i/>
        </w:rPr>
        <w:t>provider)</w:t>
      </w:r>
    </w:p>
    <w:p w14:paraId="663F6D5D" w14:textId="77777777" w:rsidR="00F1720D" w:rsidRPr="00820C89" w:rsidRDefault="00F1720D" w:rsidP="00F1720D">
      <w:pPr>
        <w:shd w:val="clear" w:color="auto" w:fill="E7F5CF" w:themeFill="accent1" w:themeFillTint="33"/>
        <w:spacing w:before="170"/>
        <w:rPr>
          <w:rFonts w:asciiTheme="majorHAnsi" w:hAnsiTheme="majorHAnsi"/>
        </w:rPr>
      </w:pPr>
      <w:r w:rsidRPr="00820C89">
        <w:rPr>
          <w:rFonts w:asciiTheme="majorHAnsi" w:hAnsiTheme="majorHAnsi"/>
        </w:rPr>
        <w:t>The provider observed that this had several negative impacts including:</w:t>
      </w:r>
    </w:p>
    <w:p w14:paraId="2A537D27" w14:textId="77777777" w:rsidR="00F1720D" w:rsidRPr="00820C89" w:rsidRDefault="00F1720D" w:rsidP="00715F70">
      <w:pPr>
        <w:pStyle w:val="ListParagraph"/>
        <w:numPr>
          <w:ilvl w:val="0"/>
          <w:numId w:val="9"/>
        </w:numPr>
        <w:shd w:val="clear" w:color="auto" w:fill="E7F5CF" w:themeFill="accent1" w:themeFillTint="33"/>
        <w:spacing w:before="60" w:after="60"/>
        <w:ind w:left="357" w:hanging="357"/>
        <w:contextualSpacing w:val="0"/>
        <w:rPr>
          <w:rFonts w:asciiTheme="majorHAnsi" w:hAnsiTheme="majorHAnsi"/>
        </w:rPr>
      </w:pPr>
      <w:r w:rsidRPr="00820C89">
        <w:rPr>
          <w:rFonts w:asciiTheme="majorHAnsi" w:hAnsiTheme="majorHAnsi"/>
          <w:b/>
        </w:rPr>
        <w:t>Time and resources wasted</w:t>
      </w:r>
      <w:r w:rsidRPr="00820C89">
        <w:rPr>
          <w:rFonts w:asciiTheme="majorHAnsi" w:hAnsiTheme="majorHAnsi"/>
        </w:rPr>
        <w:t xml:space="preserve"> in developing proposals that are ultimately missed due to timeliness </w:t>
      </w:r>
      <w:r w:rsidRPr="00820C89">
        <w:rPr>
          <w:rFonts w:asciiTheme="majorHAnsi" w:hAnsiTheme="majorHAnsi"/>
          <w:i/>
        </w:rPr>
        <w:t>“They’ll come to you for a direct approach...We’ll go back and we’ll put that together, put it back towards them...They’re just going to sit on it… Employers aren’t going to wait, they’re just not going to wait.  They’ll go and do something else.”</w:t>
      </w:r>
    </w:p>
    <w:p w14:paraId="5FF4F804" w14:textId="77777777" w:rsidR="00F1720D" w:rsidRPr="00820C89" w:rsidRDefault="00F1720D" w:rsidP="00715F70">
      <w:pPr>
        <w:pStyle w:val="ListParagraph"/>
        <w:numPr>
          <w:ilvl w:val="0"/>
          <w:numId w:val="9"/>
        </w:numPr>
        <w:shd w:val="clear" w:color="auto" w:fill="E7F5CF" w:themeFill="accent1" w:themeFillTint="33"/>
        <w:spacing w:before="60" w:after="60"/>
        <w:ind w:left="357" w:hanging="357"/>
        <w:contextualSpacing w:val="0"/>
        <w:rPr>
          <w:rFonts w:asciiTheme="majorHAnsi" w:hAnsiTheme="majorHAnsi"/>
        </w:rPr>
      </w:pPr>
      <w:r w:rsidRPr="00820C89">
        <w:rPr>
          <w:rFonts w:asciiTheme="majorHAnsi" w:hAnsiTheme="majorHAnsi"/>
          <w:b/>
        </w:rPr>
        <w:t>Damaged relationships</w:t>
      </w:r>
      <w:r w:rsidRPr="00820C89">
        <w:rPr>
          <w:rFonts w:asciiTheme="majorHAnsi" w:hAnsiTheme="majorHAnsi"/>
        </w:rPr>
        <w:t xml:space="preserve"> with employers and </w:t>
      </w:r>
      <w:r w:rsidRPr="00820C89">
        <w:rPr>
          <w:rFonts w:asciiTheme="majorHAnsi" w:hAnsiTheme="majorHAnsi"/>
          <w:b/>
        </w:rPr>
        <w:t>poorer outcomes</w:t>
      </w:r>
      <w:r w:rsidRPr="00820C89">
        <w:rPr>
          <w:rFonts w:asciiTheme="majorHAnsi" w:hAnsiTheme="majorHAnsi"/>
        </w:rPr>
        <w:t xml:space="preserve"> </w:t>
      </w:r>
      <w:r w:rsidRPr="00820C89">
        <w:rPr>
          <w:rFonts w:asciiTheme="majorHAnsi" w:hAnsiTheme="majorHAnsi"/>
          <w:i/>
        </w:rPr>
        <w:t xml:space="preserve">“We’ve got to try and keep the trust of jobseekers and employers, and we look pretty silly sometimes when we can’t deliver on what we’re trying to do… it’s about our reputation as well, because we don’t overpromise, nor promise, because we know that everything’s subject to being written off for a contract.  But boy, oh boy, I tell you what, you wouldn't walk in under-promising [laughs] if you wanted to walk out with 30 employment starts.”  </w:t>
      </w:r>
    </w:p>
    <w:p w14:paraId="21BC2CF0" w14:textId="53DB89CB" w:rsidR="00F1720D" w:rsidRDefault="00F1720D" w:rsidP="00F1720D">
      <w:pPr>
        <w:shd w:val="clear" w:color="auto" w:fill="E7F5CF" w:themeFill="accent1" w:themeFillTint="33"/>
        <w:rPr>
          <w:rFonts w:asciiTheme="majorHAnsi" w:hAnsiTheme="majorHAnsi"/>
        </w:rPr>
      </w:pPr>
      <w:r w:rsidRPr="00820C89">
        <w:rPr>
          <w:rFonts w:asciiTheme="majorHAnsi" w:hAnsiTheme="majorHAnsi"/>
        </w:rPr>
        <w:t xml:space="preserve">A lack of </w:t>
      </w:r>
      <w:r w:rsidRPr="00820C89">
        <w:rPr>
          <w:rFonts w:asciiTheme="majorHAnsi" w:hAnsiTheme="majorHAnsi"/>
          <w:b/>
        </w:rPr>
        <w:t>tangible connection between policy intent, local need and the role of the programs</w:t>
      </w:r>
      <w:r w:rsidRPr="00820C89">
        <w:rPr>
          <w:rFonts w:asciiTheme="majorHAnsi" w:hAnsiTheme="majorHAnsi"/>
        </w:rPr>
        <w:t xml:space="preserve"> in meeting this gap. </w:t>
      </w:r>
      <w:r w:rsidRPr="00820C89">
        <w:rPr>
          <w:rFonts w:asciiTheme="majorHAnsi" w:hAnsiTheme="majorHAnsi"/>
          <w:i/>
        </w:rPr>
        <w:t xml:space="preserve">“there’s a fair bit of money invested in this and yet they put barriers up to us working together, they want to keep us segregated, and that makes no sense because we know that we just have people, if we can set it up so that you’ve got experts doing their bit, and then you make it easy for them to collaborate and work together, you’ll get better outcomes.  But it’s not easy.”  </w:t>
      </w:r>
    </w:p>
    <w:p w14:paraId="0682A30F" w14:textId="173685EA" w:rsidR="004618FA" w:rsidRPr="00820C89" w:rsidRDefault="004618FA" w:rsidP="004618FA">
      <w:pPr>
        <w:rPr>
          <w:rFonts w:asciiTheme="majorHAnsi" w:hAnsiTheme="majorHAnsi"/>
        </w:rPr>
      </w:pPr>
      <w:r w:rsidRPr="00820C89">
        <w:rPr>
          <w:rFonts w:asciiTheme="majorHAnsi" w:hAnsiTheme="majorHAnsi"/>
        </w:rPr>
        <w:t>NIAA regional staff reiterated these concerns, citing the approval process as excessively lengthy and with scope for streamlining</w:t>
      </w:r>
      <w:r w:rsidRPr="00820C89">
        <w:rPr>
          <w:rFonts w:asciiTheme="majorHAnsi" w:hAnsiTheme="majorHAnsi"/>
          <w:b/>
        </w:rPr>
        <w:t xml:space="preserve">. </w:t>
      </w:r>
      <w:r w:rsidRPr="00820C89">
        <w:rPr>
          <w:rFonts w:asciiTheme="majorHAnsi" w:hAnsiTheme="majorHAnsi"/>
        </w:rPr>
        <w:t>These stakeholders note that the current approval process generally takes between five to 12 months, and that this can cause providers to miss out on employment opportunities. Specifically, stakeholders report that:</w:t>
      </w:r>
    </w:p>
    <w:p w14:paraId="5CB625F4" w14:textId="0F82551D" w:rsidR="004618FA" w:rsidRPr="00820C89" w:rsidRDefault="004618FA" w:rsidP="003F21E9">
      <w:pPr>
        <w:pStyle w:val="ListParagraph"/>
        <w:spacing w:after="160" w:line="259" w:lineRule="auto"/>
        <w:ind w:left="426"/>
        <w:rPr>
          <w:rFonts w:asciiTheme="majorHAnsi" w:hAnsiTheme="majorHAnsi"/>
          <w:b/>
          <w:i/>
        </w:rPr>
      </w:pPr>
      <w:r w:rsidRPr="00820C89">
        <w:rPr>
          <w:rFonts w:asciiTheme="majorHAnsi" w:hAnsiTheme="majorHAnsi"/>
          <w:i/>
        </w:rPr>
        <w:t>“Decisions take months and months, even from when it’s approved to getting the brief up is slow – the knowledge isn’t held centrally, need to go back and forth constantly.” (NIAA Regional Office)</w:t>
      </w:r>
    </w:p>
    <w:p w14:paraId="52DAE19F" w14:textId="4736939E" w:rsidR="004618FA" w:rsidRPr="00820C89" w:rsidRDefault="004618FA" w:rsidP="003F21E9">
      <w:pPr>
        <w:pStyle w:val="ListBullet"/>
        <w:numPr>
          <w:ilvl w:val="0"/>
          <w:numId w:val="0"/>
        </w:numPr>
        <w:ind w:left="426"/>
        <w:rPr>
          <w:rFonts w:asciiTheme="majorHAnsi" w:hAnsiTheme="majorHAnsi"/>
          <w:i/>
        </w:rPr>
      </w:pPr>
      <w:r w:rsidRPr="00820C89">
        <w:rPr>
          <w:rFonts w:asciiTheme="majorHAnsi" w:hAnsiTheme="majorHAnsi"/>
          <w:i/>
          <w:iCs/>
        </w:rPr>
        <w:t>“Knowing the length of time an approval process takes, I would not choose to engage with the NIAA.” (NIAA Regional Office)</w:t>
      </w:r>
    </w:p>
    <w:p w14:paraId="320E84C0" w14:textId="77777777" w:rsidR="004618FA" w:rsidRPr="00820C89" w:rsidRDefault="004618FA" w:rsidP="004618FA">
      <w:pPr>
        <w:pStyle w:val="ListBullet"/>
        <w:numPr>
          <w:ilvl w:val="0"/>
          <w:numId w:val="0"/>
        </w:numPr>
        <w:ind w:left="720"/>
        <w:rPr>
          <w:rFonts w:asciiTheme="majorHAnsi" w:hAnsiTheme="majorHAnsi"/>
          <w:i/>
        </w:rPr>
      </w:pPr>
    </w:p>
    <w:p w14:paraId="72079A7B" w14:textId="779EB0FD" w:rsidR="004618FA" w:rsidRPr="00820C89" w:rsidRDefault="004618FA" w:rsidP="004618FA">
      <w:pPr>
        <w:rPr>
          <w:rFonts w:asciiTheme="majorHAnsi" w:hAnsiTheme="majorHAnsi"/>
        </w:rPr>
      </w:pPr>
      <w:r w:rsidRPr="00820C89">
        <w:rPr>
          <w:rFonts w:asciiTheme="majorHAnsi" w:hAnsiTheme="majorHAnsi"/>
        </w:rPr>
        <w:t>As highlighted in the quotes above, several providers and regional officers</w:t>
      </w:r>
      <w:r w:rsidR="00C628EA" w:rsidRPr="00820C89">
        <w:rPr>
          <w:rFonts w:asciiTheme="majorHAnsi" w:hAnsiTheme="majorHAnsi"/>
        </w:rPr>
        <w:t xml:space="preserve"> </w:t>
      </w:r>
      <w:r w:rsidRPr="00820C89">
        <w:rPr>
          <w:rFonts w:asciiTheme="majorHAnsi" w:hAnsiTheme="majorHAnsi"/>
        </w:rPr>
        <w:t xml:space="preserve">stated that the lack of timeliness in decision making, and the reduced role of regional staff in being able to meaningfully support local decision making, had led employers and other employment services to bypass the IEP in favour of alternatives. </w:t>
      </w:r>
    </w:p>
    <w:p w14:paraId="28BE4DA2" w14:textId="77777777" w:rsidR="004618FA" w:rsidRPr="00820C89" w:rsidRDefault="00033D7D" w:rsidP="004618FA">
      <w:pPr>
        <w:rPr>
          <w:rFonts w:asciiTheme="majorHAnsi" w:hAnsiTheme="majorHAnsi"/>
        </w:rPr>
      </w:pPr>
      <w:r w:rsidRPr="00820C89">
        <w:rPr>
          <w:rFonts w:asciiTheme="majorHAnsi" w:hAnsiTheme="majorHAnsi"/>
        </w:rPr>
        <w:t>S</w:t>
      </w:r>
      <w:r w:rsidR="004618FA" w:rsidRPr="00820C89">
        <w:rPr>
          <w:rFonts w:asciiTheme="majorHAnsi" w:hAnsiTheme="majorHAnsi"/>
        </w:rPr>
        <w:t>everal providers also noted that in some instances th</w:t>
      </w:r>
      <w:r w:rsidRPr="00820C89">
        <w:rPr>
          <w:rFonts w:asciiTheme="majorHAnsi" w:hAnsiTheme="majorHAnsi"/>
        </w:rPr>
        <w:t>ese lengthy timelines</w:t>
      </w:r>
      <w:r w:rsidR="00F27954" w:rsidRPr="00820C89">
        <w:rPr>
          <w:rFonts w:asciiTheme="majorHAnsi" w:hAnsiTheme="majorHAnsi"/>
        </w:rPr>
        <w:t xml:space="preserve"> mean they</w:t>
      </w:r>
      <w:r w:rsidR="004618FA" w:rsidRPr="00820C89">
        <w:rPr>
          <w:rFonts w:asciiTheme="majorHAnsi" w:hAnsiTheme="majorHAnsi"/>
        </w:rPr>
        <w:t xml:space="preserve"> would </w:t>
      </w:r>
      <w:r w:rsidR="00F27954" w:rsidRPr="00820C89">
        <w:rPr>
          <w:rFonts w:asciiTheme="majorHAnsi" w:hAnsiTheme="majorHAnsi"/>
        </w:rPr>
        <w:t xml:space="preserve">need to </w:t>
      </w:r>
      <w:r w:rsidR="004618FA" w:rsidRPr="00820C89">
        <w:rPr>
          <w:rFonts w:asciiTheme="majorHAnsi" w:hAnsiTheme="majorHAnsi"/>
        </w:rPr>
        <w:t xml:space="preserve">commence work with an employer prior to a contract being approved so as not to miss an </w:t>
      </w:r>
      <w:r w:rsidR="004618FA" w:rsidRPr="00820C89">
        <w:rPr>
          <w:rFonts w:asciiTheme="majorHAnsi" w:hAnsiTheme="majorHAnsi"/>
        </w:rPr>
        <w:lastRenderedPageBreak/>
        <w:t xml:space="preserve">opportunity they felt was in line with program intent. In this instance, providers risk undertaking work that may not ultimately be funded or meet NIAA program guidelines. </w:t>
      </w:r>
    </w:p>
    <w:p w14:paraId="27B4F786" w14:textId="77777777" w:rsidR="004618FA" w:rsidRPr="00820C89" w:rsidRDefault="004618FA" w:rsidP="004618FA">
      <w:pPr>
        <w:rPr>
          <w:rFonts w:asciiTheme="majorHAnsi" w:hAnsiTheme="majorHAnsi"/>
        </w:rPr>
      </w:pPr>
      <w:r w:rsidRPr="00820C89">
        <w:rPr>
          <w:rFonts w:asciiTheme="majorHAnsi" w:hAnsiTheme="majorHAnsi"/>
        </w:rPr>
        <w:t>Providers stated that in certain cases, that while not ideal process, it was sometimes best to commence service provision prior to contract approval in order to maintain relationships with employers, their reputation and service viability. This could, however, place the provider at ‘extreme financial risk’:</w:t>
      </w:r>
    </w:p>
    <w:p w14:paraId="6488A7F1" w14:textId="77777777" w:rsidR="004618FA" w:rsidRPr="00820C89" w:rsidRDefault="004618FA" w:rsidP="004618FA">
      <w:pPr>
        <w:pStyle w:val="ListParagraph"/>
        <w:spacing w:after="160" w:line="259" w:lineRule="auto"/>
        <w:rPr>
          <w:rFonts w:asciiTheme="majorHAnsi" w:hAnsiTheme="majorHAnsi"/>
          <w:i/>
        </w:rPr>
      </w:pPr>
      <w:r w:rsidRPr="00820C89">
        <w:rPr>
          <w:rFonts w:asciiTheme="majorHAnsi" w:hAnsiTheme="majorHAnsi"/>
          <w:i/>
        </w:rPr>
        <w:t>“Only last week that I actually got approached by an employer, saying, ‘Look, I really need some mentoring support for some clients I’ve placed... Can you help us out?’ Well, yeah sure, however, it’s got to be like this.  So, we would have to do some additional comments sent to PMC with the intake form, so they can actually make a decision and come back to us to say we can mentor that program, and sometimes that process may take 3 weeks.  In the meantime, the person’s already started.  We’ve been doing mentoring but we don’t get paid for it.  So, that was one of the issues as well.  We done a lot of work and didn’t get paid for it in the end run.” (VTEC provider).</w:t>
      </w:r>
    </w:p>
    <w:p w14:paraId="699FC7B4" w14:textId="1DF8D2B2" w:rsidR="0065385A" w:rsidRPr="00820C89" w:rsidRDefault="003E3BC5" w:rsidP="004618FA">
      <w:pPr>
        <w:rPr>
          <w:rFonts w:asciiTheme="majorHAnsi" w:hAnsiTheme="majorHAnsi"/>
          <w:b/>
          <w:iCs/>
        </w:rPr>
      </w:pPr>
      <w:r w:rsidRPr="00820C89">
        <w:rPr>
          <w:rFonts w:asciiTheme="majorHAnsi" w:hAnsiTheme="majorHAnsi"/>
          <w:b/>
          <w:iCs/>
        </w:rPr>
        <w:t>Future</w:t>
      </w:r>
      <w:r w:rsidR="004C6B74" w:rsidRPr="00820C89">
        <w:rPr>
          <w:rFonts w:asciiTheme="majorHAnsi" w:hAnsiTheme="majorHAnsi"/>
          <w:b/>
          <w:iCs/>
        </w:rPr>
        <w:t xml:space="preserve"> funding </w:t>
      </w:r>
      <w:r w:rsidRPr="00820C89">
        <w:rPr>
          <w:rFonts w:asciiTheme="majorHAnsi" w:hAnsiTheme="majorHAnsi"/>
          <w:b/>
          <w:iCs/>
        </w:rPr>
        <w:t>un</w:t>
      </w:r>
      <w:r w:rsidR="004C6B74" w:rsidRPr="00820C89">
        <w:rPr>
          <w:rFonts w:asciiTheme="majorHAnsi" w:hAnsiTheme="majorHAnsi"/>
          <w:b/>
          <w:iCs/>
        </w:rPr>
        <w:t xml:space="preserve">certainty </w:t>
      </w:r>
      <w:r w:rsidR="00EF24C4" w:rsidRPr="00820C89">
        <w:rPr>
          <w:rFonts w:asciiTheme="majorHAnsi" w:hAnsiTheme="majorHAnsi"/>
          <w:b/>
          <w:iCs/>
        </w:rPr>
        <w:t xml:space="preserve">– </w:t>
      </w:r>
      <w:r w:rsidR="00EF24C4" w:rsidRPr="00820C89">
        <w:rPr>
          <w:rFonts w:asciiTheme="majorHAnsi" w:hAnsiTheme="majorHAnsi"/>
          <w:bCs/>
          <w:iCs/>
        </w:rPr>
        <w:t xml:space="preserve">The shift to centralised decision-making </w:t>
      </w:r>
      <w:r w:rsidR="004618FA" w:rsidRPr="00820C89">
        <w:rPr>
          <w:rFonts w:asciiTheme="majorHAnsi" w:hAnsiTheme="majorHAnsi"/>
          <w:bCs/>
          <w:iCs/>
        </w:rPr>
        <w:t>result</w:t>
      </w:r>
      <w:r w:rsidR="00EF24C4" w:rsidRPr="00820C89">
        <w:rPr>
          <w:rFonts w:asciiTheme="majorHAnsi" w:hAnsiTheme="majorHAnsi"/>
          <w:bCs/>
          <w:iCs/>
        </w:rPr>
        <w:t>ed</w:t>
      </w:r>
      <w:r w:rsidR="004618FA" w:rsidRPr="00820C89">
        <w:rPr>
          <w:rFonts w:asciiTheme="majorHAnsi" w:hAnsiTheme="majorHAnsi"/>
          <w:bCs/>
          <w:iCs/>
        </w:rPr>
        <w:t xml:space="preserve"> in reduced proactivity in regional officers</w:t>
      </w:r>
      <w:r w:rsidR="00C628EA" w:rsidRPr="00820C89">
        <w:rPr>
          <w:rFonts w:asciiTheme="majorHAnsi" w:hAnsiTheme="majorHAnsi"/>
          <w:bCs/>
          <w:iCs/>
        </w:rPr>
        <w:t xml:space="preserve"> </w:t>
      </w:r>
      <w:r w:rsidR="004618FA" w:rsidRPr="00820C89">
        <w:rPr>
          <w:rFonts w:asciiTheme="majorHAnsi" w:hAnsiTheme="majorHAnsi"/>
          <w:bCs/>
          <w:iCs/>
        </w:rPr>
        <w:t>to respond to local opportunities and build relationships. In several instances, this was noted by regional officers to be demotivating and disempowering to their role.</w:t>
      </w:r>
      <w:r w:rsidR="004618FA" w:rsidRPr="00820C89">
        <w:rPr>
          <w:rFonts w:asciiTheme="majorHAnsi" w:hAnsiTheme="majorHAnsi"/>
          <w:b/>
          <w:iCs/>
        </w:rPr>
        <w:t xml:space="preserve"> </w:t>
      </w:r>
    </w:p>
    <w:p w14:paraId="31BD2799" w14:textId="6DB7C902" w:rsidR="004618FA" w:rsidRPr="00820C89" w:rsidRDefault="004618FA" w:rsidP="004618FA">
      <w:pPr>
        <w:rPr>
          <w:rFonts w:asciiTheme="majorHAnsi" w:hAnsiTheme="majorHAnsi"/>
        </w:rPr>
      </w:pPr>
      <w:r w:rsidRPr="00820C89">
        <w:rPr>
          <w:rFonts w:asciiTheme="majorHAnsi" w:hAnsiTheme="majorHAnsi"/>
        </w:rPr>
        <w:t>Regional officers</w:t>
      </w:r>
      <w:r w:rsidR="00C628EA" w:rsidRPr="00820C89">
        <w:rPr>
          <w:rFonts w:asciiTheme="majorHAnsi" w:hAnsiTheme="majorHAnsi"/>
        </w:rPr>
        <w:t xml:space="preserve"> </w:t>
      </w:r>
      <w:r w:rsidRPr="00820C89">
        <w:rPr>
          <w:rFonts w:asciiTheme="majorHAnsi" w:hAnsiTheme="majorHAnsi"/>
        </w:rPr>
        <w:t xml:space="preserve">noted that as well as timeliness issues, a key implication of the move to centralised contracting was the inability to provide guarantees to potential providers or employers as opportunities arose. It was observed that this had the potential to, and had been observed in some instances to, damage relationships with stakeholders. </w:t>
      </w:r>
    </w:p>
    <w:p w14:paraId="40A4DEF1" w14:textId="4DC3AB3F"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“It wasn’t worth promoting the program if you couldn’t guarantee, couldn’t say to them you’ve got a good chance of getting funding.” (NIAA Regional Office)</w:t>
      </w:r>
    </w:p>
    <w:p w14:paraId="10098C89" w14:textId="3EA74378" w:rsidR="004618FA" w:rsidRPr="00820C89" w:rsidRDefault="004618FA" w:rsidP="004618FA">
      <w:pPr>
        <w:rPr>
          <w:rFonts w:asciiTheme="majorHAnsi" w:hAnsiTheme="majorHAnsi"/>
        </w:rPr>
      </w:pPr>
      <w:r w:rsidRPr="00820C89">
        <w:rPr>
          <w:rFonts w:asciiTheme="majorHAnsi" w:hAnsiTheme="majorHAnsi"/>
        </w:rPr>
        <w:t xml:space="preserve">Several regional officers commented that they found the current governance model disempowering, and as result – suffered motivation challenges in fulfilling their role. </w:t>
      </w:r>
    </w:p>
    <w:p w14:paraId="59611419"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“The system appears to be too centralised; this has disempowered us. Regional offices have very little power to influence what is funded. This reduces ability to react to fast-moving labour market opportunities.” (NIAA Regional Office)</w:t>
      </w:r>
    </w:p>
    <w:p w14:paraId="7C4CE2FD"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 xml:space="preserve">“Being reactive – my current role is not in the engagement space. </w:t>
      </w:r>
      <w:r w:rsidR="009A4909" w:rsidRPr="00820C89">
        <w:rPr>
          <w:rFonts w:asciiTheme="majorHAnsi" w:hAnsiTheme="majorHAnsi"/>
          <w:i/>
        </w:rPr>
        <w:t>…….</w:t>
      </w:r>
      <w:r w:rsidRPr="00820C89">
        <w:rPr>
          <w:rFonts w:asciiTheme="majorHAnsi" w:hAnsiTheme="majorHAnsi"/>
          <w:i/>
        </w:rPr>
        <w:t xml:space="preserve"> [The shift] was more around budgetary constraints, it wasn’t worth promoting the program if you couldn’t guarantee, couldn’t say to them you’ve got a good chance of getting funding. It’s not our decision. It becomes tighter and tighter in terms of what we can fund. It just didn’t make sense for you to do that work when there’s no funding/certainty there.” (NIAA Regional Office)</w:t>
      </w:r>
    </w:p>
    <w:p w14:paraId="2CACF0EF"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“Accountability structures have changed: Turned team into contract administrators, made the team more passive. Not as active in seeking opportunities. We were good at setting up an employment pathway.” (NIAA Regional Office)</w:t>
      </w:r>
    </w:p>
    <w:p w14:paraId="01A3BF65" w14:textId="77777777" w:rsidR="004618FA" w:rsidRPr="00820C89" w:rsidRDefault="004618FA" w:rsidP="004618FA">
      <w:pPr>
        <w:rPr>
          <w:rFonts w:asciiTheme="majorHAnsi" w:hAnsiTheme="majorHAnsi"/>
        </w:rPr>
      </w:pPr>
      <w:r w:rsidRPr="00820C89">
        <w:rPr>
          <w:rFonts w:asciiTheme="majorHAnsi" w:hAnsiTheme="majorHAnsi"/>
        </w:rPr>
        <w:t xml:space="preserve">In line with this, regional officers also observed that the loss of control over funding allocations had resulted in a move away from proactive relationship management and opportunity generation. Staff in regional offices commented that this was in part due to the reduced autonomy in their role, and control over funding outcomes. </w:t>
      </w:r>
    </w:p>
    <w:p w14:paraId="01F22C82" w14:textId="77777777" w:rsidR="004618FA" w:rsidRPr="00820C89" w:rsidRDefault="004618FA" w:rsidP="004618FA">
      <w:pPr>
        <w:rPr>
          <w:rFonts w:asciiTheme="majorHAnsi" w:hAnsiTheme="majorHAnsi"/>
        </w:rPr>
      </w:pPr>
      <w:r w:rsidRPr="00820C89">
        <w:rPr>
          <w:rFonts w:asciiTheme="majorHAnsi" w:hAnsiTheme="majorHAnsi"/>
        </w:rPr>
        <w:t xml:space="preserve">However, it was also observed that through the transition from DEEWR to PM&amp;C/NIAA the role of the team had broadened to encompass a wide range of social indicators as opposed to an employment focus. While staff commented that this had the potential to support a holistic and integrated service delivery model, with Indigenous peoples at the centre, as overall resourcing for regional offices hadn’t increased in a manner commensurate with scope, previous areas of focus were diluted. </w:t>
      </w:r>
    </w:p>
    <w:p w14:paraId="42A22E26" w14:textId="77777777" w:rsidR="004618FA" w:rsidRPr="00820C89" w:rsidRDefault="004618FA" w:rsidP="004618FA">
      <w:pPr>
        <w:spacing w:after="160" w:line="259" w:lineRule="auto"/>
        <w:ind w:left="720"/>
        <w:rPr>
          <w:rFonts w:asciiTheme="majorHAnsi" w:hAnsiTheme="majorHAnsi"/>
        </w:rPr>
      </w:pPr>
      <w:r w:rsidRPr="00820C89">
        <w:rPr>
          <w:rFonts w:asciiTheme="majorHAnsi" w:hAnsiTheme="majorHAnsi"/>
          <w:i/>
        </w:rPr>
        <w:t>“Basically</w:t>
      </w:r>
      <w:r w:rsidR="000A2422" w:rsidRPr="00820C89">
        <w:rPr>
          <w:rFonts w:asciiTheme="majorHAnsi" w:hAnsiTheme="majorHAnsi"/>
          <w:i/>
        </w:rPr>
        <w:t>,</w:t>
      </w:r>
      <w:r w:rsidRPr="00820C89">
        <w:rPr>
          <w:rFonts w:asciiTheme="majorHAnsi" w:hAnsiTheme="majorHAnsi"/>
          <w:i/>
        </w:rPr>
        <w:t xml:space="preserve"> it comes down to funding, before moving into NIAA and PM&amp;C, the funding for employment projects was organised at a state level. The state manager was allocated a budget for employment programs and they had the delegation over that. We then, as </w:t>
      </w:r>
      <w:r w:rsidRPr="00820C89">
        <w:rPr>
          <w:rFonts w:asciiTheme="majorHAnsi" w:hAnsiTheme="majorHAnsi"/>
          <w:i/>
        </w:rPr>
        <w:lastRenderedPageBreak/>
        <w:t>offices promoting the programs, knew that we had that local level of commitment rather than going through the bureaucracy and approval. We were able to target employers, knowing that we could pretty much guarantee them funding if they met guidelines of the program. Now it’s out of our hands at a local level, we can recommend funding, at one stage all the delegation sat with the minister, depending on what week or day it was whether it would be signed off or not.” (NIAA Regional Office)</w:t>
      </w:r>
    </w:p>
    <w:p w14:paraId="62D1529C"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 xml:space="preserve"> “There used to be the notion of regional budgets and targets on jobs, numbers on consultancies and market research. There was a focus on employment, but now the regional office is focused more broadly on social indictors.” (NIAA Regional Office)</w:t>
      </w:r>
    </w:p>
    <w:p w14:paraId="135B245C" w14:textId="75482470" w:rsidR="004618FA" w:rsidRPr="00820C89" w:rsidRDefault="005F3BE5" w:rsidP="004618FA">
      <w:pPr>
        <w:rPr>
          <w:rFonts w:asciiTheme="majorHAnsi" w:hAnsiTheme="majorHAnsi"/>
        </w:rPr>
      </w:pPr>
      <w:r w:rsidRPr="00820C89">
        <w:rPr>
          <w:rFonts w:asciiTheme="majorHAnsi" w:hAnsiTheme="majorHAnsi"/>
          <w:b/>
          <w:iCs/>
        </w:rPr>
        <w:t xml:space="preserve">Reduced </w:t>
      </w:r>
      <w:r w:rsidR="008B0A53" w:rsidRPr="00820C89">
        <w:rPr>
          <w:rFonts w:asciiTheme="majorHAnsi" w:hAnsiTheme="majorHAnsi"/>
          <w:b/>
          <w:iCs/>
        </w:rPr>
        <w:t xml:space="preserve">decision-making </w:t>
      </w:r>
      <w:r w:rsidR="00315A6C" w:rsidRPr="00820C89">
        <w:rPr>
          <w:rFonts w:asciiTheme="majorHAnsi" w:hAnsiTheme="majorHAnsi"/>
          <w:b/>
          <w:iCs/>
        </w:rPr>
        <w:t xml:space="preserve">abilities </w:t>
      </w:r>
      <w:r w:rsidR="008B0A53" w:rsidRPr="00820C89">
        <w:rPr>
          <w:rFonts w:asciiTheme="majorHAnsi" w:hAnsiTheme="majorHAnsi"/>
          <w:b/>
          <w:i/>
        </w:rPr>
        <w:t xml:space="preserve">- </w:t>
      </w:r>
      <w:r w:rsidR="00163778" w:rsidRPr="00820C89">
        <w:rPr>
          <w:rFonts w:asciiTheme="majorHAnsi" w:hAnsiTheme="majorHAnsi"/>
        </w:rPr>
        <w:t>a</w:t>
      </w:r>
      <w:r w:rsidR="004618FA" w:rsidRPr="00820C89">
        <w:rPr>
          <w:rFonts w:asciiTheme="majorHAnsi" w:hAnsiTheme="majorHAnsi"/>
        </w:rPr>
        <w:t xml:space="preserve"> centralised decision-making model reduces the capacity for the programs to be delivered through a place-based approach. Both providers</w:t>
      </w:r>
      <w:r w:rsidR="0034555A" w:rsidRPr="00820C89">
        <w:rPr>
          <w:rFonts w:asciiTheme="majorHAnsi" w:hAnsiTheme="majorHAnsi"/>
        </w:rPr>
        <w:t xml:space="preserve">, </w:t>
      </w:r>
      <w:r w:rsidR="004618FA" w:rsidRPr="00820C89">
        <w:rPr>
          <w:rFonts w:asciiTheme="majorHAnsi" w:hAnsiTheme="majorHAnsi"/>
        </w:rPr>
        <w:t xml:space="preserve">regional NIAA staff </w:t>
      </w:r>
      <w:r w:rsidR="0034555A" w:rsidRPr="00820C89">
        <w:rPr>
          <w:rFonts w:asciiTheme="majorHAnsi" w:hAnsiTheme="majorHAnsi"/>
        </w:rPr>
        <w:t xml:space="preserve">and national NIAA staff </w:t>
      </w:r>
      <w:r w:rsidR="004618FA" w:rsidRPr="00820C89">
        <w:rPr>
          <w:rFonts w:asciiTheme="majorHAnsi" w:hAnsiTheme="majorHAnsi"/>
        </w:rPr>
        <w:t xml:space="preserve">raised that the lack of contextual knowledge held by central staff was problematic in supporting place-based approaches and could result in poor decision making. </w:t>
      </w:r>
    </w:p>
    <w:p w14:paraId="2A8E904D" w14:textId="50FAF983" w:rsidR="004618FA" w:rsidRPr="00820C89" w:rsidRDefault="004618FA" w:rsidP="004618FA">
      <w:pPr>
        <w:ind w:left="720"/>
        <w:rPr>
          <w:rFonts w:asciiTheme="majorHAnsi" w:hAnsiTheme="majorHAnsi"/>
          <w:i/>
        </w:rPr>
      </w:pPr>
      <w:r w:rsidRPr="00820C89">
        <w:rPr>
          <w:rFonts w:asciiTheme="majorHAnsi" w:hAnsiTheme="majorHAnsi"/>
          <w:i/>
        </w:rPr>
        <w:t>“National office used to exist to support regional, somehow this has been reversed. If you want it to be place-based, this needs to be regionally based.” (NIAA Regional Office)</w:t>
      </w:r>
    </w:p>
    <w:p w14:paraId="3A429A43" w14:textId="2F7263E2" w:rsidR="0044678B" w:rsidRPr="00820C89" w:rsidRDefault="0044678B" w:rsidP="004618FA">
      <w:pPr>
        <w:ind w:left="720"/>
        <w:rPr>
          <w:rFonts w:asciiTheme="majorHAnsi" w:hAnsiTheme="majorHAnsi"/>
          <w:i/>
        </w:rPr>
      </w:pPr>
      <w:r w:rsidRPr="00820C89">
        <w:rPr>
          <w:rFonts w:asciiTheme="majorHAnsi" w:hAnsiTheme="majorHAnsi"/>
          <w:i/>
        </w:rPr>
        <w:t>“In the national office we are so removed from what is actually happening</w:t>
      </w:r>
      <w:r w:rsidR="00AF4F63" w:rsidRPr="00820C89">
        <w:rPr>
          <w:rFonts w:asciiTheme="majorHAnsi" w:hAnsiTheme="majorHAnsi"/>
          <w:i/>
        </w:rPr>
        <w:t>…there are constant emails and requests for information between the national and regional office</w:t>
      </w:r>
      <w:r w:rsidR="007459D9" w:rsidRPr="00820C89">
        <w:rPr>
          <w:rFonts w:asciiTheme="majorHAnsi" w:hAnsiTheme="majorHAnsi"/>
          <w:i/>
        </w:rPr>
        <w:t xml:space="preserve">…I would like to see the regional manager have the </w:t>
      </w:r>
      <w:r w:rsidR="003924EC" w:rsidRPr="00820C89">
        <w:rPr>
          <w:rFonts w:asciiTheme="majorHAnsi" w:hAnsiTheme="majorHAnsi"/>
          <w:i/>
        </w:rPr>
        <w:t xml:space="preserve">authority to approve </w:t>
      </w:r>
      <w:r w:rsidR="007352EE" w:rsidRPr="00820C89">
        <w:rPr>
          <w:rFonts w:asciiTheme="majorHAnsi" w:hAnsiTheme="majorHAnsi"/>
          <w:i/>
        </w:rPr>
        <w:t>requests</w:t>
      </w:r>
      <w:r w:rsidR="003924EC" w:rsidRPr="00820C89">
        <w:rPr>
          <w:rFonts w:asciiTheme="majorHAnsi" w:hAnsiTheme="majorHAnsi"/>
          <w:i/>
        </w:rPr>
        <w:t>” (NIAA National Office)</w:t>
      </w:r>
    </w:p>
    <w:p w14:paraId="2824D056" w14:textId="77777777" w:rsidR="00E80213" w:rsidRPr="00820C89" w:rsidRDefault="00E80213" w:rsidP="00E80213">
      <w:pPr>
        <w:rPr>
          <w:rFonts w:asciiTheme="majorHAnsi" w:hAnsiTheme="majorHAnsi"/>
          <w:iCs/>
        </w:rPr>
      </w:pPr>
      <w:r w:rsidRPr="00820C89">
        <w:rPr>
          <w:rFonts w:asciiTheme="majorHAnsi" w:hAnsiTheme="majorHAnsi"/>
          <w:iCs/>
        </w:rPr>
        <w:t>Additionally, stakeholder consultations highlighted a disconnect between EPI Partners and VTEC</w:t>
      </w:r>
      <w:r w:rsidR="00CA35C8" w:rsidRPr="00820C89">
        <w:rPr>
          <w:rFonts w:asciiTheme="majorHAnsi" w:hAnsiTheme="majorHAnsi"/>
          <w:iCs/>
        </w:rPr>
        <w:t>/ TAEG Providers</w:t>
      </w:r>
      <w:r w:rsidR="008C739D" w:rsidRPr="00820C89">
        <w:rPr>
          <w:rFonts w:asciiTheme="majorHAnsi" w:hAnsiTheme="majorHAnsi"/>
          <w:iCs/>
        </w:rPr>
        <w:t xml:space="preserve"> as</w:t>
      </w:r>
      <w:r w:rsidR="00AA7951" w:rsidRPr="00820C89">
        <w:rPr>
          <w:rFonts w:asciiTheme="majorHAnsi" w:hAnsiTheme="majorHAnsi"/>
          <w:iCs/>
        </w:rPr>
        <w:t xml:space="preserve"> regional</w:t>
      </w:r>
      <w:r w:rsidR="00CA35C8" w:rsidRPr="00820C89">
        <w:rPr>
          <w:rFonts w:asciiTheme="majorHAnsi" w:hAnsiTheme="majorHAnsi"/>
          <w:iCs/>
        </w:rPr>
        <w:t xml:space="preserve"> offices </w:t>
      </w:r>
      <w:r w:rsidR="008C739D" w:rsidRPr="00820C89">
        <w:rPr>
          <w:rFonts w:asciiTheme="majorHAnsi" w:hAnsiTheme="majorHAnsi"/>
          <w:iCs/>
        </w:rPr>
        <w:t xml:space="preserve">were </w:t>
      </w:r>
      <w:r w:rsidR="00480B9C" w:rsidRPr="00820C89">
        <w:rPr>
          <w:rFonts w:asciiTheme="majorHAnsi" w:hAnsiTheme="majorHAnsi"/>
          <w:iCs/>
        </w:rPr>
        <w:t>un</w:t>
      </w:r>
      <w:r w:rsidR="00AA7951" w:rsidRPr="00820C89">
        <w:rPr>
          <w:rFonts w:asciiTheme="majorHAnsi" w:hAnsiTheme="majorHAnsi"/>
          <w:iCs/>
        </w:rPr>
        <w:t xml:space="preserve">able to determine </w:t>
      </w:r>
      <w:r w:rsidR="008C739D" w:rsidRPr="00820C89">
        <w:rPr>
          <w:rFonts w:asciiTheme="majorHAnsi" w:hAnsiTheme="majorHAnsi"/>
          <w:iCs/>
        </w:rPr>
        <w:t>the areas that</w:t>
      </w:r>
      <w:r w:rsidR="00AA7951" w:rsidRPr="00820C89">
        <w:rPr>
          <w:rFonts w:asciiTheme="majorHAnsi" w:hAnsiTheme="majorHAnsi"/>
          <w:iCs/>
        </w:rPr>
        <w:t xml:space="preserve"> EPI Partners </w:t>
      </w:r>
      <w:r w:rsidR="00CA35C8" w:rsidRPr="00820C89">
        <w:rPr>
          <w:rFonts w:asciiTheme="majorHAnsi" w:hAnsiTheme="majorHAnsi"/>
          <w:iCs/>
        </w:rPr>
        <w:t>were</w:t>
      </w:r>
      <w:r w:rsidRPr="00820C89">
        <w:rPr>
          <w:rFonts w:asciiTheme="majorHAnsi" w:hAnsiTheme="majorHAnsi"/>
          <w:iCs/>
        </w:rPr>
        <w:t xml:space="preserve"> </w:t>
      </w:r>
      <w:r w:rsidR="00AA7951" w:rsidRPr="00820C89">
        <w:rPr>
          <w:rFonts w:asciiTheme="majorHAnsi" w:hAnsiTheme="majorHAnsi"/>
          <w:iCs/>
        </w:rPr>
        <w:t xml:space="preserve">operating </w:t>
      </w:r>
      <w:r w:rsidR="008C739D" w:rsidRPr="00820C89">
        <w:rPr>
          <w:rFonts w:asciiTheme="majorHAnsi" w:hAnsiTheme="majorHAnsi"/>
          <w:iCs/>
        </w:rPr>
        <w:t xml:space="preserve">within. This </w:t>
      </w:r>
      <w:r w:rsidR="001F60ED" w:rsidRPr="00820C89">
        <w:rPr>
          <w:rFonts w:asciiTheme="majorHAnsi" w:hAnsiTheme="majorHAnsi"/>
          <w:iCs/>
        </w:rPr>
        <w:t xml:space="preserve">meant efficiencies between the programs were lost. </w:t>
      </w:r>
      <w:r w:rsidR="008C739D" w:rsidRPr="00820C89">
        <w:rPr>
          <w:rFonts w:asciiTheme="majorHAnsi" w:hAnsiTheme="majorHAnsi"/>
          <w:iCs/>
        </w:rPr>
        <w:t xml:space="preserve"> </w:t>
      </w:r>
    </w:p>
    <w:p w14:paraId="27593E79" w14:textId="77777777" w:rsidR="004618FA" w:rsidRPr="00820C89" w:rsidRDefault="00761C30" w:rsidP="004618FA">
      <w:pPr>
        <w:rPr>
          <w:rFonts w:asciiTheme="majorHAnsi" w:hAnsiTheme="majorHAnsi"/>
          <w:bCs/>
          <w:iCs/>
        </w:rPr>
      </w:pPr>
      <w:r w:rsidRPr="00820C89">
        <w:rPr>
          <w:rFonts w:asciiTheme="majorHAnsi" w:hAnsiTheme="majorHAnsi"/>
          <w:b/>
          <w:iCs/>
        </w:rPr>
        <w:t>Loss</w:t>
      </w:r>
      <w:r w:rsidR="004618FA" w:rsidRPr="00820C89">
        <w:rPr>
          <w:rFonts w:asciiTheme="majorHAnsi" w:hAnsiTheme="majorHAnsi"/>
          <w:b/>
          <w:iCs/>
        </w:rPr>
        <w:t xml:space="preserve"> of corporate knowledge </w:t>
      </w:r>
      <w:r w:rsidRPr="00820C89">
        <w:rPr>
          <w:rFonts w:asciiTheme="majorHAnsi" w:hAnsiTheme="majorHAnsi"/>
          <w:bCs/>
          <w:iCs/>
        </w:rPr>
        <w:t>- s</w:t>
      </w:r>
      <w:r w:rsidR="004618FA" w:rsidRPr="00820C89">
        <w:rPr>
          <w:rFonts w:asciiTheme="majorHAnsi" w:hAnsiTheme="majorHAnsi"/>
        </w:rPr>
        <w:t xml:space="preserve">everal providers spoke to an issue with NIAA staff turn-over, particularly within central office, and the </w:t>
      </w:r>
      <w:r w:rsidR="00105C67" w:rsidRPr="00820C89">
        <w:rPr>
          <w:rFonts w:asciiTheme="majorHAnsi" w:hAnsiTheme="majorHAnsi"/>
        </w:rPr>
        <w:t xml:space="preserve">disruptive </w:t>
      </w:r>
      <w:r w:rsidR="004618FA" w:rsidRPr="00820C89">
        <w:rPr>
          <w:rFonts w:asciiTheme="majorHAnsi" w:hAnsiTheme="majorHAnsi"/>
        </w:rPr>
        <w:t>impact that a lack of appropriate contract hand over had</w:t>
      </w:r>
      <w:r w:rsidR="004D4C0F" w:rsidRPr="00820C89">
        <w:rPr>
          <w:rFonts w:asciiTheme="majorHAnsi" w:hAnsiTheme="majorHAnsi"/>
        </w:rPr>
        <w:t>:</w:t>
      </w:r>
      <w:r w:rsidR="004618FA" w:rsidRPr="00820C89">
        <w:rPr>
          <w:rFonts w:asciiTheme="majorHAnsi" w:hAnsiTheme="majorHAnsi"/>
        </w:rPr>
        <w:t xml:space="preserve"> </w:t>
      </w:r>
    </w:p>
    <w:p w14:paraId="25BE6985"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“There has obviously been a lot of changes constantly within the personnel at NIAA.  You can’t control that but that has created at times difficulty because you might have agreed one thing with one particular program manager or contact.  They move on but don’t share really good notes about what’s been discussed in the past and so not only are you rebuilding a new relationship with whoever the next person is sometimes there’s a different understanding about what that contract was designed to deliver</w:t>
      </w:r>
      <w:r w:rsidR="006E578E" w:rsidRPr="00820C89">
        <w:rPr>
          <w:rFonts w:asciiTheme="majorHAnsi" w:hAnsiTheme="majorHAnsi"/>
          <w:i/>
        </w:rPr>
        <w:t xml:space="preserve"> […] </w:t>
      </w:r>
      <w:r w:rsidRPr="00820C89">
        <w:rPr>
          <w:rFonts w:asciiTheme="majorHAnsi" w:hAnsiTheme="majorHAnsi"/>
          <w:i/>
        </w:rPr>
        <w:t>there seems to be a bit of leeway in the program management from the NIAA so that has caused us, we’ve often felt that we’ve gone around in circles a lot of times and that means additional administration requirements that probably that we would otherwise needed.” (EPI partner)</w:t>
      </w:r>
    </w:p>
    <w:p w14:paraId="14E2EAB0" w14:textId="77777777" w:rsidR="004618FA" w:rsidRPr="00820C89" w:rsidRDefault="004618FA" w:rsidP="006100FB">
      <w:pPr>
        <w:spacing w:after="160" w:line="259" w:lineRule="auto"/>
        <w:ind w:left="720"/>
        <w:rPr>
          <w:rFonts w:asciiTheme="majorHAnsi" w:hAnsiTheme="majorHAnsi"/>
          <w:i/>
        </w:rPr>
      </w:pPr>
      <w:r w:rsidRPr="00820C89">
        <w:rPr>
          <w:rFonts w:asciiTheme="majorHAnsi" w:hAnsiTheme="majorHAnsi"/>
          <w:i/>
        </w:rPr>
        <w:t xml:space="preserve">“We had quite a while there where we were in no man’s land, we didn’t actually have a contract manager, they had moved on to another role and hadn’t handed us in to anyone so our emails were going unanswered and things like that and that sort of stuff.  So that has been an issue in the past.  There has been problematic issues early in with those programs because of lack of response from the department” (VTEC provider). </w:t>
      </w:r>
    </w:p>
    <w:p w14:paraId="60520D78" w14:textId="77777777" w:rsidR="00715C3D" w:rsidRPr="00820C89" w:rsidRDefault="004618FA" w:rsidP="0004192D">
      <w:pPr>
        <w:rPr>
          <w:rFonts w:asciiTheme="majorHAnsi" w:hAnsiTheme="majorHAnsi"/>
          <w:i/>
        </w:rPr>
      </w:pPr>
      <w:r w:rsidRPr="00820C89">
        <w:rPr>
          <w:rFonts w:asciiTheme="majorHAnsi" w:hAnsiTheme="majorHAnsi"/>
        </w:rPr>
        <w:t xml:space="preserve">The above findings highlight the tension between a centralised or devolved governance model. </w:t>
      </w:r>
    </w:p>
    <w:p w14:paraId="46DBA2E3" w14:textId="77777777" w:rsidR="004618FA" w:rsidRPr="00820C89" w:rsidRDefault="004618FA" w:rsidP="004618FA">
      <w:pPr>
        <w:rPr>
          <w:rFonts w:asciiTheme="majorHAnsi" w:hAnsiTheme="majorHAnsi"/>
        </w:rPr>
      </w:pPr>
      <w:r w:rsidRPr="00820C89">
        <w:rPr>
          <w:rFonts w:asciiTheme="majorHAnsi" w:hAnsiTheme="majorHAnsi"/>
        </w:rPr>
        <w:t xml:space="preserve">Greater empowerment of regional offices would also be expected to result in stronger partnerships between the NIAA and key program stakeholders (including employers, providers, Indigenous community members, local and state governments and adjacent service providers). Regional officers reflected that under these arrangements, the opportunity to consider employment challenges holistically and systematically is improved, allowing multi-faceted responses to be deployed in partnership with other agencies. </w:t>
      </w:r>
    </w:p>
    <w:p w14:paraId="7304C6B0" w14:textId="1D32D599" w:rsidR="004618FA" w:rsidRPr="00820C89" w:rsidRDefault="004618FA" w:rsidP="004618FA">
      <w:pPr>
        <w:rPr>
          <w:rFonts w:asciiTheme="majorHAnsi" w:hAnsiTheme="majorHAnsi"/>
        </w:rPr>
      </w:pPr>
      <w:r w:rsidRPr="00820C89">
        <w:rPr>
          <w:rFonts w:asciiTheme="majorHAnsi" w:hAnsiTheme="majorHAnsi"/>
        </w:rPr>
        <w:t>One NIAA regional office</w:t>
      </w:r>
      <w:r w:rsidR="00FF5C5B" w:rsidRPr="00820C89">
        <w:rPr>
          <w:rFonts w:asciiTheme="majorHAnsi" w:hAnsiTheme="majorHAnsi"/>
        </w:rPr>
        <w:t xml:space="preserve"> </w:t>
      </w:r>
      <w:r w:rsidR="0012028E" w:rsidRPr="00820C89">
        <w:rPr>
          <w:rFonts w:asciiTheme="majorHAnsi" w:hAnsiTheme="majorHAnsi"/>
        </w:rPr>
        <w:t>staff member</w:t>
      </w:r>
      <w:r w:rsidRPr="00820C89">
        <w:rPr>
          <w:rFonts w:asciiTheme="majorHAnsi" w:hAnsiTheme="majorHAnsi"/>
        </w:rPr>
        <w:t xml:space="preserve"> described this kind of approach in how they work across their region:</w:t>
      </w:r>
    </w:p>
    <w:p w14:paraId="1947412E" w14:textId="77777777" w:rsidR="004618FA" w:rsidRPr="00820C89" w:rsidRDefault="004618FA" w:rsidP="004618FA">
      <w:pPr>
        <w:ind w:left="720"/>
        <w:rPr>
          <w:rFonts w:asciiTheme="majorHAnsi" w:hAnsiTheme="majorHAnsi"/>
          <w:i/>
        </w:rPr>
      </w:pPr>
      <w:r w:rsidRPr="00820C89">
        <w:rPr>
          <w:rFonts w:asciiTheme="majorHAnsi" w:hAnsiTheme="majorHAnsi"/>
          <w:i/>
        </w:rPr>
        <w:t xml:space="preserve">“Our overriding questions are: what are the overall concerns of the community? Where does that fit? What needs to be done to improve the lives of Indigenous people? And </w:t>
      </w:r>
      <w:r w:rsidRPr="00820C89">
        <w:rPr>
          <w:rFonts w:asciiTheme="majorHAnsi" w:hAnsiTheme="majorHAnsi"/>
          <w:i/>
        </w:rPr>
        <w:lastRenderedPageBreak/>
        <w:t>having the relationships to drive the change where it’s needed. We know there are opportunities coming up in those infrastructure projects down the road [in one area of our region] but need to know how we can work with other portfolio agencies to link in...</w:t>
      </w:r>
    </w:p>
    <w:p w14:paraId="5D9C4346" w14:textId="3AF87E2D" w:rsidR="004618FA" w:rsidRPr="00820C89" w:rsidRDefault="004618FA" w:rsidP="004618FA">
      <w:pPr>
        <w:ind w:left="720"/>
        <w:rPr>
          <w:rFonts w:asciiTheme="majorHAnsi" w:hAnsiTheme="majorHAnsi"/>
          <w:i/>
        </w:rPr>
      </w:pPr>
      <w:r w:rsidRPr="00820C89">
        <w:rPr>
          <w:rFonts w:asciiTheme="majorHAnsi" w:hAnsiTheme="majorHAnsi"/>
          <w:i/>
        </w:rPr>
        <w:t>We are jigsaw puzzle masters and need to navigate the different working parts. But [that] could be quite different for [one area] compared to [another area].” (NIAA Regional Office)</w:t>
      </w:r>
    </w:p>
    <w:p w14:paraId="4ECDABCC" w14:textId="31D4223E" w:rsidR="004618FA" w:rsidRPr="00820C89" w:rsidRDefault="004618FA" w:rsidP="004618FA">
      <w:pPr>
        <w:rPr>
          <w:rFonts w:asciiTheme="majorHAnsi" w:hAnsiTheme="majorHAnsi"/>
        </w:rPr>
      </w:pPr>
      <w:r w:rsidRPr="00820C89">
        <w:rPr>
          <w:rFonts w:asciiTheme="majorHAnsi" w:hAnsiTheme="majorHAnsi"/>
        </w:rPr>
        <w:t xml:space="preserve">This regional office described that for particular locations and communities, they considered a range of different social indicators to understand need. From there, they could work to link in with other services (at a state or federal level of government), and then determine how to best optimise the services they could provide. This particular office commented, however, that they felt they could achieve this holistic service provision in spite of, rather than due to, the current governance arrangements which promote a more siloed and centralised approach. </w:t>
      </w:r>
    </w:p>
    <w:p w14:paraId="43448302" w14:textId="77777777" w:rsidR="004618FA" w:rsidRPr="00820C89" w:rsidRDefault="004618FA" w:rsidP="004618FA">
      <w:pPr>
        <w:rPr>
          <w:rFonts w:asciiTheme="majorHAnsi" w:hAnsiTheme="majorHAnsi"/>
        </w:rPr>
      </w:pPr>
      <w:r w:rsidRPr="00820C89">
        <w:rPr>
          <w:rFonts w:asciiTheme="majorHAnsi" w:hAnsiTheme="majorHAnsi"/>
        </w:rPr>
        <w:t xml:space="preserve">It is worth noting that the above commentary is specifically focussed on TAEG and VTEC governance. EPI providers, though noting similar concerns with contract timeliness, NIAA staff turn-over and a lack of empowered relationships overtime, in general appreciated centrally managed contracts. </w:t>
      </w:r>
    </w:p>
    <w:p w14:paraId="3662ABA9"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“NIAA was completely and utterly flexible</w:t>
      </w:r>
      <w:r w:rsidR="005727EF" w:rsidRPr="00820C89">
        <w:rPr>
          <w:rFonts w:asciiTheme="majorHAnsi" w:hAnsiTheme="majorHAnsi"/>
          <w:i/>
        </w:rPr>
        <w:t>,</w:t>
      </w:r>
      <w:r w:rsidRPr="00820C89">
        <w:rPr>
          <w:rFonts w:asciiTheme="majorHAnsi" w:hAnsiTheme="majorHAnsi"/>
          <w:i/>
        </w:rPr>
        <w:t xml:space="preserve"> really dynamic, they worked in a team you know they were all, they did everything in their power to be able to facilitate our relationship and make sure that the program could continue to be successful and we did vary our contract quite significantly … so I think that was a really good outcome but it took us a little bit of time to get to that.” (EPI partner)</w:t>
      </w:r>
    </w:p>
    <w:p w14:paraId="02603443" w14:textId="6578454D" w:rsidR="000C49A0" w:rsidRPr="00820C89" w:rsidRDefault="004618FA" w:rsidP="00F737AC">
      <w:pPr>
        <w:spacing w:after="160" w:line="259" w:lineRule="auto"/>
        <w:ind w:left="720"/>
        <w:rPr>
          <w:rFonts w:asciiTheme="majorHAnsi" w:hAnsiTheme="majorHAnsi"/>
          <w:i/>
        </w:rPr>
      </w:pPr>
      <w:r w:rsidRPr="00820C89">
        <w:rPr>
          <w:rFonts w:asciiTheme="majorHAnsi" w:hAnsiTheme="majorHAnsi"/>
          <w:i/>
        </w:rPr>
        <w:t xml:space="preserve">“So going back to employment parity we found that it was easier to cut through all the red tape, have a deal directly with Prime Minister and Cabinet and NIAA where we could have flexibility around the nature of the training, how we </w:t>
      </w:r>
      <w:r w:rsidR="004C6F55" w:rsidRPr="00820C89">
        <w:rPr>
          <w:rFonts w:asciiTheme="majorHAnsi" w:hAnsiTheme="majorHAnsi"/>
          <w:i/>
        </w:rPr>
        <w:t>q</w:t>
      </w:r>
      <w:r w:rsidRPr="00820C89">
        <w:rPr>
          <w:rFonts w:asciiTheme="majorHAnsi" w:hAnsiTheme="majorHAnsi"/>
          <w:i/>
        </w:rPr>
        <w:t>do the mentoring and the retention piece, how we source and attract people into the recruitment pipeline, it’s really worked for us as a company given the nature of our operations and our different business sectors if that makes sense.” (EPI partner)</w:t>
      </w:r>
    </w:p>
    <w:p w14:paraId="1C04D52A" w14:textId="77777777" w:rsidR="00F1720D" w:rsidRPr="00820C89" w:rsidRDefault="00F1720D" w:rsidP="00F1720D">
      <w:pPr>
        <w:shd w:val="clear" w:color="auto" w:fill="DFF0F9" w:themeFill="accent3" w:themeFillTint="33"/>
        <w:spacing w:after="160" w:line="259" w:lineRule="auto"/>
        <w:rPr>
          <w:rFonts w:asciiTheme="majorHAnsi" w:hAnsiTheme="majorHAnsi"/>
          <w:b/>
          <w:bCs/>
          <w:iCs/>
        </w:rPr>
      </w:pPr>
      <w:bookmarkStart w:id="90" w:name="Suggestion5"/>
      <w:r w:rsidRPr="00820C89">
        <w:rPr>
          <w:rFonts w:asciiTheme="majorHAnsi" w:hAnsiTheme="majorHAnsi"/>
          <w:b/>
          <w:bCs/>
          <w:iCs/>
        </w:rPr>
        <w:t>Suggestion 5</w:t>
      </w:r>
      <w:bookmarkEnd w:id="90"/>
      <w:r w:rsidRPr="00820C89">
        <w:rPr>
          <w:rFonts w:asciiTheme="majorHAnsi" w:hAnsiTheme="majorHAnsi"/>
          <w:b/>
          <w:bCs/>
          <w:iCs/>
        </w:rPr>
        <w:t>: Devolve more responsibility to the regional office network</w:t>
      </w:r>
    </w:p>
    <w:p w14:paraId="00726F9F" w14:textId="77777777" w:rsidR="00F1720D" w:rsidRPr="00820C89" w:rsidRDefault="00F1720D" w:rsidP="00F1720D">
      <w:pPr>
        <w:shd w:val="clear" w:color="auto" w:fill="DFF0F9" w:themeFill="accent3" w:themeFillTint="33"/>
        <w:spacing w:after="160" w:line="259" w:lineRule="auto"/>
        <w:rPr>
          <w:rFonts w:asciiTheme="majorHAnsi" w:hAnsiTheme="majorHAnsi"/>
          <w:iCs/>
        </w:rPr>
      </w:pPr>
      <w:r w:rsidRPr="00820C89">
        <w:rPr>
          <w:rFonts w:asciiTheme="majorHAnsi" w:hAnsiTheme="majorHAnsi"/>
          <w:iCs/>
        </w:rPr>
        <w:t>For the reasons listed above, including the lengthy processing times, future funding uncertainty, reduced decision-making abilities and loss of corporate knowledge, it is suggested that the NIAA devolve more responsibility to the regional office network.</w:t>
      </w:r>
    </w:p>
    <w:p w14:paraId="4130E58D" w14:textId="77777777" w:rsidR="00F1720D" w:rsidRPr="00820C89" w:rsidRDefault="00F1720D" w:rsidP="00F1720D">
      <w:pPr>
        <w:shd w:val="clear" w:color="auto" w:fill="DFF0F9" w:themeFill="accent3" w:themeFillTint="33"/>
        <w:spacing w:after="160" w:line="259" w:lineRule="auto"/>
        <w:rPr>
          <w:rFonts w:asciiTheme="majorHAnsi" w:hAnsiTheme="majorHAnsi"/>
        </w:rPr>
      </w:pPr>
      <w:r w:rsidRPr="00820C89">
        <w:rPr>
          <w:rFonts w:asciiTheme="majorHAnsi" w:hAnsiTheme="majorHAnsi"/>
          <w:iCs/>
        </w:rPr>
        <w:t xml:space="preserve">It is acknowledged that there are clearly costs and benefits associated with both centralising and decentralising programs, and that this is in effect a persistent challenge that government agencies must navigate. Further, it is noted that there are benefits </w:t>
      </w:r>
      <w:r w:rsidRPr="00820C89">
        <w:rPr>
          <w:rFonts w:asciiTheme="majorHAnsi" w:hAnsiTheme="majorHAnsi"/>
        </w:rPr>
        <w:t xml:space="preserve">to the centralised oversight of the IEP, including the ability to readily identify high and low performing providers, support the sharing of best practice, and take a systems-level view of ensuring that the program investment is well aligned to need. However, in this instance, the substantial body of evidence in favour of devolving responsibility appears to outweigh the benefits of central oversight. </w:t>
      </w:r>
    </w:p>
    <w:p w14:paraId="0BE3344F" w14:textId="77777777" w:rsidR="00F1720D" w:rsidRPr="00820C89" w:rsidRDefault="00F1720D" w:rsidP="00F1720D">
      <w:pPr>
        <w:shd w:val="clear" w:color="auto" w:fill="DFF0F9" w:themeFill="accent3" w:themeFillTint="33"/>
        <w:spacing w:after="160" w:line="259" w:lineRule="auto"/>
        <w:rPr>
          <w:rFonts w:asciiTheme="majorHAnsi" w:hAnsiTheme="majorHAnsi"/>
        </w:rPr>
      </w:pPr>
      <w:r w:rsidRPr="00820C89">
        <w:rPr>
          <w:rFonts w:asciiTheme="majorHAnsi" w:hAnsiTheme="majorHAnsi"/>
        </w:rPr>
        <w:t xml:space="preserve">Further, an effectively implemented system of devolved responsibility can incorporate accountability and monitoring mechanisms to achieve many of the same benefits noted above as being features of centralised programs. For example, the Australian Public Service Commission has published several suggestions on how devolved policy arrangements can be effectively managed, including: </w:t>
      </w:r>
    </w:p>
    <w:p w14:paraId="265A70B9" w14:textId="77777777" w:rsidR="00F1720D" w:rsidRPr="00820C89" w:rsidRDefault="00F1720D" w:rsidP="00715F70">
      <w:pPr>
        <w:pStyle w:val="ListParagraph"/>
        <w:numPr>
          <w:ilvl w:val="0"/>
          <w:numId w:val="192"/>
        </w:numPr>
        <w:shd w:val="clear" w:color="auto" w:fill="DFF0F9" w:themeFill="accent3" w:themeFillTint="33"/>
        <w:spacing w:after="160" w:line="259" w:lineRule="auto"/>
        <w:rPr>
          <w:rFonts w:asciiTheme="majorHAnsi" w:hAnsiTheme="majorHAnsi"/>
        </w:rPr>
      </w:pPr>
      <w:r w:rsidRPr="00820C89">
        <w:rPr>
          <w:rFonts w:asciiTheme="majorHAnsi" w:hAnsiTheme="majorHAnsi"/>
        </w:rPr>
        <w:t>Establishing clear responsibilities and accountabilities across the different agents involved.</w:t>
      </w:r>
    </w:p>
    <w:p w14:paraId="76A3419F" w14:textId="77777777" w:rsidR="00F1720D" w:rsidRPr="00820C89" w:rsidRDefault="00F1720D" w:rsidP="00715F70">
      <w:pPr>
        <w:pStyle w:val="ListParagraph"/>
        <w:numPr>
          <w:ilvl w:val="0"/>
          <w:numId w:val="192"/>
        </w:numPr>
        <w:shd w:val="clear" w:color="auto" w:fill="DFF0F9" w:themeFill="accent3" w:themeFillTint="33"/>
        <w:spacing w:after="160" w:line="259" w:lineRule="auto"/>
        <w:rPr>
          <w:rFonts w:asciiTheme="majorHAnsi" w:hAnsiTheme="majorHAnsi"/>
        </w:rPr>
      </w:pPr>
      <w:r w:rsidRPr="00820C89">
        <w:rPr>
          <w:rFonts w:asciiTheme="majorHAnsi" w:hAnsiTheme="majorHAnsi"/>
        </w:rPr>
        <w:t>Establishing a clear, shared view of the goals and objectives of the program.</w:t>
      </w:r>
    </w:p>
    <w:p w14:paraId="7019577C" w14:textId="77777777" w:rsidR="00F1720D" w:rsidRPr="00820C89" w:rsidRDefault="00F1720D" w:rsidP="00715F70">
      <w:pPr>
        <w:pStyle w:val="ListParagraph"/>
        <w:numPr>
          <w:ilvl w:val="0"/>
          <w:numId w:val="192"/>
        </w:numPr>
        <w:shd w:val="clear" w:color="auto" w:fill="DFF0F9" w:themeFill="accent3" w:themeFillTint="33"/>
        <w:spacing w:after="160" w:line="259" w:lineRule="auto"/>
        <w:rPr>
          <w:rFonts w:asciiTheme="majorHAnsi" w:hAnsiTheme="majorHAnsi"/>
        </w:rPr>
      </w:pPr>
      <w:r w:rsidRPr="00820C89">
        <w:rPr>
          <w:rFonts w:asciiTheme="majorHAnsi" w:hAnsiTheme="majorHAnsi"/>
        </w:rPr>
        <w:t xml:space="preserve">Including effective performance management frameworks to assess the performance of individual agents. </w:t>
      </w:r>
    </w:p>
    <w:p w14:paraId="173E3173" w14:textId="77777777" w:rsidR="00F1720D" w:rsidRPr="00820C89" w:rsidRDefault="00F1720D" w:rsidP="00715F70">
      <w:pPr>
        <w:pStyle w:val="ListParagraph"/>
        <w:numPr>
          <w:ilvl w:val="0"/>
          <w:numId w:val="192"/>
        </w:numPr>
        <w:shd w:val="clear" w:color="auto" w:fill="DFF0F9" w:themeFill="accent3" w:themeFillTint="33"/>
        <w:spacing w:after="160" w:line="259" w:lineRule="auto"/>
        <w:rPr>
          <w:rFonts w:asciiTheme="majorHAnsi" w:hAnsiTheme="majorHAnsi"/>
        </w:rPr>
      </w:pPr>
      <w:r w:rsidRPr="00820C89">
        <w:rPr>
          <w:rFonts w:asciiTheme="majorHAnsi" w:hAnsiTheme="majorHAnsi"/>
        </w:rPr>
        <w:t>Regularly evaluate the effectiveness of the delivery system.</w:t>
      </w:r>
    </w:p>
    <w:p w14:paraId="47FBD6ED" w14:textId="77777777" w:rsidR="00F1720D" w:rsidRPr="00820C89" w:rsidRDefault="00F1720D" w:rsidP="00715F70">
      <w:pPr>
        <w:pStyle w:val="ListParagraph"/>
        <w:numPr>
          <w:ilvl w:val="0"/>
          <w:numId w:val="192"/>
        </w:numPr>
        <w:shd w:val="clear" w:color="auto" w:fill="DFF0F9" w:themeFill="accent3" w:themeFillTint="33"/>
        <w:spacing w:after="160" w:line="259" w:lineRule="auto"/>
        <w:rPr>
          <w:rFonts w:asciiTheme="majorHAnsi" w:hAnsiTheme="majorHAnsi"/>
        </w:rPr>
      </w:pPr>
      <w:r w:rsidRPr="00820C89">
        <w:rPr>
          <w:rFonts w:asciiTheme="majorHAnsi" w:hAnsiTheme="majorHAnsi"/>
        </w:rPr>
        <w:lastRenderedPageBreak/>
        <w:t>Foster strategic conversations on the practical implications of devolving elements of service delivery.</w:t>
      </w:r>
      <w:r w:rsidRPr="00820C89">
        <w:rPr>
          <w:rStyle w:val="FootnoteReference"/>
          <w:rFonts w:asciiTheme="majorHAnsi" w:hAnsiTheme="majorHAnsi"/>
        </w:rPr>
        <w:footnoteReference w:id="39"/>
      </w:r>
    </w:p>
    <w:p w14:paraId="2CA4731E" w14:textId="23712D3F" w:rsidR="000C49A0" w:rsidRPr="00820C89" w:rsidRDefault="00F1720D" w:rsidP="001D6F02">
      <w:pPr>
        <w:shd w:val="clear" w:color="auto" w:fill="DFF0F9" w:themeFill="accent3" w:themeFillTint="33"/>
        <w:spacing w:after="160" w:line="259" w:lineRule="auto"/>
        <w:rPr>
          <w:rFonts w:asciiTheme="majorHAnsi" w:hAnsiTheme="majorHAnsi"/>
          <w:i/>
        </w:rPr>
      </w:pPr>
      <w:r w:rsidRPr="00820C89">
        <w:rPr>
          <w:rFonts w:asciiTheme="majorHAnsi" w:hAnsiTheme="majorHAnsi"/>
        </w:rPr>
        <w:t>Deloitte Access Economics’ prior experience also suggests that there are highly relevant examples of programs that are sufficiently similar to the IEP that have successfully implemented a devolved delivery system. Most notably, the Skilling Queenslanders for Work (SQW) program includes an innovative devolved decision-making approach to funding decisions.</w:t>
      </w:r>
      <w:r w:rsidRPr="00820C89">
        <w:rPr>
          <w:rStyle w:val="FootnoteReference"/>
          <w:rFonts w:asciiTheme="majorHAnsi" w:hAnsiTheme="majorHAnsi"/>
        </w:rPr>
        <w:footnoteReference w:id="40"/>
      </w:r>
    </w:p>
    <w:p w14:paraId="3BE0FF5E" w14:textId="5998CE15" w:rsidR="004618FA" w:rsidRPr="00820C89" w:rsidRDefault="004618FA" w:rsidP="00B25C10">
      <w:pPr>
        <w:pStyle w:val="Heading2"/>
        <w:spacing w:after="240"/>
        <w:rPr>
          <w:rFonts w:asciiTheme="majorHAnsi" w:hAnsiTheme="majorHAnsi"/>
        </w:rPr>
      </w:pPr>
      <w:bookmarkStart w:id="91" w:name="_Toc57022910"/>
      <w:bookmarkStart w:id="92" w:name="_Toc82710781"/>
      <w:bookmarkStart w:id="93" w:name="_Toc101343296"/>
      <w:r w:rsidRPr="00820C89">
        <w:rPr>
          <w:rFonts w:asciiTheme="majorHAnsi" w:hAnsiTheme="majorHAnsi"/>
        </w:rPr>
        <w:t>Accountability and continual improvement</w:t>
      </w:r>
      <w:bookmarkEnd w:id="91"/>
      <w:bookmarkEnd w:id="92"/>
      <w:bookmarkEnd w:id="93"/>
      <w:r w:rsidRPr="00820C89">
        <w:rPr>
          <w:rFonts w:asciiTheme="majorHAnsi" w:hAnsiTheme="majorHAnsi"/>
        </w:rPr>
        <w:t xml:space="preserve"> </w:t>
      </w:r>
    </w:p>
    <w:p w14:paraId="49C3FA85" w14:textId="77777777" w:rsidR="001D6F02" w:rsidRPr="00F9482F" w:rsidRDefault="001D6F02"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findings</w:t>
      </w:r>
    </w:p>
    <w:p w14:paraId="7E6E8F96" w14:textId="77777777" w:rsidR="001D6F02" w:rsidRPr="000D6E56" w:rsidRDefault="001D6F02" w:rsidP="00715F70">
      <w:pPr>
        <w:pStyle w:val="ListParagraph"/>
        <w:numPr>
          <w:ilvl w:val="0"/>
          <w:numId w:val="81"/>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sidRPr="000D6E56">
        <w:rPr>
          <w:rFonts w:asciiTheme="majorHAnsi" w:hAnsiTheme="majorHAnsi"/>
          <w:b/>
          <w:bCs/>
          <w:i/>
          <w:iCs/>
          <w:color w:val="62B5E5" w:themeColor="accent3"/>
        </w:rPr>
        <w:t xml:space="preserve">It is unclear how the performance of providers flows through to contracts for delivery across </w:t>
      </w:r>
      <w:r>
        <w:rPr>
          <w:rFonts w:asciiTheme="majorHAnsi" w:hAnsiTheme="majorHAnsi"/>
          <w:b/>
          <w:bCs/>
          <w:i/>
          <w:iCs/>
          <w:color w:val="62B5E5" w:themeColor="accent3"/>
        </w:rPr>
        <w:t>the IEP</w:t>
      </w:r>
      <w:r w:rsidRPr="000D6E56">
        <w:rPr>
          <w:rFonts w:asciiTheme="majorHAnsi" w:hAnsiTheme="majorHAnsi"/>
          <w:b/>
          <w:bCs/>
          <w:i/>
          <w:iCs/>
          <w:color w:val="62B5E5" w:themeColor="accent3"/>
        </w:rPr>
        <w:t>. This issue is particularly acute within the EPI program, where long contracts and a lack of progressive milestones leaves the overarching performance metrics for partners unclear.</w:t>
      </w:r>
      <w:r w:rsidRPr="000D6E56">
        <w:rPr>
          <w:rFonts w:asciiTheme="majorHAnsi" w:hAnsiTheme="majorHAnsi"/>
          <w:b/>
          <w:bCs/>
          <w:i/>
          <w:iCs/>
          <w:color w:val="62B5E5" w:themeColor="accent3"/>
        </w:rPr>
        <w:br/>
      </w:r>
    </w:p>
    <w:p w14:paraId="7287746F" w14:textId="77777777" w:rsidR="001D6F02" w:rsidRPr="000D6E56" w:rsidRDefault="001D6F02" w:rsidP="00715F70">
      <w:pPr>
        <w:pStyle w:val="ListParagraph"/>
        <w:numPr>
          <w:ilvl w:val="0"/>
          <w:numId w:val="81"/>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Pr>
          <w:b/>
          <w:bCs/>
          <w:i/>
          <w:iCs/>
          <w:color w:val="62B5E5" w:themeColor="accent3"/>
        </w:rPr>
        <w:t>The absence of a</w:t>
      </w:r>
      <w:r w:rsidRPr="000D6E56">
        <w:rPr>
          <w:b/>
          <w:bCs/>
          <w:i/>
          <w:iCs/>
          <w:color w:val="62B5E5" w:themeColor="accent3"/>
        </w:rPr>
        <w:t xml:space="preserve"> clear performance framework </w:t>
      </w:r>
      <w:r>
        <w:rPr>
          <w:b/>
          <w:bCs/>
          <w:i/>
          <w:iCs/>
          <w:color w:val="62B5E5" w:themeColor="accent3"/>
        </w:rPr>
        <w:t>means that</w:t>
      </w:r>
      <w:r w:rsidRPr="000D6E56">
        <w:rPr>
          <w:b/>
          <w:bCs/>
          <w:i/>
          <w:iCs/>
          <w:color w:val="62B5E5" w:themeColor="accent3"/>
        </w:rPr>
        <w:t xml:space="preserve"> there </w:t>
      </w:r>
      <w:r>
        <w:rPr>
          <w:b/>
          <w:bCs/>
          <w:i/>
          <w:iCs/>
          <w:color w:val="62B5E5" w:themeColor="accent3"/>
        </w:rPr>
        <w:t>is</w:t>
      </w:r>
      <w:r w:rsidRPr="000D6E56">
        <w:rPr>
          <w:rFonts w:asciiTheme="majorHAnsi" w:hAnsiTheme="majorHAnsi"/>
          <w:color w:val="62B5E5" w:themeColor="accent3"/>
        </w:rPr>
        <w:t xml:space="preserve"> </w:t>
      </w:r>
      <w:r w:rsidRPr="000D6E56">
        <w:rPr>
          <w:rFonts w:asciiTheme="majorHAnsi" w:hAnsiTheme="majorHAnsi"/>
          <w:b/>
          <w:bCs/>
          <w:i/>
          <w:iCs/>
          <w:color w:val="62B5E5" w:themeColor="accent3"/>
        </w:rPr>
        <w:t xml:space="preserve">limited reward for high performance </w:t>
      </w:r>
      <w:r>
        <w:rPr>
          <w:rFonts w:asciiTheme="majorHAnsi" w:hAnsiTheme="majorHAnsi"/>
          <w:b/>
          <w:bCs/>
          <w:i/>
          <w:iCs/>
          <w:color w:val="62B5E5" w:themeColor="accent3"/>
        </w:rPr>
        <w:t>providers in the form of</w:t>
      </w:r>
      <w:r w:rsidRPr="000D6E56">
        <w:rPr>
          <w:rFonts w:asciiTheme="majorHAnsi" w:hAnsiTheme="majorHAnsi"/>
          <w:b/>
          <w:bCs/>
          <w:i/>
          <w:iCs/>
          <w:color w:val="62B5E5" w:themeColor="accent3"/>
        </w:rPr>
        <w:t xml:space="preserve"> increased trust in the relationship between themselves and</w:t>
      </w:r>
      <w:r>
        <w:rPr>
          <w:rFonts w:asciiTheme="majorHAnsi" w:hAnsiTheme="majorHAnsi"/>
          <w:b/>
          <w:bCs/>
          <w:i/>
          <w:iCs/>
          <w:color w:val="62B5E5" w:themeColor="accent3"/>
        </w:rPr>
        <w:t xml:space="preserve"> the</w:t>
      </w:r>
      <w:r w:rsidRPr="000D6E56">
        <w:rPr>
          <w:rFonts w:asciiTheme="majorHAnsi" w:hAnsiTheme="majorHAnsi"/>
          <w:b/>
          <w:bCs/>
          <w:i/>
          <w:iCs/>
          <w:color w:val="62B5E5" w:themeColor="accent3"/>
        </w:rPr>
        <w:t xml:space="preserve"> NIAA or increased flexibility or certainty in funding provision.</w:t>
      </w:r>
      <w:r w:rsidRPr="000D6E56">
        <w:rPr>
          <w:rFonts w:asciiTheme="majorHAnsi" w:hAnsiTheme="majorHAnsi"/>
          <w:b/>
          <w:bCs/>
          <w:i/>
          <w:iCs/>
          <w:color w:val="62B5E5" w:themeColor="accent3"/>
        </w:rPr>
        <w:br/>
      </w:r>
    </w:p>
    <w:p w14:paraId="5424D0F5" w14:textId="617804E8" w:rsidR="001D6F02" w:rsidRPr="001D6F02" w:rsidRDefault="001D6F02" w:rsidP="00715F70">
      <w:pPr>
        <w:pStyle w:val="ListParagraph"/>
        <w:numPr>
          <w:ilvl w:val="0"/>
          <w:numId w:val="81"/>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Pr>
          <w:b/>
          <w:bCs/>
          <w:i/>
          <w:iCs/>
          <w:color w:val="62B5E5" w:themeColor="accent3"/>
        </w:rPr>
        <w:t xml:space="preserve">The </w:t>
      </w:r>
      <w:r w:rsidRPr="00F9482F">
        <w:rPr>
          <w:b/>
          <w:bCs/>
          <w:i/>
          <w:iCs/>
          <w:color w:val="62B5E5" w:themeColor="accent3"/>
        </w:rPr>
        <w:t>NIAA faces significant restrictions and capability issues in accessing and utilising the program data that is collected</w:t>
      </w:r>
      <w:r>
        <w:rPr>
          <w:b/>
          <w:bCs/>
          <w:i/>
          <w:iCs/>
          <w:color w:val="62B5E5" w:themeColor="accent3"/>
        </w:rPr>
        <w:t>, and t</w:t>
      </w:r>
      <w:r w:rsidRPr="00F9482F">
        <w:rPr>
          <w:b/>
          <w:bCs/>
          <w:i/>
          <w:iCs/>
          <w:color w:val="62B5E5" w:themeColor="accent3"/>
        </w:rPr>
        <w:t>here is no current mechanism through which NIAA can observe period performance of the programs, even at an overarching level.</w:t>
      </w:r>
      <w:r>
        <w:rPr>
          <w:b/>
          <w:bCs/>
          <w:i/>
          <w:iCs/>
          <w:color w:val="62B5E5" w:themeColor="accent3"/>
        </w:rPr>
        <w:t xml:space="preserve"> This is evident in both the implementation of the IEP, and the conduct of this evaluation.</w:t>
      </w:r>
    </w:p>
    <w:p w14:paraId="41B19F33" w14:textId="612B45E2" w:rsidR="004618FA" w:rsidRPr="00820C89" w:rsidRDefault="004618FA" w:rsidP="004618FA">
      <w:pPr>
        <w:rPr>
          <w:rFonts w:asciiTheme="majorHAnsi" w:hAnsiTheme="majorHAnsi"/>
        </w:rPr>
      </w:pPr>
      <w:r w:rsidRPr="00820C89">
        <w:rPr>
          <w:rFonts w:asciiTheme="majorHAnsi" w:hAnsiTheme="majorHAnsi"/>
        </w:rPr>
        <w:t xml:space="preserve">Oversight and governance of the IEP is required to – at a minimum, ensure that the programs are being delivered in line with intent and contractual obligations. More broadly, NIAA governance of </w:t>
      </w:r>
      <w:r w:rsidR="00BB38CE" w:rsidRPr="00820C89">
        <w:rPr>
          <w:rFonts w:asciiTheme="majorHAnsi" w:hAnsiTheme="majorHAnsi"/>
        </w:rPr>
        <w:t>sub-programs</w:t>
      </w:r>
      <w:r w:rsidRPr="00820C89">
        <w:rPr>
          <w:rFonts w:asciiTheme="majorHAnsi" w:hAnsiTheme="majorHAnsi"/>
        </w:rPr>
        <w:t xml:space="preserve"> should work to support continual improvement of the programs and impacts for Indigenous Australians.  </w:t>
      </w:r>
    </w:p>
    <w:p w14:paraId="56355080" w14:textId="77777777" w:rsidR="004618FA" w:rsidRPr="00820C89" w:rsidRDefault="004618FA" w:rsidP="004618FA">
      <w:pPr>
        <w:pStyle w:val="Heading3"/>
        <w:rPr>
          <w:rFonts w:asciiTheme="majorHAnsi" w:hAnsiTheme="majorHAnsi"/>
        </w:rPr>
      </w:pPr>
      <w:r w:rsidRPr="00820C89">
        <w:rPr>
          <w:rFonts w:asciiTheme="majorHAnsi" w:hAnsiTheme="majorHAnsi"/>
        </w:rPr>
        <w:t xml:space="preserve">Understanding provider performance </w:t>
      </w:r>
    </w:p>
    <w:p w14:paraId="565E2AB2" w14:textId="3C3549BB" w:rsidR="004618FA" w:rsidRPr="00820C89" w:rsidRDefault="00014AEA" w:rsidP="004618FA">
      <w:pPr>
        <w:rPr>
          <w:rFonts w:asciiTheme="majorHAnsi" w:hAnsiTheme="majorHAnsi"/>
        </w:rPr>
      </w:pPr>
      <w:r w:rsidRPr="00820C89">
        <w:rPr>
          <w:rFonts w:asciiTheme="majorHAnsi" w:hAnsiTheme="majorHAnsi"/>
        </w:rPr>
        <w:t>It</w:t>
      </w:r>
      <w:r w:rsidR="004618FA" w:rsidRPr="00820C89">
        <w:rPr>
          <w:rFonts w:asciiTheme="majorHAnsi" w:hAnsiTheme="majorHAnsi"/>
        </w:rPr>
        <w:t xml:space="preserve"> is unclear how the performance of providers flows through to </w:t>
      </w:r>
      <w:r w:rsidR="00902356" w:rsidRPr="00820C89">
        <w:rPr>
          <w:rFonts w:asciiTheme="majorHAnsi" w:hAnsiTheme="majorHAnsi"/>
        </w:rPr>
        <w:t>c</w:t>
      </w:r>
      <w:r w:rsidR="004618FA" w:rsidRPr="00820C89">
        <w:rPr>
          <w:rFonts w:asciiTheme="majorHAnsi" w:hAnsiTheme="majorHAnsi"/>
        </w:rPr>
        <w:t xml:space="preserve">ontracts for delivery across all </w:t>
      </w:r>
      <w:r w:rsidR="00BB38CE" w:rsidRPr="00820C89">
        <w:rPr>
          <w:rFonts w:asciiTheme="majorHAnsi" w:hAnsiTheme="majorHAnsi"/>
        </w:rPr>
        <w:t>sub-program</w:t>
      </w:r>
      <w:r w:rsidR="004618FA" w:rsidRPr="00820C89">
        <w:rPr>
          <w:rFonts w:asciiTheme="majorHAnsi" w:hAnsiTheme="majorHAnsi"/>
        </w:rPr>
        <w:t xml:space="preserve">s. This issue is particularly acute within the EPI program, where long contracts and a lack of progressive milestones leaves the overarching performance metrics for partners unclear. </w:t>
      </w:r>
    </w:p>
    <w:p w14:paraId="7598D397" w14:textId="77777777" w:rsidR="004618FA" w:rsidRPr="00820C89" w:rsidRDefault="004618FA" w:rsidP="004618FA">
      <w:pPr>
        <w:rPr>
          <w:rFonts w:asciiTheme="majorHAnsi" w:hAnsiTheme="majorHAnsi"/>
        </w:rPr>
      </w:pPr>
      <w:r w:rsidRPr="00820C89">
        <w:rPr>
          <w:rFonts w:asciiTheme="majorHAnsi" w:hAnsiTheme="majorHAnsi"/>
        </w:rPr>
        <w:t xml:space="preserve">Other than payment milestones, there are limited performance metrics or assessments of providers. A lack of data pertaining to provider delivery and outcomes renders it difficult to assess provider outcomes relative to each other and across contexts, or form benchmarks or expectations for success. </w:t>
      </w:r>
    </w:p>
    <w:p w14:paraId="38BBB500" w14:textId="1F4E8652" w:rsidR="00B1663B" w:rsidRPr="00820C89" w:rsidRDefault="004618FA" w:rsidP="004618FA">
      <w:pPr>
        <w:rPr>
          <w:rFonts w:asciiTheme="majorHAnsi" w:hAnsiTheme="majorHAnsi"/>
        </w:rPr>
      </w:pPr>
      <w:r w:rsidRPr="00820C89">
        <w:rPr>
          <w:rFonts w:asciiTheme="majorHAnsi" w:hAnsiTheme="majorHAnsi"/>
        </w:rPr>
        <w:t xml:space="preserve">Further, a reliance on milestone completions without collecting appropriate contextual data (including participant characteristics) makes it difficult to assess the extent to which a provider’s performance is reflective of effectiveness as opposed to contextual influences. </w:t>
      </w:r>
    </w:p>
    <w:p w14:paraId="35450BE0" w14:textId="77777777" w:rsidR="004618FA" w:rsidRPr="00820C89" w:rsidRDefault="004618FA" w:rsidP="004618FA">
      <w:pPr>
        <w:pStyle w:val="Heading3"/>
        <w:rPr>
          <w:rFonts w:asciiTheme="majorHAnsi" w:hAnsiTheme="majorHAnsi"/>
        </w:rPr>
      </w:pPr>
      <w:r w:rsidRPr="00820C89">
        <w:rPr>
          <w:rFonts w:asciiTheme="majorHAnsi" w:hAnsiTheme="majorHAnsi"/>
        </w:rPr>
        <w:t xml:space="preserve">Growing program impact through investing in high performance </w:t>
      </w:r>
    </w:p>
    <w:p w14:paraId="34E55469" w14:textId="635A4E38" w:rsidR="004618FA" w:rsidRPr="00820C89" w:rsidRDefault="004618FA" w:rsidP="004618FA">
      <w:pPr>
        <w:rPr>
          <w:rFonts w:asciiTheme="majorHAnsi" w:hAnsiTheme="majorHAnsi"/>
        </w:rPr>
      </w:pPr>
      <w:r w:rsidRPr="00820C89">
        <w:rPr>
          <w:rFonts w:asciiTheme="majorHAnsi" w:hAnsiTheme="majorHAnsi"/>
        </w:rPr>
        <w:t xml:space="preserve">Reflecting the lack of a clear performance framework, providers observed that there was limited reward for high performance </w:t>
      </w:r>
      <w:r w:rsidR="008C2BAF" w:rsidRPr="00820C89">
        <w:rPr>
          <w:rFonts w:asciiTheme="majorHAnsi" w:hAnsiTheme="majorHAnsi"/>
        </w:rPr>
        <w:t>regarding</w:t>
      </w:r>
      <w:r w:rsidRPr="00820C89">
        <w:rPr>
          <w:rFonts w:asciiTheme="majorHAnsi" w:hAnsiTheme="majorHAnsi"/>
        </w:rPr>
        <w:t xml:space="preserve"> increased trust in the relationship between themselves and </w:t>
      </w:r>
      <w:r w:rsidR="00D044A6" w:rsidRPr="00820C89">
        <w:rPr>
          <w:rFonts w:asciiTheme="majorHAnsi" w:hAnsiTheme="majorHAnsi"/>
        </w:rPr>
        <w:t xml:space="preserve">the </w:t>
      </w:r>
      <w:r w:rsidRPr="00820C89">
        <w:rPr>
          <w:rFonts w:asciiTheme="majorHAnsi" w:hAnsiTheme="majorHAnsi"/>
        </w:rPr>
        <w:t xml:space="preserve">NIAA or evidenced through increased flexibility or certainty in funding provision. </w:t>
      </w:r>
    </w:p>
    <w:p w14:paraId="5CE41749"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 xml:space="preserve">“In terms of the contract, it’s been interpretations of the contract, and we like to think that we’ve been doing this long enough, longer than most of our contractor managers, where </w:t>
      </w:r>
      <w:r w:rsidRPr="00820C89">
        <w:rPr>
          <w:rFonts w:asciiTheme="majorHAnsi" w:hAnsiTheme="majorHAnsi"/>
          <w:i/>
        </w:rPr>
        <w:lastRenderedPageBreak/>
        <w:t>we understand the spirit of the contract, but there doesn’t seem to be much alignment between the spirit of the contract, what we’re all there to do, and then the interpretation of different clauses and what they mean.” (VTEC provider)</w:t>
      </w:r>
    </w:p>
    <w:p w14:paraId="1EE7563A" w14:textId="6E6398F9" w:rsidR="004618FA" w:rsidRPr="00820C89" w:rsidRDefault="00337B07" w:rsidP="004618FA">
      <w:pPr>
        <w:rPr>
          <w:rFonts w:asciiTheme="majorHAnsi" w:hAnsiTheme="majorHAnsi"/>
        </w:rPr>
      </w:pPr>
      <w:r w:rsidRPr="00820C89">
        <w:rPr>
          <w:rFonts w:asciiTheme="majorHAnsi" w:hAnsiTheme="majorHAnsi"/>
          <w:iCs/>
          <w:color w:val="000000" w:themeColor="text1"/>
        </w:rPr>
        <w:t xml:space="preserve">Further, </w:t>
      </w:r>
      <w:r w:rsidRPr="00820C89">
        <w:rPr>
          <w:rFonts w:asciiTheme="majorHAnsi" w:hAnsiTheme="majorHAnsi"/>
          <w:iCs/>
        </w:rPr>
        <w:t>t</w:t>
      </w:r>
      <w:r w:rsidR="004618FA" w:rsidRPr="00820C89">
        <w:rPr>
          <w:rFonts w:asciiTheme="majorHAnsi" w:hAnsiTheme="majorHAnsi"/>
        </w:rPr>
        <w:t xml:space="preserve">here are high barriers to entry in becoming an effective provider – including the significant investment required in relationship building with community, employers and service providers. The knowledge held by these providers is therefore of high value to the effective delivery of </w:t>
      </w:r>
      <w:r w:rsidR="00161114" w:rsidRPr="00820C89">
        <w:rPr>
          <w:rFonts w:asciiTheme="majorHAnsi" w:hAnsiTheme="majorHAnsi"/>
        </w:rPr>
        <w:t>the IEP</w:t>
      </w:r>
      <w:r w:rsidR="004618FA" w:rsidRPr="00820C89">
        <w:rPr>
          <w:rFonts w:asciiTheme="majorHAnsi" w:hAnsiTheme="majorHAnsi"/>
        </w:rPr>
        <w:t xml:space="preserve">, particularly considering the intent of </w:t>
      </w:r>
      <w:r w:rsidR="00161114" w:rsidRPr="00820C89">
        <w:rPr>
          <w:rFonts w:asciiTheme="majorHAnsi" w:hAnsiTheme="majorHAnsi"/>
        </w:rPr>
        <w:t>the IEP</w:t>
      </w:r>
      <w:r w:rsidR="004618FA" w:rsidRPr="00820C89">
        <w:rPr>
          <w:rFonts w:asciiTheme="majorHAnsi" w:hAnsiTheme="majorHAnsi"/>
        </w:rPr>
        <w:t xml:space="preserve"> to support growth in effective Indigenous employment strategies across the sector. There are risks within the current contract management approach that high value providers may choose to leave the program, taking with them deep expertise and knowledge. </w:t>
      </w:r>
    </w:p>
    <w:p w14:paraId="2BE3A026" w14:textId="77777777" w:rsidR="004618FA" w:rsidRPr="00820C89" w:rsidRDefault="004618FA" w:rsidP="004618FA">
      <w:pPr>
        <w:rPr>
          <w:rFonts w:asciiTheme="majorHAnsi" w:hAnsiTheme="majorHAnsi"/>
        </w:rPr>
      </w:pPr>
      <w:r w:rsidRPr="00820C89">
        <w:rPr>
          <w:rFonts w:asciiTheme="majorHAnsi" w:hAnsiTheme="majorHAnsi"/>
        </w:rPr>
        <w:t>Improving Indigenous employment is a priority of many Australian businesses. These organisations are willing to invest – often with the support of IEP providers – in innovating, collaborating and refining strategies to improve their Indigenous employment outcomes. NIAA has the opportunity to work in partnership with these organisations, leveraging their corporate expertise and innovation, to better program outcomes. One EPI partner reflected:</w:t>
      </w:r>
    </w:p>
    <w:p w14:paraId="5683AAAB" w14:textId="2283B42F" w:rsidR="004618FA" w:rsidRPr="00820C89" w:rsidRDefault="004618FA" w:rsidP="004618FA">
      <w:pPr>
        <w:ind w:left="720"/>
        <w:rPr>
          <w:rFonts w:asciiTheme="majorHAnsi" w:hAnsiTheme="majorHAnsi"/>
          <w:i/>
          <w:color w:val="000000" w:themeColor="text1"/>
        </w:rPr>
      </w:pPr>
      <w:r w:rsidRPr="00820C89">
        <w:rPr>
          <w:rFonts w:asciiTheme="majorHAnsi" w:hAnsiTheme="majorHAnsi"/>
          <w:i/>
          <w:color w:val="000000" w:themeColor="text1"/>
        </w:rPr>
        <w:t xml:space="preserve">“The only reason why I want to be involved with NIAA now, is about having a partnership with government so then we can just show what best practice is and hopefully they can adopt our methodologies and use it for other companies” (EPI partner).  </w:t>
      </w:r>
    </w:p>
    <w:p w14:paraId="15DBAAEC" w14:textId="77777777" w:rsidR="00F1720D" w:rsidRPr="00820C89" w:rsidRDefault="00F1720D" w:rsidP="00F1720D">
      <w:pPr>
        <w:shd w:val="clear" w:color="auto" w:fill="DFF0F9" w:themeFill="accent3" w:themeFillTint="33"/>
        <w:spacing w:after="160" w:line="259" w:lineRule="auto"/>
        <w:rPr>
          <w:rFonts w:asciiTheme="majorHAnsi" w:hAnsiTheme="majorHAnsi"/>
          <w:b/>
          <w:bCs/>
          <w:iCs/>
        </w:rPr>
      </w:pPr>
      <w:bookmarkStart w:id="94" w:name="Suggestion6"/>
      <w:r w:rsidRPr="00820C89">
        <w:rPr>
          <w:rFonts w:asciiTheme="majorHAnsi" w:hAnsiTheme="majorHAnsi"/>
          <w:b/>
          <w:bCs/>
          <w:iCs/>
        </w:rPr>
        <w:t xml:space="preserve">Suggestion 6: </w:t>
      </w:r>
      <w:bookmarkEnd w:id="94"/>
      <w:r w:rsidRPr="00820C89">
        <w:rPr>
          <w:rFonts w:asciiTheme="majorHAnsi" w:hAnsiTheme="majorHAnsi"/>
          <w:b/>
          <w:bCs/>
          <w:iCs/>
        </w:rPr>
        <w:t xml:space="preserve">Establish a clear performance framework for providers that encourages high-performance </w:t>
      </w:r>
    </w:p>
    <w:p w14:paraId="2738D589" w14:textId="77777777" w:rsidR="00F1720D" w:rsidRPr="00820C89" w:rsidRDefault="00F1720D" w:rsidP="00F1720D">
      <w:pPr>
        <w:shd w:val="clear" w:color="auto" w:fill="DFF0F9" w:themeFill="accent3" w:themeFillTint="33"/>
        <w:rPr>
          <w:rFonts w:asciiTheme="majorHAnsi" w:hAnsiTheme="majorHAnsi"/>
        </w:rPr>
      </w:pPr>
      <w:r w:rsidRPr="00820C89">
        <w:rPr>
          <w:rFonts w:asciiTheme="majorHAnsi" w:hAnsiTheme="majorHAnsi"/>
        </w:rPr>
        <w:t>The NIAA should consider how an improved provider performance framework, aligned with program intent, may support an increasingly nuanced understanding – across both the NIAA and service providers, of the effective outcomes that can be achieved. This in turn has the power to influence provider behaviour and outcomes overtime.</w:t>
      </w:r>
    </w:p>
    <w:p w14:paraId="4A64AC48" w14:textId="77777777" w:rsidR="00F1720D" w:rsidRPr="00820C89" w:rsidRDefault="00F1720D" w:rsidP="00F1720D">
      <w:pPr>
        <w:shd w:val="clear" w:color="auto" w:fill="DFF0F9" w:themeFill="accent3" w:themeFillTint="33"/>
        <w:rPr>
          <w:rFonts w:asciiTheme="majorHAnsi" w:hAnsiTheme="majorHAnsi"/>
        </w:rPr>
      </w:pPr>
      <w:r w:rsidRPr="00820C89">
        <w:rPr>
          <w:rFonts w:asciiTheme="majorHAnsi" w:hAnsiTheme="majorHAnsi"/>
        </w:rPr>
        <w:t>Further, as discussed above, recognising high-performance providers would allow the NIAA to consider ways in which these providers could be further supported to ensure their continued involvement in the program. One way of achieving this (which warrants further investigation) is an ‘earned autonomy model’ in which high-performance providers are granted additional levels of program flexibility.</w:t>
      </w:r>
    </w:p>
    <w:p w14:paraId="7EA3BCC3" w14:textId="77777777" w:rsidR="00B25C10" w:rsidRDefault="00F1720D" w:rsidP="00B25C10">
      <w:pPr>
        <w:shd w:val="clear" w:color="auto" w:fill="DFF0F9" w:themeFill="accent3" w:themeFillTint="33"/>
        <w:rPr>
          <w:rFonts w:asciiTheme="majorHAnsi" w:hAnsiTheme="majorHAnsi"/>
        </w:rPr>
      </w:pPr>
      <w:r w:rsidRPr="00820C89">
        <w:rPr>
          <w:rFonts w:asciiTheme="majorHAnsi" w:hAnsiTheme="majorHAnsi"/>
        </w:rPr>
        <w:t>There are a range of performance models that can be used to gain a more comprehensive understanding of which providers are adding the most value to the program participants they are serving. These include:</w:t>
      </w:r>
    </w:p>
    <w:p w14:paraId="030B41F2" w14:textId="7A8B1145" w:rsidR="00F1720D" w:rsidRPr="00B25C10" w:rsidRDefault="00F1720D" w:rsidP="00715F70">
      <w:pPr>
        <w:pStyle w:val="ListParagraph"/>
        <w:numPr>
          <w:ilvl w:val="0"/>
          <w:numId w:val="193"/>
        </w:numPr>
        <w:shd w:val="clear" w:color="auto" w:fill="DFF0F9" w:themeFill="accent3" w:themeFillTint="33"/>
        <w:rPr>
          <w:rFonts w:asciiTheme="majorHAnsi" w:hAnsiTheme="majorHAnsi"/>
          <w:i/>
          <w:color w:val="000000" w:themeColor="text1"/>
        </w:rPr>
      </w:pPr>
      <w:r w:rsidRPr="00B25C10">
        <w:rPr>
          <w:rFonts w:asciiTheme="majorHAnsi" w:hAnsiTheme="majorHAnsi"/>
          <w:i/>
          <w:color w:val="000000" w:themeColor="text1"/>
        </w:rPr>
        <w:t>Value-added modelling: as is done for Australian schools, this empirical technique assesses performance after controlling for the characteristics of the client intake (i.e. the starting point of those you are serving). Providers can also then be positioned on efficiency frontiers using other non-parametric techniques.</w:t>
      </w:r>
    </w:p>
    <w:p w14:paraId="61ED8C39" w14:textId="77777777" w:rsidR="00F1720D" w:rsidRPr="00820C89" w:rsidRDefault="00F1720D" w:rsidP="00715F70">
      <w:pPr>
        <w:pStyle w:val="ListParagraph"/>
        <w:numPr>
          <w:ilvl w:val="0"/>
          <w:numId w:val="193"/>
        </w:numPr>
        <w:shd w:val="clear" w:color="auto" w:fill="DFF0F9" w:themeFill="accent3" w:themeFillTint="33"/>
        <w:rPr>
          <w:rFonts w:asciiTheme="majorHAnsi" w:hAnsiTheme="majorHAnsi"/>
          <w:i/>
          <w:color w:val="000000" w:themeColor="text1"/>
        </w:rPr>
      </w:pPr>
      <w:r w:rsidRPr="00820C89">
        <w:rPr>
          <w:rFonts w:asciiTheme="majorHAnsi" w:hAnsiTheme="majorHAnsi"/>
          <w:i/>
          <w:color w:val="000000" w:themeColor="text1"/>
        </w:rPr>
        <w:t>Place-based perceptions: reaffirming the importance of a more devolved model of governance, where local governance committees can assemble local impressions of provider performance (with the data) to form more holistic judgments of provider effectiveness. A running record of local intelligence on each provider could be entered into a relationship management platform by an empowered and enabled regional office(r), as is done in many private organisations managing relationships with service providers.</w:t>
      </w:r>
    </w:p>
    <w:p w14:paraId="71294019" w14:textId="77777777" w:rsidR="00F1720D" w:rsidRPr="00820C89" w:rsidRDefault="00F1720D" w:rsidP="00715F70">
      <w:pPr>
        <w:pStyle w:val="ListParagraph"/>
        <w:numPr>
          <w:ilvl w:val="0"/>
          <w:numId w:val="193"/>
        </w:numPr>
        <w:shd w:val="clear" w:color="auto" w:fill="DFF0F9" w:themeFill="accent3" w:themeFillTint="33"/>
        <w:rPr>
          <w:rFonts w:asciiTheme="majorHAnsi" w:hAnsiTheme="majorHAnsi"/>
          <w:i/>
          <w:color w:val="000000" w:themeColor="text1"/>
        </w:rPr>
      </w:pPr>
      <w:r w:rsidRPr="00820C89">
        <w:rPr>
          <w:rFonts w:asciiTheme="majorHAnsi" w:hAnsiTheme="majorHAnsi"/>
          <w:i/>
          <w:color w:val="000000" w:themeColor="text1"/>
        </w:rPr>
        <w:t>Participant voice: client exit surveys and post-program client-tracking over time (in keeping with the global goals of the program/policy) is an obvious and essential inclusion in judging the efficacy of providers and service provision. While it is not without challenge, it is also not without precedent in this area of policy, and is, worth investing in with the knowledge of what will and won’t engage different clients. This has the added benefit of reducing the reliance on proxy outcome measures, like whether or not a participant is observed in the income support system.</w:t>
      </w:r>
    </w:p>
    <w:p w14:paraId="568CE44F" w14:textId="77777777" w:rsidR="00F1720D" w:rsidRPr="00820C89" w:rsidRDefault="00F1720D" w:rsidP="00715F70">
      <w:pPr>
        <w:pStyle w:val="ListParagraph"/>
        <w:numPr>
          <w:ilvl w:val="0"/>
          <w:numId w:val="193"/>
        </w:numPr>
        <w:shd w:val="clear" w:color="auto" w:fill="DFF0F9" w:themeFill="accent3" w:themeFillTint="33"/>
        <w:rPr>
          <w:rFonts w:asciiTheme="majorHAnsi" w:hAnsiTheme="majorHAnsi"/>
          <w:i/>
          <w:color w:val="000000" w:themeColor="text1"/>
        </w:rPr>
      </w:pPr>
      <w:r w:rsidRPr="00820C89">
        <w:rPr>
          <w:rFonts w:asciiTheme="majorHAnsi" w:hAnsiTheme="majorHAnsi"/>
          <w:i/>
          <w:color w:val="000000" w:themeColor="text1"/>
        </w:rPr>
        <w:t xml:space="preserve">Employer voice: employer ‘use and views’ surveys are underway at scale in Australia’s skilling system broadly, and offer insight as to what could be considered for these purposes. Implementing this would also be an opportunity to encourage self-reflection of </w:t>
      </w:r>
      <w:r w:rsidRPr="00820C89">
        <w:rPr>
          <w:rFonts w:asciiTheme="majorHAnsi" w:hAnsiTheme="majorHAnsi"/>
          <w:i/>
          <w:color w:val="000000" w:themeColor="text1"/>
        </w:rPr>
        <w:lastRenderedPageBreak/>
        <w:t>practice and attitudes among employers, in a confidentialised way (if necessary), to also assist in gauging the progress the policy agenda is making on that critical front.</w:t>
      </w:r>
    </w:p>
    <w:p w14:paraId="761F93D2" w14:textId="77777777" w:rsidR="00F1720D" w:rsidRPr="00820C89" w:rsidRDefault="00F1720D" w:rsidP="00715F70">
      <w:pPr>
        <w:pStyle w:val="ListParagraph"/>
        <w:numPr>
          <w:ilvl w:val="0"/>
          <w:numId w:val="193"/>
        </w:numPr>
        <w:shd w:val="clear" w:color="auto" w:fill="DFF0F9" w:themeFill="accent3" w:themeFillTint="33"/>
        <w:spacing w:after="0"/>
        <w:rPr>
          <w:rFonts w:asciiTheme="majorHAnsi" w:hAnsiTheme="majorHAnsi"/>
          <w:i/>
          <w:color w:val="000000" w:themeColor="text1"/>
        </w:rPr>
      </w:pPr>
      <w:r w:rsidRPr="00820C89">
        <w:rPr>
          <w:rFonts w:asciiTheme="majorHAnsi" w:hAnsiTheme="majorHAnsi"/>
          <w:i/>
          <w:color w:val="000000" w:themeColor="text1"/>
        </w:rPr>
        <w:t>Independent assessment: at the extreme, there is always the option of independent assessment of skills and attitudes built through the course of the program. This would take a very carefully designed tool and process, with expert practitioners – ideally carefully piloted before broad application. A potential benefit of such an approach could be where it is linked to genuine forms of accreditation for the participant – where a national micro-credentialling agenda might hold some promise.</w:t>
      </w:r>
    </w:p>
    <w:p w14:paraId="3476D96C" w14:textId="77777777" w:rsidR="00F1720D" w:rsidRPr="00820C89" w:rsidRDefault="00F1720D" w:rsidP="00F1720D">
      <w:pPr>
        <w:shd w:val="clear" w:color="auto" w:fill="DFF0F9" w:themeFill="accent3" w:themeFillTint="33"/>
        <w:rPr>
          <w:rFonts w:asciiTheme="majorHAnsi" w:hAnsiTheme="majorHAnsi"/>
        </w:rPr>
      </w:pPr>
      <w:r w:rsidRPr="00820C89">
        <w:rPr>
          <w:rFonts w:asciiTheme="majorHAnsi" w:hAnsiTheme="majorHAnsi"/>
        </w:rPr>
        <w:t xml:space="preserve">Each of these activities is within reach of the NIAA/IEP in its next formation, and should be designed at the outset, to cohere with and reinforce the policy/program intent, and to be monitored by a parallel strategic evaluation for any unintended consequences. </w:t>
      </w:r>
    </w:p>
    <w:p w14:paraId="4E7FE112" w14:textId="77777777" w:rsidR="00F1720D" w:rsidRPr="00820C89" w:rsidRDefault="00F1720D" w:rsidP="00F1720D">
      <w:pPr>
        <w:shd w:val="clear" w:color="auto" w:fill="DFF0F9" w:themeFill="accent3" w:themeFillTint="33"/>
        <w:rPr>
          <w:rFonts w:asciiTheme="majorHAnsi" w:hAnsiTheme="majorHAnsi"/>
        </w:rPr>
      </w:pPr>
      <w:r w:rsidRPr="00820C89">
        <w:rPr>
          <w:rFonts w:asciiTheme="majorHAnsi" w:hAnsiTheme="majorHAnsi"/>
        </w:rPr>
        <w:t xml:space="preserve">A balanced scorecard or similar type approach can be the way to bring these distinct sources of </w:t>
      </w:r>
      <w:r w:rsidRPr="00297EBC">
        <w:rPr>
          <w:rFonts w:asciiTheme="majorHAnsi" w:hAnsiTheme="majorHAnsi"/>
          <w:shd w:val="clear" w:color="auto" w:fill="DFF0F9" w:themeFill="accent3" w:themeFillTint="33"/>
        </w:rPr>
        <w:t>information together for each individual provider – and these can be shared with providers as formative assessments for them to identify areas for improvement (which the NIAA could too assist with via connections to higher performing providers in similar contexts, elsewhere in the country).</w:t>
      </w:r>
    </w:p>
    <w:p w14:paraId="31A431FD" w14:textId="1AEA4B67" w:rsidR="00832744" w:rsidRPr="00820C89" w:rsidRDefault="00F1720D" w:rsidP="00F1720D">
      <w:pPr>
        <w:shd w:val="clear" w:color="auto" w:fill="DFF0F9" w:themeFill="accent3" w:themeFillTint="33"/>
        <w:rPr>
          <w:rFonts w:asciiTheme="majorHAnsi" w:hAnsiTheme="majorHAnsi"/>
          <w:i/>
          <w:color w:val="000000" w:themeColor="text1"/>
        </w:rPr>
      </w:pPr>
      <w:r w:rsidRPr="00820C89">
        <w:rPr>
          <w:rFonts w:asciiTheme="majorHAnsi" w:hAnsiTheme="majorHAnsi"/>
          <w:iCs/>
          <w:color w:val="000000" w:themeColor="text1"/>
        </w:rPr>
        <w:t>As a final and perhaps most critical point, contracts are never complete, and policy can always be gamed. Whatever the approach to performance management in the next round of policy, it must be careful not to undermine the majority in order to control a minority of poor or egregious provider behaviour. In a way this implies simplicity, and formative insights, and again empowering local communities/regional offices to play a greater role.</w:t>
      </w:r>
    </w:p>
    <w:p w14:paraId="14374C4C" w14:textId="77777777" w:rsidR="004618FA" w:rsidRPr="00820C89" w:rsidRDefault="004618FA" w:rsidP="004618FA">
      <w:pPr>
        <w:pStyle w:val="Heading3"/>
        <w:rPr>
          <w:rFonts w:asciiTheme="majorHAnsi" w:hAnsiTheme="majorHAnsi"/>
        </w:rPr>
      </w:pPr>
      <w:r w:rsidRPr="00820C89">
        <w:rPr>
          <w:rFonts w:asciiTheme="majorHAnsi" w:hAnsiTheme="majorHAnsi"/>
        </w:rPr>
        <w:t xml:space="preserve">Program review and refinement </w:t>
      </w:r>
    </w:p>
    <w:p w14:paraId="2876C1D9" w14:textId="77777777" w:rsidR="004618FA" w:rsidRPr="00820C89" w:rsidRDefault="004618FA" w:rsidP="004618FA">
      <w:pPr>
        <w:rPr>
          <w:rFonts w:asciiTheme="majorHAnsi" w:hAnsiTheme="majorHAnsi"/>
        </w:rPr>
      </w:pPr>
      <w:r w:rsidRPr="00820C89">
        <w:rPr>
          <w:rFonts w:asciiTheme="majorHAnsi" w:hAnsiTheme="majorHAnsi"/>
        </w:rPr>
        <w:t xml:space="preserve">At a higher level, the NIAA holds responsibility for the continual review and refinement of </w:t>
      </w:r>
      <w:r w:rsidR="00161114" w:rsidRPr="00820C89">
        <w:rPr>
          <w:rFonts w:asciiTheme="majorHAnsi" w:hAnsiTheme="majorHAnsi"/>
        </w:rPr>
        <w:t>the IEP,</w:t>
      </w:r>
      <w:r w:rsidRPr="00820C89">
        <w:rPr>
          <w:rFonts w:asciiTheme="majorHAnsi" w:hAnsiTheme="majorHAnsi"/>
        </w:rPr>
        <w:t xml:space="preserve"> ensuring public investment is optimised in the pursuit of sustainable employment for Indigenous Australians. </w:t>
      </w:r>
    </w:p>
    <w:p w14:paraId="6EF76B2F" w14:textId="77777777" w:rsidR="004618FA" w:rsidRPr="00820C89" w:rsidRDefault="004618FA" w:rsidP="004618FA">
      <w:pPr>
        <w:rPr>
          <w:rFonts w:asciiTheme="majorHAnsi" w:hAnsiTheme="majorHAnsi"/>
        </w:rPr>
      </w:pPr>
      <w:r w:rsidRPr="00820C89">
        <w:rPr>
          <w:rFonts w:asciiTheme="majorHAnsi" w:hAnsiTheme="majorHAnsi"/>
        </w:rPr>
        <w:t xml:space="preserve">There have been several external reviews of the </w:t>
      </w:r>
      <w:r w:rsidR="00C6454C" w:rsidRPr="00820C89">
        <w:rPr>
          <w:rFonts w:asciiTheme="majorHAnsi" w:hAnsiTheme="majorHAnsi"/>
        </w:rPr>
        <w:t>sub-programs</w:t>
      </w:r>
      <w:r w:rsidRPr="00820C89">
        <w:rPr>
          <w:rFonts w:asciiTheme="majorHAnsi" w:hAnsiTheme="majorHAnsi"/>
        </w:rPr>
        <w:t xml:space="preserve">, including an evaluation of the VTEC program, which was undertaken in 2015. While external review is important, internal monitoring and review is fundamental to continual program improvement. As discussed </w:t>
      </w:r>
      <w:r w:rsidR="00E93F29" w:rsidRPr="00820C89">
        <w:rPr>
          <w:rFonts w:asciiTheme="majorHAnsi" w:hAnsiTheme="majorHAnsi"/>
        </w:rPr>
        <w:t>above</w:t>
      </w:r>
      <w:r w:rsidRPr="00820C89">
        <w:rPr>
          <w:rFonts w:asciiTheme="majorHAnsi" w:hAnsiTheme="majorHAnsi"/>
        </w:rPr>
        <w:t xml:space="preserve">, the lack of clear performance framework across the IEP, and associated data collection in align with priority indicators, restricts the ability of NIAA to perform this role. </w:t>
      </w:r>
    </w:p>
    <w:p w14:paraId="24D7E39C" w14:textId="77777777" w:rsidR="00401356" w:rsidRPr="00820C89" w:rsidRDefault="004618FA" w:rsidP="001A455E">
      <w:pPr>
        <w:rPr>
          <w:rFonts w:asciiTheme="majorHAnsi" w:hAnsiTheme="majorHAnsi"/>
        </w:rPr>
      </w:pPr>
      <w:r w:rsidRPr="00820C89">
        <w:rPr>
          <w:rFonts w:asciiTheme="majorHAnsi" w:hAnsiTheme="majorHAnsi"/>
        </w:rPr>
        <w:t>Over the course of the evaluation, it has also been identified that</w:t>
      </w:r>
      <w:r w:rsidR="00BF67BB" w:rsidRPr="00820C89">
        <w:rPr>
          <w:rFonts w:asciiTheme="majorHAnsi" w:hAnsiTheme="majorHAnsi"/>
        </w:rPr>
        <w:t xml:space="preserve"> the</w:t>
      </w:r>
      <w:r w:rsidRPr="00820C89">
        <w:rPr>
          <w:rFonts w:asciiTheme="majorHAnsi" w:hAnsiTheme="majorHAnsi"/>
        </w:rPr>
        <w:t xml:space="preserve"> </w:t>
      </w:r>
      <w:bookmarkStart w:id="95" w:name="_Hlk71480505"/>
      <w:r w:rsidRPr="00820C89">
        <w:rPr>
          <w:rFonts w:asciiTheme="majorHAnsi" w:hAnsiTheme="majorHAnsi"/>
        </w:rPr>
        <w:t xml:space="preserve">NIAA faces significant restrictions and capability issues in accessing and utilising the program data that is collected. </w:t>
      </w:r>
      <w:r w:rsidR="007523F4" w:rsidRPr="00820C89">
        <w:rPr>
          <w:rFonts w:asciiTheme="majorHAnsi" w:hAnsiTheme="majorHAnsi"/>
        </w:rPr>
        <w:t xml:space="preserve">Currently, </w:t>
      </w:r>
      <w:r w:rsidRPr="00820C89">
        <w:rPr>
          <w:rFonts w:asciiTheme="majorHAnsi" w:hAnsiTheme="majorHAnsi"/>
        </w:rPr>
        <w:t>IEP participant data</w:t>
      </w:r>
      <w:r w:rsidR="001A5D7C" w:rsidRPr="00820C89">
        <w:rPr>
          <w:rFonts w:asciiTheme="majorHAnsi" w:hAnsiTheme="majorHAnsi"/>
        </w:rPr>
        <w:t xml:space="preserve"> and</w:t>
      </w:r>
      <w:r w:rsidRPr="00820C89">
        <w:rPr>
          <w:rFonts w:asciiTheme="majorHAnsi" w:hAnsiTheme="majorHAnsi"/>
        </w:rPr>
        <w:t xml:space="preserve"> how this relates to employment outcomes or provider performance is not systematically collated or assessed. As such, there is no current mechanism through which </w:t>
      </w:r>
      <w:r w:rsidR="003B0056" w:rsidRPr="00820C89">
        <w:rPr>
          <w:rFonts w:asciiTheme="majorHAnsi" w:hAnsiTheme="majorHAnsi"/>
        </w:rPr>
        <w:t xml:space="preserve">the </w:t>
      </w:r>
      <w:r w:rsidRPr="00820C89">
        <w:rPr>
          <w:rFonts w:asciiTheme="majorHAnsi" w:hAnsiTheme="majorHAnsi"/>
        </w:rPr>
        <w:t>NIAA can observe period</w:t>
      </w:r>
      <w:r w:rsidR="00720638" w:rsidRPr="00820C89">
        <w:rPr>
          <w:rFonts w:asciiTheme="majorHAnsi" w:hAnsiTheme="majorHAnsi"/>
        </w:rPr>
        <w:t>ic</w:t>
      </w:r>
      <w:r w:rsidRPr="00820C89">
        <w:rPr>
          <w:rFonts w:asciiTheme="majorHAnsi" w:hAnsiTheme="majorHAnsi"/>
        </w:rPr>
        <w:t xml:space="preserve"> performance of the programs, </w:t>
      </w:r>
      <w:r w:rsidR="00720638" w:rsidRPr="00820C89">
        <w:rPr>
          <w:rFonts w:asciiTheme="majorHAnsi" w:hAnsiTheme="majorHAnsi"/>
        </w:rPr>
        <w:t xml:space="preserve">either at a program level or </w:t>
      </w:r>
      <w:r w:rsidRPr="00820C89">
        <w:rPr>
          <w:rFonts w:asciiTheme="majorHAnsi" w:hAnsiTheme="majorHAnsi"/>
        </w:rPr>
        <w:t>even at an overarching leve</w:t>
      </w:r>
      <w:bookmarkStart w:id="96" w:name="_Toc54966948"/>
      <w:r w:rsidR="001A455E" w:rsidRPr="00820C89">
        <w:rPr>
          <w:rFonts w:asciiTheme="majorHAnsi" w:hAnsiTheme="majorHAnsi"/>
        </w:rPr>
        <w:t>l.</w:t>
      </w:r>
      <w:bookmarkEnd w:id="95"/>
      <w:r w:rsidR="001A455E" w:rsidRPr="00820C89">
        <w:rPr>
          <w:rFonts w:asciiTheme="majorHAnsi" w:hAnsiTheme="majorHAnsi"/>
        </w:rPr>
        <w:t xml:space="preserve"> </w:t>
      </w:r>
      <w:bookmarkStart w:id="97" w:name="_Ref56692027"/>
      <w:bookmarkStart w:id="98" w:name="_Toc57022892"/>
      <w:bookmarkStart w:id="99" w:name="_Toc55495126"/>
      <w:bookmarkStart w:id="100" w:name="_Ref56512094"/>
      <w:bookmarkStart w:id="101" w:name="_Ref56512926"/>
      <w:bookmarkStart w:id="102" w:name="_Ref56513010"/>
    </w:p>
    <w:p w14:paraId="0943A321" w14:textId="77777777" w:rsidR="00E26C6E" w:rsidRPr="00820C89" w:rsidRDefault="00E26C6E" w:rsidP="001A455E">
      <w:pPr>
        <w:rPr>
          <w:rFonts w:asciiTheme="majorHAnsi" w:hAnsiTheme="majorHAnsi"/>
        </w:rPr>
      </w:pPr>
      <w:r w:rsidRPr="00820C89">
        <w:rPr>
          <w:rFonts w:asciiTheme="majorHAnsi" w:hAnsiTheme="majorHAnsi"/>
        </w:rPr>
        <w:t xml:space="preserve">This is not just a question of data and decision clarity but also reflective of the role of the Agency itself. As an agency with centralised responsibility for Indigenous Australians it is essential that it have access to and influence over the data design and perhaps even </w:t>
      </w:r>
      <w:r w:rsidR="00383A92" w:rsidRPr="00820C89">
        <w:rPr>
          <w:rFonts w:asciiTheme="majorHAnsi" w:hAnsiTheme="majorHAnsi"/>
        </w:rPr>
        <w:t xml:space="preserve">the data </w:t>
      </w:r>
      <w:r w:rsidRPr="00820C89">
        <w:rPr>
          <w:rFonts w:asciiTheme="majorHAnsi" w:hAnsiTheme="majorHAnsi"/>
        </w:rPr>
        <w:t xml:space="preserve">sovereignty of </w:t>
      </w:r>
      <w:r w:rsidR="002C7790" w:rsidRPr="00820C89">
        <w:rPr>
          <w:rFonts w:asciiTheme="majorHAnsi" w:hAnsiTheme="majorHAnsi"/>
        </w:rPr>
        <w:t xml:space="preserve">all </w:t>
      </w:r>
      <w:r w:rsidR="00383A92" w:rsidRPr="00820C89">
        <w:rPr>
          <w:rFonts w:asciiTheme="majorHAnsi" w:hAnsiTheme="majorHAnsi"/>
        </w:rPr>
        <w:t xml:space="preserve">those </w:t>
      </w:r>
      <w:r w:rsidR="002C7790" w:rsidRPr="00820C89">
        <w:rPr>
          <w:rFonts w:asciiTheme="majorHAnsi" w:hAnsiTheme="majorHAnsi"/>
        </w:rPr>
        <w:t xml:space="preserve">intersections between government and this vulnerable cohort of </w:t>
      </w:r>
      <w:r w:rsidR="00383A92" w:rsidRPr="00820C89">
        <w:rPr>
          <w:rFonts w:asciiTheme="majorHAnsi" w:hAnsiTheme="majorHAnsi"/>
        </w:rPr>
        <w:t xml:space="preserve">Australians. </w:t>
      </w:r>
    </w:p>
    <w:p w14:paraId="02D5D919" w14:textId="77777777" w:rsidR="00986121" w:rsidRPr="00820C89" w:rsidRDefault="00086D5E" w:rsidP="001A455E">
      <w:pPr>
        <w:rPr>
          <w:rFonts w:asciiTheme="majorHAnsi" w:hAnsiTheme="majorHAnsi"/>
        </w:rPr>
      </w:pPr>
      <w:r w:rsidRPr="00820C89">
        <w:rPr>
          <w:rFonts w:asciiTheme="majorHAnsi" w:hAnsiTheme="majorHAnsi"/>
        </w:rPr>
        <w:t xml:space="preserve">This project has been directly affected by the lack of timeliness, quality and </w:t>
      </w:r>
      <w:r w:rsidR="004C7484" w:rsidRPr="00820C89">
        <w:rPr>
          <w:rFonts w:asciiTheme="majorHAnsi" w:hAnsiTheme="majorHAnsi"/>
        </w:rPr>
        <w:t>certainty of data received from multiple separate agencies</w:t>
      </w:r>
      <w:r w:rsidR="007813EA" w:rsidRPr="00820C89">
        <w:rPr>
          <w:rFonts w:asciiTheme="majorHAnsi" w:hAnsiTheme="majorHAnsi"/>
        </w:rPr>
        <w:t>. Despite every</w:t>
      </w:r>
      <w:r w:rsidR="00564110" w:rsidRPr="00820C89">
        <w:rPr>
          <w:rFonts w:asciiTheme="majorHAnsi" w:hAnsiTheme="majorHAnsi"/>
        </w:rPr>
        <w:t xml:space="preserve"> individual officers</w:t>
      </w:r>
      <w:r w:rsidR="00EE02C5" w:rsidRPr="00820C89">
        <w:rPr>
          <w:rFonts w:asciiTheme="majorHAnsi" w:hAnsiTheme="majorHAnsi"/>
        </w:rPr>
        <w:t>’</w:t>
      </w:r>
      <w:r w:rsidR="00564110" w:rsidRPr="00820C89">
        <w:rPr>
          <w:rFonts w:asciiTheme="majorHAnsi" w:hAnsiTheme="majorHAnsi"/>
        </w:rPr>
        <w:t xml:space="preserve"> </w:t>
      </w:r>
      <w:r w:rsidR="007813EA" w:rsidRPr="00820C89">
        <w:rPr>
          <w:rFonts w:asciiTheme="majorHAnsi" w:hAnsiTheme="majorHAnsi"/>
        </w:rPr>
        <w:t xml:space="preserve">best intentions and the dedication of the respective agencies, </w:t>
      </w:r>
      <w:r w:rsidR="00E666E0" w:rsidRPr="00820C89">
        <w:rPr>
          <w:rFonts w:asciiTheme="majorHAnsi" w:hAnsiTheme="majorHAnsi"/>
        </w:rPr>
        <w:t>delays in release and obscurity of the data sets hampered the process substantially</w:t>
      </w:r>
      <w:r w:rsidR="00EE02C5" w:rsidRPr="00820C89">
        <w:rPr>
          <w:rFonts w:asciiTheme="majorHAnsi" w:hAnsiTheme="majorHAnsi"/>
        </w:rPr>
        <w:t xml:space="preserve">. </w:t>
      </w:r>
      <w:r w:rsidRPr="00820C89">
        <w:rPr>
          <w:rFonts w:asciiTheme="majorHAnsi" w:hAnsiTheme="majorHAnsi"/>
        </w:rPr>
        <w:t xml:space="preserve">The absence of coordinated or accurate data </w:t>
      </w:r>
      <w:r w:rsidR="00EE02C5" w:rsidRPr="00820C89">
        <w:rPr>
          <w:rFonts w:asciiTheme="majorHAnsi" w:hAnsiTheme="majorHAnsi"/>
        </w:rPr>
        <w:t xml:space="preserve">not only </w:t>
      </w:r>
      <w:r w:rsidRPr="00820C89">
        <w:rPr>
          <w:rFonts w:asciiTheme="majorHAnsi" w:hAnsiTheme="majorHAnsi"/>
        </w:rPr>
        <w:t>reduces program design and evaluation clarity but also undermines the autonomy of the agency itself.</w:t>
      </w:r>
    </w:p>
    <w:p w14:paraId="60F638B8" w14:textId="77777777" w:rsidR="00986121" w:rsidRPr="00820C89" w:rsidRDefault="00986121" w:rsidP="001A455E">
      <w:pPr>
        <w:rPr>
          <w:rFonts w:asciiTheme="majorHAnsi" w:hAnsiTheme="majorHAnsi"/>
        </w:rPr>
      </w:pPr>
      <w:r w:rsidRPr="00820C89">
        <w:rPr>
          <w:rFonts w:asciiTheme="majorHAnsi" w:hAnsiTheme="majorHAnsi"/>
        </w:rPr>
        <w:t xml:space="preserve">Specific commentary on data access, quality and </w:t>
      </w:r>
      <w:r w:rsidR="00E26C6E" w:rsidRPr="00820C89">
        <w:rPr>
          <w:rFonts w:asciiTheme="majorHAnsi" w:hAnsiTheme="majorHAnsi"/>
        </w:rPr>
        <w:t>analysis is provided in Chapters 4 and 5.</w:t>
      </w:r>
    </w:p>
    <w:p w14:paraId="482DC98B" w14:textId="77777777" w:rsidR="00856646" w:rsidRPr="00820C89" w:rsidRDefault="00C162ED" w:rsidP="00C162ED">
      <w:pPr>
        <w:pStyle w:val="Heading1"/>
      </w:pPr>
      <w:bookmarkStart w:id="103" w:name="_Toc82710782"/>
      <w:bookmarkStart w:id="104" w:name="_Toc101343297"/>
      <w:r w:rsidRPr="00820C89">
        <w:lastRenderedPageBreak/>
        <w:t>P</w:t>
      </w:r>
      <w:r w:rsidR="007933A3" w:rsidRPr="00820C89">
        <w:t xml:space="preserve">rogram </w:t>
      </w:r>
      <w:r w:rsidR="00233EE7" w:rsidRPr="00820C89">
        <w:t>effectiveness</w:t>
      </w:r>
      <w:bookmarkEnd w:id="96"/>
      <w:bookmarkEnd w:id="97"/>
      <w:bookmarkEnd w:id="98"/>
      <w:bookmarkEnd w:id="99"/>
      <w:bookmarkEnd w:id="100"/>
      <w:bookmarkEnd w:id="101"/>
      <w:bookmarkEnd w:id="102"/>
      <w:bookmarkEnd w:id="103"/>
      <w:bookmarkEnd w:id="104"/>
    </w:p>
    <w:p w14:paraId="1F99ACD2" w14:textId="77777777" w:rsidR="0040692E" w:rsidRPr="00820C89" w:rsidRDefault="0040692E" w:rsidP="0040692E">
      <w:pPr>
        <w:rPr>
          <w:rFonts w:asciiTheme="majorHAnsi" w:hAnsiTheme="majorHAnsi"/>
        </w:rPr>
      </w:pPr>
      <w:r w:rsidRPr="00820C89">
        <w:rPr>
          <w:rFonts w:asciiTheme="majorHAnsi" w:hAnsiTheme="majorHAnsi"/>
        </w:rPr>
        <w:t xml:space="preserve">This chapter examines the effectiveness of the </w:t>
      </w:r>
      <w:r w:rsidR="004049C7" w:rsidRPr="00820C89">
        <w:rPr>
          <w:rFonts w:asciiTheme="majorHAnsi" w:hAnsiTheme="majorHAnsi"/>
        </w:rPr>
        <w:t>IEP</w:t>
      </w:r>
      <w:r w:rsidRPr="00820C89">
        <w:rPr>
          <w:rFonts w:asciiTheme="majorHAnsi" w:hAnsiTheme="majorHAnsi"/>
        </w:rPr>
        <w:t xml:space="preserve"> in relation to the following evaluation questions: </w:t>
      </w:r>
    </w:p>
    <w:p w14:paraId="6587A72A" w14:textId="77777777" w:rsidR="0040692E" w:rsidRPr="00820C89" w:rsidRDefault="0040692E" w:rsidP="00715F70">
      <w:pPr>
        <w:numPr>
          <w:ilvl w:val="0"/>
          <w:numId w:val="8"/>
        </w:numPr>
        <w:spacing w:after="0"/>
        <w:contextualSpacing/>
        <w:rPr>
          <w:rFonts w:asciiTheme="majorHAnsi" w:hAnsiTheme="majorHAnsi"/>
          <w:i/>
          <w:szCs w:val="17"/>
        </w:rPr>
      </w:pPr>
      <w:r w:rsidRPr="00820C89">
        <w:rPr>
          <w:rFonts w:asciiTheme="majorHAnsi" w:hAnsiTheme="majorHAnsi"/>
          <w:i/>
          <w:szCs w:val="17"/>
        </w:rPr>
        <w:t xml:space="preserve">to what extent are the activities achieving their intended outcomes, in the short, medium and long term? </w:t>
      </w:r>
    </w:p>
    <w:p w14:paraId="2024DCE9" w14:textId="77777777" w:rsidR="0040692E" w:rsidRPr="00820C89" w:rsidRDefault="0040692E" w:rsidP="00715F70">
      <w:pPr>
        <w:numPr>
          <w:ilvl w:val="0"/>
          <w:numId w:val="8"/>
        </w:numPr>
        <w:spacing w:after="0"/>
        <w:contextualSpacing/>
        <w:rPr>
          <w:rFonts w:asciiTheme="majorHAnsi" w:hAnsiTheme="majorHAnsi"/>
          <w:i/>
          <w:szCs w:val="17"/>
        </w:rPr>
      </w:pPr>
      <w:r w:rsidRPr="00820C89">
        <w:rPr>
          <w:rFonts w:asciiTheme="majorHAnsi" w:hAnsiTheme="majorHAnsi"/>
          <w:i/>
          <w:szCs w:val="17"/>
        </w:rPr>
        <w:t>in what contexts has the program been more or less successful?</w:t>
      </w:r>
    </w:p>
    <w:p w14:paraId="413BAAA4" w14:textId="77777777" w:rsidR="00AF55FA" w:rsidRPr="00820C89" w:rsidRDefault="00AF55FA" w:rsidP="00715F70">
      <w:pPr>
        <w:numPr>
          <w:ilvl w:val="0"/>
          <w:numId w:val="8"/>
        </w:numPr>
        <w:spacing w:after="0"/>
        <w:contextualSpacing/>
        <w:rPr>
          <w:rFonts w:asciiTheme="majorHAnsi" w:hAnsiTheme="majorHAnsi"/>
          <w:i/>
          <w:szCs w:val="17"/>
        </w:rPr>
      </w:pPr>
      <w:r w:rsidRPr="00820C89">
        <w:rPr>
          <w:rFonts w:asciiTheme="majorHAnsi" w:hAnsiTheme="majorHAnsi"/>
          <w:i/>
          <w:szCs w:val="17"/>
        </w:rPr>
        <w:t>what do program outcomes tell us about effective and ineffective investment?</w:t>
      </w:r>
    </w:p>
    <w:p w14:paraId="290E20CF" w14:textId="77777777" w:rsidR="00AF55FA" w:rsidRPr="00820C89" w:rsidRDefault="00AF55FA" w:rsidP="00715F70">
      <w:pPr>
        <w:numPr>
          <w:ilvl w:val="0"/>
          <w:numId w:val="8"/>
        </w:numPr>
        <w:spacing w:after="0"/>
        <w:contextualSpacing/>
        <w:rPr>
          <w:rFonts w:asciiTheme="majorHAnsi" w:hAnsiTheme="majorHAnsi"/>
          <w:i/>
          <w:szCs w:val="17"/>
        </w:rPr>
      </w:pPr>
      <w:r w:rsidRPr="00820C89">
        <w:rPr>
          <w:rFonts w:asciiTheme="majorHAnsi" w:hAnsiTheme="majorHAnsi"/>
          <w:i/>
          <w:szCs w:val="17"/>
        </w:rPr>
        <w:t>how can the value of each program be optimised within the broader IEP and other employment assistance programs?</w:t>
      </w:r>
    </w:p>
    <w:p w14:paraId="1E0D66C4" w14:textId="65CD93F2" w:rsidR="0040692E" w:rsidRPr="00820C89" w:rsidRDefault="0040692E" w:rsidP="00181246">
      <w:pPr>
        <w:spacing w:before="170"/>
        <w:rPr>
          <w:rFonts w:asciiTheme="majorHAnsi" w:hAnsiTheme="majorHAnsi"/>
        </w:rPr>
      </w:pPr>
      <w:r w:rsidRPr="00820C89">
        <w:rPr>
          <w:rFonts w:asciiTheme="majorHAnsi" w:hAnsiTheme="majorHAnsi"/>
        </w:rPr>
        <w:t xml:space="preserve">The discussion below presents a detailed exploration of the range of outcomes sought to be influenced by the VTEC, TAEG and EPI </w:t>
      </w:r>
      <w:r w:rsidR="002760F5" w:rsidRPr="00820C89">
        <w:rPr>
          <w:rFonts w:asciiTheme="majorHAnsi" w:hAnsiTheme="majorHAnsi"/>
        </w:rPr>
        <w:t>sub-</w:t>
      </w:r>
      <w:r w:rsidRPr="00820C89">
        <w:rPr>
          <w:rFonts w:asciiTheme="majorHAnsi" w:hAnsiTheme="majorHAnsi"/>
        </w:rPr>
        <w:t xml:space="preserve">programs. Collectively, these outcomes – spanning improvements in pre-employment skills, employer attitudes and behaviours and positive participant experiences with employment – reflect the requisite drivers of the desired overarching program impact, which is improved and sustained employment outcomes for Indigenous Australians. </w:t>
      </w:r>
    </w:p>
    <w:p w14:paraId="032C1E36" w14:textId="2B463AFB" w:rsidR="00747B95" w:rsidRPr="00820C89" w:rsidRDefault="00213ECC" w:rsidP="00CE1120">
      <w:pPr>
        <w:rPr>
          <w:rFonts w:asciiTheme="majorHAnsi" w:hAnsiTheme="majorHAnsi"/>
        </w:rPr>
      </w:pPr>
      <w:bookmarkStart w:id="105" w:name="_Toc54966949"/>
      <w:bookmarkStart w:id="106" w:name="_Toc55495127"/>
      <w:r w:rsidRPr="00820C89">
        <w:rPr>
          <w:rFonts w:asciiTheme="majorHAnsi" w:hAnsiTheme="majorHAnsi"/>
        </w:rPr>
        <w:t>T</w:t>
      </w:r>
      <w:r w:rsidR="00414947" w:rsidRPr="00820C89">
        <w:rPr>
          <w:rFonts w:asciiTheme="majorHAnsi" w:hAnsiTheme="majorHAnsi"/>
        </w:rPr>
        <w:t>his chapter</w:t>
      </w:r>
      <w:r w:rsidRPr="00820C89">
        <w:rPr>
          <w:rFonts w:asciiTheme="majorHAnsi" w:hAnsiTheme="majorHAnsi"/>
        </w:rPr>
        <w:t xml:space="preserve"> also</w:t>
      </w:r>
      <w:r w:rsidR="00414947" w:rsidRPr="00820C89">
        <w:rPr>
          <w:rFonts w:asciiTheme="majorHAnsi" w:hAnsiTheme="majorHAnsi"/>
        </w:rPr>
        <w:t xml:space="preserve"> includes a brief assessment of the effectiveness of the </w:t>
      </w:r>
      <w:r w:rsidR="00187ECF" w:rsidRPr="00820C89">
        <w:rPr>
          <w:rFonts w:asciiTheme="majorHAnsi" w:hAnsiTheme="majorHAnsi"/>
        </w:rPr>
        <w:t>investment</w:t>
      </w:r>
      <w:r w:rsidR="00A13D93" w:rsidRPr="00820C89">
        <w:rPr>
          <w:rFonts w:asciiTheme="majorHAnsi" w:hAnsiTheme="majorHAnsi"/>
        </w:rPr>
        <w:t xml:space="preserve"> being made in each of the sub-programs.</w:t>
      </w:r>
      <w:r w:rsidR="00E07FA0" w:rsidRPr="00820C89">
        <w:rPr>
          <w:rFonts w:asciiTheme="majorHAnsi" w:hAnsiTheme="majorHAnsi"/>
        </w:rPr>
        <w:t xml:space="preserve"> T</w:t>
      </w:r>
      <w:r w:rsidR="00A226E1" w:rsidRPr="00820C89">
        <w:rPr>
          <w:rFonts w:asciiTheme="majorHAnsi" w:hAnsiTheme="majorHAnsi"/>
        </w:rPr>
        <w:t xml:space="preserve">his effectiveness is assessed in relation to how the </w:t>
      </w:r>
      <w:r w:rsidR="004049C7" w:rsidRPr="00820C89">
        <w:rPr>
          <w:rFonts w:asciiTheme="majorHAnsi" w:hAnsiTheme="majorHAnsi"/>
        </w:rPr>
        <w:t>sub-programs</w:t>
      </w:r>
      <w:r w:rsidR="00A226E1" w:rsidRPr="00820C89">
        <w:rPr>
          <w:rFonts w:asciiTheme="majorHAnsi" w:hAnsiTheme="majorHAnsi"/>
        </w:rPr>
        <w:t xml:space="preserve"> </w:t>
      </w:r>
      <w:r w:rsidR="006572E5" w:rsidRPr="00820C89">
        <w:rPr>
          <w:rFonts w:asciiTheme="majorHAnsi" w:hAnsiTheme="majorHAnsi"/>
        </w:rPr>
        <w:t>work together</w:t>
      </w:r>
      <w:r w:rsidR="000B00ED" w:rsidRPr="00820C89">
        <w:rPr>
          <w:rFonts w:asciiTheme="majorHAnsi" w:hAnsiTheme="majorHAnsi"/>
        </w:rPr>
        <w:t xml:space="preserve"> and</w:t>
      </w:r>
      <w:r w:rsidR="006572E5" w:rsidRPr="00820C89">
        <w:rPr>
          <w:rFonts w:asciiTheme="majorHAnsi" w:hAnsiTheme="majorHAnsi"/>
        </w:rPr>
        <w:t xml:space="preserve"> within the broader employment system</w:t>
      </w:r>
      <w:r w:rsidR="000B00ED" w:rsidRPr="00820C89">
        <w:rPr>
          <w:rFonts w:asciiTheme="majorHAnsi" w:hAnsiTheme="majorHAnsi"/>
        </w:rPr>
        <w:t>, along with how</w:t>
      </w:r>
      <w:r w:rsidR="005C77A5" w:rsidRPr="00820C89">
        <w:rPr>
          <w:rFonts w:asciiTheme="majorHAnsi" w:hAnsiTheme="majorHAnsi"/>
        </w:rPr>
        <w:t xml:space="preserve"> providers are selected and the associated average cost-per-outcome.</w:t>
      </w:r>
      <w:r w:rsidR="000B00ED" w:rsidRPr="00820C89">
        <w:rPr>
          <w:rFonts w:asciiTheme="majorHAnsi" w:hAnsiTheme="majorHAnsi"/>
        </w:rPr>
        <w:t xml:space="preserve"> </w:t>
      </w:r>
    </w:p>
    <w:p w14:paraId="0607EE81" w14:textId="05F345A5" w:rsidR="00C04A52" w:rsidRPr="00820C89" w:rsidRDefault="00C04A52" w:rsidP="00CE1120">
      <w:pPr>
        <w:rPr>
          <w:rFonts w:asciiTheme="majorHAnsi" w:hAnsiTheme="majorHAnsi"/>
        </w:rPr>
      </w:pPr>
      <w:r w:rsidRPr="00820C89">
        <w:rPr>
          <w:rFonts w:asciiTheme="majorHAnsi" w:hAnsiTheme="majorHAnsi"/>
        </w:rPr>
        <w:t xml:space="preserve">Ultimately, data limitations </w:t>
      </w:r>
      <w:r w:rsidR="00191715" w:rsidRPr="00820C89">
        <w:rPr>
          <w:rFonts w:asciiTheme="majorHAnsi" w:hAnsiTheme="majorHAnsi"/>
        </w:rPr>
        <w:t>mean that conclusive findings on the long-term employment outcomes of the sub-programs (beyond 26-weeks) and consequently, the effectiveness of the overall investment</w:t>
      </w:r>
      <w:r w:rsidR="00EB01BE" w:rsidRPr="00820C89">
        <w:rPr>
          <w:rFonts w:asciiTheme="majorHAnsi" w:hAnsiTheme="majorHAnsi"/>
        </w:rPr>
        <w:t>,</w:t>
      </w:r>
      <w:r w:rsidR="00191715" w:rsidRPr="00820C89">
        <w:rPr>
          <w:rFonts w:asciiTheme="majorHAnsi" w:hAnsiTheme="majorHAnsi"/>
        </w:rPr>
        <w:t xml:space="preserve"> cannot be derived. </w:t>
      </w:r>
      <w:r w:rsidR="00E324B4" w:rsidRPr="00820C89">
        <w:rPr>
          <w:rFonts w:asciiTheme="majorHAnsi" w:hAnsiTheme="majorHAnsi"/>
        </w:rPr>
        <w:t>Instead, this section aims to clearly present the analysis that could be conducted</w:t>
      </w:r>
      <w:r w:rsidR="000C4F32" w:rsidRPr="00820C89">
        <w:rPr>
          <w:rFonts w:asciiTheme="majorHAnsi" w:hAnsiTheme="majorHAnsi"/>
        </w:rPr>
        <w:t>, highlighting the areas in which this is consistent or inconsistent,</w:t>
      </w:r>
      <w:r w:rsidR="00E324B4" w:rsidRPr="00820C89">
        <w:rPr>
          <w:rFonts w:asciiTheme="majorHAnsi" w:hAnsiTheme="majorHAnsi"/>
        </w:rPr>
        <w:t xml:space="preserve"> and </w:t>
      </w:r>
      <w:r w:rsidR="002D383A" w:rsidRPr="00820C89">
        <w:rPr>
          <w:rFonts w:asciiTheme="majorHAnsi" w:hAnsiTheme="majorHAnsi"/>
        </w:rPr>
        <w:t>identifying</w:t>
      </w:r>
      <w:r w:rsidR="000C4F32" w:rsidRPr="00820C89">
        <w:rPr>
          <w:rFonts w:asciiTheme="majorHAnsi" w:hAnsiTheme="majorHAnsi"/>
        </w:rPr>
        <w:t xml:space="preserve"> </w:t>
      </w:r>
      <w:r w:rsidR="00E324B4" w:rsidRPr="00820C89">
        <w:rPr>
          <w:rFonts w:asciiTheme="majorHAnsi" w:hAnsiTheme="majorHAnsi"/>
        </w:rPr>
        <w:t xml:space="preserve">areas </w:t>
      </w:r>
      <w:r w:rsidR="000C4F32" w:rsidRPr="00820C89">
        <w:rPr>
          <w:rFonts w:asciiTheme="majorHAnsi" w:hAnsiTheme="majorHAnsi"/>
        </w:rPr>
        <w:t>where future analysis should be conducted.</w:t>
      </w:r>
    </w:p>
    <w:p w14:paraId="4E8FA926" w14:textId="77777777" w:rsidR="009149C2" w:rsidRPr="00820C89" w:rsidRDefault="009149C2" w:rsidP="00715F70">
      <w:pPr>
        <w:keepNext/>
        <w:keepLines/>
        <w:numPr>
          <w:ilvl w:val="1"/>
          <w:numId w:val="21"/>
        </w:numPr>
        <w:spacing w:before="240" w:after="0" w:line="280" w:lineRule="atLeast"/>
        <w:outlineLvl w:val="1"/>
        <w:rPr>
          <w:rFonts w:asciiTheme="majorHAnsi" w:eastAsiaTheme="majorEastAsia" w:hAnsiTheme="majorHAnsi" w:cstheme="majorBidi"/>
          <w:b/>
          <w:color w:val="62B5E5" w:themeColor="accent3"/>
          <w:sz w:val="22"/>
          <w:szCs w:val="26"/>
        </w:rPr>
      </w:pPr>
      <w:bookmarkStart w:id="107" w:name="_Toc101343298"/>
      <w:bookmarkStart w:id="108" w:name="_Toc54966950"/>
      <w:bookmarkStart w:id="109" w:name="_Toc55495128"/>
      <w:bookmarkEnd w:id="105"/>
      <w:bookmarkEnd w:id="106"/>
      <w:r w:rsidRPr="00820C89">
        <w:rPr>
          <w:rFonts w:asciiTheme="majorHAnsi" w:eastAsiaTheme="majorEastAsia" w:hAnsiTheme="majorHAnsi" w:cstheme="majorBidi"/>
          <w:b/>
          <w:color w:val="62B5E5" w:themeColor="accent3"/>
          <w:sz w:val="22"/>
          <w:szCs w:val="26"/>
        </w:rPr>
        <w:t>Analytical approach</w:t>
      </w:r>
      <w:bookmarkEnd w:id="107"/>
    </w:p>
    <w:p w14:paraId="78590519" w14:textId="77777777" w:rsidR="009149C2" w:rsidRPr="00820C89" w:rsidRDefault="009149C2" w:rsidP="009149C2">
      <w:pPr>
        <w:rPr>
          <w:rFonts w:asciiTheme="majorHAnsi" w:hAnsiTheme="majorHAnsi"/>
        </w:rPr>
      </w:pPr>
      <w:r w:rsidRPr="00820C89">
        <w:rPr>
          <w:rFonts w:asciiTheme="majorHAnsi" w:hAnsiTheme="majorHAnsi"/>
        </w:rPr>
        <w:t xml:space="preserve">This section examines the effectiveness of the </w:t>
      </w:r>
      <w:r w:rsidR="004049C7" w:rsidRPr="00820C89">
        <w:rPr>
          <w:rFonts w:asciiTheme="majorHAnsi" w:hAnsiTheme="majorHAnsi"/>
        </w:rPr>
        <w:t xml:space="preserve">sub-programs </w:t>
      </w:r>
      <w:r w:rsidRPr="00820C89">
        <w:rPr>
          <w:rFonts w:asciiTheme="majorHAnsi" w:hAnsiTheme="majorHAnsi"/>
        </w:rPr>
        <w:t xml:space="preserve">in achieving their intended short, medium and long-term outcomes, as articulated in the program logics. The analysis in this chapter is guided by the over-arching program logic, which synthesises the intended outcomes across all three of the </w:t>
      </w:r>
      <w:r w:rsidR="004049C7" w:rsidRPr="00820C89">
        <w:rPr>
          <w:rFonts w:asciiTheme="majorHAnsi" w:hAnsiTheme="majorHAnsi"/>
        </w:rPr>
        <w:t xml:space="preserve">sub-programs </w:t>
      </w:r>
      <w:r w:rsidRPr="00820C89">
        <w:rPr>
          <w:rFonts w:asciiTheme="majorHAnsi" w:hAnsiTheme="majorHAnsi"/>
        </w:rPr>
        <w:t xml:space="preserve">and is included in Figure 4.1. </w:t>
      </w:r>
    </w:p>
    <w:p w14:paraId="0A258F50" w14:textId="77777777" w:rsidR="009149C2" w:rsidRPr="00820C89" w:rsidRDefault="009149C2" w:rsidP="009149C2">
      <w:pPr>
        <w:rPr>
          <w:rFonts w:asciiTheme="majorHAnsi" w:hAnsiTheme="majorHAnsi"/>
        </w:rPr>
      </w:pPr>
      <w:r w:rsidRPr="00820C89">
        <w:rPr>
          <w:rFonts w:asciiTheme="majorHAnsi" w:hAnsiTheme="majorHAnsi"/>
        </w:rPr>
        <w:t>For each outcome, to the extent that it is possible, effectiveness is measured through:</w:t>
      </w:r>
    </w:p>
    <w:p w14:paraId="5DF7B405" w14:textId="77777777" w:rsidR="009149C2" w:rsidRPr="00820C89" w:rsidRDefault="009149C2" w:rsidP="00715F70">
      <w:pPr>
        <w:numPr>
          <w:ilvl w:val="0"/>
          <w:numId w:val="36"/>
        </w:numPr>
        <w:contextualSpacing/>
        <w:rPr>
          <w:rFonts w:asciiTheme="majorHAnsi" w:hAnsiTheme="majorHAnsi"/>
        </w:rPr>
      </w:pPr>
      <w:r w:rsidRPr="00820C89">
        <w:rPr>
          <w:rFonts w:asciiTheme="majorHAnsi" w:hAnsiTheme="majorHAnsi"/>
        </w:rPr>
        <w:t>whether there is evidence that the programs have generated the intended outcome.</w:t>
      </w:r>
    </w:p>
    <w:p w14:paraId="02C21A5B" w14:textId="77777777" w:rsidR="009149C2" w:rsidRPr="00820C89" w:rsidRDefault="009149C2" w:rsidP="00715F70">
      <w:pPr>
        <w:numPr>
          <w:ilvl w:val="0"/>
          <w:numId w:val="36"/>
        </w:numPr>
        <w:contextualSpacing/>
        <w:rPr>
          <w:rFonts w:asciiTheme="majorHAnsi" w:hAnsiTheme="majorHAnsi"/>
        </w:rPr>
      </w:pPr>
      <w:r w:rsidRPr="00820C89">
        <w:rPr>
          <w:rFonts w:asciiTheme="majorHAnsi" w:hAnsiTheme="majorHAnsi"/>
        </w:rPr>
        <w:t>what the evidence tells us about the extent to which the outcome has been generated.</w:t>
      </w:r>
    </w:p>
    <w:p w14:paraId="6B79D62B" w14:textId="77777777" w:rsidR="009149C2" w:rsidRPr="00820C89" w:rsidRDefault="009149C2" w:rsidP="009149C2">
      <w:pPr>
        <w:ind w:left="360"/>
        <w:contextualSpacing/>
        <w:rPr>
          <w:rFonts w:asciiTheme="majorHAnsi" w:hAnsiTheme="majorHAnsi"/>
        </w:rPr>
      </w:pPr>
    </w:p>
    <w:p w14:paraId="3C1A29E8" w14:textId="77777777" w:rsidR="009149C2" w:rsidRPr="00820C89" w:rsidRDefault="009149C2" w:rsidP="009149C2">
      <w:pPr>
        <w:rPr>
          <w:rFonts w:asciiTheme="majorHAnsi" w:hAnsiTheme="majorHAnsi"/>
        </w:rPr>
      </w:pPr>
      <w:r w:rsidRPr="00820C89">
        <w:rPr>
          <w:rFonts w:asciiTheme="majorHAnsi" w:hAnsiTheme="majorHAnsi"/>
        </w:rPr>
        <w:t xml:space="preserve">Consideration is also given to which features of the programs are needed to support an outcome </w:t>
      </w:r>
      <w:r w:rsidRPr="00BE3621">
        <w:rPr>
          <w:rFonts w:asciiTheme="majorHAnsi" w:hAnsiTheme="majorHAnsi"/>
        </w:rPr>
        <w:t>being realised, as well as in which contexts this outcome appears to be more or less successful.</w:t>
      </w:r>
      <w:r w:rsidRPr="00820C89">
        <w:rPr>
          <w:rFonts w:asciiTheme="majorHAnsi" w:hAnsiTheme="majorHAnsi"/>
        </w:rPr>
        <w:t xml:space="preserve"> </w:t>
      </w:r>
    </w:p>
    <w:p w14:paraId="52C6849E" w14:textId="77777777" w:rsidR="009149C2" w:rsidRPr="00820C89" w:rsidRDefault="009149C2" w:rsidP="009149C2">
      <w:pPr>
        <w:rPr>
          <w:rFonts w:asciiTheme="majorHAnsi" w:hAnsiTheme="majorHAnsi"/>
        </w:rPr>
        <w:sectPr w:rsidR="009149C2" w:rsidRPr="00820C89" w:rsidSect="00656ACD">
          <w:headerReference w:type="default" r:id="rId40"/>
          <w:pgSz w:w="11906" w:h="16838" w:code="9"/>
          <w:pgMar w:top="1440" w:right="1440" w:bottom="1440" w:left="1440" w:header="680" w:footer="425" w:gutter="0"/>
          <w:cols w:space="284"/>
          <w:noEndnote/>
          <w:docGrid w:linePitch="360"/>
        </w:sectPr>
      </w:pPr>
    </w:p>
    <w:p w14:paraId="24DA8B59" w14:textId="77777777" w:rsidR="009149C2" w:rsidRPr="00820C89" w:rsidRDefault="009149C2" w:rsidP="009149C2">
      <w:pPr>
        <w:pStyle w:val="CaptionFigure"/>
        <w:rPr>
          <w:rFonts w:asciiTheme="majorHAnsi" w:hAnsiTheme="majorHAnsi"/>
        </w:rPr>
      </w:pPr>
      <w:r w:rsidRPr="00B25C10">
        <w:rPr>
          <w:rFonts w:asciiTheme="majorHAnsi" w:hAnsiTheme="majorHAnsi"/>
        </w:rPr>
        <w:lastRenderedPageBreak/>
        <w:t>: IEP Program logic</w:t>
      </w:r>
      <w:r w:rsidR="001B109E" w:rsidRPr="00820C89">
        <w:rPr>
          <w:noProof/>
          <w:lang w:eastAsia="en-AU"/>
        </w:rPr>
        <w:drawing>
          <wp:inline distT="0" distB="0" distL="0" distR="0" wp14:anchorId="681A4438" wp14:editId="70A1FA70">
            <wp:extent cx="8315947" cy="4619503"/>
            <wp:effectExtent l="0" t="0" r="0" b="0"/>
            <wp:docPr id="6" name="Picture 6" descr="The figure describes the IEPs program logic..&#10;&#10;The program objectives are noted to be:&#10;-Improved employment outcomes for Indigenous Australians; and greater parity and imporived strategies among Australian companies.&#10;&#10;These outcomes are further described with the sub-objectives of:&#10;- More Australian companies achieve and maintain parity in employment and between Indigenous and non-Indgienous Australians;&#10;- Australian companies adopt more culturally appropriate employment practices;&#10;-Australian companies increase procurement from Indigenous companies;&#10;More Indigenous Australians are in sustainable employment; and&#10;- The gap in employment outcomes for indigenous Australians are reduced.&#10;&#10;Figure 4.1 then goes into further detail by noting the Inputs, Activities and Outputs of the program.&#10;&#10;The inputs for all programs are:&#10;-Accountability mechanisms and outcomes measurement;&#10;-NIAA program and policy staff;&#10;-Program guidelines and information; and&#10;Policy leadership (i.e. the IAS).&#10;&#10;The inputs for the EPI are:&#10;- approximately $12,000 for each completed contract (including acquitable advance payment).&#10;&#10;The inputs for the TAEG are:&#10;- approximately $8,250 ('highly disadvantaged') for placement and $1,500 for work preparation; and&#10;- NIAA regional network support.&#10;&#10;The inputs for the VTEC are:&#10;-$15,000 per participant (Stream C / DES); and&#10;-NIAA regional network support.&#10;&#10;The activities for all programs are:&#10;-Reporting and performance management;&#10;-Disseminate participant information and recruitment;&#10;-Pre-employment support; and &#10;-Milestone payments.&#10;&#10;The activities for EPI are:&#10;-Recruit EPI partners; and&#10;- Employment commitments.&#10;&#10;The activities for TAEG are:&#10;-Community engagement;&#10;-Program design and application/ agreements;&#10;-recruit providers; and&#10;- Vocational training.&#10;&#10;The activities for VTEC are:&#10;-Community engagement;&#10;-Program design and application / agreements;&#10;-Recruit providers (must be, or have joint ventures with) Indigenous organisation; and&#10;- Vocational training.&#10;&#10;The outputs for all programs are:&#10;- Number and proportion of participants meeting milestones.&#10;&#10;The outputs for EPI are:&#10;- 200+ placements in organisation;&#10;- Proportion of Indigenous employees in organisation.&#10;&#10;The outputs for TAEG are:&#10;- Number and proportion of participants meeting milestones; and&#10;-Number of participants completing new licenses/training qualifications.&#10;&#10;The outputs for VTEC are:&#10;-70 per cent + Stream B / C participants; and&#10;- Number of participants completing new licenses / training qualifications.&#10;&#10;The short-term outcomes (at the start of the program) are described as:&#10;Participants more likely to access supports:&#10;-More aware that specific support is available;&#10;-Feel services are tailored and relevant; &#10;-Feel supported and culturally safe;&#10;-More likely to maintain positive engagement with provider over time.&#10;&#10;Participants more likely to obtain appropriate employment:&#10;- More likely to access ongoing employment;&#10;- Feel included, understood and culturally safe in the workplace; and&#10;- Feel employment is appropriate and meaningful.&#10;&#10;Employers more likely to employ Indigenous Job seekers:&#10;-Employers develop strategies for culturally appropriate recruitment and procurement strategies;&#10;-Employers have improved access to candidates to fill existing roles;&#10;- Employers have increased appreciation of benefits of indigenous employment; and&#10;- Employers increase employment of indigenous jobseekers.&#10;&#10;The Medium-term and long-term outcomes (both during and after program placement) are described as:&#10;&#10;Participants develop improved work readiness:&#10;-Develop work readiness skills, including cognitive skills and soft ebhavioural skills; and&#10;- improved understanding of their aspirations and strengths.&#10;&#10;Participants develop improved job skills:&#10;- Develop skills in a specific vocation / role (MT);&#10;- Complete new licenses / training qualifications (including recognition of prior learning) (MT).&#10;Participants develop improved wellbeing and are more likely to access supports to address barriers to employment:&#10;-Develop new support networks;&#10;-Increased income and financial security; and&#10;- Increased trust in mainstream employers and employment services.&#10;&#10;Participants remain engaged in sustainable employment and are more likely to remain in employment (LT):&#10;- Participants can advance in their careers with current or other employers (LT).&#10;&#10;Companies deliver and embed new strategies:&#10;-Employers embed recruitment of indigenous jobseekers into business practices (LT);&#10;-Employers more likely to procure from Indigenous companies (LT;&#10;-Employers retain their indigenous employees;&#10;- Employers more likely to promote Indigenous employees through their workforce;&#10;-Employers have enhanced reputation and workforce outcomes (LT); and&#10;- Employers become less dependent on EPI funding over time (EPI-LT).&#10;&#10;External considerations that are beyond the direct scope of this framework, but which will have material influence over whether the objectives are met include the following (it is important to ntoe that these factors will be able to be considered within the categories of barriers and enablers in this monitoring and evaluation framework).&#10;"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793618"/>
                    <pic:cNvPicPr/>
                  </pic:nvPicPr>
                  <pic:blipFill>
                    <a:blip r:embed="rId41">
                      <a:extLst>
                        <a:ext uri="{28A0092B-C50C-407E-A947-70E740481C1C}">
                          <a14:useLocalDpi xmlns:a14="http://schemas.microsoft.com/office/drawing/2010/main" val="0"/>
                        </a:ext>
                      </a:extLst>
                    </a:blip>
                    <a:stretch>
                      <a:fillRect/>
                    </a:stretch>
                  </pic:blipFill>
                  <pic:spPr>
                    <a:xfrm>
                      <a:off x="0" y="0"/>
                      <a:ext cx="8315947" cy="4619503"/>
                    </a:xfrm>
                    <a:prstGeom prst="rect">
                      <a:avLst/>
                    </a:prstGeom>
                  </pic:spPr>
                </pic:pic>
              </a:graphicData>
            </a:graphic>
          </wp:inline>
        </w:drawing>
      </w:r>
    </w:p>
    <w:p w14:paraId="6F20A906" w14:textId="77777777" w:rsidR="009149C2" w:rsidRPr="00820C89" w:rsidRDefault="009149C2" w:rsidP="009149C2">
      <w:pPr>
        <w:rPr>
          <w:rFonts w:asciiTheme="majorHAnsi" w:hAnsiTheme="majorHAnsi"/>
        </w:rPr>
      </w:pPr>
    </w:p>
    <w:p w14:paraId="53014743" w14:textId="77777777" w:rsidR="009149C2" w:rsidRPr="00820C89" w:rsidRDefault="009149C2" w:rsidP="009149C2">
      <w:pPr>
        <w:pStyle w:val="Source"/>
        <w:rPr>
          <w:rFonts w:asciiTheme="majorHAnsi" w:hAnsiTheme="majorHAnsi"/>
        </w:rPr>
      </w:pPr>
      <w:r w:rsidRPr="00820C89">
        <w:rPr>
          <w:rFonts w:asciiTheme="majorHAnsi" w:hAnsiTheme="majorHAnsi"/>
        </w:rPr>
        <w:t>Source: Deloitte Access Economics (2020).</w:t>
      </w:r>
    </w:p>
    <w:p w14:paraId="7317A762" w14:textId="77777777" w:rsidR="009149C2" w:rsidRPr="00820C89" w:rsidRDefault="009149C2" w:rsidP="009149C2">
      <w:pPr>
        <w:rPr>
          <w:rFonts w:asciiTheme="majorHAnsi" w:hAnsiTheme="majorHAnsi"/>
        </w:rPr>
        <w:sectPr w:rsidR="009149C2" w:rsidRPr="00820C89" w:rsidSect="00656ACD">
          <w:pgSz w:w="16838" w:h="11906" w:orient="landscape" w:code="9"/>
          <w:pgMar w:top="1440" w:right="1440" w:bottom="1440" w:left="1440" w:header="680" w:footer="425" w:gutter="0"/>
          <w:cols w:space="284"/>
          <w:noEndnote/>
          <w:docGrid w:linePitch="360"/>
        </w:sectPr>
      </w:pPr>
    </w:p>
    <w:p w14:paraId="0E238662" w14:textId="1EF97B1E" w:rsidR="00B25C10" w:rsidRPr="00B25C10"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sz w:val="32"/>
          <w:szCs w:val="32"/>
        </w:rPr>
      </w:pPr>
      <w:r w:rsidRPr="00F242BE">
        <w:rPr>
          <w:b/>
          <w:bCs/>
          <w:i/>
          <w:iCs/>
          <w:color w:val="62B5E5" w:themeColor="accent3"/>
          <w:sz w:val="32"/>
          <w:szCs w:val="32"/>
        </w:rPr>
        <w:lastRenderedPageBreak/>
        <w:t xml:space="preserve">Chapter </w:t>
      </w:r>
      <w:r>
        <w:rPr>
          <w:b/>
          <w:bCs/>
          <w:i/>
          <w:iCs/>
          <w:color w:val="62B5E5" w:themeColor="accent3"/>
          <w:sz w:val="32"/>
          <w:szCs w:val="32"/>
        </w:rPr>
        <w:t>4</w:t>
      </w:r>
      <w:r w:rsidRPr="00F242BE">
        <w:rPr>
          <w:b/>
          <w:bCs/>
          <w:i/>
          <w:iCs/>
          <w:color w:val="62B5E5" w:themeColor="accent3"/>
          <w:sz w:val="32"/>
          <w:szCs w:val="32"/>
        </w:rPr>
        <w:t xml:space="preserve">: </w:t>
      </w:r>
      <w:r>
        <w:rPr>
          <w:b/>
          <w:bCs/>
          <w:i/>
          <w:iCs/>
          <w:color w:val="62B5E5" w:themeColor="accent3"/>
          <w:sz w:val="32"/>
          <w:szCs w:val="32"/>
        </w:rPr>
        <w:t xml:space="preserve">Effectiveness </w:t>
      </w:r>
    </w:p>
    <w:p w14:paraId="03E70552" w14:textId="77777777" w:rsidR="00B25C10"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i/>
          <w:iCs/>
          <w:color w:val="62B5E5" w:themeColor="accent3"/>
        </w:rPr>
      </w:pPr>
      <w:r>
        <w:rPr>
          <w:b/>
          <w:bCs/>
          <w:i/>
          <w:iCs/>
          <w:color w:val="62B5E5" w:themeColor="accent3"/>
        </w:rPr>
        <w:t>Focus</w:t>
      </w:r>
    </w:p>
    <w:p w14:paraId="50C3C93E" w14:textId="77777777" w:rsidR="00B25C10" w:rsidRPr="00785D08"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rFonts w:asciiTheme="majorHAnsi" w:hAnsiTheme="majorHAnsi"/>
        </w:rPr>
      </w:pPr>
      <w:r w:rsidRPr="00785D08">
        <w:rPr>
          <w:rFonts w:asciiTheme="majorHAnsi" w:hAnsiTheme="majorHAnsi"/>
        </w:rPr>
        <w:t xml:space="preserve">This chapter examines the effectiveness of the </w:t>
      </w:r>
      <w:r>
        <w:rPr>
          <w:rFonts w:asciiTheme="majorHAnsi" w:hAnsiTheme="majorHAnsi"/>
        </w:rPr>
        <w:t>IEP</w:t>
      </w:r>
      <w:r w:rsidRPr="00785D08">
        <w:rPr>
          <w:rFonts w:asciiTheme="majorHAnsi" w:hAnsiTheme="majorHAnsi"/>
        </w:rPr>
        <w:t xml:space="preserve"> in relation to the following evaluation questions: </w:t>
      </w:r>
    </w:p>
    <w:p w14:paraId="020C410B" w14:textId="77777777" w:rsidR="00B25C10" w:rsidRPr="009F1A87" w:rsidRDefault="00B25C10"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i/>
          <w:iCs/>
        </w:rPr>
      </w:pPr>
      <w:r w:rsidRPr="009F1A87">
        <w:rPr>
          <w:i/>
          <w:iCs/>
        </w:rPr>
        <w:t xml:space="preserve">to what extent are the activities achieving their intended outcomes, in the short, medium and long term? </w:t>
      </w:r>
    </w:p>
    <w:p w14:paraId="2B27FD97" w14:textId="77777777" w:rsidR="00B25C10" w:rsidRPr="009F1A87" w:rsidRDefault="00B25C10"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i/>
          <w:iCs/>
        </w:rPr>
      </w:pPr>
      <w:r w:rsidRPr="009F1A87">
        <w:rPr>
          <w:i/>
          <w:iCs/>
        </w:rPr>
        <w:t>in what contexts has the program been more or less successful?</w:t>
      </w:r>
    </w:p>
    <w:p w14:paraId="38386559" w14:textId="77777777" w:rsidR="00B25C10" w:rsidRPr="009F1A87" w:rsidRDefault="00B25C10"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i/>
          <w:iCs/>
        </w:rPr>
      </w:pPr>
      <w:r w:rsidRPr="009F1A87">
        <w:rPr>
          <w:i/>
          <w:iCs/>
        </w:rPr>
        <w:t>what do program outcomes tell us about effective and ineffective investment?</w:t>
      </w:r>
    </w:p>
    <w:p w14:paraId="7502CF85" w14:textId="39670B04" w:rsidR="00B25C10" w:rsidRPr="00B25C10" w:rsidRDefault="00B25C10" w:rsidP="00715F70">
      <w:pPr>
        <w:pStyle w:val="ListParagraph"/>
        <w:numPr>
          <w:ilvl w:val="0"/>
          <w:numId w:val="67"/>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i/>
          <w:iCs/>
        </w:rPr>
      </w:pPr>
      <w:r w:rsidRPr="009F1A87">
        <w:rPr>
          <w:i/>
          <w:iCs/>
        </w:rPr>
        <w:t>how can the value of each program be optimised within the broader IEP and other employment assistance programs?</w:t>
      </w:r>
    </w:p>
    <w:p w14:paraId="07E01EFA" w14:textId="77777777" w:rsidR="00B25C10" w:rsidRPr="008B4C61"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i/>
          <w:iCs/>
          <w:color w:val="62B5E5" w:themeColor="accent3"/>
        </w:rPr>
      </w:pPr>
      <w:r>
        <w:rPr>
          <w:b/>
          <w:bCs/>
          <w:i/>
          <w:iCs/>
          <w:color w:val="62B5E5" w:themeColor="accent3"/>
        </w:rPr>
        <w:t>Data sources</w:t>
      </w:r>
    </w:p>
    <w:p w14:paraId="3C110176" w14:textId="77777777" w:rsidR="00B25C10" w:rsidRPr="00EC128D"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t>Stakeholder consultations with participants, providers, partners, community representatives and NIAA representatives.</w:t>
      </w:r>
    </w:p>
    <w:p w14:paraId="7371DEE3" w14:textId="77777777" w:rsidR="00B25C10"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t>The VTEC and TAEG provider survey.</w:t>
      </w:r>
    </w:p>
    <w:p w14:paraId="72808E31" w14:textId="77777777" w:rsidR="00B25C10"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t>The Literature Scan completed for this evaluation (Appendix A)</w:t>
      </w:r>
    </w:p>
    <w:p w14:paraId="48DBE503" w14:textId="77777777" w:rsidR="00B25C10"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t>NIAA program data</w:t>
      </w:r>
    </w:p>
    <w:p w14:paraId="36ED7DA1" w14:textId="77777777" w:rsidR="00B25C10" w:rsidRPr="005723FF"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pPr>
      <w:r>
        <w:t>RED and CDP data</w:t>
      </w:r>
    </w:p>
    <w:p w14:paraId="4FF965A6" w14:textId="77777777" w:rsidR="00B25C10"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i/>
          <w:iCs/>
          <w:color w:val="62B5E5" w:themeColor="accent3"/>
        </w:rPr>
      </w:pPr>
      <w:r w:rsidRPr="00BC7EC7">
        <w:rPr>
          <w:b/>
          <w:bCs/>
          <w:i/>
          <w:iCs/>
          <w:color w:val="62B5E5" w:themeColor="accent3"/>
        </w:rPr>
        <w:t>Finding</w:t>
      </w:r>
      <w:r>
        <w:rPr>
          <w:b/>
          <w:bCs/>
          <w:i/>
          <w:iCs/>
          <w:color w:val="62B5E5" w:themeColor="accent3"/>
        </w:rPr>
        <w:t>s</w:t>
      </w:r>
      <w:r w:rsidRPr="00BC7EC7">
        <w:rPr>
          <w:b/>
          <w:bCs/>
          <w:i/>
          <w:iCs/>
          <w:color w:val="62B5E5" w:themeColor="accent3"/>
        </w:rPr>
        <w:t>:</w:t>
      </w:r>
    </w:p>
    <w:p w14:paraId="2DBD7B2E" w14:textId="77777777" w:rsidR="00B25C10" w:rsidRPr="0004192D"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i/>
          <w:iCs/>
        </w:rPr>
      </w:pPr>
      <w:r w:rsidRPr="0004192D">
        <w:rPr>
          <w:b/>
          <w:bCs/>
          <w:i/>
          <w:iCs/>
        </w:rPr>
        <w:t>Short-term outcomes</w:t>
      </w:r>
    </w:p>
    <w:p w14:paraId="592B6070" w14:textId="77777777" w:rsidR="00B25C10" w:rsidRPr="009F1A87"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9F1A87">
        <w:t>IEP employers and partners consistently report that participating in the program supports them to increase their employment of Indigenous jobseekers.</w:t>
      </w:r>
    </w:p>
    <w:p w14:paraId="701F8286" w14:textId="77777777" w:rsidR="00B25C10" w:rsidRPr="009F1A87"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9F1A87">
        <w:t>There is evidence to suggest that the individualised and culturally appropriate support that the IEP delivers increases the likelihood that an Indigenous jobseeker will access both employment and non-employment related support services, and commence employment.</w:t>
      </w:r>
    </w:p>
    <w:p w14:paraId="03DF46B8" w14:textId="77777777" w:rsidR="00B25C10" w:rsidRPr="009F1A87"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9F1A87">
        <w:t>While identifying meaningful employment opportunities for IEP participants is a challenging element of the programs, participants</w:t>
      </w:r>
      <w:r>
        <w:t xml:space="preserve"> interviewed</w:t>
      </w:r>
      <w:r w:rsidRPr="009F1A87">
        <w:t xml:space="preserve"> have generally commented positively on their employment experiences</w:t>
      </w:r>
      <w:r>
        <w:t xml:space="preserve"> to-date</w:t>
      </w:r>
      <w:r w:rsidRPr="009F1A87">
        <w:t>.</w:t>
      </w:r>
    </w:p>
    <w:p w14:paraId="27A8B406" w14:textId="77777777" w:rsidR="00B25C10" w:rsidRPr="003C0D92"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pPr>
      <w:r w:rsidRPr="003C0D92">
        <w:t>VTEC and TAEG employers do not tend implement significant new Indigenous employment practices within their businesses, instead, they rely on providers to deliver these services on an ad hoc basis.</w:t>
      </w:r>
    </w:p>
    <w:p w14:paraId="0E0EFFFB" w14:textId="77777777" w:rsidR="00B25C10" w:rsidRPr="0004192D"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i/>
          <w:iCs/>
        </w:rPr>
      </w:pPr>
      <w:r w:rsidRPr="0004192D">
        <w:rPr>
          <w:b/>
          <w:bCs/>
          <w:i/>
          <w:iCs/>
        </w:rPr>
        <w:t>Medium-term outcomes</w:t>
      </w:r>
    </w:p>
    <w:p w14:paraId="707F03B1" w14:textId="77777777" w:rsidR="00B25C10" w:rsidRPr="00155756"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155756">
        <w:t>The TAEG and VTEC programs are generally successful in building participants work-readiness skills, particularly in behavioural areas such as improving participants’ confidence and attitude to employment. There is limited evidence on the extent to which the EPI program has achieved this outcome.</w:t>
      </w:r>
    </w:p>
    <w:p w14:paraId="53BD9064" w14:textId="77777777" w:rsidR="00B25C10" w:rsidRPr="009F1A87"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9F1A87">
        <w:t>All three of the sub-programs appear to support participants to build job-specific skills, predominantly through on-the-job learning as opposed to completing formal qualifications.</w:t>
      </w:r>
    </w:p>
    <w:p w14:paraId="2A59262B" w14:textId="77777777" w:rsidR="00B25C10" w:rsidRPr="009F1A87"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pPr>
      <w:r w:rsidRPr="009F1A87">
        <w:t>There is some anecdotal evidence to suggest that the programs can improve participants’ wellbeing - both through the individualised mentoring and support they receive, and the positive impact that employment can have</w:t>
      </w:r>
      <w:r>
        <w:t xml:space="preserve"> under the right (cultural) conditions.</w:t>
      </w:r>
    </w:p>
    <w:p w14:paraId="391A114B" w14:textId="77777777" w:rsidR="00B25C10" w:rsidRPr="0004192D"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i/>
          <w:iCs/>
        </w:rPr>
      </w:pPr>
      <w:r w:rsidRPr="0004192D">
        <w:rPr>
          <w:b/>
          <w:bCs/>
          <w:i/>
          <w:iCs/>
        </w:rPr>
        <w:t>Long-term outcomes</w:t>
      </w:r>
      <w:r>
        <w:rPr>
          <w:b/>
          <w:bCs/>
          <w:i/>
          <w:iCs/>
        </w:rPr>
        <w:t xml:space="preserve"> </w:t>
      </w:r>
    </w:p>
    <w:p w14:paraId="381643A3" w14:textId="77777777" w:rsidR="00B25C10" w:rsidRPr="001656D4"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1656D4">
        <w:t xml:space="preserve">The EPI program has the highest and least variable 26-week milestone completion rate of the sub-programs, while the TAEG and VTEC sub-programs have similar rates. </w:t>
      </w:r>
    </w:p>
    <w:p w14:paraId="492D9271" w14:textId="77777777" w:rsidR="00B25C10" w:rsidRPr="00B717B2"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pPr>
      <w:r w:rsidRPr="00B717B2">
        <w:t>12+ months after program exit, the sub-programs cease to have any statistically significant difference in their ability to support participants to exit income support.</w:t>
      </w:r>
    </w:p>
    <w:p w14:paraId="7457C4CD" w14:textId="77777777" w:rsidR="00B25C10" w:rsidRPr="001656D4"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1656D4">
        <w:t>Across the sub-programs, the 26-week milestone is associated with whether participants cease receiving income support in both the short and long-term, although further analysis is required to explore this relationship.</w:t>
      </w:r>
    </w:p>
    <w:p w14:paraId="6625DED0" w14:textId="77777777" w:rsidR="00B25C10" w:rsidRPr="001656D4"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1656D4">
        <w:t>EPI partners report to have begun embedding a range of new Indigenous employment practices into their businesses, however, it is unclear to what extent these changes are sustainable.</w:t>
      </w:r>
    </w:p>
    <w:p w14:paraId="55E1B298" w14:textId="77777777" w:rsidR="00B25C10" w:rsidRPr="001656D4"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1656D4">
        <w:t>There is little evidence to suggest that the employers of VTEC and TAEG participants have embedded significant new Indigenous employment practices into their businesses.</w:t>
      </w:r>
    </w:p>
    <w:p w14:paraId="66907D90" w14:textId="77777777" w:rsidR="00B25C10"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rPr>
      </w:pPr>
    </w:p>
    <w:p w14:paraId="6FB533B5" w14:textId="77777777" w:rsidR="00B25C10" w:rsidRPr="00B25C10"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sz w:val="32"/>
          <w:szCs w:val="32"/>
        </w:rPr>
      </w:pPr>
      <w:r w:rsidRPr="00F242BE">
        <w:rPr>
          <w:b/>
          <w:bCs/>
          <w:i/>
          <w:iCs/>
          <w:color w:val="62B5E5" w:themeColor="accent3"/>
          <w:sz w:val="32"/>
          <w:szCs w:val="32"/>
        </w:rPr>
        <w:lastRenderedPageBreak/>
        <w:t xml:space="preserve">Chapter </w:t>
      </w:r>
      <w:r>
        <w:rPr>
          <w:b/>
          <w:bCs/>
          <w:i/>
          <w:iCs/>
          <w:color w:val="62B5E5" w:themeColor="accent3"/>
          <w:sz w:val="32"/>
          <w:szCs w:val="32"/>
        </w:rPr>
        <w:t>4</w:t>
      </w:r>
      <w:r w:rsidRPr="00F242BE">
        <w:rPr>
          <w:b/>
          <w:bCs/>
          <w:i/>
          <w:iCs/>
          <w:color w:val="62B5E5" w:themeColor="accent3"/>
          <w:sz w:val="32"/>
          <w:szCs w:val="32"/>
        </w:rPr>
        <w:t xml:space="preserve">: </w:t>
      </w:r>
      <w:r>
        <w:rPr>
          <w:b/>
          <w:bCs/>
          <w:i/>
          <w:iCs/>
          <w:color w:val="62B5E5" w:themeColor="accent3"/>
          <w:sz w:val="32"/>
          <w:szCs w:val="32"/>
        </w:rPr>
        <w:t xml:space="preserve">Effectiveness </w:t>
      </w:r>
    </w:p>
    <w:p w14:paraId="502DE490" w14:textId="21CF444F" w:rsidR="00B25C10"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i/>
          <w:iCs/>
          <w:color w:val="62B5E5" w:themeColor="accent3"/>
        </w:rPr>
      </w:pPr>
      <w:r w:rsidRPr="00BC7EC7">
        <w:rPr>
          <w:b/>
          <w:bCs/>
          <w:i/>
          <w:iCs/>
          <w:color w:val="62B5E5" w:themeColor="accent3"/>
        </w:rPr>
        <w:t>Finding</w:t>
      </w:r>
      <w:r>
        <w:rPr>
          <w:b/>
          <w:bCs/>
          <w:i/>
          <w:iCs/>
          <w:color w:val="62B5E5" w:themeColor="accent3"/>
        </w:rPr>
        <w:t>s</w:t>
      </w:r>
      <w:r w:rsidRPr="00BC7EC7">
        <w:rPr>
          <w:b/>
          <w:bCs/>
          <w:i/>
          <w:iCs/>
          <w:color w:val="62B5E5" w:themeColor="accent3"/>
        </w:rPr>
        <w:t>:</w:t>
      </w:r>
    </w:p>
    <w:p w14:paraId="0BA64DB2" w14:textId="77777777" w:rsidR="00B25C10" w:rsidRPr="0004192D"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i/>
          <w:iCs/>
        </w:rPr>
      </w:pPr>
      <w:r w:rsidRPr="0004192D">
        <w:rPr>
          <w:b/>
          <w:bCs/>
          <w:i/>
          <w:iCs/>
        </w:rPr>
        <w:t>Effective investment</w:t>
      </w:r>
    </w:p>
    <w:p w14:paraId="05FF4FED" w14:textId="77777777" w:rsidR="00B25C10" w:rsidRPr="0004192D"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172179">
        <w:t>There is a substantial degree of variation in the average unit cost (to the NIAA) per activity. While this appears to be driven by clear program-specific guidelines for the VTEC and TAEG programs, this variation is less deliberate and systematic for the EPI program, raising questions about the effectiveness of this investment</w:t>
      </w:r>
      <w:r>
        <w:t>.</w:t>
      </w:r>
    </w:p>
    <w:p w14:paraId="2EA9FBA9" w14:textId="77777777" w:rsidR="00B25C10" w:rsidRPr="0004192D"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04192D">
        <w:t xml:space="preserve">Stakeholder consultations reveal that the IEP sub-programs do not always effectively work together, with their being instances of TAEG/VTEC providers struggling to cooperate with EPIs and, more broadly, limited knowledge sharing across the provider system.  </w:t>
      </w:r>
    </w:p>
    <w:p w14:paraId="4A283D96" w14:textId="77777777" w:rsidR="00B25C10" w:rsidRPr="0004192D"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04192D">
        <w:t>Given the absence or flexible nature of the program guidelines defining how the IEP is intended to work with mainstream programs, the relationships between IEP and mainstream providers appear to be highly variable and primarily driven by the intent and capability of individual organisations.</w:t>
      </w:r>
    </w:p>
    <w:p w14:paraId="04CF905E" w14:textId="77777777" w:rsidR="00B25C10" w:rsidRPr="0004192D" w:rsidRDefault="00B25C10"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pPr>
      <w:r w:rsidRPr="0004192D">
        <w:t xml:space="preserve">The current system of provider funding is largely reactive, in that the NIAA must invite currently operating providers to participate in the program. This </w:t>
      </w:r>
      <w:r>
        <w:t xml:space="preserve">approach of ‘currently operating’ </w:t>
      </w:r>
      <w:r w:rsidRPr="0004192D">
        <w:t>creates a risk that the programs are not best targeting areas of ‘need’ or maximising their potential impact.</w:t>
      </w:r>
    </w:p>
    <w:p w14:paraId="29E216B4" w14:textId="77777777" w:rsidR="00B25C10"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i/>
          <w:iCs/>
          <w:color w:val="62B5E5" w:themeColor="accent3"/>
        </w:rPr>
      </w:pPr>
      <w:r>
        <w:rPr>
          <w:b/>
          <w:bCs/>
          <w:i/>
          <w:iCs/>
          <w:color w:val="62B5E5" w:themeColor="accent3"/>
        </w:rPr>
        <w:t>Suggestions</w:t>
      </w:r>
    </w:p>
    <w:p w14:paraId="618DC5D7" w14:textId="77777777" w:rsidR="00B25C10" w:rsidRPr="00FC2E4B" w:rsidRDefault="00B25C10" w:rsidP="00715F70">
      <w:pPr>
        <w:pStyle w:val="ListParagraph"/>
        <w:numPr>
          <w:ilvl w:val="0"/>
          <w:numId w:val="190"/>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FC2E4B">
        <w:t>Continue to invest in culturally competent individualised support and mentoring.</w:t>
      </w:r>
    </w:p>
    <w:p w14:paraId="16EBA9C4" w14:textId="77777777" w:rsidR="00B25C10" w:rsidRPr="00215AB6" w:rsidRDefault="00B25C10" w:rsidP="00715F70">
      <w:pPr>
        <w:pStyle w:val="ListParagraph"/>
        <w:numPr>
          <w:ilvl w:val="0"/>
          <w:numId w:val="190"/>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215AB6">
        <w:t>Future programs should consider ways in which employers can be encouraged and supported to meaningfully embed new Indigenous employment practices into their businesses.</w:t>
      </w:r>
    </w:p>
    <w:p w14:paraId="6D7D56D5" w14:textId="22DD0E83" w:rsidR="00361818" w:rsidRPr="00E2403C" w:rsidRDefault="00B25C10" w:rsidP="002120B6">
      <w:pPr>
        <w:pStyle w:val="ListParagraph"/>
        <w:numPr>
          <w:ilvl w:val="0"/>
          <w:numId w:val="190"/>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04192D">
        <w:t>Future programs need to clearly articulate how their objectives inform funding decisions, and what implications this has for service coverage and program impact.</w:t>
      </w:r>
    </w:p>
    <w:p w14:paraId="7C790982" w14:textId="0481B1D9" w:rsidR="000D2CB6" w:rsidRPr="00820C89" w:rsidRDefault="000D2CB6">
      <w:pPr>
        <w:spacing w:after="0"/>
        <w:rPr>
          <w:rFonts w:asciiTheme="majorHAnsi" w:eastAsiaTheme="majorEastAsia" w:hAnsiTheme="majorHAnsi" w:cstheme="majorBidi"/>
          <w:b/>
          <w:color w:val="62B5E5" w:themeColor="accent3"/>
          <w:sz w:val="22"/>
          <w:szCs w:val="26"/>
        </w:rPr>
      </w:pPr>
      <w:r w:rsidRPr="00820C89">
        <w:rPr>
          <w:rFonts w:asciiTheme="majorHAnsi" w:eastAsiaTheme="majorEastAsia" w:hAnsiTheme="majorHAnsi" w:cstheme="majorBidi"/>
          <w:b/>
          <w:color w:val="62B5E5" w:themeColor="accent3"/>
          <w:sz w:val="22"/>
          <w:szCs w:val="26"/>
        </w:rPr>
        <w:br w:type="page"/>
      </w:r>
    </w:p>
    <w:p w14:paraId="4A6EC23A" w14:textId="57BD9600" w:rsidR="00597763" w:rsidRPr="00820C89" w:rsidRDefault="0040692E" w:rsidP="00715F70">
      <w:pPr>
        <w:keepNext/>
        <w:keepLines/>
        <w:numPr>
          <w:ilvl w:val="1"/>
          <w:numId w:val="21"/>
        </w:numPr>
        <w:spacing w:before="240" w:after="60" w:line="280" w:lineRule="atLeast"/>
        <w:outlineLvl w:val="1"/>
        <w:rPr>
          <w:rFonts w:asciiTheme="majorHAnsi" w:eastAsiaTheme="majorEastAsia" w:hAnsiTheme="majorHAnsi" w:cstheme="majorBidi"/>
          <w:b/>
          <w:color w:val="62B5E5" w:themeColor="accent3"/>
          <w:sz w:val="22"/>
          <w:szCs w:val="26"/>
        </w:rPr>
      </w:pPr>
      <w:bookmarkStart w:id="110" w:name="_Toc101343299"/>
      <w:r w:rsidRPr="00820C89">
        <w:rPr>
          <w:rFonts w:asciiTheme="majorHAnsi" w:eastAsiaTheme="majorEastAsia" w:hAnsiTheme="majorHAnsi" w:cstheme="majorBidi"/>
          <w:b/>
          <w:color w:val="62B5E5" w:themeColor="accent3"/>
          <w:sz w:val="22"/>
          <w:szCs w:val="26"/>
        </w:rPr>
        <w:lastRenderedPageBreak/>
        <w:t>Short-term outcomes</w:t>
      </w:r>
      <w:bookmarkEnd w:id="108"/>
      <w:bookmarkEnd w:id="109"/>
      <w:bookmarkEnd w:id="110"/>
    </w:p>
    <w:p w14:paraId="161E0A9B" w14:textId="77777777" w:rsidR="0040692E" w:rsidRPr="00820C89" w:rsidRDefault="0040692E" w:rsidP="00715F70">
      <w:pPr>
        <w:keepNext/>
        <w:keepLines/>
        <w:numPr>
          <w:ilvl w:val="2"/>
          <w:numId w:val="12"/>
        </w:numPr>
        <w:outlineLvl w:val="2"/>
        <w:rPr>
          <w:rFonts w:asciiTheme="majorHAnsi" w:eastAsiaTheme="majorEastAsia" w:hAnsiTheme="majorHAnsi" w:cstheme="majorBidi"/>
          <w:b/>
        </w:rPr>
      </w:pPr>
      <w:r w:rsidRPr="00820C89">
        <w:rPr>
          <w:rFonts w:asciiTheme="majorHAnsi" w:eastAsiaTheme="majorEastAsia" w:hAnsiTheme="majorHAnsi" w:cstheme="majorBidi"/>
          <w:b/>
        </w:rPr>
        <w:t>Participants more likely to access supports</w:t>
      </w:r>
    </w:p>
    <w:p w14:paraId="48D02EB2" w14:textId="77777777" w:rsidR="00B25C10" w:rsidRPr="00BC7EC7" w:rsidRDefault="00B25C10" w:rsidP="00B25C10">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w:t>
      </w:r>
    </w:p>
    <w:p w14:paraId="04880106" w14:textId="09AF91B0" w:rsidR="00B25C10" w:rsidRPr="00B25C10" w:rsidRDefault="00B25C10"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Pr>
          <w:b/>
          <w:bCs/>
          <w:i/>
          <w:iCs/>
          <w:color w:val="62B5E5" w:themeColor="accent3"/>
        </w:rPr>
        <w:t>IEP employers and partners consistently report that participating in the program supports them to increase their employment of Indigenous jobseekers.</w:t>
      </w:r>
      <w:r>
        <w:rPr>
          <w:b/>
          <w:bCs/>
          <w:i/>
          <w:iCs/>
          <w:color w:val="62B5E5" w:themeColor="accent3"/>
        </w:rPr>
        <w:br/>
      </w:r>
    </w:p>
    <w:p w14:paraId="2A74DB27" w14:textId="0E293B6F" w:rsidR="00B25C10" w:rsidRPr="00B25C10" w:rsidRDefault="00B25C10"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i/>
          <w:color w:val="62B5E5" w:themeColor="accent3"/>
        </w:rPr>
      </w:pPr>
      <w:r w:rsidRPr="00D87D2D">
        <w:rPr>
          <w:b/>
          <w:i/>
          <w:color w:val="62B5E5" w:themeColor="accent3"/>
        </w:rPr>
        <w:t>There is evidence to suggest that the individualised and culturally appropriate support that the IEP deliver</w:t>
      </w:r>
      <w:r>
        <w:rPr>
          <w:b/>
          <w:i/>
          <w:color w:val="62B5E5" w:themeColor="accent3"/>
        </w:rPr>
        <w:t>s</w:t>
      </w:r>
      <w:r w:rsidRPr="00D87D2D">
        <w:rPr>
          <w:b/>
          <w:i/>
          <w:color w:val="62B5E5" w:themeColor="accent3"/>
        </w:rPr>
        <w:t xml:space="preserve"> increase</w:t>
      </w:r>
      <w:r>
        <w:rPr>
          <w:b/>
          <w:i/>
          <w:color w:val="62B5E5" w:themeColor="accent3"/>
        </w:rPr>
        <w:t>s</w:t>
      </w:r>
      <w:r w:rsidRPr="00D87D2D">
        <w:rPr>
          <w:b/>
          <w:i/>
          <w:color w:val="62B5E5" w:themeColor="accent3"/>
        </w:rPr>
        <w:t xml:space="preserve"> the likelihood that an Indigenous jobseeker will access </w:t>
      </w:r>
      <w:r>
        <w:rPr>
          <w:b/>
          <w:bCs/>
          <w:i/>
          <w:iCs/>
          <w:color w:val="62B5E5" w:themeColor="accent3"/>
        </w:rPr>
        <w:t>both</w:t>
      </w:r>
      <w:r w:rsidRPr="00D87D2D">
        <w:rPr>
          <w:b/>
          <w:i/>
          <w:color w:val="62B5E5" w:themeColor="accent3"/>
        </w:rPr>
        <w:t xml:space="preserve"> employment </w:t>
      </w:r>
      <w:r>
        <w:rPr>
          <w:b/>
          <w:bCs/>
          <w:i/>
          <w:iCs/>
          <w:color w:val="62B5E5" w:themeColor="accent3"/>
        </w:rPr>
        <w:t>and non-employment related</w:t>
      </w:r>
      <w:r w:rsidRPr="00D87D2D">
        <w:rPr>
          <w:b/>
          <w:i/>
          <w:color w:val="62B5E5" w:themeColor="accent3"/>
        </w:rPr>
        <w:t xml:space="preserve"> </w:t>
      </w:r>
      <w:r>
        <w:rPr>
          <w:b/>
          <w:bCs/>
          <w:i/>
          <w:iCs/>
          <w:color w:val="62B5E5" w:themeColor="accent3"/>
        </w:rPr>
        <w:t>support services</w:t>
      </w:r>
      <w:r>
        <w:rPr>
          <w:b/>
          <w:i/>
          <w:color w:val="62B5E5" w:themeColor="accent3"/>
        </w:rPr>
        <w:t>, and commence employment.</w:t>
      </w:r>
      <w:r>
        <w:rPr>
          <w:b/>
          <w:i/>
          <w:color w:val="62B5E5" w:themeColor="accent3"/>
        </w:rPr>
        <w:br/>
      </w:r>
    </w:p>
    <w:p w14:paraId="35FDCF0F" w14:textId="07125E15" w:rsidR="00B25C10" w:rsidRPr="00B25C10" w:rsidRDefault="00B25C10"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Pr>
          <w:b/>
          <w:bCs/>
          <w:i/>
          <w:iCs/>
          <w:color w:val="62B5E5" w:themeColor="accent3"/>
        </w:rPr>
        <w:t>While i</w:t>
      </w:r>
      <w:r w:rsidRPr="007F20B0">
        <w:rPr>
          <w:b/>
          <w:bCs/>
          <w:i/>
          <w:iCs/>
          <w:color w:val="62B5E5" w:themeColor="accent3"/>
        </w:rPr>
        <w:t>dentifying</w:t>
      </w:r>
      <w:r w:rsidRPr="005E1450">
        <w:rPr>
          <w:b/>
          <w:bCs/>
          <w:i/>
          <w:iCs/>
          <w:color w:val="62B5E5" w:themeColor="accent3"/>
        </w:rPr>
        <w:t xml:space="preserve"> meaningful employment opportunities for IEP participants is a challenging element of the programs</w:t>
      </w:r>
      <w:r>
        <w:rPr>
          <w:b/>
          <w:bCs/>
          <w:i/>
          <w:iCs/>
          <w:color w:val="62B5E5" w:themeColor="accent3"/>
        </w:rPr>
        <w:t>, participants have generally commented positively on their employment experiences.</w:t>
      </w:r>
      <w:r>
        <w:rPr>
          <w:b/>
          <w:bCs/>
          <w:i/>
          <w:iCs/>
          <w:color w:val="62B5E5" w:themeColor="accent3"/>
        </w:rPr>
        <w:br/>
      </w:r>
    </w:p>
    <w:p w14:paraId="7376B46B" w14:textId="6B1DF6FA" w:rsidR="00B25C10" w:rsidRPr="00B25C10" w:rsidRDefault="00B25C10"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i/>
          <w:color w:val="62B5E5" w:themeColor="accent3"/>
        </w:rPr>
      </w:pPr>
      <w:r w:rsidRPr="00D87D2D">
        <w:rPr>
          <w:b/>
          <w:i/>
          <w:color w:val="62B5E5" w:themeColor="accent3"/>
        </w:rPr>
        <w:t xml:space="preserve">VTEC and TAEG employers </w:t>
      </w:r>
      <w:r>
        <w:rPr>
          <w:b/>
          <w:bCs/>
          <w:i/>
          <w:iCs/>
          <w:color w:val="62B5E5" w:themeColor="accent3"/>
        </w:rPr>
        <w:t>do not tend</w:t>
      </w:r>
      <w:r w:rsidRPr="00D87D2D">
        <w:rPr>
          <w:b/>
          <w:bCs/>
          <w:i/>
          <w:iCs/>
          <w:color w:val="62B5E5" w:themeColor="accent3"/>
        </w:rPr>
        <w:t xml:space="preserve"> </w:t>
      </w:r>
      <w:r w:rsidRPr="00D87D2D">
        <w:rPr>
          <w:b/>
          <w:i/>
          <w:color w:val="62B5E5" w:themeColor="accent3"/>
        </w:rPr>
        <w:t xml:space="preserve">implement significant new Indigenous employment practices within their </w:t>
      </w:r>
      <w:r w:rsidRPr="00D87D2D">
        <w:rPr>
          <w:b/>
          <w:bCs/>
          <w:i/>
          <w:iCs/>
          <w:color w:val="62B5E5" w:themeColor="accent3"/>
        </w:rPr>
        <w:t>businesses</w:t>
      </w:r>
      <w:r>
        <w:rPr>
          <w:b/>
          <w:bCs/>
          <w:i/>
          <w:iCs/>
          <w:color w:val="62B5E5" w:themeColor="accent3"/>
        </w:rPr>
        <w:t>, instead, they rely on providers to deliver these services on an ad hoc basis.</w:t>
      </w:r>
    </w:p>
    <w:p w14:paraId="1989A67E" w14:textId="17FA2C00" w:rsidR="0040692E" w:rsidRPr="00820C89" w:rsidRDefault="0040692E" w:rsidP="00960EF9">
      <w:pPr>
        <w:spacing w:after="0"/>
        <w:rPr>
          <w:rFonts w:asciiTheme="majorHAnsi" w:hAnsiTheme="majorHAnsi"/>
        </w:rPr>
      </w:pPr>
      <w:r w:rsidRPr="00820C89">
        <w:rPr>
          <w:rFonts w:asciiTheme="majorHAnsi" w:hAnsiTheme="majorHAnsi"/>
        </w:rPr>
        <w:t>As established in the evaluation literature review, Indigenous jobseekers may face several complex and intersecting barriers to workforce participation, including:</w:t>
      </w:r>
    </w:p>
    <w:p w14:paraId="50C4DC81" w14:textId="77777777" w:rsidR="0040692E" w:rsidRPr="00820C89" w:rsidRDefault="0040692E" w:rsidP="00715F70">
      <w:pPr>
        <w:numPr>
          <w:ilvl w:val="0"/>
          <w:numId w:val="8"/>
        </w:numPr>
        <w:spacing w:before="60" w:after="60"/>
        <w:rPr>
          <w:rFonts w:asciiTheme="majorHAnsi" w:hAnsiTheme="majorHAnsi"/>
          <w:szCs w:val="17"/>
        </w:rPr>
      </w:pPr>
      <w:r w:rsidRPr="00820C89">
        <w:rPr>
          <w:rFonts w:asciiTheme="majorHAnsi" w:hAnsiTheme="majorHAnsi"/>
          <w:szCs w:val="17"/>
        </w:rPr>
        <w:t xml:space="preserve">persistently low </w:t>
      </w:r>
      <w:r w:rsidR="000E6966" w:rsidRPr="00820C89">
        <w:rPr>
          <w:rFonts w:asciiTheme="majorHAnsi" w:hAnsiTheme="majorHAnsi"/>
          <w:szCs w:val="17"/>
        </w:rPr>
        <w:t xml:space="preserve">English </w:t>
      </w:r>
      <w:r w:rsidRPr="00820C89">
        <w:rPr>
          <w:rFonts w:asciiTheme="majorHAnsi" w:hAnsiTheme="majorHAnsi"/>
          <w:szCs w:val="17"/>
        </w:rPr>
        <w:t>literacy and numeracy levels due to sustained barriers to education,</w:t>
      </w:r>
      <w:r w:rsidRPr="00820C89">
        <w:rPr>
          <w:rFonts w:asciiTheme="majorHAnsi" w:hAnsiTheme="majorHAnsi"/>
          <w:szCs w:val="17"/>
          <w:vertAlign w:val="superscript"/>
        </w:rPr>
        <w:footnoteReference w:id="41"/>
      </w:r>
      <w:r w:rsidRPr="00820C89">
        <w:rPr>
          <w:rFonts w:asciiTheme="majorHAnsi" w:hAnsiTheme="majorHAnsi"/>
          <w:szCs w:val="17"/>
        </w:rPr>
        <w:t xml:space="preserve"> </w:t>
      </w:r>
    </w:p>
    <w:p w14:paraId="2B4C2B90" w14:textId="77777777" w:rsidR="0040692E" w:rsidRPr="00820C89" w:rsidRDefault="0040692E" w:rsidP="00715F70">
      <w:pPr>
        <w:numPr>
          <w:ilvl w:val="0"/>
          <w:numId w:val="8"/>
        </w:numPr>
        <w:spacing w:before="60" w:after="60"/>
        <w:rPr>
          <w:rFonts w:asciiTheme="majorHAnsi" w:hAnsiTheme="majorHAnsi"/>
          <w:szCs w:val="17"/>
        </w:rPr>
      </w:pPr>
      <w:r w:rsidRPr="00820C89">
        <w:rPr>
          <w:rFonts w:asciiTheme="majorHAnsi" w:hAnsiTheme="majorHAnsi"/>
          <w:szCs w:val="17"/>
        </w:rPr>
        <w:t>the tension between ‘mainstream’ employment norms and expectations and Indigenous family and cultural responsibilities,</w:t>
      </w:r>
      <w:r w:rsidRPr="00820C89">
        <w:rPr>
          <w:rFonts w:asciiTheme="majorHAnsi" w:hAnsiTheme="majorHAnsi"/>
          <w:szCs w:val="17"/>
          <w:vertAlign w:val="superscript"/>
        </w:rPr>
        <w:footnoteReference w:id="42"/>
      </w:r>
      <w:r w:rsidRPr="00820C89">
        <w:rPr>
          <w:rFonts w:asciiTheme="majorHAnsi" w:hAnsiTheme="majorHAnsi"/>
          <w:szCs w:val="17"/>
        </w:rPr>
        <w:t xml:space="preserve"> and </w:t>
      </w:r>
    </w:p>
    <w:p w14:paraId="242FFFF7" w14:textId="77777777" w:rsidR="0040692E" w:rsidRPr="00820C89" w:rsidRDefault="0040692E" w:rsidP="00715F70">
      <w:pPr>
        <w:numPr>
          <w:ilvl w:val="0"/>
          <w:numId w:val="8"/>
        </w:numPr>
        <w:spacing w:before="60" w:after="60"/>
        <w:rPr>
          <w:rFonts w:asciiTheme="majorHAnsi" w:hAnsiTheme="majorHAnsi"/>
          <w:szCs w:val="17"/>
        </w:rPr>
      </w:pPr>
      <w:r w:rsidRPr="00820C89">
        <w:rPr>
          <w:rFonts w:asciiTheme="majorHAnsi" w:hAnsiTheme="majorHAnsi"/>
          <w:szCs w:val="17"/>
        </w:rPr>
        <w:t>poor health</w:t>
      </w:r>
      <w:r w:rsidR="00AE12AB" w:rsidRPr="00820C89">
        <w:rPr>
          <w:rFonts w:asciiTheme="majorHAnsi" w:hAnsiTheme="majorHAnsi"/>
          <w:szCs w:val="17"/>
        </w:rPr>
        <w:t>,</w:t>
      </w:r>
      <w:r w:rsidRPr="00820C89">
        <w:rPr>
          <w:rFonts w:asciiTheme="majorHAnsi" w:hAnsiTheme="majorHAnsi"/>
          <w:szCs w:val="17"/>
        </w:rPr>
        <w:t xml:space="preserve"> which has a strong negative relationship with employment participation.</w:t>
      </w:r>
      <w:r w:rsidRPr="00820C89">
        <w:rPr>
          <w:rFonts w:asciiTheme="majorHAnsi" w:hAnsiTheme="majorHAnsi"/>
          <w:szCs w:val="17"/>
          <w:vertAlign w:val="superscript"/>
        </w:rPr>
        <w:footnoteReference w:id="43"/>
      </w:r>
      <w:r w:rsidRPr="00820C89">
        <w:rPr>
          <w:rFonts w:asciiTheme="majorHAnsi" w:hAnsiTheme="majorHAnsi"/>
          <w:szCs w:val="17"/>
        </w:rPr>
        <w:t xml:space="preserve"> </w:t>
      </w:r>
    </w:p>
    <w:p w14:paraId="607B7999" w14:textId="77777777" w:rsidR="0040692E" w:rsidRPr="00820C89" w:rsidRDefault="0040692E" w:rsidP="00215CFF">
      <w:pPr>
        <w:spacing w:before="170" w:after="60"/>
        <w:rPr>
          <w:rFonts w:asciiTheme="majorHAnsi" w:hAnsiTheme="majorHAnsi"/>
        </w:rPr>
      </w:pPr>
      <w:r w:rsidRPr="00820C89">
        <w:rPr>
          <w:rFonts w:asciiTheme="majorHAnsi" w:hAnsiTheme="majorHAnsi"/>
        </w:rPr>
        <w:t xml:space="preserve">While these barriers are highly individualised, access to support services may help to reduce these barriers and lead to employment opportunities and more sustainable workforce participation. In this vein, the intent of the IEP </w:t>
      </w:r>
      <w:r w:rsidR="00C874DA" w:rsidRPr="00820C89">
        <w:rPr>
          <w:rFonts w:asciiTheme="majorHAnsi" w:hAnsiTheme="majorHAnsi"/>
        </w:rPr>
        <w:t>is</w:t>
      </w:r>
      <w:r w:rsidRPr="00820C89">
        <w:rPr>
          <w:rFonts w:asciiTheme="majorHAnsi" w:hAnsiTheme="majorHAnsi"/>
        </w:rPr>
        <w:t xml:space="preserve"> to provide services that are individually tailored and culturally safe to ensure that participants are more likely to access supports. </w:t>
      </w:r>
      <w:r w:rsidR="006539E2" w:rsidRPr="00820C89">
        <w:rPr>
          <w:rFonts w:asciiTheme="majorHAnsi" w:hAnsiTheme="majorHAnsi"/>
        </w:rPr>
        <w:t>Cultural safety requires ‘</w:t>
      </w:r>
      <w:r w:rsidR="00DE2FBF" w:rsidRPr="00820C89">
        <w:rPr>
          <w:rFonts w:asciiTheme="majorHAnsi" w:hAnsiTheme="majorHAnsi"/>
        </w:rPr>
        <w:t>actions that recognise, respect and nurture the unique cultural identity of a person and safely meets their needs, expectations and rights’ and involves ‘</w:t>
      </w:r>
      <w:r w:rsidR="00632FE8" w:rsidRPr="00820C89">
        <w:rPr>
          <w:rFonts w:asciiTheme="majorHAnsi" w:hAnsiTheme="majorHAnsi"/>
        </w:rPr>
        <w:t>working from the cultural perspective of the other person.’</w:t>
      </w:r>
      <w:r w:rsidR="008E2208" w:rsidRPr="00820C89">
        <w:rPr>
          <w:rStyle w:val="FootnoteReference"/>
          <w:rFonts w:asciiTheme="majorHAnsi" w:hAnsiTheme="majorHAnsi"/>
        </w:rPr>
        <w:footnoteReference w:id="44"/>
      </w:r>
      <w:r w:rsidR="006C07EB" w:rsidRPr="00820C89">
        <w:rPr>
          <w:rFonts w:asciiTheme="majorHAnsi" w:hAnsiTheme="majorHAnsi"/>
        </w:rPr>
        <w:t xml:space="preserve"> </w:t>
      </w:r>
      <w:r w:rsidR="005F4677" w:rsidRPr="00820C89">
        <w:rPr>
          <w:rFonts w:asciiTheme="majorHAnsi" w:hAnsiTheme="majorHAnsi"/>
        </w:rPr>
        <w:t>These results may</w:t>
      </w:r>
      <w:r w:rsidRPr="00820C89">
        <w:rPr>
          <w:rFonts w:asciiTheme="majorHAnsi" w:hAnsiTheme="majorHAnsi"/>
        </w:rPr>
        <w:t xml:space="preserve"> occur as a result of:</w:t>
      </w:r>
    </w:p>
    <w:p w14:paraId="7BF4DEBC" w14:textId="77777777" w:rsidR="0040692E" w:rsidRPr="00820C89" w:rsidRDefault="0040692E" w:rsidP="00715F70">
      <w:pPr>
        <w:numPr>
          <w:ilvl w:val="0"/>
          <w:numId w:val="8"/>
        </w:numPr>
        <w:spacing w:before="60" w:after="60"/>
        <w:rPr>
          <w:rFonts w:asciiTheme="majorHAnsi" w:hAnsiTheme="majorHAnsi"/>
          <w:szCs w:val="17"/>
        </w:rPr>
      </w:pPr>
      <w:r w:rsidRPr="00820C89">
        <w:rPr>
          <w:rFonts w:asciiTheme="majorHAnsi" w:hAnsiTheme="majorHAnsi"/>
          <w:szCs w:val="17"/>
        </w:rPr>
        <w:t>participants feeling that the IEP programs are more culturally relevant and safe than mainstream employment services and so are more likely to access and engage with an IEP</w:t>
      </w:r>
    </w:p>
    <w:p w14:paraId="7C11D1AC" w14:textId="77777777" w:rsidR="0040692E" w:rsidRPr="00820C89" w:rsidRDefault="0040692E" w:rsidP="00715F70">
      <w:pPr>
        <w:numPr>
          <w:ilvl w:val="0"/>
          <w:numId w:val="8"/>
        </w:numPr>
        <w:spacing w:before="60" w:after="60"/>
        <w:rPr>
          <w:rFonts w:asciiTheme="majorHAnsi" w:hAnsiTheme="majorHAnsi"/>
          <w:szCs w:val="17"/>
        </w:rPr>
      </w:pPr>
      <w:r w:rsidRPr="00820C89">
        <w:rPr>
          <w:rFonts w:asciiTheme="majorHAnsi" w:hAnsiTheme="majorHAnsi"/>
          <w:szCs w:val="17"/>
        </w:rPr>
        <w:t xml:space="preserve">participants gaining access to a broader range of support services </w:t>
      </w:r>
      <w:r w:rsidR="00BD05AD" w:rsidRPr="00820C89">
        <w:rPr>
          <w:rFonts w:asciiTheme="majorHAnsi" w:hAnsiTheme="majorHAnsi"/>
          <w:szCs w:val="17"/>
        </w:rPr>
        <w:t>through</w:t>
      </w:r>
      <w:r w:rsidRPr="00820C89">
        <w:rPr>
          <w:rFonts w:asciiTheme="majorHAnsi" w:hAnsiTheme="majorHAnsi"/>
          <w:szCs w:val="17"/>
        </w:rPr>
        <w:t xml:space="preserve"> </w:t>
      </w:r>
      <w:r w:rsidR="001759F6" w:rsidRPr="00820C89">
        <w:rPr>
          <w:rFonts w:asciiTheme="majorHAnsi" w:hAnsiTheme="majorHAnsi"/>
          <w:szCs w:val="17"/>
        </w:rPr>
        <w:t xml:space="preserve">the IEP </w:t>
      </w:r>
      <w:r w:rsidRPr="00820C89">
        <w:rPr>
          <w:rFonts w:asciiTheme="majorHAnsi" w:hAnsiTheme="majorHAnsi"/>
          <w:szCs w:val="17"/>
        </w:rPr>
        <w:t>than they would otherwise have access to</w:t>
      </w:r>
    </w:p>
    <w:p w14:paraId="52A5AB98" w14:textId="77777777" w:rsidR="0040692E" w:rsidRPr="00820C89" w:rsidRDefault="0040692E" w:rsidP="00715F70">
      <w:pPr>
        <w:numPr>
          <w:ilvl w:val="0"/>
          <w:numId w:val="8"/>
        </w:numPr>
        <w:spacing w:before="60" w:after="60"/>
        <w:rPr>
          <w:rFonts w:asciiTheme="majorHAnsi" w:hAnsiTheme="majorHAnsi"/>
          <w:szCs w:val="17"/>
        </w:rPr>
      </w:pPr>
      <w:r w:rsidRPr="00820C89">
        <w:rPr>
          <w:rFonts w:asciiTheme="majorHAnsi" w:hAnsiTheme="majorHAnsi"/>
          <w:szCs w:val="17"/>
        </w:rPr>
        <w:t xml:space="preserve">participants being referred to other services providers, such as healthcare services, family violence support or housing services through their involvement in the </w:t>
      </w:r>
      <w:r w:rsidR="001759F6" w:rsidRPr="00820C89">
        <w:rPr>
          <w:rFonts w:asciiTheme="majorHAnsi" w:hAnsiTheme="majorHAnsi"/>
          <w:szCs w:val="17"/>
        </w:rPr>
        <w:t>IEP</w:t>
      </w:r>
      <w:r w:rsidRPr="00820C89">
        <w:rPr>
          <w:rFonts w:asciiTheme="majorHAnsi" w:hAnsiTheme="majorHAnsi"/>
          <w:szCs w:val="17"/>
        </w:rPr>
        <w:t>.</w:t>
      </w:r>
    </w:p>
    <w:p w14:paraId="38B4C6A7" w14:textId="77777777" w:rsidR="00D266D0" w:rsidRPr="00820C89" w:rsidRDefault="0040692E" w:rsidP="00BD05AD">
      <w:pPr>
        <w:spacing w:before="170"/>
        <w:rPr>
          <w:rFonts w:asciiTheme="majorHAnsi" w:hAnsiTheme="majorHAnsi"/>
        </w:rPr>
      </w:pPr>
      <w:r w:rsidRPr="00820C89">
        <w:rPr>
          <w:rFonts w:asciiTheme="majorHAnsi" w:hAnsiTheme="majorHAnsi"/>
        </w:rPr>
        <w:t xml:space="preserve">The three </w:t>
      </w:r>
      <w:r w:rsidR="001759F6" w:rsidRPr="00820C89">
        <w:rPr>
          <w:rFonts w:asciiTheme="majorHAnsi" w:hAnsiTheme="majorHAnsi"/>
        </w:rPr>
        <w:t xml:space="preserve">sub-programs </w:t>
      </w:r>
      <w:r w:rsidRPr="00820C89">
        <w:rPr>
          <w:rFonts w:asciiTheme="majorHAnsi" w:hAnsiTheme="majorHAnsi"/>
        </w:rPr>
        <w:t xml:space="preserve">do differ, however, in </w:t>
      </w:r>
      <w:r w:rsidR="00D266D0" w:rsidRPr="00820C89">
        <w:rPr>
          <w:rFonts w:asciiTheme="majorHAnsi" w:hAnsiTheme="majorHAnsi"/>
        </w:rPr>
        <w:t>the degree to which providing access to</w:t>
      </w:r>
      <w:r w:rsidRPr="00820C89">
        <w:rPr>
          <w:rFonts w:asciiTheme="majorHAnsi" w:hAnsiTheme="majorHAnsi"/>
        </w:rPr>
        <w:t xml:space="preserve"> these supports is a part of their theory of change and expected outcomes. </w:t>
      </w:r>
    </w:p>
    <w:p w14:paraId="0A35C5BE" w14:textId="77777777" w:rsidR="0040692E" w:rsidRPr="00820C89" w:rsidRDefault="0040692E" w:rsidP="00BD05AD">
      <w:pPr>
        <w:spacing w:before="170"/>
        <w:rPr>
          <w:rFonts w:asciiTheme="majorHAnsi" w:hAnsiTheme="majorHAnsi"/>
        </w:rPr>
      </w:pPr>
      <w:r w:rsidRPr="00820C89">
        <w:rPr>
          <w:rFonts w:asciiTheme="majorHAnsi" w:hAnsiTheme="majorHAnsi"/>
        </w:rPr>
        <w:lastRenderedPageBreak/>
        <w:t>Both VTEC and TAEG are tailored to Indigenous jobseekers and activities are focused on providing individualised support through case management</w:t>
      </w:r>
      <w:r w:rsidR="00E80CB4" w:rsidRPr="00820C89">
        <w:rPr>
          <w:rFonts w:asciiTheme="majorHAnsi" w:hAnsiTheme="majorHAnsi"/>
        </w:rPr>
        <w:t>, and</w:t>
      </w:r>
      <w:r w:rsidRPr="00820C89">
        <w:rPr>
          <w:rFonts w:asciiTheme="majorHAnsi" w:hAnsiTheme="majorHAnsi"/>
        </w:rPr>
        <w:t xml:space="preserve"> pre</w:t>
      </w:r>
      <w:r w:rsidR="00E80CB4" w:rsidRPr="00820C89">
        <w:rPr>
          <w:rFonts w:asciiTheme="majorHAnsi" w:hAnsiTheme="majorHAnsi"/>
        </w:rPr>
        <w:t>/</w:t>
      </w:r>
      <w:r w:rsidRPr="00820C89">
        <w:rPr>
          <w:rFonts w:asciiTheme="majorHAnsi" w:hAnsiTheme="majorHAnsi"/>
        </w:rPr>
        <w:t xml:space="preserve">post-placement. In comparison, EPI activities focus on providing tailored support during recruitment processes and general on-the-job support during employment (though some EPI </w:t>
      </w:r>
      <w:r w:rsidR="00E80CB4" w:rsidRPr="00820C89">
        <w:rPr>
          <w:rFonts w:asciiTheme="majorHAnsi" w:hAnsiTheme="majorHAnsi"/>
        </w:rPr>
        <w:t>p</w:t>
      </w:r>
      <w:r w:rsidRPr="00820C89">
        <w:rPr>
          <w:rFonts w:asciiTheme="majorHAnsi" w:hAnsiTheme="majorHAnsi"/>
        </w:rPr>
        <w:t xml:space="preserve">artners do provide more intensive mentoring and case management). As such, it is more likely that VTEC and TAEG providers will invest more heavily in supports tailored to pre-employment barriers. </w:t>
      </w:r>
    </w:p>
    <w:p w14:paraId="4BEFD207" w14:textId="77777777" w:rsidR="0040692E" w:rsidRPr="00820C89" w:rsidRDefault="0040692E" w:rsidP="0040692E">
      <w:pPr>
        <w:rPr>
          <w:rFonts w:asciiTheme="majorHAnsi" w:hAnsiTheme="majorHAnsi"/>
        </w:rPr>
      </w:pPr>
      <w:r w:rsidRPr="00820C89">
        <w:rPr>
          <w:rFonts w:asciiTheme="majorHAnsi" w:hAnsiTheme="majorHAnsi"/>
        </w:rPr>
        <w:t>To assess whether this outcome has been met, evidence is used to determine the extent to which:</w:t>
      </w:r>
    </w:p>
    <w:p w14:paraId="4A5945BC"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 xml:space="preserve">the </w:t>
      </w:r>
      <w:r w:rsidR="0015512D" w:rsidRPr="00820C89">
        <w:rPr>
          <w:rFonts w:asciiTheme="majorHAnsi" w:hAnsiTheme="majorHAnsi"/>
        </w:rPr>
        <w:t>sub-programs</w:t>
      </w:r>
      <w:r w:rsidRPr="00820C89">
        <w:rPr>
          <w:rFonts w:asciiTheme="majorHAnsi" w:hAnsiTheme="majorHAnsi"/>
        </w:rPr>
        <w:t xml:space="preserve"> create a culturally safe environment that is supportive of Indigenous jobseekers and encourages engagement</w:t>
      </w:r>
      <w:r w:rsidR="00EB2E95" w:rsidRPr="00820C89">
        <w:rPr>
          <w:rFonts w:asciiTheme="majorHAnsi" w:hAnsiTheme="majorHAnsi"/>
        </w:rPr>
        <w:t>.</w:t>
      </w:r>
    </w:p>
    <w:p w14:paraId="5DD52C6A"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participation in these support activities helps participants to gain and maintain employment, and in what contexts this is more or less likely to be effective.</w:t>
      </w:r>
    </w:p>
    <w:p w14:paraId="5615C6A8" w14:textId="77777777" w:rsidR="0007287F" w:rsidRPr="00820C89" w:rsidRDefault="0040692E" w:rsidP="00DD2E1C">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 xml:space="preserve">Program effectiveness in increasing access to supports </w:t>
      </w:r>
      <w:r w:rsidR="0007287F" w:rsidRPr="00820C89">
        <w:rPr>
          <w:rFonts w:asciiTheme="majorHAnsi" w:hAnsiTheme="majorHAnsi"/>
        </w:rPr>
        <w:t xml:space="preserve"> </w:t>
      </w:r>
    </w:p>
    <w:p w14:paraId="1C73074E" w14:textId="77777777" w:rsidR="00FC13ED" w:rsidRPr="00820C89" w:rsidRDefault="0040692E" w:rsidP="0040692E">
      <w:pPr>
        <w:rPr>
          <w:rFonts w:asciiTheme="majorHAnsi" w:hAnsiTheme="majorHAnsi"/>
        </w:rPr>
      </w:pPr>
      <w:r w:rsidRPr="00820C89">
        <w:rPr>
          <w:rFonts w:asciiTheme="majorHAnsi" w:hAnsiTheme="majorHAnsi"/>
        </w:rPr>
        <w:t xml:space="preserve">TAEG and VTEC providers </w:t>
      </w:r>
      <w:r w:rsidR="00D20712" w:rsidRPr="00820C89">
        <w:rPr>
          <w:rFonts w:asciiTheme="majorHAnsi" w:hAnsiTheme="majorHAnsi"/>
        </w:rPr>
        <w:t xml:space="preserve">consistently </w:t>
      </w:r>
      <w:r w:rsidRPr="00820C89">
        <w:rPr>
          <w:rFonts w:asciiTheme="majorHAnsi" w:hAnsiTheme="majorHAnsi"/>
        </w:rPr>
        <w:t>report that they deliver culturally safe programs that encourage jobseekers to access supports</w:t>
      </w:r>
      <w:r w:rsidR="00270FCD" w:rsidRPr="00820C89">
        <w:rPr>
          <w:rFonts w:asciiTheme="majorHAnsi" w:hAnsiTheme="majorHAnsi"/>
        </w:rPr>
        <w:t>, stating that the activities they deliver are</w:t>
      </w:r>
      <w:r w:rsidRPr="00820C89">
        <w:rPr>
          <w:rFonts w:asciiTheme="majorHAnsi" w:hAnsiTheme="majorHAnsi"/>
        </w:rPr>
        <w:t xml:space="preserve"> likely to be more Indigenous-specific and culturally tailored than that of mainstream programs</w:t>
      </w:r>
      <w:r w:rsidR="00EB2E95" w:rsidRPr="00820C89">
        <w:rPr>
          <w:rFonts w:asciiTheme="majorHAnsi" w:hAnsiTheme="majorHAnsi"/>
        </w:rPr>
        <w:t>.</w:t>
      </w:r>
    </w:p>
    <w:p w14:paraId="03EC00E0" w14:textId="77777777" w:rsidR="0040692E" w:rsidRPr="00820C89" w:rsidRDefault="0040692E" w:rsidP="0040692E">
      <w:pPr>
        <w:rPr>
          <w:rFonts w:asciiTheme="majorHAnsi" w:hAnsiTheme="majorHAnsi"/>
        </w:rPr>
      </w:pPr>
      <w:r w:rsidRPr="00820C89">
        <w:rPr>
          <w:rFonts w:asciiTheme="majorHAnsi" w:hAnsiTheme="majorHAnsi"/>
        </w:rPr>
        <w:t xml:space="preserve">During stakeholder consultations, TAEG and VTEC providers </w:t>
      </w:r>
      <w:r w:rsidR="00B52051" w:rsidRPr="00820C89">
        <w:rPr>
          <w:rFonts w:asciiTheme="majorHAnsi" w:hAnsiTheme="majorHAnsi"/>
        </w:rPr>
        <w:t>stated</w:t>
      </w:r>
      <w:r w:rsidRPr="00820C89">
        <w:rPr>
          <w:rFonts w:asciiTheme="majorHAnsi" w:hAnsiTheme="majorHAnsi"/>
        </w:rPr>
        <w:t xml:space="preserve"> that they primarily create this culturally safe environment through </w:t>
      </w:r>
      <w:r w:rsidR="00B52051" w:rsidRPr="00820C89">
        <w:rPr>
          <w:rFonts w:asciiTheme="majorHAnsi" w:hAnsiTheme="majorHAnsi"/>
        </w:rPr>
        <w:t>the delivery of</w:t>
      </w:r>
      <w:r w:rsidRPr="00820C89">
        <w:rPr>
          <w:rFonts w:asciiTheme="majorHAnsi" w:hAnsiTheme="majorHAnsi"/>
        </w:rPr>
        <w:t xml:space="preserve"> intens</w:t>
      </w:r>
      <w:r w:rsidR="00B52051" w:rsidRPr="00820C89">
        <w:rPr>
          <w:rFonts w:asciiTheme="majorHAnsi" w:hAnsiTheme="majorHAnsi"/>
        </w:rPr>
        <w:t>ive</w:t>
      </w:r>
      <w:r w:rsidRPr="00820C89">
        <w:rPr>
          <w:rFonts w:asciiTheme="majorHAnsi" w:hAnsiTheme="majorHAnsi"/>
        </w:rPr>
        <w:t xml:space="preserve"> and individualised mentoring with program participants.</w:t>
      </w:r>
      <w:r w:rsidR="00FC13ED" w:rsidRPr="00820C89">
        <w:rPr>
          <w:rFonts w:asciiTheme="majorHAnsi" w:hAnsiTheme="majorHAnsi"/>
        </w:rPr>
        <w:t xml:space="preserve"> </w:t>
      </w:r>
      <w:r w:rsidRPr="00820C89">
        <w:rPr>
          <w:rFonts w:asciiTheme="majorHAnsi" w:hAnsiTheme="majorHAnsi"/>
        </w:rPr>
        <w:t xml:space="preserve">These </w:t>
      </w:r>
      <w:r w:rsidR="00010D1C" w:rsidRPr="00820C89">
        <w:rPr>
          <w:rFonts w:asciiTheme="majorHAnsi" w:hAnsiTheme="majorHAnsi"/>
        </w:rPr>
        <w:t>providers</w:t>
      </w:r>
      <w:r w:rsidRPr="00820C89">
        <w:rPr>
          <w:rFonts w:asciiTheme="majorHAnsi" w:hAnsiTheme="majorHAnsi"/>
        </w:rPr>
        <w:t xml:space="preserve"> emphasise that forming deep and genuine relationships with program participants is of central importance to ensuring that a level of mutual trust is developed, and that participants choose to be involved in the program. For example, one provider noted that:  </w:t>
      </w:r>
    </w:p>
    <w:p w14:paraId="0FEA3412" w14:textId="77777777" w:rsidR="0040692E" w:rsidRPr="00820C89" w:rsidRDefault="0040692E" w:rsidP="0040692E">
      <w:pPr>
        <w:ind w:left="360"/>
        <w:contextualSpacing/>
        <w:rPr>
          <w:rFonts w:asciiTheme="majorHAnsi" w:hAnsiTheme="majorHAnsi"/>
          <w:i/>
        </w:rPr>
      </w:pPr>
      <w:r w:rsidRPr="00820C89">
        <w:rPr>
          <w:rFonts w:asciiTheme="majorHAnsi" w:hAnsiTheme="majorHAnsi"/>
        </w:rPr>
        <w:t xml:space="preserve"> “</w:t>
      </w:r>
      <w:r w:rsidRPr="00820C89">
        <w:rPr>
          <w:rFonts w:asciiTheme="majorHAnsi" w:hAnsiTheme="majorHAnsi"/>
          <w:i/>
        </w:rPr>
        <w:t xml:space="preserve">I think the whole program is culturally safe, there’s no doubt about it… most VTECs that pick it up understand what that’s about. It’s about genuineness, and people can’t feel genuineness and trust until you build that relationship with them.  That takes time… But in terms of cultural appropriateness, I think that most of the VTECs that I run across, especially our own, are very culturally safe places” (VTEC </w:t>
      </w:r>
      <w:r w:rsidR="001F1912" w:rsidRPr="00820C89">
        <w:rPr>
          <w:rFonts w:asciiTheme="majorHAnsi" w:hAnsiTheme="majorHAnsi"/>
          <w:i/>
        </w:rPr>
        <w:t>provider</w:t>
      </w:r>
      <w:r w:rsidRPr="00820C89">
        <w:rPr>
          <w:rFonts w:asciiTheme="majorHAnsi" w:hAnsiTheme="majorHAnsi"/>
          <w:i/>
        </w:rPr>
        <w:t>).</w:t>
      </w:r>
    </w:p>
    <w:p w14:paraId="26DC4DD7" w14:textId="77777777" w:rsidR="00FC13ED" w:rsidRPr="00820C89" w:rsidRDefault="00FC13ED" w:rsidP="0040692E">
      <w:pPr>
        <w:ind w:left="360"/>
        <w:contextualSpacing/>
        <w:rPr>
          <w:rFonts w:asciiTheme="majorHAnsi" w:hAnsiTheme="majorHAnsi"/>
          <w:i/>
        </w:rPr>
      </w:pPr>
    </w:p>
    <w:p w14:paraId="6CA2E687" w14:textId="77777777" w:rsidR="00D20712" w:rsidRPr="00820C89" w:rsidRDefault="00D20712" w:rsidP="00D20712">
      <w:pPr>
        <w:contextualSpacing/>
        <w:rPr>
          <w:rFonts w:asciiTheme="majorHAnsi" w:hAnsiTheme="majorHAnsi"/>
          <w:i/>
        </w:rPr>
      </w:pPr>
      <w:r w:rsidRPr="00820C89">
        <w:rPr>
          <w:rFonts w:asciiTheme="majorHAnsi" w:hAnsiTheme="majorHAnsi"/>
        </w:rPr>
        <w:t xml:space="preserve">This point was </w:t>
      </w:r>
      <w:r w:rsidR="004356B8" w:rsidRPr="00820C89">
        <w:rPr>
          <w:rFonts w:asciiTheme="majorHAnsi" w:hAnsiTheme="majorHAnsi"/>
        </w:rPr>
        <w:t>further</w:t>
      </w:r>
      <w:r w:rsidRPr="00820C89">
        <w:rPr>
          <w:rFonts w:asciiTheme="majorHAnsi" w:hAnsiTheme="majorHAnsi"/>
        </w:rPr>
        <w:t xml:space="preserve"> validated by consultations directly with program participants, who </w:t>
      </w:r>
      <w:r w:rsidR="00E001EB" w:rsidRPr="00820C89">
        <w:rPr>
          <w:rFonts w:asciiTheme="majorHAnsi" w:hAnsiTheme="majorHAnsi"/>
        </w:rPr>
        <w:t>overwhelmingly</w:t>
      </w:r>
      <w:r w:rsidR="00817D93" w:rsidRPr="00820C89">
        <w:rPr>
          <w:rFonts w:asciiTheme="majorHAnsi" w:hAnsiTheme="majorHAnsi"/>
        </w:rPr>
        <w:t xml:space="preserve"> </w:t>
      </w:r>
      <w:r w:rsidR="00405F86" w:rsidRPr="00820C89">
        <w:rPr>
          <w:rFonts w:asciiTheme="majorHAnsi" w:hAnsiTheme="majorHAnsi"/>
        </w:rPr>
        <w:t>emphasise</w:t>
      </w:r>
      <w:r w:rsidRPr="00820C89">
        <w:rPr>
          <w:rFonts w:asciiTheme="majorHAnsi" w:hAnsiTheme="majorHAnsi"/>
        </w:rPr>
        <w:t xml:space="preserve"> that they did feel better supported and understood in the IEP compared to mainstream programs. </w:t>
      </w:r>
      <w:r w:rsidR="00311989" w:rsidRPr="00820C89">
        <w:rPr>
          <w:rFonts w:asciiTheme="majorHAnsi" w:hAnsiTheme="majorHAnsi"/>
        </w:rPr>
        <w:t xml:space="preserve">This suggests that the efforts of providers in this </w:t>
      </w:r>
      <w:r w:rsidR="00F12E3C" w:rsidRPr="00820C89">
        <w:rPr>
          <w:rFonts w:asciiTheme="majorHAnsi" w:hAnsiTheme="majorHAnsi"/>
        </w:rPr>
        <w:t>domain</w:t>
      </w:r>
      <w:r w:rsidR="00311989" w:rsidRPr="00820C89">
        <w:rPr>
          <w:rFonts w:asciiTheme="majorHAnsi" w:hAnsiTheme="majorHAnsi"/>
        </w:rPr>
        <w:t xml:space="preserve"> </w:t>
      </w:r>
      <w:r w:rsidR="00930115" w:rsidRPr="00820C89">
        <w:rPr>
          <w:rFonts w:asciiTheme="majorHAnsi" w:hAnsiTheme="majorHAnsi"/>
        </w:rPr>
        <w:t>is</w:t>
      </w:r>
      <w:r w:rsidR="00311989" w:rsidRPr="00820C89">
        <w:rPr>
          <w:rFonts w:asciiTheme="majorHAnsi" w:hAnsiTheme="majorHAnsi"/>
        </w:rPr>
        <w:t xml:space="preserve"> </w:t>
      </w:r>
      <w:r w:rsidR="00A83808" w:rsidRPr="00820C89">
        <w:rPr>
          <w:rFonts w:asciiTheme="majorHAnsi" w:hAnsiTheme="majorHAnsi"/>
        </w:rPr>
        <w:t>translating to</w:t>
      </w:r>
      <w:r w:rsidR="00311989" w:rsidRPr="00820C89">
        <w:rPr>
          <w:rFonts w:asciiTheme="majorHAnsi" w:hAnsiTheme="majorHAnsi"/>
        </w:rPr>
        <w:t xml:space="preserve"> a tangible impact on the lived experience of participants. For example, </w:t>
      </w:r>
      <w:r w:rsidR="00565DA1" w:rsidRPr="00820C89">
        <w:rPr>
          <w:rFonts w:asciiTheme="majorHAnsi" w:hAnsiTheme="majorHAnsi"/>
        </w:rPr>
        <w:t>participants noted that:</w:t>
      </w:r>
    </w:p>
    <w:p w14:paraId="4072B670" w14:textId="77777777" w:rsidR="00D20712" w:rsidRPr="00820C89" w:rsidRDefault="00D20712" w:rsidP="00D20712">
      <w:pPr>
        <w:contextualSpacing/>
        <w:rPr>
          <w:rFonts w:asciiTheme="majorHAnsi" w:hAnsiTheme="majorHAnsi"/>
          <w:i/>
        </w:rPr>
      </w:pPr>
    </w:p>
    <w:p w14:paraId="0BCDC806" w14:textId="77777777" w:rsidR="00D20712" w:rsidRPr="00820C89" w:rsidRDefault="00C74812" w:rsidP="0051787B">
      <w:pPr>
        <w:ind w:left="360"/>
        <w:contextualSpacing/>
        <w:rPr>
          <w:rFonts w:asciiTheme="majorHAnsi" w:hAnsiTheme="majorHAnsi"/>
          <w:i/>
        </w:rPr>
      </w:pPr>
      <w:r w:rsidRPr="00820C89">
        <w:rPr>
          <w:rFonts w:asciiTheme="majorHAnsi" w:hAnsiTheme="majorHAnsi"/>
          <w:i/>
        </w:rPr>
        <w:t>“</w:t>
      </w:r>
      <w:r w:rsidR="00D20712" w:rsidRPr="00820C89">
        <w:rPr>
          <w:rFonts w:asciiTheme="majorHAnsi" w:hAnsiTheme="majorHAnsi"/>
          <w:i/>
        </w:rPr>
        <w:t>They</w:t>
      </w:r>
      <w:r w:rsidRPr="00820C89">
        <w:rPr>
          <w:rFonts w:asciiTheme="majorHAnsi" w:hAnsiTheme="majorHAnsi"/>
          <w:i/>
        </w:rPr>
        <w:t xml:space="preserve"> [VTEC provider]</w:t>
      </w:r>
      <w:r w:rsidR="00D20712" w:rsidRPr="00820C89">
        <w:rPr>
          <w:rFonts w:asciiTheme="majorHAnsi" w:hAnsiTheme="majorHAnsi"/>
          <w:i/>
        </w:rPr>
        <w:t xml:space="preserve"> would actually sit down one-on-one and speak to me, ask me what I wanted to do and what I had an interest and stuff in. With </w:t>
      </w:r>
      <w:r w:rsidRPr="00820C89">
        <w:rPr>
          <w:rFonts w:asciiTheme="majorHAnsi" w:hAnsiTheme="majorHAnsi"/>
          <w:i/>
        </w:rPr>
        <w:t>[mainstream provider]</w:t>
      </w:r>
      <w:r w:rsidR="00D20712" w:rsidRPr="00820C89">
        <w:rPr>
          <w:rFonts w:asciiTheme="majorHAnsi" w:hAnsiTheme="majorHAnsi"/>
          <w:i/>
        </w:rPr>
        <w:t>, they were chucking random jobs at me</w:t>
      </w:r>
      <w:r w:rsidRPr="00820C89">
        <w:rPr>
          <w:rFonts w:asciiTheme="majorHAnsi" w:hAnsiTheme="majorHAnsi"/>
          <w:i/>
        </w:rPr>
        <w:t>” (VTEC Participant)</w:t>
      </w:r>
    </w:p>
    <w:p w14:paraId="707F3FC8" w14:textId="77777777" w:rsidR="00C56E1D" w:rsidRPr="00820C89" w:rsidRDefault="00C56E1D" w:rsidP="00C56E1D">
      <w:pPr>
        <w:ind w:left="360"/>
        <w:contextualSpacing/>
        <w:rPr>
          <w:rFonts w:asciiTheme="majorHAnsi" w:hAnsiTheme="majorHAnsi"/>
          <w:i/>
        </w:rPr>
      </w:pPr>
    </w:p>
    <w:p w14:paraId="5CBEBEEF" w14:textId="77777777" w:rsidR="00D20712" w:rsidRPr="00820C89" w:rsidRDefault="00930115" w:rsidP="006E28B5">
      <w:pPr>
        <w:ind w:left="360"/>
        <w:contextualSpacing/>
        <w:rPr>
          <w:rFonts w:asciiTheme="majorHAnsi" w:hAnsiTheme="majorHAnsi"/>
          <w:i/>
        </w:rPr>
      </w:pPr>
      <w:r w:rsidRPr="00820C89">
        <w:rPr>
          <w:rFonts w:asciiTheme="majorHAnsi" w:hAnsiTheme="majorHAnsi"/>
          <w:i/>
        </w:rPr>
        <w:t>“Yeh, I enjoy working with the [TAEG provider] because I get to work with Aboriginal people as well as the rest of the community” (TAEG Participant)</w:t>
      </w:r>
    </w:p>
    <w:p w14:paraId="1CAFCA97" w14:textId="77777777" w:rsidR="00D20712" w:rsidRPr="00820C89" w:rsidRDefault="00D20712" w:rsidP="00D20712">
      <w:pPr>
        <w:contextualSpacing/>
        <w:rPr>
          <w:rFonts w:asciiTheme="majorHAnsi" w:hAnsiTheme="majorHAnsi"/>
          <w:i/>
        </w:rPr>
      </w:pPr>
    </w:p>
    <w:p w14:paraId="1EFBCEAF" w14:textId="77777777" w:rsidR="0040692E" w:rsidRPr="00820C89" w:rsidRDefault="0040692E" w:rsidP="0040692E">
      <w:pPr>
        <w:rPr>
          <w:rFonts w:asciiTheme="majorHAnsi" w:hAnsiTheme="majorHAnsi"/>
        </w:rPr>
      </w:pPr>
      <w:r w:rsidRPr="00820C89">
        <w:rPr>
          <w:rFonts w:asciiTheme="majorHAnsi" w:hAnsiTheme="majorHAnsi"/>
        </w:rPr>
        <w:t>Further, consultations with TAEG and VTEC employers highlight that they view</w:t>
      </w:r>
      <w:r w:rsidRPr="00820C89">
        <w:rPr>
          <w:rFonts w:asciiTheme="majorHAnsi" w:hAnsiTheme="majorHAnsi"/>
          <w:b/>
        </w:rPr>
        <w:t xml:space="preserve"> </w:t>
      </w:r>
      <w:r w:rsidRPr="00820C89">
        <w:rPr>
          <w:rFonts w:asciiTheme="majorHAnsi" w:hAnsiTheme="majorHAnsi"/>
        </w:rPr>
        <w:t>the cultural capability of providers as being a key strength of the program, and an important success factor in ensuring participants access support. Specifically, employers report that:</w:t>
      </w:r>
    </w:p>
    <w:p w14:paraId="3D34E285"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“Without the cultural capabilities of the provider team, I fear we would not be able to provide the same level of support to participants” (VTEC Employer)</w:t>
      </w:r>
      <w:r w:rsidR="00FC13ED" w:rsidRPr="00820C89">
        <w:rPr>
          <w:rFonts w:asciiTheme="majorHAnsi" w:hAnsiTheme="majorHAnsi"/>
          <w:i/>
        </w:rPr>
        <w:t>.</w:t>
      </w:r>
    </w:p>
    <w:p w14:paraId="30E2E514" w14:textId="77777777" w:rsidR="0040692E" w:rsidRPr="00820C89" w:rsidRDefault="0040692E" w:rsidP="0040692E">
      <w:pPr>
        <w:ind w:left="360"/>
        <w:contextualSpacing/>
        <w:rPr>
          <w:rFonts w:asciiTheme="majorHAnsi" w:hAnsiTheme="majorHAnsi"/>
          <w:i/>
        </w:rPr>
      </w:pPr>
    </w:p>
    <w:p w14:paraId="0B7B052A"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“I had several apprentices relocate </w:t>
      </w:r>
      <w:r w:rsidR="00573AFE" w:rsidRPr="00820C89">
        <w:rPr>
          <w:rFonts w:asciiTheme="majorHAnsi" w:hAnsiTheme="majorHAnsi"/>
          <w:i/>
        </w:rPr>
        <w:t>…</w:t>
      </w:r>
      <w:r w:rsidRPr="00820C89">
        <w:rPr>
          <w:rFonts w:asciiTheme="majorHAnsi" w:hAnsiTheme="majorHAnsi"/>
          <w:i/>
        </w:rPr>
        <w:t xml:space="preserve"> to commence their apprenticeships and I was very conscious they needed some extra culturally relevant support that we probably couldn’t provide, the VTEC provided this” (VTEC Employer).</w:t>
      </w:r>
    </w:p>
    <w:p w14:paraId="0981C805" w14:textId="77777777" w:rsidR="00FC13ED" w:rsidRPr="00820C89" w:rsidRDefault="00FC13ED" w:rsidP="0040692E">
      <w:pPr>
        <w:ind w:left="360"/>
        <w:contextualSpacing/>
        <w:rPr>
          <w:rFonts w:asciiTheme="majorHAnsi" w:hAnsiTheme="majorHAnsi"/>
          <w:i/>
        </w:rPr>
      </w:pPr>
    </w:p>
    <w:p w14:paraId="52E31E4A" w14:textId="77777777" w:rsidR="00D0529B" w:rsidRPr="00820C89" w:rsidRDefault="0040692E" w:rsidP="0040692E">
      <w:pPr>
        <w:rPr>
          <w:rFonts w:asciiTheme="majorHAnsi" w:hAnsiTheme="majorHAnsi"/>
          <w:b/>
        </w:rPr>
      </w:pPr>
      <w:r w:rsidRPr="00820C89">
        <w:rPr>
          <w:rFonts w:asciiTheme="majorHAnsi" w:hAnsiTheme="majorHAnsi"/>
        </w:rPr>
        <w:t>This provision of tailored and culturally centred supports was also observed to result in ongoing relationships (beyond the program delivery timeline) between TAEG and VTEC providers and particular jobseekers.</w:t>
      </w:r>
      <w:r w:rsidRPr="00820C89">
        <w:rPr>
          <w:rFonts w:asciiTheme="majorHAnsi" w:hAnsiTheme="majorHAnsi"/>
          <w:b/>
        </w:rPr>
        <w:t xml:space="preserve"> </w:t>
      </w:r>
    </w:p>
    <w:p w14:paraId="6E0DD8BE" w14:textId="77777777" w:rsidR="0040692E" w:rsidRPr="00820C89" w:rsidRDefault="0040692E" w:rsidP="0040692E">
      <w:pPr>
        <w:rPr>
          <w:rFonts w:asciiTheme="majorHAnsi" w:hAnsiTheme="majorHAnsi"/>
        </w:rPr>
      </w:pPr>
      <w:r w:rsidRPr="00820C89">
        <w:rPr>
          <w:rFonts w:asciiTheme="majorHAnsi" w:hAnsiTheme="majorHAnsi"/>
        </w:rPr>
        <w:lastRenderedPageBreak/>
        <w:t xml:space="preserve">In these instances, the same participants would return to providers intermittently where and when support services </w:t>
      </w:r>
      <w:r w:rsidR="00FC13ED" w:rsidRPr="00820C89">
        <w:rPr>
          <w:rFonts w:asciiTheme="majorHAnsi" w:hAnsiTheme="majorHAnsi"/>
        </w:rPr>
        <w:t>were</w:t>
      </w:r>
      <w:r w:rsidRPr="00820C89">
        <w:rPr>
          <w:rFonts w:asciiTheme="majorHAnsi" w:hAnsiTheme="majorHAnsi"/>
        </w:rPr>
        <w:t xml:space="preserve"> required</w:t>
      </w:r>
      <w:r w:rsidR="00956723" w:rsidRPr="00820C89">
        <w:rPr>
          <w:rFonts w:asciiTheme="majorHAnsi" w:hAnsiTheme="majorHAnsi"/>
        </w:rPr>
        <w:t>. This provides</w:t>
      </w:r>
      <w:r w:rsidR="00EF3CC4" w:rsidRPr="00820C89">
        <w:rPr>
          <w:rFonts w:asciiTheme="majorHAnsi" w:hAnsiTheme="majorHAnsi"/>
        </w:rPr>
        <w:t xml:space="preserve"> a point of continuity</w:t>
      </w:r>
      <w:r w:rsidR="00956723" w:rsidRPr="00820C89">
        <w:rPr>
          <w:rFonts w:asciiTheme="majorHAnsi" w:hAnsiTheme="majorHAnsi"/>
        </w:rPr>
        <w:t>,</w:t>
      </w:r>
      <w:r w:rsidR="00EF3CC4" w:rsidRPr="00820C89">
        <w:rPr>
          <w:rFonts w:asciiTheme="majorHAnsi" w:hAnsiTheme="majorHAnsi"/>
        </w:rPr>
        <w:t xml:space="preserve"> and </w:t>
      </w:r>
      <w:r w:rsidR="00956723" w:rsidRPr="00820C89">
        <w:rPr>
          <w:rFonts w:asciiTheme="majorHAnsi" w:hAnsiTheme="majorHAnsi"/>
        </w:rPr>
        <w:t>arguably minimises</w:t>
      </w:r>
      <w:r w:rsidR="00D0529B" w:rsidRPr="00820C89">
        <w:rPr>
          <w:rFonts w:asciiTheme="majorHAnsi" w:hAnsiTheme="majorHAnsi"/>
        </w:rPr>
        <w:t xml:space="preserve"> the </w:t>
      </w:r>
      <w:r w:rsidR="00956723" w:rsidRPr="00820C89">
        <w:rPr>
          <w:rFonts w:asciiTheme="majorHAnsi" w:hAnsiTheme="majorHAnsi"/>
        </w:rPr>
        <w:t xml:space="preserve">risk of jobseekers returning to </w:t>
      </w:r>
      <w:r w:rsidR="0044610C" w:rsidRPr="00820C89">
        <w:rPr>
          <w:rFonts w:asciiTheme="majorHAnsi" w:hAnsiTheme="majorHAnsi"/>
        </w:rPr>
        <w:t xml:space="preserve">long-term </w:t>
      </w:r>
      <w:r w:rsidR="00956723" w:rsidRPr="00820C89">
        <w:rPr>
          <w:rFonts w:asciiTheme="majorHAnsi" w:hAnsiTheme="majorHAnsi"/>
        </w:rPr>
        <w:t xml:space="preserve">unemployment </w:t>
      </w:r>
      <w:r w:rsidR="0044610C" w:rsidRPr="00820C89">
        <w:rPr>
          <w:rFonts w:asciiTheme="majorHAnsi" w:hAnsiTheme="majorHAnsi"/>
        </w:rPr>
        <w:t>through the provision of timely and individualised support</w:t>
      </w:r>
      <w:r w:rsidRPr="00820C89">
        <w:rPr>
          <w:rFonts w:asciiTheme="majorHAnsi" w:hAnsiTheme="majorHAnsi"/>
        </w:rPr>
        <w:t>. Three separate VTECs demonstrated this:</w:t>
      </w:r>
    </w:p>
    <w:p w14:paraId="2440E564"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“We’ve had quite a few previous candidates come back through that may have just recently finished their four-year apprenticeship.  We’ve genuinely placed them three/four years ago and they’re coming back on their own for assistance with employment again because we’re the “go-to”.  We’ve done the right thing by them previously and they’ve got that trust in us to do it again for them” (VTEC </w:t>
      </w:r>
      <w:r w:rsidR="001F1912" w:rsidRPr="00820C89">
        <w:rPr>
          <w:rFonts w:asciiTheme="majorHAnsi" w:hAnsiTheme="majorHAnsi"/>
          <w:i/>
        </w:rPr>
        <w:t>provider</w:t>
      </w:r>
      <w:r w:rsidR="009A146D" w:rsidRPr="00820C89">
        <w:rPr>
          <w:rFonts w:asciiTheme="majorHAnsi" w:hAnsiTheme="majorHAnsi"/>
          <w:i/>
        </w:rPr>
        <w:t>).</w:t>
      </w:r>
    </w:p>
    <w:p w14:paraId="68ACE440" w14:textId="77777777" w:rsidR="0040692E" w:rsidRPr="00820C89" w:rsidRDefault="0040692E" w:rsidP="0040692E">
      <w:pPr>
        <w:ind w:left="360"/>
        <w:contextualSpacing/>
        <w:rPr>
          <w:rFonts w:asciiTheme="majorHAnsi" w:hAnsiTheme="majorHAnsi"/>
          <w:i/>
        </w:rPr>
      </w:pPr>
    </w:p>
    <w:p w14:paraId="4BBD4A8F"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“By [the 26-week milestone], we’ve already developed a really strong relationship with these participants, and we’ll continue to provide that past the six months because they’ll come to us when they’ve got an issue” (VTEC </w:t>
      </w:r>
      <w:r w:rsidR="001F1912" w:rsidRPr="00820C89">
        <w:rPr>
          <w:rFonts w:asciiTheme="majorHAnsi" w:hAnsiTheme="majorHAnsi"/>
          <w:i/>
        </w:rPr>
        <w:t>provider</w:t>
      </w:r>
      <w:r w:rsidR="009A146D" w:rsidRPr="00820C89">
        <w:rPr>
          <w:rFonts w:asciiTheme="majorHAnsi" w:hAnsiTheme="majorHAnsi"/>
          <w:i/>
        </w:rPr>
        <w:t>).</w:t>
      </w:r>
    </w:p>
    <w:p w14:paraId="37E22B96" w14:textId="77777777" w:rsidR="0040692E" w:rsidRPr="00820C89" w:rsidRDefault="0040692E" w:rsidP="0040692E">
      <w:pPr>
        <w:ind w:left="360"/>
        <w:contextualSpacing/>
        <w:rPr>
          <w:rFonts w:asciiTheme="majorHAnsi" w:hAnsiTheme="majorHAnsi"/>
          <w:i/>
        </w:rPr>
      </w:pPr>
    </w:p>
    <w:p w14:paraId="7AAEF8F3"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“We are still mentoring people from more than a year ago, which is great, but we are funded to mentor them for six months […] it’s not everyone that contacts us years later but some do and we are usually able to help them particularly if they have been employed during that time, it makes it easier to find them new work or whatever” (TAEG </w:t>
      </w:r>
      <w:r w:rsidR="001F1912" w:rsidRPr="00820C89">
        <w:rPr>
          <w:rFonts w:asciiTheme="majorHAnsi" w:hAnsiTheme="majorHAnsi"/>
          <w:i/>
        </w:rPr>
        <w:t>provider</w:t>
      </w:r>
      <w:r w:rsidR="009A146D" w:rsidRPr="00820C89">
        <w:rPr>
          <w:rFonts w:asciiTheme="majorHAnsi" w:hAnsiTheme="majorHAnsi"/>
          <w:i/>
        </w:rPr>
        <w:t>).</w:t>
      </w:r>
    </w:p>
    <w:p w14:paraId="25916BDA" w14:textId="77777777" w:rsidR="00FC13ED" w:rsidRPr="00820C89" w:rsidRDefault="00FC13ED" w:rsidP="00AD20E1">
      <w:pPr>
        <w:contextualSpacing/>
        <w:rPr>
          <w:rFonts w:asciiTheme="majorHAnsi" w:hAnsiTheme="majorHAnsi"/>
          <w:i/>
        </w:rPr>
      </w:pPr>
    </w:p>
    <w:p w14:paraId="56E3617C" w14:textId="77777777" w:rsidR="0040692E" w:rsidRPr="00820C89" w:rsidRDefault="0040692E" w:rsidP="0040692E">
      <w:pPr>
        <w:rPr>
          <w:rFonts w:asciiTheme="majorHAnsi" w:hAnsiTheme="majorHAnsi"/>
        </w:rPr>
      </w:pPr>
      <w:r w:rsidRPr="00820C89">
        <w:rPr>
          <w:rFonts w:asciiTheme="majorHAnsi" w:hAnsiTheme="majorHAnsi"/>
        </w:rPr>
        <w:t>VTEC and TAEG providers report that</w:t>
      </w:r>
      <w:r w:rsidRPr="00820C89">
        <w:rPr>
          <w:rFonts w:asciiTheme="majorHAnsi" w:hAnsiTheme="majorHAnsi"/>
          <w:b/>
          <w:bCs/>
        </w:rPr>
        <w:t xml:space="preserve"> </w:t>
      </w:r>
      <w:r w:rsidRPr="00820C89">
        <w:rPr>
          <w:rFonts w:asciiTheme="majorHAnsi" w:hAnsiTheme="majorHAnsi"/>
        </w:rPr>
        <w:t>Indigenous staff members are often better able to create a culturally safe environment that encourages participants to access supports than non-Indigenous staff. These stakeholders note that Indigenous staff can leverage their cultural understanding to develop trusting relationships with participants, which in turn, enhances participants’ comfort in seeking further support. For example, providers with both a high and low representation of Indigenous staff note that:</w:t>
      </w:r>
    </w:p>
    <w:p w14:paraId="6C1FC356"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“…It’s been hard for us as a mainly non-Aboriginal organisation at times, to make participants feel that we have a genuine understanding of the barriers they are facing” (TAEG </w:t>
      </w:r>
      <w:r w:rsidR="001F1912" w:rsidRPr="00820C89">
        <w:rPr>
          <w:rFonts w:asciiTheme="majorHAnsi" w:hAnsiTheme="majorHAnsi"/>
          <w:i/>
        </w:rPr>
        <w:t>provider</w:t>
      </w:r>
      <w:r w:rsidRPr="00820C89">
        <w:rPr>
          <w:rFonts w:asciiTheme="majorHAnsi" w:hAnsiTheme="majorHAnsi"/>
          <w:i/>
        </w:rPr>
        <w:t xml:space="preserve"> with a small number of Indigenous staff)</w:t>
      </w:r>
      <w:r w:rsidR="009A146D" w:rsidRPr="00820C89">
        <w:rPr>
          <w:rFonts w:asciiTheme="majorHAnsi" w:hAnsiTheme="majorHAnsi"/>
          <w:i/>
        </w:rPr>
        <w:t>.</w:t>
      </w:r>
    </w:p>
    <w:p w14:paraId="1995ACA9" w14:textId="77777777" w:rsidR="0040692E" w:rsidRPr="00820C89" w:rsidRDefault="0040692E" w:rsidP="0040692E">
      <w:pPr>
        <w:ind w:left="360"/>
        <w:contextualSpacing/>
        <w:rPr>
          <w:rFonts w:asciiTheme="majorHAnsi" w:hAnsiTheme="majorHAnsi"/>
        </w:rPr>
      </w:pPr>
    </w:p>
    <w:p w14:paraId="1E0D90F6"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“Our managers are Indigenous people.  They are related to most of those participants across the organisation.  The participants feel that instant trust because there’s family, there’s a connection, there’s culture, there’s community” (VTEC </w:t>
      </w:r>
      <w:r w:rsidR="001F1912" w:rsidRPr="00820C89">
        <w:rPr>
          <w:rFonts w:asciiTheme="majorHAnsi" w:hAnsiTheme="majorHAnsi"/>
          <w:i/>
        </w:rPr>
        <w:t>provider</w:t>
      </w:r>
      <w:r w:rsidRPr="00820C89">
        <w:rPr>
          <w:rFonts w:asciiTheme="majorHAnsi" w:hAnsiTheme="majorHAnsi"/>
          <w:i/>
        </w:rPr>
        <w:t xml:space="preserve"> with high number of Indigenous staff</w:t>
      </w:r>
      <w:r w:rsidR="009A146D" w:rsidRPr="00820C89">
        <w:rPr>
          <w:rFonts w:asciiTheme="majorHAnsi" w:hAnsiTheme="majorHAnsi"/>
          <w:i/>
        </w:rPr>
        <w:t xml:space="preserve">. </w:t>
      </w:r>
    </w:p>
    <w:p w14:paraId="49141F19" w14:textId="5EABF890" w:rsidR="007750E4" w:rsidRPr="00820C89" w:rsidRDefault="007750E4" w:rsidP="00297EBC">
      <w:pPr>
        <w:contextualSpacing/>
        <w:rPr>
          <w:rFonts w:asciiTheme="majorHAnsi" w:hAnsiTheme="majorHAnsi"/>
          <w:i/>
        </w:rPr>
      </w:pPr>
    </w:p>
    <w:p w14:paraId="65ABC8C3" w14:textId="77777777" w:rsidR="00297EBC" w:rsidRPr="00820C89" w:rsidRDefault="00297EBC" w:rsidP="00297EBC">
      <w:pPr>
        <w:shd w:val="clear" w:color="auto" w:fill="DFF0F9" w:themeFill="accent3" w:themeFillTint="33"/>
        <w:contextualSpacing/>
        <w:rPr>
          <w:rFonts w:asciiTheme="majorHAnsi" w:hAnsiTheme="majorHAnsi"/>
          <w:b/>
          <w:bCs/>
          <w:iCs/>
        </w:rPr>
      </w:pPr>
      <w:bookmarkStart w:id="111" w:name="Suggestion7"/>
      <w:r w:rsidRPr="00820C89">
        <w:rPr>
          <w:rFonts w:asciiTheme="majorHAnsi" w:hAnsiTheme="majorHAnsi"/>
          <w:b/>
          <w:bCs/>
          <w:iCs/>
        </w:rPr>
        <w:t xml:space="preserve">Suggestion 7: </w:t>
      </w:r>
      <w:bookmarkEnd w:id="111"/>
      <w:r w:rsidRPr="00820C89">
        <w:rPr>
          <w:rFonts w:asciiTheme="majorHAnsi" w:hAnsiTheme="majorHAnsi"/>
          <w:b/>
          <w:bCs/>
          <w:iCs/>
        </w:rPr>
        <w:t>Continue to invest in culturally competent individualised support and mentoring</w:t>
      </w:r>
    </w:p>
    <w:p w14:paraId="0A41C207" w14:textId="77777777" w:rsidR="00297EBC" w:rsidRPr="00820C89" w:rsidRDefault="00297EBC" w:rsidP="00297EBC">
      <w:pPr>
        <w:shd w:val="clear" w:color="auto" w:fill="DFF0F9" w:themeFill="accent3" w:themeFillTint="33"/>
        <w:contextualSpacing/>
        <w:rPr>
          <w:rFonts w:asciiTheme="majorHAnsi" w:hAnsiTheme="majorHAnsi"/>
          <w:iCs/>
        </w:rPr>
      </w:pPr>
    </w:p>
    <w:p w14:paraId="17BD2A36" w14:textId="77777777" w:rsidR="00297EBC" w:rsidRPr="00820C89" w:rsidRDefault="00297EBC" w:rsidP="00297EBC">
      <w:pPr>
        <w:shd w:val="clear" w:color="auto" w:fill="DFF0F9" w:themeFill="accent3" w:themeFillTint="33"/>
        <w:contextualSpacing/>
        <w:rPr>
          <w:rFonts w:asciiTheme="majorHAnsi" w:hAnsiTheme="majorHAnsi"/>
          <w:iCs/>
        </w:rPr>
      </w:pPr>
      <w:r w:rsidRPr="00820C89">
        <w:rPr>
          <w:rFonts w:asciiTheme="majorHAnsi" w:hAnsiTheme="majorHAnsi"/>
          <w:iCs/>
        </w:rPr>
        <w:t>Individually tailored support and mentoring makes participants feel culturally safe, and in turn, more likely to access supports. Stakeholder consultations consistently emphasised that delivering this support in a culturally competent manner is a key success factor.</w:t>
      </w:r>
    </w:p>
    <w:p w14:paraId="4F091EC7" w14:textId="77777777" w:rsidR="00297EBC" w:rsidRPr="00820C89" w:rsidRDefault="00297EBC" w:rsidP="00297EBC">
      <w:pPr>
        <w:shd w:val="clear" w:color="auto" w:fill="DFF0F9" w:themeFill="accent3" w:themeFillTint="33"/>
        <w:contextualSpacing/>
        <w:rPr>
          <w:rFonts w:asciiTheme="majorHAnsi" w:hAnsiTheme="majorHAnsi"/>
          <w:iCs/>
        </w:rPr>
      </w:pPr>
    </w:p>
    <w:p w14:paraId="2BEE84DF" w14:textId="77777777" w:rsidR="00297EBC" w:rsidRPr="00820C89" w:rsidRDefault="00297EBC" w:rsidP="00297EBC">
      <w:pPr>
        <w:shd w:val="clear" w:color="auto" w:fill="DFF0F9" w:themeFill="accent3" w:themeFillTint="33"/>
        <w:contextualSpacing/>
        <w:rPr>
          <w:rFonts w:asciiTheme="majorHAnsi" w:hAnsiTheme="majorHAnsi"/>
          <w:iCs/>
        </w:rPr>
      </w:pPr>
      <w:r w:rsidRPr="00820C89">
        <w:rPr>
          <w:rFonts w:asciiTheme="majorHAnsi" w:hAnsiTheme="majorHAnsi"/>
          <w:iCs/>
        </w:rPr>
        <w:t>Future iterations of the programs should continue to invest in individualised support and mentoring, noting that the existing form of the program has been generally successful in achieving this outcome. In addition, processes should be put in place to encourage the use of Indigenous mentors wherever feasible, or if this is not practical, non-Indigenous mentors who have a proven track-record of cultural competency in service delivery. As Professor Deen Sanders OAM notes teaching, mentoring and support are not all the same thing:</w:t>
      </w:r>
    </w:p>
    <w:p w14:paraId="786C2AE9" w14:textId="77777777" w:rsidR="00297EBC" w:rsidRPr="00820C89" w:rsidRDefault="00297EBC" w:rsidP="00297EBC">
      <w:pPr>
        <w:shd w:val="clear" w:color="auto" w:fill="DFF0F9" w:themeFill="accent3" w:themeFillTint="33"/>
        <w:contextualSpacing/>
        <w:rPr>
          <w:rFonts w:asciiTheme="majorHAnsi" w:hAnsiTheme="majorHAnsi"/>
          <w:iCs/>
        </w:rPr>
      </w:pPr>
    </w:p>
    <w:p w14:paraId="68B72CEB" w14:textId="6B738C4C" w:rsidR="00297EBC" w:rsidRPr="00820C89" w:rsidRDefault="00297EBC" w:rsidP="00B25C10">
      <w:pPr>
        <w:shd w:val="clear" w:color="auto" w:fill="DFF0F9" w:themeFill="accent3" w:themeFillTint="33"/>
        <w:ind w:firstLine="720"/>
        <w:contextualSpacing/>
        <w:rPr>
          <w:rFonts w:asciiTheme="majorHAnsi" w:hAnsiTheme="majorHAnsi"/>
          <w:i/>
        </w:rPr>
      </w:pPr>
      <w:r w:rsidRPr="00820C89">
        <w:rPr>
          <w:rFonts w:asciiTheme="majorHAnsi" w:hAnsiTheme="majorHAnsi"/>
          <w:i/>
        </w:rPr>
        <w:t xml:space="preserve">“On a spectrum of educational experiences and teaching tools, it is common to place them on </w:t>
      </w:r>
      <w:r w:rsidR="00B25C10">
        <w:rPr>
          <w:rFonts w:asciiTheme="majorHAnsi" w:hAnsiTheme="majorHAnsi"/>
          <w:i/>
        </w:rPr>
        <w:tab/>
      </w:r>
      <w:r w:rsidRPr="00820C89">
        <w:rPr>
          <w:rFonts w:asciiTheme="majorHAnsi" w:hAnsiTheme="majorHAnsi"/>
          <w:i/>
        </w:rPr>
        <w:t xml:space="preserve">a range from didactic (teacher/mentor out front) experiences to student-led (teacher check </w:t>
      </w:r>
      <w:r w:rsidR="00B25C10">
        <w:rPr>
          <w:rFonts w:asciiTheme="majorHAnsi" w:hAnsiTheme="majorHAnsi"/>
          <w:i/>
        </w:rPr>
        <w:tab/>
      </w:r>
      <w:r w:rsidRPr="00820C89">
        <w:rPr>
          <w:rFonts w:asciiTheme="majorHAnsi" w:hAnsiTheme="majorHAnsi"/>
          <w:i/>
        </w:rPr>
        <w:t xml:space="preserve">in) experiences. As a general principle this spectrum doesn’t neatly match the Indigenous </w:t>
      </w:r>
      <w:r w:rsidR="00B25C10">
        <w:rPr>
          <w:rFonts w:asciiTheme="majorHAnsi" w:hAnsiTheme="majorHAnsi"/>
          <w:i/>
        </w:rPr>
        <w:tab/>
      </w:r>
      <w:r w:rsidRPr="00820C89">
        <w:rPr>
          <w:rFonts w:asciiTheme="majorHAnsi" w:hAnsiTheme="majorHAnsi"/>
          <w:i/>
        </w:rPr>
        <w:t xml:space="preserve">cultural processes of learning, which have tended to value the ‘side by side’, experiential </w:t>
      </w:r>
      <w:r w:rsidR="00B25C10">
        <w:rPr>
          <w:rFonts w:asciiTheme="majorHAnsi" w:hAnsiTheme="majorHAnsi"/>
          <w:i/>
        </w:rPr>
        <w:tab/>
      </w:r>
      <w:r w:rsidRPr="00820C89">
        <w:rPr>
          <w:rFonts w:asciiTheme="majorHAnsi" w:hAnsiTheme="majorHAnsi"/>
          <w:i/>
        </w:rPr>
        <w:t>form of learning.”</w:t>
      </w:r>
    </w:p>
    <w:p w14:paraId="56433260" w14:textId="77777777" w:rsidR="00297EBC" w:rsidRPr="00820C89" w:rsidRDefault="00297EBC" w:rsidP="00297EBC">
      <w:pPr>
        <w:shd w:val="clear" w:color="auto" w:fill="DFF0F9" w:themeFill="accent3" w:themeFillTint="33"/>
        <w:contextualSpacing/>
        <w:rPr>
          <w:rFonts w:asciiTheme="majorHAnsi" w:hAnsiTheme="majorHAnsi"/>
          <w:i/>
        </w:rPr>
      </w:pPr>
    </w:p>
    <w:p w14:paraId="6AF06224" w14:textId="77777777" w:rsidR="00297EBC" w:rsidRPr="00820C89" w:rsidRDefault="00297EBC" w:rsidP="00297EBC">
      <w:pPr>
        <w:shd w:val="clear" w:color="auto" w:fill="DFF0F9" w:themeFill="accent3" w:themeFillTint="33"/>
        <w:contextualSpacing/>
        <w:rPr>
          <w:rFonts w:asciiTheme="majorHAnsi" w:hAnsiTheme="majorHAnsi"/>
          <w:iCs/>
        </w:rPr>
      </w:pPr>
      <w:r w:rsidRPr="00820C89">
        <w:rPr>
          <w:rFonts w:asciiTheme="majorHAnsi" w:hAnsiTheme="majorHAnsi"/>
          <w:iCs/>
        </w:rPr>
        <w:t xml:space="preserve">This point further reinforces the importance of Indigenous mentors and in particular location (place) based mentors. </w:t>
      </w:r>
    </w:p>
    <w:p w14:paraId="22F1F40B" w14:textId="77777777" w:rsidR="00297EBC" w:rsidRPr="00820C89" w:rsidRDefault="00297EBC" w:rsidP="00297EBC">
      <w:pPr>
        <w:shd w:val="clear" w:color="auto" w:fill="DFF0F9" w:themeFill="accent3" w:themeFillTint="33"/>
        <w:contextualSpacing/>
        <w:rPr>
          <w:rFonts w:asciiTheme="majorHAnsi" w:hAnsiTheme="majorHAnsi"/>
          <w:iCs/>
        </w:rPr>
      </w:pPr>
    </w:p>
    <w:p w14:paraId="372C124E" w14:textId="77777777" w:rsidR="00297EBC" w:rsidRPr="00820C89" w:rsidRDefault="00297EBC" w:rsidP="00297EBC">
      <w:pPr>
        <w:shd w:val="clear" w:color="auto" w:fill="DFF0F9" w:themeFill="accent3" w:themeFillTint="33"/>
        <w:contextualSpacing/>
        <w:rPr>
          <w:rFonts w:asciiTheme="majorHAnsi" w:hAnsiTheme="majorHAnsi"/>
          <w:iCs/>
        </w:rPr>
      </w:pPr>
      <w:r w:rsidRPr="00820C89">
        <w:rPr>
          <w:rFonts w:asciiTheme="majorHAnsi" w:hAnsiTheme="majorHAnsi"/>
          <w:iCs/>
        </w:rPr>
        <w:t>Professor Sanders further notes that:</w:t>
      </w:r>
    </w:p>
    <w:p w14:paraId="30C6F8AD" w14:textId="77777777" w:rsidR="00297EBC" w:rsidRPr="00820C89" w:rsidRDefault="00297EBC" w:rsidP="00297EBC">
      <w:pPr>
        <w:shd w:val="clear" w:color="auto" w:fill="DFF0F9" w:themeFill="accent3" w:themeFillTint="33"/>
        <w:contextualSpacing/>
        <w:rPr>
          <w:rFonts w:asciiTheme="majorHAnsi" w:hAnsiTheme="majorHAnsi"/>
          <w:iCs/>
        </w:rPr>
      </w:pPr>
    </w:p>
    <w:p w14:paraId="5C3EE37B" w14:textId="622A3955" w:rsidR="00297EBC" w:rsidRPr="00820C89" w:rsidRDefault="00B25C10" w:rsidP="00B25C10">
      <w:pPr>
        <w:shd w:val="clear" w:color="auto" w:fill="DFF0F9" w:themeFill="accent3" w:themeFillTint="33"/>
        <w:contextualSpacing/>
        <w:rPr>
          <w:rFonts w:asciiTheme="majorHAnsi" w:hAnsiTheme="majorHAnsi"/>
          <w:i/>
        </w:rPr>
      </w:pPr>
      <w:r>
        <w:rPr>
          <w:rFonts w:asciiTheme="majorHAnsi" w:hAnsiTheme="majorHAnsi"/>
          <w:i/>
        </w:rPr>
        <w:tab/>
      </w:r>
      <w:r w:rsidR="00297EBC" w:rsidRPr="001656D4">
        <w:rPr>
          <w:rFonts w:asciiTheme="majorHAnsi" w:hAnsiTheme="majorHAnsi"/>
          <w:i/>
        </w:rPr>
        <w:t xml:space="preserve">“teaching and training methodologies have prioritised the assimilation of Indigenous people </w:t>
      </w:r>
      <w:r>
        <w:rPr>
          <w:rFonts w:asciiTheme="majorHAnsi" w:hAnsiTheme="majorHAnsi"/>
          <w:i/>
        </w:rPr>
        <w:tab/>
      </w:r>
      <w:r w:rsidR="00297EBC" w:rsidRPr="001656D4">
        <w:rPr>
          <w:rFonts w:asciiTheme="majorHAnsi" w:hAnsiTheme="majorHAnsi"/>
          <w:i/>
        </w:rPr>
        <w:t>into non-Indigenous cultures</w:t>
      </w:r>
      <w:r w:rsidR="00297EBC" w:rsidRPr="001656D4">
        <w:rPr>
          <w:i/>
        </w:rPr>
        <w:footnoteReference w:id="45"/>
      </w:r>
      <w:r w:rsidR="00297EBC" w:rsidRPr="001656D4">
        <w:rPr>
          <w:rFonts w:asciiTheme="majorHAnsi" w:hAnsiTheme="majorHAnsi"/>
          <w:i/>
          <w:vertAlign w:val="superscript"/>
        </w:rPr>
        <w:t>,</w:t>
      </w:r>
      <w:r w:rsidR="00297EBC" w:rsidRPr="001656D4">
        <w:rPr>
          <w:rFonts w:asciiTheme="majorHAnsi" w:hAnsiTheme="majorHAnsi"/>
          <w:i/>
        </w:rPr>
        <w:t xml:space="preserve"> </w:t>
      </w:r>
      <w:r w:rsidR="00297EBC" w:rsidRPr="00820C89">
        <w:rPr>
          <w:rFonts w:asciiTheme="majorHAnsi" w:hAnsiTheme="majorHAnsi"/>
          <w:i/>
        </w:rPr>
        <w:t>utilising</w:t>
      </w:r>
      <w:r w:rsidR="00297EBC" w:rsidRPr="001656D4">
        <w:rPr>
          <w:rFonts w:asciiTheme="majorHAnsi" w:hAnsiTheme="majorHAnsi"/>
          <w:i/>
        </w:rPr>
        <w:t xml:space="preserve"> non-Indigenous models of engagement. For </w:t>
      </w:r>
      <w:r>
        <w:rPr>
          <w:rFonts w:asciiTheme="majorHAnsi" w:hAnsiTheme="majorHAnsi"/>
          <w:i/>
        </w:rPr>
        <w:tab/>
      </w:r>
      <w:r w:rsidR="00297EBC" w:rsidRPr="001656D4">
        <w:rPr>
          <w:rFonts w:asciiTheme="majorHAnsi" w:hAnsiTheme="majorHAnsi"/>
          <w:i/>
        </w:rPr>
        <w:t xml:space="preserve">Indigenous Australians, mentoring is not only an instructional methodology but an exercise in </w:t>
      </w:r>
      <w:r>
        <w:rPr>
          <w:rFonts w:asciiTheme="majorHAnsi" w:hAnsiTheme="majorHAnsi"/>
          <w:i/>
        </w:rPr>
        <w:tab/>
      </w:r>
      <w:r w:rsidR="00297EBC" w:rsidRPr="001656D4">
        <w:rPr>
          <w:rFonts w:asciiTheme="majorHAnsi" w:hAnsiTheme="majorHAnsi"/>
          <w:i/>
        </w:rPr>
        <w:t xml:space="preserve">relationality, where ‘relationality’ is a perspective of Indigenous culture that anchors </w:t>
      </w:r>
      <w:r>
        <w:rPr>
          <w:rFonts w:asciiTheme="majorHAnsi" w:hAnsiTheme="majorHAnsi"/>
          <w:i/>
        </w:rPr>
        <w:tab/>
      </w:r>
      <w:r w:rsidR="00297EBC" w:rsidRPr="001656D4">
        <w:rPr>
          <w:rFonts w:asciiTheme="majorHAnsi" w:hAnsiTheme="majorHAnsi"/>
          <w:i/>
        </w:rPr>
        <w:t xml:space="preserve">experience (living and learning) in the connections between people and all other things, </w:t>
      </w:r>
      <w:r>
        <w:rPr>
          <w:rFonts w:asciiTheme="majorHAnsi" w:hAnsiTheme="majorHAnsi"/>
          <w:i/>
        </w:rPr>
        <w:tab/>
      </w:r>
      <w:r w:rsidR="00297EBC" w:rsidRPr="001656D4">
        <w:rPr>
          <w:rFonts w:asciiTheme="majorHAnsi" w:hAnsiTheme="majorHAnsi"/>
          <w:i/>
        </w:rPr>
        <w:t>including country</w:t>
      </w:r>
      <w:r w:rsidR="00297EBC" w:rsidRPr="001656D4">
        <w:rPr>
          <w:i/>
        </w:rPr>
        <w:footnoteReference w:id="46"/>
      </w:r>
      <w:r w:rsidR="00297EBC" w:rsidRPr="001656D4">
        <w:rPr>
          <w:rFonts w:asciiTheme="majorHAnsi" w:hAnsiTheme="majorHAnsi"/>
          <w:i/>
          <w:vertAlign w:val="superscript"/>
        </w:rPr>
        <w:t>.</w:t>
      </w:r>
      <w:r w:rsidR="00297EBC" w:rsidRPr="001656D4">
        <w:rPr>
          <w:rFonts w:asciiTheme="majorHAnsi" w:hAnsiTheme="majorHAnsi"/>
          <w:i/>
        </w:rPr>
        <w:t xml:space="preserve"> </w:t>
      </w:r>
    </w:p>
    <w:p w14:paraId="73A9CF54" w14:textId="77777777" w:rsidR="00297EBC" w:rsidRPr="00820C89" w:rsidRDefault="00297EBC" w:rsidP="00B25C10">
      <w:pPr>
        <w:shd w:val="clear" w:color="auto" w:fill="DFF0F9" w:themeFill="accent3" w:themeFillTint="33"/>
        <w:contextualSpacing/>
        <w:rPr>
          <w:rFonts w:asciiTheme="majorHAnsi" w:hAnsiTheme="majorHAnsi"/>
          <w:i/>
        </w:rPr>
      </w:pPr>
    </w:p>
    <w:p w14:paraId="5483CE10" w14:textId="59E34F18" w:rsidR="00297EBC" w:rsidRPr="001656D4" w:rsidRDefault="00B25C10" w:rsidP="00B25C10">
      <w:pPr>
        <w:shd w:val="clear" w:color="auto" w:fill="DFF0F9" w:themeFill="accent3" w:themeFillTint="33"/>
        <w:contextualSpacing/>
        <w:rPr>
          <w:rFonts w:asciiTheme="majorHAnsi" w:hAnsiTheme="majorHAnsi"/>
          <w:i/>
        </w:rPr>
      </w:pPr>
      <w:r>
        <w:rPr>
          <w:rFonts w:asciiTheme="majorHAnsi" w:hAnsiTheme="majorHAnsi"/>
          <w:i/>
        </w:rPr>
        <w:tab/>
      </w:r>
      <w:r w:rsidR="00297EBC" w:rsidRPr="001656D4">
        <w:rPr>
          <w:rFonts w:asciiTheme="majorHAnsi" w:hAnsiTheme="majorHAnsi"/>
          <w:i/>
        </w:rPr>
        <w:t>Mentoring</w:t>
      </w:r>
      <w:r w:rsidR="00297EBC" w:rsidRPr="00820C89">
        <w:rPr>
          <w:rFonts w:asciiTheme="majorHAnsi" w:hAnsiTheme="majorHAnsi"/>
          <w:i/>
        </w:rPr>
        <w:t xml:space="preserve"> for Indigenous Australians then</w:t>
      </w:r>
      <w:r w:rsidR="00297EBC" w:rsidRPr="001656D4">
        <w:rPr>
          <w:rFonts w:asciiTheme="majorHAnsi" w:hAnsiTheme="majorHAnsi"/>
          <w:i/>
        </w:rPr>
        <w:t>, as a practice of support and instruction</w:t>
      </w:r>
      <w:r w:rsidR="00297EBC" w:rsidRPr="00820C89">
        <w:rPr>
          <w:rFonts w:asciiTheme="majorHAnsi" w:hAnsiTheme="majorHAnsi"/>
          <w:i/>
        </w:rPr>
        <w:t>,</w:t>
      </w:r>
      <w:r w:rsidR="00297EBC" w:rsidRPr="001656D4">
        <w:rPr>
          <w:rFonts w:asciiTheme="majorHAnsi" w:hAnsiTheme="majorHAnsi"/>
          <w:i/>
        </w:rPr>
        <w:t xml:space="preserve"> is most </w:t>
      </w:r>
      <w:r>
        <w:rPr>
          <w:rFonts w:asciiTheme="majorHAnsi" w:hAnsiTheme="majorHAnsi"/>
          <w:i/>
        </w:rPr>
        <w:tab/>
      </w:r>
      <w:r w:rsidR="00297EBC" w:rsidRPr="001656D4">
        <w:rPr>
          <w:rFonts w:asciiTheme="majorHAnsi" w:hAnsiTheme="majorHAnsi"/>
          <w:i/>
        </w:rPr>
        <w:t xml:space="preserve">successful when it is anchored in relationships, in relationality, where bonds and connections </w:t>
      </w:r>
      <w:r>
        <w:rPr>
          <w:rFonts w:asciiTheme="majorHAnsi" w:hAnsiTheme="majorHAnsi"/>
          <w:i/>
        </w:rPr>
        <w:tab/>
      </w:r>
      <w:r w:rsidR="00297EBC" w:rsidRPr="001656D4">
        <w:rPr>
          <w:rFonts w:asciiTheme="majorHAnsi" w:hAnsiTheme="majorHAnsi"/>
          <w:i/>
        </w:rPr>
        <w:t>are made and anchored in cultural concepts of community and self</w:t>
      </w:r>
      <w:r w:rsidR="00297EBC" w:rsidRPr="00820C89">
        <w:rPr>
          <w:rFonts w:asciiTheme="majorHAnsi" w:hAnsiTheme="majorHAnsi"/>
          <w:i/>
        </w:rPr>
        <w:t xml:space="preserve">. Put simply, Indigenous </w:t>
      </w:r>
      <w:r>
        <w:rPr>
          <w:rFonts w:asciiTheme="majorHAnsi" w:hAnsiTheme="majorHAnsi"/>
          <w:i/>
        </w:rPr>
        <w:tab/>
      </w:r>
      <w:r w:rsidR="00297EBC" w:rsidRPr="00820C89">
        <w:rPr>
          <w:rFonts w:asciiTheme="majorHAnsi" w:hAnsiTheme="majorHAnsi"/>
          <w:i/>
        </w:rPr>
        <w:t xml:space="preserve">mentors are doing more in the act of mentoring then mere mentoring. They are building </w:t>
      </w:r>
      <w:r>
        <w:rPr>
          <w:rFonts w:asciiTheme="majorHAnsi" w:hAnsiTheme="majorHAnsi"/>
          <w:i/>
        </w:rPr>
        <w:tab/>
      </w:r>
      <w:r w:rsidR="00297EBC" w:rsidRPr="00820C89">
        <w:rPr>
          <w:rFonts w:asciiTheme="majorHAnsi" w:hAnsiTheme="majorHAnsi"/>
          <w:i/>
        </w:rPr>
        <w:t xml:space="preserve">connectivity to new knowledge and opportunity but also strengthening the individual and </w:t>
      </w:r>
      <w:r>
        <w:rPr>
          <w:rFonts w:asciiTheme="majorHAnsi" w:hAnsiTheme="majorHAnsi"/>
          <w:i/>
        </w:rPr>
        <w:tab/>
      </w:r>
      <w:r w:rsidR="00297EBC" w:rsidRPr="00820C89">
        <w:rPr>
          <w:rFonts w:asciiTheme="majorHAnsi" w:hAnsiTheme="majorHAnsi"/>
          <w:i/>
        </w:rPr>
        <w:t>their connection to culture, country and confidence</w:t>
      </w:r>
      <w:r w:rsidR="00297EBC" w:rsidRPr="001656D4">
        <w:rPr>
          <w:rFonts w:asciiTheme="majorHAnsi" w:hAnsiTheme="majorHAnsi"/>
          <w:i/>
        </w:rPr>
        <w:t xml:space="preserve">.”  </w:t>
      </w:r>
    </w:p>
    <w:p w14:paraId="5F852217" w14:textId="77777777" w:rsidR="00297EBC" w:rsidRPr="00820C89" w:rsidRDefault="00297EBC" w:rsidP="00297EBC">
      <w:pPr>
        <w:shd w:val="clear" w:color="auto" w:fill="DFF0F9" w:themeFill="accent3" w:themeFillTint="33"/>
        <w:contextualSpacing/>
        <w:rPr>
          <w:rFonts w:asciiTheme="majorHAnsi" w:hAnsiTheme="majorHAnsi"/>
          <w:iCs/>
        </w:rPr>
      </w:pPr>
    </w:p>
    <w:p w14:paraId="50904169" w14:textId="1179A3E0" w:rsidR="00297EBC" w:rsidRDefault="00297EBC" w:rsidP="00297EBC">
      <w:pPr>
        <w:shd w:val="clear" w:color="auto" w:fill="DFF0F9" w:themeFill="accent3" w:themeFillTint="33"/>
        <w:rPr>
          <w:rFonts w:asciiTheme="majorHAnsi" w:hAnsiTheme="majorHAnsi"/>
        </w:rPr>
      </w:pPr>
      <w:r w:rsidRPr="00820C89">
        <w:rPr>
          <w:rFonts w:asciiTheme="majorHAnsi" w:hAnsiTheme="majorHAnsi"/>
          <w:iCs/>
        </w:rPr>
        <w:t>Investing in the development of Indigenous mentors is an investment in the long term success of Indigenous employment in a way that values and strengthens cultural value for all participants.</w:t>
      </w:r>
    </w:p>
    <w:p w14:paraId="23F9EEBB" w14:textId="698C907F" w:rsidR="0040692E" w:rsidRPr="00820C89" w:rsidRDefault="0040692E" w:rsidP="0040692E">
      <w:pPr>
        <w:rPr>
          <w:rFonts w:asciiTheme="majorHAnsi" w:hAnsiTheme="majorHAnsi"/>
        </w:rPr>
      </w:pPr>
      <w:r w:rsidRPr="00820C89">
        <w:rPr>
          <w:rFonts w:asciiTheme="majorHAnsi" w:hAnsiTheme="majorHAnsi"/>
        </w:rPr>
        <w:t>Providers emphasised that having long-standing relationships with the communities in which they operate helps build trust and allows them to offer a valuable continuity of service. For example, one VTEC provider emphasised that operating in the same remote community for over 20 years means that the local Indigenous community has a strong level of trust and appreciation for the work the provider does. The provider noted that:</w:t>
      </w:r>
    </w:p>
    <w:p w14:paraId="46483DF2"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“Our strength lies in our ability to work very closely with a lot of community organisations.  Firstly, with Aboriginal organisations and secondly with other organisations who can assist us with our program.  And we’ve got a good name, we’ve got a good reputation because we listen and we work with and we’re immersed in the community at all levels” (</w:t>
      </w:r>
      <w:r w:rsidR="00CC6281" w:rsidRPr="00820C89">
        <w:rPr>
          <w:rFonts w:asciiTheme="majorHAnsi" w:hAnsiTheme="majorHAnsi"/>
          <w:i/>
        </w:rPr>
        <w:t xml:space="preserve">VTEC </w:t>
      </w:r>
      <w:r w:rsidR="001F1912" w:rsidRPr="00820C89">
        <w:rPr>
          <w:rFonts w:asciiTheme="majorHAnsi" w:hAnsiTheme="majorHAnsi"/>
          <w:i/>
        </w:rPr>
        <w:t>provider</w:t>
      </w:r>
      <w:r w:rsidRPr="00820C89">
        <w:rPr>
          <w:rFonts w:asciiTheme="majorHAnsi" w:hAnsiTheme="majorHAnsi"/>
          <w:i/>
        </w:rPr>
        <w:t>)</w:t>
      </w:r>
      <w:r w:rsidR="00455B4F" w:rsidRPr="00820C89">
        <w:rPr>
          <w:rFonts w:asciiTheme="majorHAnsi" w:hAnsiTheme="majorHAnsi"/>
          <w:i/>
        </w:rPr>
        <w:t>.</w:t>
      </w:r>
    </w:p>
    <w:p w14:paraId="5C7D47BA" w14:textId="77777777" w:rsidR="00FC13ED" w:rsidRPr="00820C89" w:rsidRDefault="00FC13ED" w:rsidP="0040692E">
      <w:pPr>
        <w:ind w:left="360"/>
        <w:contextualSpacing/>
        <w:rPr>
          <w:rFonts w:asciiTheme="majorHAnsi" w:hAnsiTheme="majorHAnsi"/>
          <w:i/>
        </w:rPr>
      </w:pPr>
    </w:p>
    <w:p w14:paraId="4D358A1A" w14:textId="77777777" w:rsidR="0040692E" w:rsidRPr="00820C89" w:rsidRDefault="0040692E" w:rsidP="0040692E">
      <w:pPr>
        <w:rPr>
          <w:rFonts w:asciiTheme="majorHAnsi" w:hAnsiTheme="majorHAnsi"/>
        </w:rPr>
      </w:pPr>
      <w:r w:rsidRPr="00820C89">
        <w:rPr>
          <w:rFonts w:asciiTheme="majorHAnsi" w:hAnsiTheme="majorHAnsi"/>
        </w:rPr>
        <w:t>Furthermore, the provider argued that this enables them to provide continuity of service to the community, in that they can formally or informally work with the same participants multiple times over several years.</w:t>
      </w:r>
    </w:p>
    <w:p w14:paraId="19FFF7FE" w14:textId="77777777" w:rsidR="006E28B5" w:rsidRPr="00820C89" w:rsidRDefault="006E28B5" w:rsidP="006E28B5">
      <w:pPr>
        <w:rPr>
          <w:rFonts w:asciiTheme="majorHAnsi" w:hAnsiTheme="majorHAnsi"/>
        </w:rPr>
      </w:pPr>
      <w:r w:rsidRPr="00820C89">
        <w:rPr>
          <w:rFonts w:asciiTheme="majorHAnsi" w:hAnsiTheme="majorHAnsi"/>
        </w:rPr>
        <w:t xml:space="preserve">On balance, stakeholder consultations with providers and participants suggest that while providers do make referrals to other </w:t>
      </w:r>
      <w:r w:rsidR="00A80B46" w:rsidRPr="00820C89">
        <w:rPr>
          <w:rFonts w:asciiTheme="majorHAnsi" w:hAnsiTheme="majorHAnsi"/>
        </w:rPr>
        <w:t>services</w:t>
      </w:r>
      <w:r w:rsidR="00B75A54" w:rsidRPr="00820C89">
        <w:rPr>
          <w:rFonts w:asciiTheme="majorHAnsi" w:hAnsiTheme="majorHAnsi"/>
        </w:rPr>
        <w:t xml:space="preserve">, </w:t>
      </w:r>
      <w:r w:rsidR="002967D8" w:rsidRPr="00820C89">
        <w:rPr>
          <w:rFonts w:asciiTheme="majorHAnsi" w:hAnsiTheme="majorHAnsi"/>
        </w:rPr>
        <w:t>it</w:t>
      </w:r>
      <w:r w:rsidR="00B75A54" w:rsidRPr="00820C89">
        <w:rPr>
          <w:rFonts w:asciiTheme="majorHAnsi" w:hAnsiTheme="majorHAnsi"/>
        </w:rPr>
        <w:t xml:space="preserve"> is not a central feature of the program</w:t>
      </w:r>
      <w:r w:rsidR="000474F1" w:rsidRPr="00820C89">
        <w:rPr>
          <w:rFonts w:asciiTheme="majorHAnsi" w:hAnsiTheme="majorHAnsi"/>
        </w:rPr>
        <w:t>s</w:t>
      </w:r>
      <w:r w:rsidR="00B75A54" w:rsidRPr="00820C89">
        <w:rPr>
          <w:rFonts w:asciiTheme="majorHAnsi" w:hAnsiTheme="majorHAnsi"/>
        </w:rPr>
        <w:t xml:space="preserve"> and does not occur </w:t>
      </w:r>
      <w:r w:rsidR="00617086" w:rsidRPr="00820C89">
        <w:rPr>
          <w:rFonts w:asciiTheme="majorHAnsi" w:hAnsiTheme="majorHAnsi"/>
        </w:rPr>
        <w:t>in most instances</w:t>
      </w:r>
      <w:r w:rsidR="00B75A54" w:rsidRPr="00820C89">
        <w:rPr>
          <w:rFonts w:asciiTheme="majorHAnsi" w:hAnsiTheme="majorHAnsi"/>
        </w:rPr>
        <w:t>.</w:t>
      </w:r>
      <w:r w:rsidR="00602B7C" w:rsidRPr="00820C89">
        <w:rPr>
          <w:rFonts w:asciiTheme="majorHAnsi" w:hAnsiTheme="majorHAnsi"/>
        </w:rPr>
        <w:t xml:space="preserve"> Providers generally </w:t>
      </w:r>
      <w:r w:rsidR="00957960" w:rsidRPr="00820C89">
        <w:rPr>
          <w:rFonts w:asciiTheme="majorHAnsi" w:hAnsiTheme="majorHAnsi"/>
        </w:rPr>
        <w:t>emphasise</w:t>
      </w:r>
      <w:r w:rsidR="00602B7C" w:rsidRPr="00820C89">
        <w:rPr>
          <w:rFonts w:asciiTheme="majorHAnsi" w:hAnsiTheme="majorHAnsi"/>
        </w:rPr>
        <w:t xml:space="preserve"> </w:t>
      </w:r>
      <w:r w:rsidR="003E5B24" w:rsidRPr="00820C89">
        <w:rPr>
          <w:rFonts w:asciiTheme="majorHAnsi" w:hAnsiTheme="majorHAnsi"/>
        </w:rPr>
        <w:t xml:space="preserve">that this </w:t>
      </w:r>
      <w:r w:rsidR="006F428C" w:rsidRPr="00820C89">
        <w:rPr>
          <w:rFonts w:asciiTheme="majorHAnsi" w:hAnsiTheme="majorHAnsi"/>
        </w:rPr>
        <w:t>is</w:t>
      </w:r>
      <w:r w:rsidR="003E5B24" w:rsidRPr="00820C89">
        <w:rPr>
          <w:rFonts w:asciiTheme="majorHAnsi" w:hAnsiTheme="majorHAnsi"/>
        </w:rPr>
        <w:t xml:space="preserve"> </w:t>
      </w:r>
      <w:r w:rsidR="00F57E80" w:rsidRPr="00820C89">
        <w:rPr>
          <w:rFonts w:asciiTheme="majorHAnsi" w:hAnsiTheme="majorHAnsi"/>
        </w:rPr>
        <w:t>because most participants’ b</w:t>
      </w:r>
      <w:r w:rsidR="007F5FD4" w:rsidRPr="00820C89">
        <w:rPr>
          <w:rFonts w:asciiTheme="majorHAnsi" w:hAnsiTheme="majorHAnsi"/>
        </w:rPr>
        <w:t>arriers to employment could be addressed by the provider organisation itself (e.g. building confidence and basic work readiness skills) and that it was only where a specific skillset was required that a referral may be made.</w:t>
      </w:r>
      <w:r w:rsidR="00C330A1" w:rsidRPr="00820C89">
        <w:rPr>
          <w:rFonts w:asciiTheme="majorHAnsi" w:hAnsiTheme="majorHAnsi"/>
        </w:rPr>
        <w:t xml:space="preserve"> For example,</w:t>
      </w:r>
      <w:r w:rsidR="00B014C3" w:rsidRPr="00820C89">
        <w:rPr>
          <w:rFonts w:asciiTheme="majorHAnsi" w:hAnsiTheme="majorHAnsi"/>
        </w:rPr>
        <w:t xml:space="preserve"> one</w:t>
      </w:r>
      <w:r w:rsidR="00C330A1" w:rsidRPr="00820C89">
        <w:rPr>
          <w:rFonts w:asciiTheme="majorHAnsi" w:hAnsiTheme="majorHAnsi"/>
        </w:rPr>
        <w:t xml:space="preserve"> provider noted that:</w:t>
      </w:r>
    </w:p>
    <w:p w14:paraId="0BD97802" w14:textId="01489141" w:rsidR="00FC0FE2" w:rsidRPr="00820C89" w:rsidRDefault="00C330A1" w:rsidP="00C330A1">
      <w:pPr>
        <w:pStyle w:val="Body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hanging="705"/>
        <w:rPr>
          <w:rFonts w:asciiTheme="majorHAnsi" w:hAnsiTheme="majorHAnsi"/>
          <w:i/>
        </w:rPr>
      </w:pPr>
      <w:r w:rsidRPr="00820C89">
        <w:rPr>
          <w:rFonts w:asciiTheme="majorHAnsi" w:hAnsiTheme="majorHAnsi"/>
          <w:i/>
        </w:rPr>
        <w:tab/>
      </w:r>
      <w:r w:rsidR="00B014C3" w:rsidRPr="00820C89">
        <w:rPr>
          <w:rFonts w:asciiTheme="majorHAnsi" w:hAnsiTheme="majorHAnsi"/>
          <w:i/>
        </w:rPr>
        <w:t>“</w:t>
      </w:r>
      <w:r w:rsidR="00FC0FE2" w:rsidRPr="00820C89">
        <w:rPr>
          <w:rFonts w:asciiTheme="majorHAnsi" w:hAnsiTheme="majorHAnsi"/>
          <w:i/>
        </w:rPr>
        <w:t xml:space="preserve">And another </w:t>
      </w:r>
      <w:r w:rsidR="00B014C3" w:rsidRPr="00820C89">
        <w:rPr>
          <w:rFonts w:asciiTheme="majorHAnsi" w:hAnsiTheme="majorHAnsi"/>
          <w:i/>
        </w:rPr>
        <w:t>participant [was referred to and]</w:t>
      </w:r>
      <w:r w:rsidR="00FC0FE2" w:rsidRPr="00820C89">
        <w:rPr>
          <w:rFonts w:asciiTheme="majorHAnsi" w:hAnsiTheme="majorHAnsi"/>
          <w:i/>
        </w:rPr>
        <w:t xml:space="preserve"> himself into drug and alcohol rehab</w:t>
      </w:r>
      <w:r w:rsidR="00B014C3" w:rsidRPr="00820C89">
        <w:rPr>
          <w:rFonts w:asciiTheme="majorHAnsi" w:hAnsiTheme="majorHAnsi"/>
          <w:i/>
        </w:rPr>
        <w:t>…</w:t>
      </w:r>
      <w:r w:rsidR="00FC0FE2" w:rsidRPr="00820C89">
        <w:rPr>
          <w:rFonts w:asciiTheme="majorHAnsi" w:hAnsiTheme="majorHAnsi"/>
          <w:i/>
        </w:rPr>
        <w:t xml:space="preserve"> we see that as a result of his participation in the program because he went to, when he finished it, he went to get serious help in a long term program of drug and alcohol management.  And so that was an outcome, it’s not a job but it’s sort of trying to get his life together kind of outcome. (VTEC</w:t>
      </w:r>
      <w:r w:rsidR="00A7232C" w:rsidRPr="00820C89">
        <w:rPr>
          <w:rFonts w:asciiTheme="majorHAnsi" w:hAnsiTheme="majorHAnsi"/>
          <w:i/>
        </w:rPr>
        <w:t xml:space="preserve"> provider</w:t>
      </w:r>
      <w:r w:rsidR="00FC0FE2" w:rsidRPr="00820C89">
        <w:rPr>
          <w:rFonts w:asciiTheme="majorHAnsi" w:hAnsiTheme="majorHAnsi"/>
          <w:i/>
        </w:rPr>
        <w:t>)</w:t>
      </w:r>
    </w:p>
    <w:p w14:paraId="30DDA910" w14:textId="77777777" w:rsidR="00E07593" w:rsidRPr="00820C89" w:rsidRDefault="002967D8" w:rsidP="00EB2E95">
      <w:pPr>
        <w:rPr>
          <w:rFonts w:asciiTheme="majorHAnsi" w:hAnsiTheme="majorHAnsi"/>
        </w:rPr>
      </w:pPr>
      <w:r w:rsidRPr="00820C89">
        <w:rPr>
          <w:rFonts w:asciiTheme="majorHAnsi" w:hAnsiTheme="majorHAnsi"/>
        </w:rPr>
        <w:t xml:space="preserve">However, some caution should be taken in interpreting this result, as it is also possible that in </w:t>
      </w:r>
      <w:r w:rsidR="00722A1F" w:rsidRPr="00820C89">
        <w:rPr>
          <w:rFonts w:asciiTheme="majorHAnsi" w:hAnsiTheme="majorHAnsi"/>
        </w:rPr>
        <w:t>some</w:t>
      </w:r>
      <w:r w:rsidRPr="00820C89">
        <w:rPr>
          <w:rFonts w:asciiTheme="majorHAnsi" w:hAnsiTheme="majorHAnsi"/>
        </w:rPr>
        <w:t xml:space="preserve"> instances </w:t>
      </w:r>
      <w:r w:rsidR="00DD174B" w:rsidRPr="00820C89">
        <w:rPr>
          <w:rFonts w:asciiTheme="majorHAnsi" w:hAnsiTheme="majorHAnsi"/>
        </w:rPr>
        <w:t>providers do not have a clear incentive to make referrals to other organisations</w:t>
      </w:r>
      <w:r w:rsidR="00617086" w:rsidRPr="00820C89">
        <w:rPr>
          <w:rFonts w:asciiTheme="majorHAnsi" w:hAnsiTheme="majorHAnsi"/>
        </w:rPr>
        <w:t>.</w:t>
      </w:r>
      <w:r w:rsidR="00DD174B" w:rsidRPr="00820C89">
        <w:rPr>
          <w:rFonts w:asciiTheme="majorHAnsi" w:hAnsiTheme="majorHAnsi"/>
        </w:rPr>
        <w:t xml:space="preserve"> </w:t>
      </w:r>
      <w:r w:rsidR="00EF2220" w:rsidRPr="00820C89">
        <w:rPr>
          <w:rFonts w:asciiTheme="majorHAnsi" w:hAnsiTheme="majorHAnsi"/>
        </w:rPr>
        <w:t xml:space="preserve">For example, a provider may </w:t>
      </w:r>
      <w:r w:rsidR="003065AC" w:rsidRPr="00820C89">
        <w:rPr>
          <w:rFonts w:asciiTheme="majorHAnsi" w:hAnsiTheme="majorHAnsi"/>
        </w:rPr>
        <w:t>refer a participant to an</w:t>
      </w:r>
      <w:r w:rsidR="00EF2220" w:rsidRPr="00820C89">
        <w:rPr>
          <w:rFonts w:asciiTheme="majorHAnsi" w:hAnsiTheme="majorHAnsi"/>
        </w:rPr>
        <w:t>other organisation aimed at addressing long-term barriers to unemployment (such as mental health challenges or alcohol/drug issues)</w:t>
      </w:r>
      <w:r w:rsidR="00457810" w:rsidRPr="00820C89">
        <w:rPr>
          <w:rFonts w:asciiTheme="majorHAnsi" w:hAnsiTheme="majorHAnsi"/>
        </w:rPr>
        <w:t xml:space="preserve">, and while this </w:t>
      </w:r>
      <w:r w:rsidR="00457810" w:rsidRPr="00820C89">
        <w:rPr>
          <w:rFonts w:asciiTheme="majorHAnsi" w:hAnsiTheme="majorHAnsi"/>
        </w:rPr>
        <w:lastRenderedPageBreak/>
        <w:t xml:space="preserve">may benefit the participant it may not </w:t>
      </w:r>
      <w:r w:rsidR="00046F37" w:rsidRPr="00820C89">
        <w:rPr>
          <w:rFonts w:asciiTheme="majorHAnsi" w:hAnsiTheme="majorHAnsi"/>
        </w:rPr>
        <w:t>increase the likelihood of</w:t>
      </w:r>
      <w:r w:rsidR="00457810" w:rsidRPr="00820C89">
        <w:rPr>
          <w:rFonts w:asciiTheme="majorHAnsi" w:hAnsiTheme="majorHAnsi"/>
        </w:rPr>
        <w:t xml:space="preserve"> meeting the immediate employment outcomes for which the provider organisation is funded</w:t>
      </w:r>
      <w:r w:rsidR="00EF2220" w:rsidRPr="00820C89">
        <w:rPr>
          <w:rFonts w:asciiTheme="majorHAnsi" w:hAnsiTheme="majorHAnsi"/>
        </w:rPr>
        <w:t>.</w:t>
      </w:r>
    </w:p>
    <w:p w14:paraId="42AB9777" w14:textId="77777777" w:rsidR="0040692E" w:rsidRPr="00820C89" w:rsidRDefault="0040692E" w:rsidP="00715F70">
      <w:pPr>
        <w:keepNext/>
        <w:keepLines/>
        <w:numPr>
          <w:ilvl w:val="2"/>
          <w:numId w:val="12"/>
        </w:numPr>
        <w:spacing w:before="170" w:after="0"/>
        <w:outlineLvl w:val="2"/>
        <w:rPr>
          <w:rFonts w:asciiTheme="majorHAnsi" w:eastAsiaTheme="majorEastAsia" w:hAnsiTheme="majorHAnsi" w:cstheme="majorBidi"/>
          <w:b/>
        </w:rPr>
      </w:pPr>
      <w:r w:rsidRPr="00820C89">
        <w:rPr>
          <w:rFonts w:asciiTheme="majorHAnsi" w:eastAsiaTheme="majorEastAsia" w:hAnsiTheme="majorHAnsi" w:cstheme="majorBidi"/>
          <w:b/>
        </w:rPr>
        <w:t>Participants more likely to obtain appropriate employment</w:t>
      </w:r>
    </w:p>
    <w:p w14:paraId="4BDE831A" w14:textId="77777777" w:rsidR="00443FCF" w:rsidRPr="00820C89" w:rsidRDefault="0040692E" w:rsidP="0040692E">
      <w:pPr>
        <w:rPr>
          <w:rFonts w:asciiTheme="majorHAnsi" w:hAnsiTheme="majorHAnsi"/>
        </w:rPr>
      </w:pPr>
      <w:r w:rsidRPr="00820C89">
        <w:rPr>
          <w:rFonts w:asciiTheme="majorHAnsi" w:hAnsiTheme="majorHAnsi"/>
        </w:rPr>
        <w:t>The effectiveness of an Indigenous employment program relies on cultural sensitivity from the job identification stage, all the way through to recruitment, training and retention. There are many steps in the employment process that rely on an individual feeling welcome and able to participate, as well as recognising where employment opportunities can meet individual aspirations.</w:t>
      </w:r>
      <w:r w:rsidRPr="00820C89">
        <w:rPr>
          <w:rFonts w:asciiTheme="majorHAnsi" w:hAnsiTheme="majorHAnsi"/>
          <w:vertAlign w:val="superscript"/>
        </w:rPr>
        <w:footnoteReference w:id="47"/>
      </w:r>
      <w:r w:rsidRPr="00820C89">
        <w:rPr>
          <w:rFonts w:asciiTheme="majorHAnsi" w:hAnsiTheme="majorHAnsi"/>
        </w:rPr>
        <w:t xml:space="preserve"> </w:t>
      </w:r>
    </w:p>
    <w:p w14:paraId="3258523D" w14:textId="77777777" w:rsidR="0040692E" w:rsidRPr="00820C89" w:rsidRDefault="0040692E" w:rsidP="0040692E">
      <w:pPr>
        <w:rPr>
          <w:rFonts w:asciiTheme="majorHAnsi" w:hAnsiTheme="majorHAnsi"/>
        </w:rPr>
      </w:pPr>
      <w:r w:rsidRPr="00820C89">
        <w:rPr>
          <w:rFonts w:asciiTheme="majorHAnsi" w:hAnsiTheme="majorHAnsi"/>
        </w:rPr>
        <w:t>In relation to accessing employment, there are several barriers that may impact on a candidate’s successful journey through the recruitment process, including:</w:t>
      </w:r>
    </w:p>
    <w:p w14:paraId="0157C72E" w14:textId="77777777" w:rsidR="0040692E" w:rsidRPr="00820C89" w:rsidRDefault="0040692E" w:rsidP="00715F70">
      <w:pPr>
        <w:numPr>
          <w:ilvl w:val="0"/>
          <w:numId w:val="26"/>
        </w:numPr>
        <w:spacing w:before="60" w:after="60"/>
        <w:rPr>
          <w:rFonts w:asciiTheme="majorHAnsi" w:hAnsiTheme="majorHAnsi"/>
          <w:szCs w:val="17"/>
        </w:rPr>
      </w:pPr>
      <w:r w:rsidRPr="00820C89">
        <w:rPr>
          <w:rFonts w:asciiTheme="majorHAnsi" w:hAnsiTheme="majorHAnsi"/>
          <w:szCs w:val="17"/>
        </w:rPr>
        <w:t>not understanding the process, how to commence or how to access assistance</w:t>
      </w:r>
    </w:p>
    <w:p w14:paraId="1F80DB19" w14:textId="77777777" w:rsidR="0040692E" w:rsidRPr="00820C89" w:rsidRDefault="0040692E" w:rsidP="00715F70">
      <w:pPr>
        <w:numPr>
          <w:ilvl w:val="0"/>
          <w:numId w:val="26"/>
        </w:numPr>
        <w:spacing w:before="60" w:after="60"/>
        <w:rPr>
          <w:rFonts w:asciiTheme="majorHAnsi" w:hAnsiTheme="majorHAnsi"/>
          <w:szCs w:val="17"/>
        </w:rPr>
      </w:pPr>
      <w:r w:rsidRPr="00820C89">
        <w:rPr>
          <w:rFonts w:asciiTheme="majorHAnsi" w:hAnsiTheme="majorHAnsi"/>
          <w:szCs w:val="17"/>
        </w:rPr>
        <w:t xml:space="preserve">not having continued support to assist in the process </w:t>
      </w:r>
    </w:p>
    <w:p w14:paraId="2D620814" w14:textId="77777777" w:rsidR="0040692E" w:rsidRPr="00820C89" w:rsidRDefault="0040692E" w:rsidP="00715F70">
      <w:pPr>
        <w:numPr>
          <w:ilvl w:val="0"/>
          <w:numId w:val="26"/>
        </w:numPr>
        <w:spacing w:before="60" w:after="60"/>
        <w:rPr>
          <w:rFonts w:asciiTheme="majorHAnsi" w:hAnsiTheme="majorHAnsi"/>
          <w:szCs w:val="17"/>
        </w:rPr>
      </w:pPr>
      <w:r w:rsidRPr="00820C89">
        <w:rPr>
          <w:rFonts w:asciiTheme="majorHAnsi" w:hAnsiTheme="majorHAnsi"/>
          <w:szCs w:val="17"/>
        </w:rPr>
        <w:t>feeling uncomfortable with a formal ‘mainstream’ process</w:t>
      </w:r>
    </w:p>
    <w:p w14:paraId="24DCBCE0" w14:textId="77777777" w:rsidR="0040692E" w:rsidRPr="00820C89" w:rsidRDefault="0040692E" w:rsidP="00715F70">
      <w:pPr>
        <w:numPr>
          <w:ilvl w:val="0"/>
          <w:numId w:val="26"/>
        </w:numPr>
        <w:spacing w:after="0"/>
        <w:contextualSpacing/>
        <w:rPr>
          <w:rFonts w:asciiTheme="majorHAnsi" w:hAnsiTheme="majorHAnsi"/>
          <w:szCs w:val="17"/>
        </w:rPr>
      </w:pPr>
      <w:r w:rsidRPr="00820C89">
        <w:rPr>
          <w:rFonts w:asciiTheme="majorHAnsi" w:hAnsiTheme="majorHAnsi"/>
          <w:szCs w:val="17"/>
        </w:rPr>
        <w:t>not responding to the ‘mainstream’ job advertisements.</w:t>
      </w:r>
      <w:r w:rsidRPr="00820C89">
        <w:rPr>
          <w:rFonts w:asciiTheme="majorHAnsi" w:hAnsiTheme="majorHAnsi"/>
          <w:szCs w:val="17"/>
          <w:vertAlign w:val="superscript"/>
        </w:rPr>
        <w:footnoteReference w:id="48"/>
      </w:r>
    </w:p>
    <w:p w14:paraId="434691CA" w14:textId="77777777" w:rsidR="0040692E" w:rsidRPr="00820C89" w:rsidRDefault="000C23AD" w:rsidP="00771096">
      <w:pPr>
        <w:spacing w:before="170"/>
        <w:rPr>
          <w:rFonts w:asciiTheme="majorHAnsi" w:hAnsiTheme="majorHAnsi"/>
        </w:rPr>
      </w:pPr>
      <w:r w:rsidRPr="00820C89">
        <w:rPr>
          <w:rFonts w:asciiTheme="majorHAnsi" w:hAnsiTheme="majorHAnsi"/>
        </w:rPr>
        <w:t>This indicates that best practice Indigenous</w:t>
      </w:r>
      <w:r w:rsidR="0040692E" w:rsidRPr="00820C89">
        <w:rPr>
          <w:rFonts w:asciiTheme="majorHAnsi" w:hAnsiTheme="majorHAnsi"/>
        </w:rPr>
        <w:t xml:space="preserve"> employment</w:t>
      </w:r>
      <w:r w:rsidRPr="00820C89">
        <w:rPr>
          <w:rFonts w:asciiTheme="majorHAnsi" w:hAnsiTheme="majorHAnsi"/>
        </w:rPr>
        <w:t xml:space="preserve"> practices would involve established</w:t>
      </w:r>
      <w:r w:rsidR="0040692E" w:rsidRPr="00820C89">
        <w:rPr>
          <w:rFonts w:asciiTheme="majorHAnsi" w:hAnsiTheme="majorHAnsi"/>
        </w:rPr>
        <w:t xml:space="preserve"> recruitment processes that allow candidates safe, clear and welcoming access to potential roles. </w:t>
      </w:r>
    </w:p>
    <w:p w14:paraId="0553BB41" w14:textId="77777777" w:rsidR="0040692E" w:rsidRPr="00820C89" w:rsidRDefault="00086217" w:rsidP="0040692E">
      <w:pPr>
        <w:rPr>
          <w:rFonts w:asciiTheme="majorHAnsi" w:hAnsiTheme="majorHAnsi"/>
        </w:rPr>
      </w:pPr>
      <w:r w:rsidRPr="00820C89">
        <w:rPr>
          <w:rFonts w:asciiTheme="majorHAnsi" w:hAnsiTheme="majorHAnsi"/>
        </w:rPr>
        <w:t>Beyond</w:t>
      </w:r>
      <w:r w:rsidR="0040692E" w:rsidRPr="00820C89">
        <w:rPr>
          <w:rFonts w:asciiTheme="majorHAnsi" w:hAnsiTheme="majorHAnsi"/>
        </w:rPr>
        <w:t xml:space="preserve"> practical barriers to accessing employment opportunities, defining ‘appropriate’ employment adds an additional complexity. In this analysis, ‘appropriate employment’ is </w:t>
      </w:r>
      <w:r w:rsidR="000C23AD" w:rsidRPr="00820C89">
        <w:rPr>
          <w:rFonts w:asciiTheme="majorHAnsi" w:hAnsiTheme="majorHAnsi"/>
        </w:rPr>
        <w:t>defined as</w:t>
      </w:r>
      <w:r w:rsidR="0040692E" w:rsidRPr="00820C89">
        <w:rPr>
          <w:rFonts w:asciiTheme="majorHAnsi" w:hAnsiTheme="majorHAnsi"/>
        </w:rPr>
        <w:t xml:space="preserve"> gaining employment that is aligned with an individual’s skills, aspirations and strengths – noting that for Indigenous Australians, this is likely to be differentiated from mainstream or Western notions of employment aspirations and skills. </w:t>
      </w:r>
    </w:p>
    <w:p w14:paraId="784365B5" w14:textId="77777777" w:rsidR="0040692E" w:rsidRPr="00820C89" w:rsidRDefault="0040692E" w:rsidP="0040692E">
      <w:pPr>
        <w:rPr>
          <w:rFonts w:asciiTheme="majorHAnsi" w:hAnsiTheme="majorHAnsi"/>
        </w:rPr>
      </w:pPr>
      <w:r w:rsidRPr="00820C89">
        <w:rPr>
          <w:rFonts w:asciiTheme="majorHAnsi" w:hAnsiTheme="majorHAnsi"/>
        </w:rPr>
        <w:t xml:space="preserve">The process of obtaining appropriate employment, beyond simply employment in and of itself, requires planning, reflection and support to help jobseekers to develop skills that match with their intended job and better understand the value they wish to derive from work, as well as the skills they want to deploy and develop. Ultimately, the appropriateness of employment obtained would be evidenced through the tenure and satisfaction of a jobseeker with their place of employment. </w:t>
      </w:r>
    </w:p>
    <w:p w14:paraId="4CA1BA54" w14:textId="77777777" w:rsidR="0040692E" w:rsidRPr="00820C89" w:rsidRDefault="0040692E" w:rsidP="0040692E">
      <w:pPr>
        <w:rPr>
          <w:rFonts w:asciiTheme="majorHAnsi" w:hAnsiTheme="majorHAnsi"/>
        </w:rPr>
      </w:pPr>
      <w:r w:rsidRPr="00820C89">
        <w:rPr>
          <w:rFonts w:asciiTheme="majorHAnsi" w:hAnsiTheme="majorHAnsi"/>
        </w:rPr>
        <w:t xml:space="preserve">While the </w:t>
      </w:r>
      <w:r w:rsidR="00965058" w:rsidRPr="00820C89">
        <w:rPr>
          <w:rFonts w:asciiTheme="majorHAnsi" w:hAnsiTheme="majorHAnsi"/>
        </w:rPr>
        <w:t>IEP</w:t>
      </w:r>
      <w:r w:rsidRPr="00820C89">
        <w:rPr>
          <w:rFonts w:asciiTheme="majorHAnsi" w:hAnsiTheme="majorHAnsi"/>
        </w:rPr>
        <w:t xml:space="preserve"> do</w:t>
      </w:r>
      <w:r w:rsidR="00965058" w:rsidRPr="00820C89">
        <w:rPr>
          <w:rFonts w:asciiTheme="majorHAnsi" w:hAnsiTheme="majorHAnsi"/>
        </w:rPr>
        <w:t>es</w:t>
      </w:r>
      <w:r w:rsidRPr="00820C89">
        <w:rPr>
          <w:rFonts w:asciiTheme="majorHAnsi" w:hAnsiTheme="majorHAnsi"/>
        </w:rPr>
        <w:t xml:space="preserve"> not necessarily focus on resolving the tension between Western and Indigenous perspectives </w:t>
      </w:r>
      <w:r w:rsidR="00086217" w:rsidRPr="00820C89">
        <w:rPr>
          <w:rFonts w:asciiTheme="majorHAnsi" w:hAnsiTheme="majorHAnsi"/>
        </w:rPr>
        <w:t xml:space="preserve">on </w:t>
      </w:r>
      <w:r w:rsidR="002B5A39" w:rsidRPr="00820C89">
        <w:rPr>
          <w:rFonts w:asciiTheme="majorHAnsi" w:hAnsiTheme="majorHAnsi"/>
        </w:rPr>
        <w:t>what constitutes meaningful</w:t>
      </w:r>
      <w:r w:rsidRPr="00820C89">
        <w:rPr>
          <w:rFonts w:asciiTheme="majorHAnsi" w:hAnsiTheme="majorHAnsi"/>
        </w:rPr>
        <w:t xml:space="preserve"> employment, all of the programs intend to create more culturally sensitive workplaces and hiring practices that enable Indigenous candidates to have a greater chance of obtaining employment. Beyond this, VTEC and TAEG aim to develop participant</w:t>
      </w:r>
      <w:r w:rsidR="00630DA5" w:rsidRPr="00820C89">
        <w:rPr>
          <w:rFonts w:asciiTheme="majorHAnsi" w:hAnsiTheme="majorHAnsi"/>
        </w:rPr>
        <w:t>’</w:t>
      </w:r>
      <w:r w:rsidRPr="00820C89">
        <w:rPr>
          <w:rFonts w:asciiTheme="majorHAnsi" w:hAnsiTheme="majorHAnsi"/>
        </w:rPr>
        <w:t>s understanding of their own aspirations and strengths, educate and support participants in how to navigate employment opportunities, and facilitate the connection between jobseekers and employers.</w:t>
      </w:r>
    </w:p>
    <w:p w14:paraId="7375FFCE" w14:textId="77777777" w:rsidR="0040692E" w:rsidRPr="00820C89" w:rsidRDefault="0040692E" w:rsidP="0040692E">
      <w:pPr>
        <w:rPr>
          <w:rFonts w:asciiTheme="majorHAnsi" w:hAnsiTheme="majorHAnsi"/>
        </w:rPr>
      </w:pPr>
      <w:r w:rsidRPr="00820C89">
        <w:rPr>
          <w:rFonts w:asciiTheme="majorHAnsi" w:hAnsiTheme="majorHAnsi"/>
        </w:rPr>
        <w:t>To assess whether this outcome has been met, evidence is used to establish the extent to which:</w:t>
      </w:r>
    </w:p>
    <w:p w14:paraId="10E37321" w14:textId="77777777" w:rsidR="00C9164D" w:rsidRPr="00820C89" w:rsidRDefault="00C9164D" w:rsidP="00715F70">
      <w:pPr>
        <w:numPr>
          <w:ilvl w:val="0"/>
          <w:numId w:val="24"/>
        </w:numPr>
        <w:spacing w:before="60" w:after="60"/>
        <w:ind w:left="357" w:hanging="357"/>
        <w:rPr>
          <w:rFonts w:asciiTheme="majorHAnsi" w:hAnsiTheme="majorHAnsi"/>
        </w:rPr>
      </w:pPr>
      <w:r w:rsidRPr="00820C89">
        <w:rPr>
          <w:rFonts w:asciiTheme="majorHAnsi" w:hAnsiTheme="majorHAnsi"/>
        </w:rPr>
        <w:t>employment commencements have achieved their target levels</w:t>
      </w:r>
    </w:p>
    <w:p w14:paraId="00C4850B"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program participants are more likely to commence employment as a result of their involvement in the IEP</w:t>
      </w:r>
    </w:p>
    <w:p w14:paraId="0E30B87D"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 xml:space="preserve">VTEC and TAEG </w:t>
      </w:r>
      <w:r w:rsidR="0076574B" w:rsidRPr="00820C89">
        <w:rPr>
          <w:rFonts w:asciiTheme="majorHAnsi" w:hAnsiTheme="majorHAnsi"/>
        </w:rPr>
        <w:t>employer change their</w:t>
      </w:r>
      <w:r w:rsidRPr="00820C89">
        <w:rPr>
          <w:rFonts w:asciiTheme="majorHAnsi" w:hAnsiTheme="majorHAnsi"/>
        </w:rPr>
        <w:t xml:space="preserve"> recruitment processes and workplace culture to allow candidates to feel included, understood and culturally safe</w:t>
      </w:r>
      <w:r w:rsidR="00015FAA" w:rsidRPr="00820C89">
        <w:rPr>
          <w:rFonts w:asciiTheme="majorHAnsi" w:hAnsiTheme="majorHAnsi"/>
        </w:rPr>
        <w:t xml:space="preserve">. </w:t>
      </w:r>
      <w:r w:rsidR="00015FAA" w:rsidRPr="00820C89">
        <w:rPr>
          <w:rFonts w:asciiTheme="majorHAnsi" w:hAnsiTheme="majorHAnsi"/>
          <w:i/>
        </w:rPr>
        <w:t xml:space="preserve">EPI partners are discussed in Section </w:t>
      </w:r>
      <w:r w:rsidR="009E6365" w:rsidRPr="00820C89">
        <w:rPr>
          <w:rFonts w:asciiTheme="majorHAnsi" w:hAnsiTheme="majorHAnsi"/>
          <w:i/>
        </w:rPr>
        <w:lastRenderedPageBreak/>
        <w:t xml:space="preserve">3.4.2 as refinements to workplace processes in these instances is more generally part of a longer and embedded change strategy. </w:t>
      </w:r>
      <w:r w:rsidRPr="00820C89">
        <w:rPr>
          <w:rFonts w:asciiTheme="majorHAnsi" w:hAnsiTheme="majorHAnsi"/>
        </w:rPr>
        <w:t xml:space="preserve"> </w:t>
      </w:r>
    </w:p>
    <w:p w14:paraId="7E223D71" w14:textId="77777777" w:rsidR="00A15913"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participants feel their employment is appropriate and meaningful to them.</w:t>
      </w:r>
    </w:p>
    <w:p w14:paraId="029C1FF0" w14:textId="77777777" w:rsidR="000C23AD" w:rsidRPr="00820C89" w:rsidRDefault="000C23AD" w:rsidP="000C23AD">
      <w:pPr>
        <w:ind w:left="360"/>
        <w:contextualSpacing/>
        <w:rPr>
          <w:rFonts w:asciiTheme="majorHAnsi" w:hAnsiTheme="majorHAnsi"/>
        </w:rPr>
      </w:pPr>
    </w:p>
    <w:p w14:paraId="3A81EA11" w14:textId="77777777" w:rsidR="0040692E" w:rsidRPr="00820C89" w:rsidRDefault="0040692E" w:rsidP="0040692E">
      <w:pPr>
        <w:keepNext/>
        <w:keepLines/>
        <w:tabs>
          <w:tab w:val="left" w:pos="340"/>
        </w:tabs>
        <w:spacing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the outcome</w:t>
      </w:r>
    </w:p>
    <w:p w14:paraId="24FD6AA4" w14:textId="77777777" w:rsidR="007D7FB5" w:rsidRPr="00820C89" w:rsidRDefault="0040692E" w:rsidP="0040692E">
      <w:pPr>
        <w:rPr>
          <w:rFonts w:asciiTheme="majorHAnsi" w:hAnsiTheme="majorHAnsi"/>
        </w:rPr>
      </w:pPr>
      <w:r w:rsidRPr="00820C89">
        <w:rPr>
          <w:rFonts w:asciiTheme="majorHAnsi" w:hAnsiTheme="majorHAnsi"/>
        </w:rPr>
        <w:t xml:space="preserve">From 2014-19, </w:t>
      </w:r>
      <w:r w:rsidR="006B198F" w:rsidRPr="00820C89">
        <w:rPr>
          <w:rFonts w:asciiTheme="majorHAnsi" w:hAnsiTheme="majorHAnsi"/>
        </w:rPr>
        <w:t xml:space="preserve">there were </w:t>
      </w:r>
      <w:r w:rsidRPr="00820C89">
        <w:rPr>
          <w:rFonts w:asciiTheme="majorHAnsi" w:hAnsiTheme="majorHAnsi"/>
        </w:rPr>
        <w:t>over 2</w:t>
      </w:r>
      <w:r w:rsidR="00C67E3A" w:rsidRPr="00820C89">
        <w:rPr>
          <w:rFonts w:asciiTheme="majorHAnsi" w:hAnsiTheme="majorHAnsi"/>
        </w:rPr>
        <w:t>7</w:t>
      </w:r>
      <w:r w:rsidRPr="00820C89">
        <w:rPr>
          <w:rFonts w:asciiTheme="majorHAnsi" w:hAnsiTheme="majorHAnsi"/>
        </w:rPr>
        <w:t xml:space="preserve">,000 </w:t>
      </w:r>
      <w:r w:rsidR="006B198F" w:rsidRPr="00820C89">
        <w:rPr>
          <w:rFonts w:asciiTheme="majorHAnsi" w:hAnsiTheme="majorHAnsi"/>
        </w:rPr>
        <w:t>employment commencements</w:t>
      </w:r>
      <w:r w:rsidRPr="00820C89">
        <w:rPr>
          <w:rFonts w:asciiTheme="majorHAnsi" w:hAnsiTheme="majorHAnsi"/>
        </w:rPr>
        <w:t xml:space="preserve"> as part of the IEP. While specific commencement targets do not appear to be clearly defined for each of the </w:t>
      </w:r>
      <w:r w:rsidR="00240515" w:rsidRPr="00820C89">
        <w:rPr>
          <w:rFonts w:asciiTheme="majorHAnsi" w:hAnsiTheme="majorHAnsi"/>
        </w:rPr>
        <w:t>sub-programs</w:t>
      </w:r>
      <w:r w:rsidRPr="00820C89">
        <w:rPr>
          <w:rFonts w:asciiTheme="majorHAnsi" w:hAnsiTheme="majorHAnsi"/>
        </w:rPr>
        <w:t xml:space="preserve">, this total appears to be </w:t>
      </w:r>
      <w:r w:rsidR="00487C28" w:rsidRPr="00820C89">
        <w:rPr>
          <w:rFonts w:asciiTheme="majorHAnsi" w:hAnsiTheme="majorHAnsi"/>
        </w:rPr>
        <w:t>broadly in line with target levels</w:t>
      </w:r>
      <w:r w:rsidR="00E66D4B" w:rsidRPr="00820C89">
        <w:rPr>
          <w:rFonts w:asciiTheme="majorHAnsi" w:hAnsiTheme="majorHAnsi"/>
        </w:rPr>
        <w:t xml:space="preserve"> (</w:t>
      </w:r>
      <w:r w:rsidR="00AE7D12" w:rsidRPr="00820C89">
        <w:rPr>
          <w:rFonts w:asciiTheme="majorHAnsi" w:hAnsiTheme="majorHAnsi"/>
        </w:rPr>
        <w:t>with the exception of EPI)</w:t>
      </w:r>
      <w:r w:rsidR="00487C28" w:rsidRPr="00820C89">
        <w:rPr>
          <w:rFonts w:asciiTheme="majorHAnsi" w:hAnsiTheme="majorHAnsi"/>
        </w:rPr>
        <w:t xml:space="preserve"> </w:t>
      </w:r>
      <w:r w:rsidRPr="00820C89">
        <w:rPr>
          <w:rFonts w:asciiTheme="majorHAnsi" w:hAnsiTheme="majorHAnsi"/>
        </w:rPr>
        <w:t>(</w:t>
      </w:r>
      <w:r w:rsidR="00226049" w:rsidRPr="00820C89">
        <w:rPr>
          <w:rFonts w:asciiTheme="majorHAnsi" w:hAnsiTheme="majorHAnsi"/>
        </w:rPr>
        <w:t xml:space="preserve">Table </w:t>
      </w:r>
      <w:r w:rsidR="00C51885" w:rsidRPr="00820C89">
        <w:rPr>
          <w:rFonts w:asciiTheme="majorHAnsi" w:hAnsiTheme="majorHAnsi"/>
        </w:rPr>
        <w:t>4</w:t>
      </w:r>
      <w:r w:rsidR="00226049" w:rsidRPr="00820C89">
        <w:rPr>
          <w:rFonts w:asciiTheme="majorHAnsi" w:hAnsiTheme="majorHAnsi"/>
        </w:rPr>
        <w:t>.1</w:t>
      </w:r>
      <w:r w:rsidRPr="00820C89">
        <w:rPr>
          <w:rFonts w:asciiTheme="majorHAnsi" w:hAnsiTheme="majorHAnsi"/>
        </w:rPr>
        <w:t>).</w:t>
      </w:r>
      <w:r w:rsidR="00D82156" w:rsidRPr="00820C89">
        <w:rPr>
          <w:rFonts w:asciiTheme="majorHAnsi" w:hAnsiTheme="majorHAnsi"/>
        </w:rPr>
        <w:t xml:space="preserve"> </w:t>
      </w:r>
    </w:p>
    <w:p w14:paraId="28F0E59A" w14:textId="77777777" w:rsidR="0040692E" w:rsidRPr="00820C89" w:rsidRDefault="00DC0AB3" w:rsidP="006B198F">
      <w:pPr>
        <w:pStyle w:val="CaptionTable"/>
        <w:ind w:left="0"/>
        <w:rPr>
          <w:rFonts w:asciiTheme="majorHAnsi" w:hAnsiTheme="majorHAnsi"/>
        </w:rPr>
      </w:pPr>
      <w:bookmarkStart w:id="112" w:name="_Ref56701881"/>
      <w:r w:rsidRPr="00820C89">
        <w:rPr>
          <w:rFonts w:asciiTheme="majorHAnsi" w:hAnsiTheme="majorHAnsi"/>
        </w:rPr>
        <w:t>: Summary of IEP commencements and targets</w:t>
      </w:r>
      <w:bookmarkEnd w:id="112"/>
      <w:r w:rsidRPr="00820C89">
        <w:rPr>
          <w:rFonts w:asciiTheme="majorHAnsi" w:hAnsiTheme="majorHAnsi"/>
        </w:rPr>
        <w:t xml:space="preserve"> </w:t>
      </w:r>
    </w:p>
    <w:tbl>
      <w:tblPr>
        <w:tblStyle w:val="Deloittetable1"/>
        <w:tblW w:w="9214" w:type="dxa"/>
        <w:tblLook w:val="04A0" w:firstRow="1" w:lastRow="0" w:firstColumn="1" w:lastColumn="0" w:noHBand="0" w:noVBand="1"/>
      </w:tblPr>
      <w:tblGrid>
        <w:gridCol w:w="3071"/>
        <w:gridCol w:w="3071"/>
        <w:gridCol w:w="3072"/>
      </w:tblGrid>
      <w:tr w:rsidR="00B9697A" w:rsidRPr="00820C89" w14:paraId="43ED9CB7" w14:textId="77777777" w:rsidTr="00B91D03">
        <w:trPr>
          <w:cnfStyle w:val="100000000000" w:firstRow="1" w:lastRow="0" w:firstColumn="0" w:lastColumn="0" w:oddVBand="0" w:evenVBand="0" w:oddHBand="0" w:evenHBand="0" w:firstRowFirstColumn="0" w:firstRowLastColumn="0" w:lastRowFirstColumn="0" w:lastRowLastColumn="0"/>
          <w:tblHeader/>
        </w:trPr>
        <w:tc>
          <w:tcPr>
            <w:tcW w:w="3071" w:type="dxa"/>
          </w:tcPr>
          <w:p w14:paraId="3CA51E7C" w14:textId="77777777" w:rsidR="00B9697A" w:rsidRPr="00820C89" w:rsidRDefault="00B9697A" w:rsidP="0040692E">
            <w:pPr>
              <w:rPr>
                <w:rFonts w:asciiTheme="majorHAnsi" w:hAnsiTheme="majorHAnsi"/>
                <w:b/>
              </w:rPr>
            </w:pPr>
            <w:r w:rsidRPr="00820C89">
              <w:rPr>
                <w:rFonts w:asciiTheme="majorHAnsi" w:hAnsiTheme="majorHAnsi"/>
                <w:b/>
              </w:rPr>
              <w:t>Program</w:t>
            </w:r>
          </w:p>
        </w:tc>
        <w:tc>
          <w:tcPr>
            <w:tcW w:w="3071" w:type="dxa"/>
          </w:tcPr>
          <w:p w14:paraId="258F5736" w14:textId="77777777" w:rsidR="00B9697A" w:rsidRPr="00820C89" w:rsidRDefault="006B198F" w:rsidP="0040692E">
            <w:pPr>
              <w:rPr>
                <w:rFonts w:asciiTheme="majorHAnsi" w:hAnsiTheme="majorHAnsi"/>
                <w:b/>
              </w:rPr>
            </w:pPr>
            <w:r w:rsidRPr="00820C89">
              <w:rPr>
                <w:rFonts w:asciiTheme="majorHAnsi" w:hAnsiTheme="majorHAnsi"/>
                <w:b/>
              </w:rPr>
              <w:t>Employment c</w:t>
            </w:r>
            <w:r w:rsidR="00B9697A" w:rsidRPr="00820C89">
              <w:rPr>
                <w:rFonts w:asciiTheme="majorHAnsi" w:hAnsiTheme="majorHAnsi"/>
                <w:b/>
              </w:rPr>
              <w:t xml:space="preserve">ommencements </w:t>
            </w:r>
          </w:p>
        </w:tc>
        <w:tc>
          <w:tcPr>
            <w:tcW w:w="3072" w:type="dxa"/>
          </w:tcPr>
          <w:p w14:paraId="07117622" w14:textId="77777777" w:rsidR="00B9697A" w:rsidRPr="00820C89" w:rsidRDefault="00B9697A" w:rsidP="0040692E">
            <w:pPr>
              <w:rPr>
                <w:rFonts w:asciiTheme="majorHAnsi" w:hAnsiTheme="majorHAnsi"/>
                <w:b/>
              </w:rPr>
            </w:pPr>
            <w:r w:rsidRPr="00820C89">
              <w:rPr>
                <w:rFonts w:asciiTheme="majorHAnsi" w:hAnsiTheme="majorHAnsi"/>
                <w:b/>
              </w:rPr>
              <w:t>Target</w:t>
            </w:r>
          </w:p>
        </w:tc>
      </w:tr>
      <w:tr w:rsidR="00B9697A" w:rsidRPr="00820C89" w14:paraId="313D0734" w14:textId="77777777" w:rsidTr="00B9697A">
        <w:tc>
          <w:tcPr>
            <w:tcW w:w="3071" w:type="dxa"/>
            <w:vAlign w:val="center"/>
          </w:tcPr>
          <w:p w14:paraId="0DA1F253" w14:textId="77777777" w:rsidR="00B9697A" w:rsidRPr="00820C89" w:rsidRDefault="00B9697A" w:rsidP="0040692E">
            <w:pPr>
              <w:rPr>
                <w:rFonts w:asciiTheme="majorHAnsi" w:hAnsiTheme="majorHAnsi"/>
              </w:rPr>
            </w:pPr>
            <w:r w:rsidRPr="00820C89">
              <w:rPr>
                <w:rFonts w:asciiTheme="majorHAnsi" w:hAnsiTheme="majorHAnsi"/>
              </w:rPr>
              <w:t>VTEC</w:t>
            </w:r>
          </w:p>
        </w:tc>
        <w:tc>
          <w:tcPr>
            <w:tcW w:w="3071" w:type="dxa"/>
            <w:vAlign w:val="center"/>
          </w:tcPr>
          <w:p w14:paraId="18DA0577" w14:textId="77777777" w:rsidR="00B9697A" w:rsidRPr="00820C89" w:rsidRDefault="001031EC" w:rsidP="0040692E">
            <w:pPr>
              <w:spacing w:after="0"/>
              <w:rPr>
                <w:rFonts w:asciiTheme="majorHAnsi" w:hAnsiTheme="majorHAnsi"/>
                <w:color w:val="000000"/>
              </w:rPr>
            </w:pPr>
            <w:r w:rsidRPr="00820C89">
              <w:rPr>
                <w:rFonts w:asciiTheme="majorHAnsi" w:hAnsiTheme="majorHAnsi"/>
                <w:color w:val="000000"/>
                <w:sz w:val="18"/>
              </w:rPr>
              <w:t>11,731</w:t>
            </w:r>
          </w:p>
        </w:tc>
        <w:tc>
          <w:tcPr>
            <w:tcW w:w="3072" w:type="dxa"/>
          </w:tcPr>
          <w:p w14:paraId="7F105941" w14:textId="77777777" w:rsidR="00B9697A" w:rsidRPr="00820C89" w:rsidRDefault="00B9697A" w:rsidP="0040692E">
            <w:pPr>
              <w:rPr>
                <w:rFonts w:asciiTheme="majorHAnsi" w:hAnsiTheme="majorHAnsi"/>
              </w:rPr>
            </w:pPr>
            <w:r w:rsidRPr="00820C89">
              <w:rPr>
                <w:rFonts w:asciiTheme="majorHAnsi" w:hAnsiTheme="majorHAnsi"/>
              </w:rPr>
              <w:t>7,500 (No date set)</w:t>
            </w:r>
          </w:p>
        </w:tc>
      </w:tr>
      <w:tr w:rsidR="00B9697A" w:rsidRPr="00820C89" w14:paraId="3D005C35" w14:textId="77777777" w:rsidTr="00B9697A">
        <w:tc>
          <w:tcPr>
            <w:tcW w:w="3071" w:type="dxa"/>
            <w:vAlign w:val="center"/>
          </w:tcPr>
          <w:p w14:paraId="0D4A21A6" w14:textId="77777777" w:rsidR="00B9697A" w:rsidRPr="00820C89" w:rsidRDefault="00B9697A" w:rsidP="0040692E">
            <w:pPr>
              <w:rPr>
                <w:rFonts w:asciiTheme="majorHAnsi" w:hAnsiTheme="majorHAnsi"/>
              </w:rPr>
            </w:pPr>
            <w:r w:rsidRPr="00820C89">
              <w:rPr>
                <w:rFonts w:asciiTheme="majorHAnsi" w:hAnsiTheme="majorHAnsi"/>
              </w:rPr>
              <w:t>TAEG</w:t>
            </w:r>
          </w:p>
        </w:tc>
        <w:tc>
          <w:tcPr>
            <w:tcW w:w="3071" w:type="dxa"/>
            <w:vAlign w:val="center"/>
          </w:tcPr>
          <w:p w14:paraId="6FF982EB" w14:textId="77777777" w:rsidR="00B9697A" w:rsidRPr="00820C89" w:rsidRDefault="001A5004" w:rsidP="0040692E">
            <w:pPr>
              <w:spacing w:after="0"/>
              <w:rPr>
                <w:rFonts w:asciiTheme="majorHAnsi" w:hAnsiTheme="majorHAnsi"/>
                <w:color w:val="000000"/>
              </w:rPr>
            </w:pPr>
            <w:r w:rsidRPr="00820C89">
              <w:rPr>
                <w:rFonts w:asciiTheme="majorHAnsi" w:hAnsiTheme="majorHAnsi"/>
                <w:color w:val="000000"/>
                <w:sz w:val="18"/>
              </w:rPr>
              <w:t>8,320</w:t>
            </w:r>
          </w:p>
        </w:tc>
        <w:tc>
          <w:tcPr>
            <w:tcW w:w="3072" w:type="dxa"/>
          </w:tcPr>
          <w:p w14:paraId="52205241" w14:textId="77777777" w:rsidR="00B9697A" w:rsidRPr="00820C89" w:rsidRDefault="00B9697A" w:rsidP="0040692E">
            <w:pPr>
              <w:rPr>
                <w:rFonts w:asciiTheme="majorHAnsi" w:hAnsiTheme="majorHAnsi"/>
              </w:rPr>
            </w:pPr>
            <w:r w:rsidRPr="00820C89">
              <w:rPr>
                <w:rFonts w:asciiTheme="majorHAnsi" w:hAnsiTheme="majorHAnsi"/>
              </w:rPr>
              <w:t>Not reported</w:t>
            </w:r>
          </w:p>
        </w:tc>
      </w:tr>
      <w:tr w:rsidR="00B9697A" w:rsidRPr="00820C89" w14:paraId="0D5EA693" w14:textId="77777777" w:rsidTr="00662140">
        <w:trPr>
          <w:trHeight w:val="13"/>
        </w:trPr>
        <w:tc>
          <w:tcPr>
            <w:tcW w:w="3071" w:type="dxa"/>
            <w:vAlign w:val="center"/>
          </w:tcPr>
          <w:p w14:paraId="51DE39DD" w14:textId="77777777" w:rsidR="00B9697A" w:rsidRPr="00820C89" w:rsidRDefault="00B9697A" w:rsidP="0040692E">
            <w:pPr>
              <w:rPr>
                <w:rFonts w:asciiTheme="majorHAnsi" w:hAnsiTheme="majorHAnsi"/>
              </w:rPr>
            </w:pPr>
            <w:r w:rsidRPr="00820C89">
              <w:rPr>
                <w:rFonts w:asciiTheme="majorHAnsi" w:hAnsiTheme="majorHAnsi"/>
              </w:rPr>
              <w:t>EPI</w:t>
            </w:r>
          </w:p>
        </w:tc>
        <w:tc>
          <w:tcPr>
            <w:tcW w:w="3071" w:type="dxa"/>
            <w:vAlign w:val="center"/>
          </w:tcPr>
          <w:p w14:paraId="555EC09B" w14:textId="77777777" w:rsidR="00B9697A" w:rsidRPr="00820C89" w:rsidRDefault="001A5004" w:rsidP="0040692E">
            <w:pPr>
              <w:spacing w:after="0"/>
              <w:rPr>
                <w:rFonts w:asciiTheme="majorHAnsi" w:hAnsiTheme="majorHAnsi"/>
                <w:color w:val="000000"/>
              </w:rPr>
            </w:pPr>
            <w:r w:rsidRPr="00820C89">
              <w:rPr>
                <w:rFonts w:asciiTheme="majorHAnsi" w:hAnsiTheme="majorHAnsi"/>
                <w:color w:val="000000"/>
                <w:sz w:val="18"/>
              </w:rPr>
              <w:t>7,470</w:t>
            </w:r>
          </w:p>
        </w:tc>
        <w:tc>
          <w:tcPr>
            <w:tcW w:w="3072" w:type="dxa"/>
          </w:tcPr>
          <w:p w14:paraId="2F0FD4AC" w14:textId="77777777" w:rsidR="00B9697A" w:rsidRPr="00820C89" w:rsidRDefault="00B9697A" w:rsidP="0040692E">
            <w:pPr>
              <w:rPr>
                <w:rFonts w:asciiTheme="majorHAnsi" w:hAnsiTheme="majorHAnsi"/>
              </w:rPr>
            </w:pPr>
            <w:r w:rsidRPr="00820C89">
              <w:rPr>
                <w:rFonts w:asciiTheme="majorHAnsi" w:hAnsiTheme="majorHAnsi"/>
              </w:rPr>
              <w:t>20,000 (by 2020)</w:t>
            </w:r>
          </w:p>
        </w:tc>
      </w:tr>
    </w:tbl>
    <w:p w14:paraId="017F5957" w14:textId="77777777" w:rsidR="0036118E" w:rsidRPr="00820C89" w:rsidRDefault="00DC0AB3" w:rsidP="0023071F">
      <w:pPr>
        <w:pStyle w:val="Source"/>
        <w:rPr>
          <w:rFonts w:asciiTheme="majorHAnsi" w:hAnsiTheme="majorHAnsi"/>
        </w:rPr>
      </w:pPr>
      <w:r w:rsidRPr="00820C89">
        <w:rPr>
          <w:rFonts w:asciiTheme="majorHAnsi" w:hAnsiTheme="majorHAnsi"/>
        </w:rPr>
        <w:t>Source: NIAA Program Data (2014-2019).</w:t>
      </w:r>
      <w:r w:rsidR="000D666B" w:rsidRPr="00820C89">
        <w:rPr>
          <w:rFonts w:asciiTheme="majorHAnsi" w:hAnsiTheme="majorHAnsi"/>
        </w:rPr>
        <w:t xml:space="preserve"> Note:</w:t>
      </w:r>
      <w:r w:rsidR="00634BBF" w:rsidRPr="00820C89">
        <w:rPr>
          <w:rFonts w:asciiTheme="majorHAnsi" w:hAnsiTheme="majorHAnsi"/>
        </w:rPr>
        <w:t xml:space="preserve"> The total volume of employment commencements presented here includes instances where a participant has commenced employment multiple times. The total volume of unique employment commencements over this period is estimated at 22,468.</w:t>
      </w:r>
    </w:p>
    <w:p w14:paraId="0D93056C" w14:textId="77777777" w:rsidR="0053552D" w:rsidRPr="00820C89" w:rsidRDefault="007E11F7" w:rsidP="004C6E9C">
      <w:pPr>
        <w:spacing w:before="170"/>
        <w:rPr>
          <w:rFonts w:asciiTheme="majorHAnsi" w:hAnsiTheme="majorHAnsi"/>
        </w:rPr>
      </w:pPr>
      <w:r w:rsidRPr="00820C89">
        <w:rPr>
          <w:rFonts w:asciiTheme="majorHAnsi" w:hAnsiTheme="majorHAnsi"/>
        </w:rPr>
        <w:t>During s</w:t>
      </w:r>
      <w:r w:rsidR="00AC6125" w:rsidRPr="00820C89">
        <w:rPr>
          <w:rFonts w:asciiTheme="majorHAnsi" w:hAnsiTheme="majorHAnsi"/>
        </w:rPr>
        <w:t>tak</w:t>
      </w:r>
      <w:r w:rsidR="001C1723" w:rsidRPr="00820C89">
        <w:rPr>
          <w:rFonts w:asciiTheme="majorHAnsi" w:hAnsiTheme="majorHAnsi"/>
        </w:rPr>
        <w:t>eholder</w:t>
      </w:r>
      <w:r w:rsidR="002065FC" w:rsidRPr="00820C89">
        <w:rPr>
          <w:rFonts w:asciiTheme="majorHAnsi" w:hAnsiTheme="majorHAnsi"/>
        </w:rPr>
        <w:t xml:space="preserve"> consultations </w:t>
      </w:r>
      <w:r w:rsidR="007F20EA" w:rsidRPr="00820C89">
        <w:rPr>
          <w:rFonts w:asciiTheme="majorHAnsi" w:hAnsiTheme="majorHAnsi"/>
        </w:rPr>
        <w:t xml:space="preserve">participants </w:t>
      </w:r>
      <w:r w:rsidR="00A75496" w:rsidRPr="00820C89">
        <w:rPr>
          <w:rFonts w:asciiTheme="majorHAnsi" w:hAnsiTheme="majorHAnsi"/>
        </w:rPr>
        <w:t>reported that they</w:t>
      </w:r>
      <w:r w:rsidR="00C454C4" w:rsidRPr="00820C89">
        <w:rPr>
          <w:rFonts w:asciiTheme="majorHAnsi" w:hAnsiTheme="majorHAnsi"/>
        </w:rPr>
        <w:t xml:space="preserve"> are</w:t>
      </w:r>
      <w:r w:rsidR="007F20EA" w:rsidRPr="00820C89">
        <w:rPr>
          <w:rFonts w:asciiTheme="majorHAnsi" w:hAnsiTheme="majorHAnsi"/>
        </w:rPr>
        <w:t xml:space="preserve"> more likely to commence </w:t>
      </w:r>
      <w:r w:rsidR="00987529" w:rsidRPr="00820C89">
        <w:rPr>
          <w:rFonts w:asciiTheme="majorHAnsi" w:hAnsiTheme="majorHAnsi"/>
        </w:rPr>
        <w:t>employment through the IEP than they would through mainstream programs</w:t>
      </w:r>
      <w:r w:rsidR="007C7974" w:rsidRPr="00820C89">
        <w:rPr>
          <w:rFonts w:asciiTheme="majorHAnsi" w:hAnsiTheme="majorHAnsi"/>
        </w:rPr>
        <w:t>.</w:t>
      </w:r>
      <w:r w:rsidR="00B017C3" w:rsidRPr="00820C89">
        <w:rPr>
          <w:rFonts w:asciiTheme="majorHAnsi" w:hAnsiTheme="majorHAnsi"/>
        </w:rPr>
        <w:t xml:space="preserve"> </w:t>
      </w:r>
      <w:r w:rsidR="00825D82" w:rsidRPr="00820C89">
        <w:rPr>
          <w:rFonts w:asciiTheme="majorHAnsi" w:hAnsiTheme="majorHAnsi"/>
        </w:rPr>
        <w:t>These participants note</w:t>
      </w:r>
      <w:r w:rsidR="00462A7B" w:rsidRPr="00820C89">
        <w:rPr>
          <w:rFonts w:asciiTheme="majorHAnsi" w:hAnsiTheme="majorHAnsi"/>
        </w:rPr>
        <w:t>d</w:t>
      </w:r>
      <w:r w:rsidR="00825D82" w:rsidRPr="00820C89">
        <w:rPr>
          <w:rFonts w:asciiTheme="majorHAnsi" w:hAnsiTheme="majorHAnsi"/>
        </w:rPr>
        <w:t xml:space="preserve"> that </w:t>
      </w:r>
      <w:r w:rsidR="00A70EBE" w:rsidRPr="00820C89">
        <w:rPr>
          <w:rFonts w:asciiTheme="majorHAnsi" w:hAnsiTheme="majorHAnsi"/>
        </w:rPr>
        <w:t xml:space="preserve">on balance </w:t>
      </w:r>
      <w:r w:rsidR="00825D82" w:rsidRPr="00820C89">
        <w:rPr>
          <w:rFonts w:asciiTheme="majorHAnsi" w:hAnsiTheme="majorHAnsi"/>
        </w:rPr>
        <w:t xml:space="preserve">IEP providers </w:t>
      </w:r>
      <w:r w:rsidR="00C148D6" w:rsidRPr="00820C89">
        <w:rPr>
          <w:rFonts w:asciiTheme="majorHAnsi" w:hAnsiTheme="majorHAnsi"/>
        </w:rPr>
        <w:t>delivered</w:t>
      </w:r>
      <w:r w:rsidR="00825D82" w:rsidRPr="00820C89">
        <w:rPr>
          <w:rFonts w:asciiTheme="majorHAnsi" w:hAnsiTheme="majorHAnsi"/>
        </w:rPr>
        <w:t xml:space="preserve"> more individualised </w:t>
      </w:r>
      <w:r w:rsidR="00BE6FAC" w:rsidRPr="00820C89">
        <w:rPr>
          <w:rFonts w:asciiTheme="majorHAnsi" w:hAnsiTheme="majorHAnsi"/>
        </w:rPr>
        <w:t xml:space="preserve">and culturally appropriate support than they received at mainstream providers, and that in particular </w:t>
      </w:r>
      <w:r w:rsidR="00C90C83" w:rsidRPr="00820C89">
        <w:rPr>
          <w:rFonts w:asciiTheme="majorHAnsi" w:hAnsiTheme="majorHAnsi"/>
        </w:rPr>
        <w:t>IEP providers</w:t>
      </w:r>
      <w:r w:rsidR="00435B39" w:rsidRPr="00820C89">
        <w:rPr>
          <w:rFonts w:asciiTheme="majorHAnsi" w:hAnsiTheme="majorHAnsi"/>
        </w:rPr>
        <w:t xml:space="preserve"> paid greater </w:t>
      </w:r>
      <w:r w:rsidR="003E6553" w:rsidRPr="00820C89">
        <w:rPr>
          <w:rFonts w:asciiTheme="majorHAnsi" w:hAnsiTheme="majorHAnsi"/>
        </w:rPr>
        <w:t xml:space="preserve">attention to understanding </w:t>
      </w:r>
      <w:r w:rsidR="00F35C1C" w:rsidRPr="00820C89">
        <w:rPr>
          <w:rFonts w:asciiTheme="majorHAnsi" w:hAnsiTheme="majorHAnsi"/>
        </w:rPr>
        <w:t>their</w:t>
      </w:r>
      <w:r w:rsidR="003E6553" w:rsidRPr="00820C89">
        <w:rPr>
          <w:rFonts w:asciiTheme="majorHAnsi" w:hAnsiTheme="majorHAnsi"/>
        </w:rPr>
        <w:t xml:space="preserve"> unique aspirations and strengths</w:t>
      </w:r>
      <w:r w:rsidR="00F35C1C" w:rsidRPr="00820C89">
        <w:rPr>
          <w:rFonts w:asciiTheme="majorHAnsi" w:hAnsiTheme="majorHAnsi"/>
        </w:rPr>
        <w:t>.</w:t>
      </w:r>
      <w:r w:rsidR="003E6553" w:rsidRPr="00820C89">
        <w:rPr>
          <w:rFonts w:asciiTheme="majorHAnsi" w:hAnsiTheme="majorHAnsi"/>
        </w:rPr>
        <w:t xml:space="preserve"> </w:t>
      </w:r>
      <w:r w:rsidR="00D15F8E" w:rsidRPr="00820C89">
        <w:rPr>
          <w:rFonts w:asciiTheme="majorHAnsi" w:hAnsiTheme="majorHAnsi"/>
        </w:rPr>
        <w:t>For example</w:t>
      </w:r>
      <w:r w:rsidR="00092F49" w:rsidRPr="00820C89">
        <w:rPr>
          <w:rFonts w:asciiTheme="majorHAnsi" w:hAnsiTheme="majorHAnsi"/>
        </w:rPr>
        <w:t>, participants stated that:</w:t>
      </w:r>
    </w:p>
    <w:p w14:paraId="5C43B728" w14:textId="77777777" w:rsidR="000E4B7D" w:rsidRPr="00820C89" w:rsidRDefault="0053552D" w:rsidP="00D67FD4">
      <w:pPr>
        <w:ind w:left="720"/>
        <w:rPr>
          <w:rFonts w:asciiTheme="majorHAnsi" w:hAnsiTheme="majorHAnsi"/>
          <w:i/>
        </w:rPr>
      </w:pPr>
      <w:r w:rsidRPr="00820C89">
        <w:rPr>
          <w:rFonts w:asciiTheme="majorHAnsi" w:hAnsiTheme="majorHAnsi"/>
          <w:i/>
        </w:rPr>
        <w:t>“They [the mainstream provider] don't listen to what you're interested in.  But it’s different with these people [VTEC provider]” (VTEC Participant)</w:t>
      </w:r>
    </w:p>
    <w:p w14:paraId="2CD66458" w14:textId="77777777" w:rsidR="0053552D" w:rsidRPr="00820C89" w:rsidRDefault="000E4B7D" w:rsidP="000E4B7D">
      <w:pPr>
        <w:ind w:left="720"/>
        <w:rPr>
          <w:rFonts w:asciiTheme="majorHAnsi" w:hAnsiTheme="majorHAnsi"/>
          <w:i/>
        </w:rPr>
      </w:pPr>
      <w:r w:rsidRPr="00820C89">
        <w:rPr>
          <w:rFonts w:asciiTheme="majorHAnsi" w:hAnsiTheme="majorHAnsi"/>
          <w:i/>
        </w:rPr>
        <w:t>“</w:t>
      </w:r>
      <w:r w:rsidR="0053552D" w:rsidRPr="00820C89">
        <w:rPr>
          <w:rFonts w:asciiTheme="majorHAnsi" w:hAnsiTheme="majorHAnsi"/>
          <w:i/>
        </w:rPr>
        <w:t xml:space="preserve">So I came to </w:t>
      </w:r>
      <w:r w:rsidRPr="00820C89">
        <w:rPr>
          <w:rFonts w:asciiTheme="majorHAnsi" w:hAnsiTheme="majorHAnsi"/>
          <w:i/>
        </w:rPr>
        <w:t>[VTEC provider]</w:t>
      </w:r>
      <w:r w:rsidR="0053552D" w:rsidRPr="00820C89">
        <w:rPr>
          <w:rFonts w:asciiTheme="majorHAnsi" w:hAnsiTheme="majorHAnsi"/>
          <w:i/>
        </w:rPr>
        <w:t xml:space="preserve"> I would say two years ago.  And it was just through word of mouth that I came in contact with </w:t>
      </w:r>
      <w:r w:rsidRPr="00820C89">
        <w:rPr>
          <w:rFonts w:asciiTheme="majorHAnsi" w:hAnsiTheme="majorHAnsi"/>
          <w:i/>
        </w:rPr>
        <w:t>[VTEC provider]</w:t>
      </w:r>
      <w:r w:rsidR="0053552D" w:rsidRPr="00820C89">
        <w:rPr>
          <w:rFonts w:asciiTheme="majorHAnsi" w:hAnsiTheme="majorHAnsi"/>
          <w:i/>
        </w:rPr>
        <w:t>.  And when I first came here, everybody was really welcoming and within two weeks,</w:t>
      </w:r>
      <w:r w:rsidRPr="00820C89">
        <w:rPr>
          <w:rFonts w:asciiTheme="majorHAnsi" w:hAnsiTheme="majorHAnsi"/>
          <w:i/>
        </w:rPr>
        <w:t xml:space="preserve"> </w:t>
      </w:r>
      <w:r w:rsidR="0053552D" w:rsidRPr="00820C89">
        <w:rPr>
          <w:rFonts w:asciiTheme="majorHAnsi" w:hAnsiTheme="majorHAnsi"/>
          <w:i/>
        </w:rPr>
        <w:t>they got me one of my first jobs.  And it was actually pretty good.</w:t>
      </w:r>
      <w:r w:rsidRPr="00820C89">
        <w:rPr>
          <w:rFonts w:asciiTheme="majorHAnsi" w:hAnsiTheme="majorHAnsi"/>
          <w:i/>
        </w:rPr>
        <w:t>” (VTEC Participant)</w:t>
      </w:r>
      <w:r w:rsidR="0053552D" w:rsidRPr="00820C89">
        <w:rPr>
          <w:rFonts w:asciiTheme="majorHAnsi" w:hAnsiTheme="majorHAnsi"/>
          <w:i/>
        </w:rPr>
        <w:t xml:space="preserve">  </w:t>
      </w:r>
    </w:p>
    <w:p w14:paraId="37D447DB" w14:textId="77777777" w:rsidR="00D25951" w:rsidRPr="00820C89" w:rsidRDefault="00D67FD4" w:rsidP="006B7B3B">
      <w:pPr>
        <w:spacing w:before="170"/>
        <w:rPr>
          <w:rFonts w:asciiTheme="majorHAnsi" w:hAnsiTheme="majorHAnsi"/>
        </w:rPr>
      </w:pPr>
      <w:r w:rsidRPr="00820C89">
        <w:rPr>
          <w:rFonts w:asciiTheme="majorHAnsi" w:hAnsiTheme="majorHAnsi"/>
        </w:rPr>
        <w:t xml:space="preserve">However, it should be noted that this finding </w:t>
      </w:r>
      <w:r w:rsidR="008337F3" w:rsidRPr="00820C89">
        <w:rPr>
          <w:rFonts w:asciiTheme="majorHAnsi" w:hAnsiTheme="majorHAnsi"/>
        </w:rPr>
        <w:t xml:space="preserve">could not be validated with a large number of program participants, as not all participants had had </w:t>
      </w:r>
      <w:r w:rsidR="00550F92" w:rsidRPr="00820C89">
        <w:rPr>
          <w:rFonts w:asciiTheme="majorHAnsi" w:hAnsiTheme="majorHAnsi"/>
        </w:rPr>
        <w:t>experiences with mainstream providers or were willing to comment on the differences</w:t>
      </w:r>
      <w:r w:rsidR="00F06962" w:rsidRPr="00820C89">
        <w:rPr>
          <w:rFonts w:asciiTheme="majorHAnsi" w:hAnsiTheme="majorHAnsi"/>
        </w:rPr>
        <w:t xml:space="preserve"> between the IEP and mainstream service delivery.</w:t>
      </w:r>
    </w:p>
    <w:p w14:paraId="65D565C3" w14:textId="77777777" w:rsidR="0040692E" w:rsidRPr="00820C89" w:rsidRDefault="0040692E" w:rsidP="0040692E">
      <w:pPr>
        <w:rPr>
          <w:rFonts w:asciiTheme="majorHAnsi" w:hAnsiTheme="majorHAnsi"/>
        </w:rPr>
      </w:pPr>
      <w:r w:rsidRPr="00820C89">
        <w:rPr>
          <w:rFonts w:asciiTheme="majorHAnsi" w:hAnsiTheme="majorHAnsi"/>
        </w:rPr>
        <w:t xml:space="preserve">However, there is little evidence to suggest that VTEC and TAEG employers implement significant </w:t>
      </w:r>
      <w:r w:rsidRPr="00820C89">
        <w:rPr>
          <w:rFonts w:asciiTheme="majorHAnsi" w:hAnsiTheme="majorHAnsi"/>
          <w:i/>
        </w:rPr>
        <w:t>new</w:t>
      </w:r>
      <w:r w:rsidRPr="00820C89">
        <w:rPr>
          <w:rFonts w:asciiTheme="majorHAnsi" w:hAnsiTheme="majorHAnsi"/>
        </w:rPr>
        <w:t xml:space="preserve"> Indigenous employment practices within their business. </w:t>
      </w:r>
      <w:r w:rsidR="00F824C9" w:rsidRPr="00820C89">
        <w:rPr>
          <w:rFonts w:asciiTheme="majorHAnsi" w:hAnsiTheme="majorHAnsi"/>
        </w:rPr>
        <w:t xml:space="preserve">There </w:t>
      </w:r>
      <w:r w:rsidR="00812467" w:rsidRPr="00820C89">
        <w:rPr>
          <w:rFonts w:asciiTheme="majorHAnsi" w:hAnsiTheme="majorHAnsi"/>
        </w:rPr>
        <w:t>may</w:t>
      </w:r>
      <w:r w:rsidR="00F824C9" w:rsidRPr="00820C89">
        <w:rPr>
          <w:rFonts w:asciiTheme="majorHAnsi" w:hAnsiTheme="majorHAnsi"/>
        </w:rPr>
        <w:t xml:space="preserve"> be </w:t>
      </w:r>
      <w:r w:rsidR="000C3B80" w:rsidRPr="00820C89">
        <w:rPr>
          <w:rFonts w:asciiTheme="majorHAnsi" w:hAnsiTheme="majorHAnsi"/>
        </w:rPr>
        <w:t>self-selection</w:t>
      </w:r>
      <w:r w:rsidR="00F824C9" w:rsidRPr="00820C89">
        <w:rPr>
          <w:rFonts w:asciiTheme="majorHAnsi" w:hAnsiTheme="majorHAnsi"/>
        </w:rPr>
        <w:t xml:space="preserve"> biases in this, as </w:t>
      </w:r>
      <w:r w:rsidR="00812467" w:rsidRPr="00820C89">
        <w:rPr>
          <w:rFonts w:asciiTheme="majorHAnsi" w:hAnsiTheme="majorHAnsi"/>
        </w:rPr>
        <w:t xml:space="preserve">it is likely that </w:t>
      </w:r>
      <w:r w:rsidR="00F824C9" w:rsidRPr="00820C89">
        <w:rPr>
          <w:rFonts w:asciiTheme="majorHAnsi" w:hAnsiTheme="majorHAnsi"/>
        </w:rPr>
        <w:t>only those with particular interest and familiarity working with Indigenous Australians prioritised involvement in the</w:t>
      </w:r>
      <w:r w:rsidR="007E686D" w:rsidRPr="00820C89">
        <w:rPr>
          <w:rFonts w:asciiTheme="majorHAnsi" w:hAnsiTheme="majorHAnsi"/>
        </w:rPr>
        <w:t>se initiatives. I</w:t>
      </w:r>
      <w:r w:rsidR="00812467" w:rsidRPr="00820C89">
        <w:rPr>
          <w:rFonts w:asciiTheme="majorHAnsi" w:hAnsiTheme="majorHAnsi"/>
        </w:rPr>
        <w:t>n</w:t>
      </w:r>
      <w:r w:rsidR="007E686D" w:rsidRPr="00820C89">
        <w:rPr>
          <w:rFonts w:asciiTheme="majorHAnsi" w:hAnsiTheme="majorHAnsi"/>
        </w:rPr>
        <w:t xml:space="preserve"> these instances, they are likely to have </w:t>
      </w:r>
      <w:r w:rsidR="0023314F" w:rsidRPr="00820C89">
        <w:rPr>
          <w:rFonts w:asciiTheme="majorHAnsi" w:hAnsiTheme="majorHAnsi"/>
        </w:rPr>
        <w:t>greater a</w:t>
      </w:r>
      <w:r w:rsidR="007E686D" w:rsidRPr="00820C89">
        <w:rPr>
          <w:rFonts w:asciiTheme="majorHAnsi" w:hAnsiTheme="majorHAnsi"/>
        </w:rPr>
        <w:t xml:space="preserve">bility to provide cultural safety and </w:t>
      </w:r>
      <w:r w:rsidR="00812467" w:rsidRPr="00820C89">
        <w:rPr>
          <w:rFonts w:asciiTheme="majorHAnsi" w:hAnsiTheme="majorHAnsi"/>
        </w:rPr>
        <w:t xml:space="preserve">adjustments. </w:t>
      </w:r>
      <w:r w:rsidR="00DB041D" w:rsidRPr="00820C89">
        <w:rPr>
          <w:rFonts w:asciiTheme="majorHAnsi" w:hAnsiTheme="majorHAnsi"/>
        </w:rPr>
        <w:t>It also</w:t>
      </w:r>
      <w:r w:rsidRPr="00820C89">
        <w:rPr>
          <w:rFonts w:asciiTheme="majorHAnsi" w:hAnsiTheme="majorHAnsi"/>
        </w:rPr>
        <w:t xml:space="preserve"> appears to be </w:t>
      </w:r>
      <w:r w:rsidR="006A19D4" w:rsidRPr="00820C89">
        <w:rPr>
          <w:rFonts w:asciiTheme="majorHAnsi" w:hAnsiTheme="majorHAnsi"/>
        </w:rPr>
        <w:t>due to the fact that</w:t>
      </w:r>
      <w:r w:rsidRPr="00820C89">
        <w:rPr>
          <w:rFonts w:asciiTheme="majorHAnsi" w:hAnsiTheme="majorHAnsi"/>
        </w:rPr>
        <w:t xml:space="preserve"> employers rely on the Indigenous employment expertise of providers, and hence do not focus on embedding the same practices, and building the same capability, internally.</w:t>
      </w:r>
      <w:r w:rsidRPr="00820C89">
        <w:rPr>
          <w:rFonts w:asciiTheme="majorHAnsi" w:hAnsiTheme="majorHAnsi"/>
          <w:b/>
        </w:rPr>
        <w:t xml:space="preserve"> </w:t>
      </w:r>
      <w:r w:rsidRPr="00820C89">
        <w:rPr>
          <w:rFonts w:asciiTheme="majorHAnsi" w:hAnsiTheme="majorHAnsi"/>
        </w:rPr>
        <w:t>For example, as one VTEC employer reflected:</w:t>
      </w:r>
    </w:p>
    <w:p w14:paraId="46ADD570" w14:textId="77777777" w:rsidR="00540176" w:rsidRPr="00820C89" w:rsidRDefault="0040692E" w:rsidP="0053638B">
      <w:pPr>
        <w:ind w:left="357"/>
        <w:rPr>
          <w:rFonts w:asciiTheme="majorHAnsi" w:hAnsiTheme="majorHAnsi"/>
          <w:i/>
        </w:rPr>
      </w:pPr>
      <w:r w:rsidRPr="00820C89">
        <w:rPr>
          <w:rFonts w:asciiTheme="majorHAnsi" w:hAnsiTheme="majorHAnsi"/>
          <w:i/>
        </w:rPr>
        <w:t>“We would struggle to bring the same services that [the provider] deliver internally into the business. Without the economies of scale and the expertise that they have, it would just be too hard</w:t>
      </w:r>
      <w:r w:rsidR="00F047F3" w:rsidRPr="00820C89">
        <w:rPr>
          <w:rFonts w:asciiTheme="majorHAnsi" w:hAnsiTheme="majorHAnsi"/>
          <w:i/>
        </w:rPr>
        <w:t>.”</w:t>
      </w:r>
    </w:p>
    <w:p w14:paraId="730FB8DF" w14:textId="77777777" w:rsidR="00297EBC" w:rsidRPr="00820C89" w:rsidRDefault="00297EBC" w:rsidP="00297EBC">
      <w:pPr>
        <w:shd w:val="clear" w:color="auto" w:fill="DFF0F9" w:themeFill="accent3" w:themeFillTint="33"/>
        <w:rPr>
          <w:rFonts w:asciiTheme="majorHAnsi" w:hAnsiTheme="majorHAnsi"/>
          <w:b/>
          <w:bCs/>
          <w:iCs/>
        </w:rPr>
      </w:pPr>
      <w:bookmarkStart w:id="113" w:name="Suggestion8"/>
      <w:r w:rsidRPr="00820C89">
        <w:rPr>
          <w:rFonts w:asciiTheme="majorHAnsi" w:hAnsiTheme="majorHAnsi"/>
          <w:b/>
          <w:bCs/>
          <w:iCs/>
        </w:rPr>
        <w:lastRenderedPageBreak/>
        <w:t>Suggestion 8</w:t>
      </w:r>
      <w:bookmarkEnd w:id="113"/>
      <w:r w:rsidRPr="00820C89">
        <w:rPr>
          <w:rFonts w:asciiTheme="majorHAnsi" w:hAnsiTheme="majorHAnsi"/>
          <w:b/>
          <w:bCs/>
          <w:iCs/>
        </w:rPr>
        <w:t>: Future programs should consider ways in which all employers can be encouraged and supported to meaningfully embed new Indigenous employment practices into their businesses..</w:t>
      </w:r>
    </w:p>
    <w:p w14:paraId="3D3436ED" w14:textId="77777777" w:rsidR="00297EBC" w:rsidRPr="00820C89" w:rsidRDefault="00297EBC" w:rsidP="00297EBC">
      <w:pPr>
        <w:shd w:val="clear" w:color="auto" w:fill="DFF0F9" w:themeFill="accent3" w:themeFillTint="33"/>
        <w:rPr>
          <w:rFonts w:asciiTheme="majorHAnsi" w:hAnsiTheme="majorHAnsi"/>
          <w:i/>
        </w:rPr>
      </w:pPr>
      <w:r w:rsidRPr="00820C89">
        <w:rPr>
          <w:rFonts w:asciiTheme="majorHAnsi" w:hAnsiTheme="majorHAnsi"/>
          <w:i/>
        </w:rPr>
        <w:t xml:space="preserve">“The goal of increasing Indigenous employment participation should not merely be a matter of seeking representative employment outcomes or parity. </w:t>
      </w:r>
    </w:p>
    <w:p w14:paraId="172BFBF1" w14:textId="77777777" w:rsidR="00297EBC" w:rsidRPr="00820C89" w:rsidRDefault="00297EBC" w:rsidP="00297EBC">
      <w:pPr>
        <w:shd w:val="clear" w:color="auto" w:fill="DFF0F9" w:themeFill="accent3" w:themeFillTint="33"/>
        <w:rPr>
          <w:rFonts w:asciiTheme="majorHAnsi" w:hAnsiTheme="majorHAnsi"/>
          <w:i/>
        </w:rPr>
      </w:pPr>
      <w:r w:rsidRPr="00820C89">
        <w:rPr>
          <w:rFonts w:asciiTheme="majorHAnsi" w:hAnsiTheme="majorHAnsi"/>
          <w:i/>
        </w:rPr>
        <w:t>Indigenous Australia is at great pains to say that “Closing the Gap” is not merely a one-way street where Indigenous Australians have to become more aligned to Non-Indigenous Australia. It is an exchange of process, and there is a mutual learning and benefit to be gained from Non-Indigenous Australia embracing the lessons of Indigenous Australia about how to thrive in this landscape.</w:t>
      </w:r>
    </w:p>
    <w:p w14:paraId="0D6CF7DD" w14:textId="77777777" w:rsidR="00297EBC" w:rsidRPr="00820C89" w:rsidRDefault="00297EBC" w:rsidP="00297EBC">
      <w:pPr>
        <w:shd w:val="clear" w:color="auto" w:fill="DFF0F9" w:themeFill="accent3" w:themeFillTint="33"/>
        <w:rPr>
          <w:rFonts w:asciiTheme="majorHAnsi" w:hAnsiTheme="majorHAnsi"/>
          <w:i/>
        </w:rPr>
      </w:pPr>
      <w:r w:rsidRPr="00820C89">
        <w:rPr>
          <w:rFonts w:asciiTheme="majorHAnsi" w:hAnsiTheme="majorHAnsi"/>
          <w:i/>
        </w:rPr>
        <w:t xml:space="preserve">The same applies in the employment space, where Indigenous Australia has much to teach Non-Indigenous employers about ways of working, about relationships in community and about success. In this regard we consider that those employers that approach the employment of Indigenous Australians as the receiving of a gift, rather than the giving of one are the ones most likely to get the full benefit of change and opportunity. </w:t>
      </w:r>
    </w:p>
    <w:p w14:paraId="286D8C50" w14:textId="77777777" w:rsidR="00297EBC" w:rsidRPr="00820C89" w:rsidRDefault="00297EBC" w:rsidP="00297EBC">
      <w:pPr>
        <w:shd w:val="clear" w:color="auto" w:fill="DFF0F9" w:themeFill="accent3" w:themeFillTint="33"/>
        <w:rPr>
          <w:rFonts w:asciiTheme="majorHAnsi" w:hAnsiTheme="majorHAnsi"/>
          <w:i/>
        </w:rPr>
      </w:pPr>
      <w:r w:rsidRPr="00820C89">
        <w:rPr>
          <w:rFonts w:asciiTheme="majorHAnsi" w:hAnsiTheme="majorHAnsi"/>
          <w:i/>
        </w:rPr>
        <w:t xml:space="preserve">This is a radical departure from the ‘welfare’ or deficit framing that typifies most engagements with Indigenous Australians. This is played out in employment programs and even in Reconciliation Action Plans, where in many instances, RAP’s act as a vehicle for doing social good, rather than as a tool for employers to learn and change those behaviours and systems that stop them from engaging deeply with the benefits of bringing Indigenous Australians into their workplace. </w:t>
      </w:r>
    </w:p>
    <w:p w14:paraId="0DACA74B" w14:textId="77777777" w:rsidR="00297EBC" w:rsidRPr="00820C89" w:rsidRDefault="00297EBC" w:rsidP="00297EBC">
      <w:pPr>
        <w:shd w:val="clear" w:color="auto" w:fill="DFF0F9" w:themeFill="accent3" w:themeFillTint="33"/>
        <w:rPr>
          <w:rFonts w:asciiTheme="majorHAnsi" w:hAnsiTheme="majorHAnsi"/>
          <w:i/>
        </w:rPr>
      </w:pPr>
      <w:r w:rsidRPr="00820C89">
        <w:rPr>
          <w:rFonts w:asciiTheme="majorHAnsi" w:hAnsiTheme="majorHAnsi"/>
          <w:i/>
        </w:rPr>
        <w:t>What we understand from reports such as Gari Yala is that it is not sufficient for organisations to merely have RAP’s or employ Indigenous Australians, they will only thrive if they are willing to engage respectfully and learn from their Indigenous Australian employees.</w:t>
      </w:r>
    </w:p>
    <w:p w14:paraId="7BE8CD95" w14:textId="339A8DA3" w:rsidR="004F4087" w:rsidRPr="00820C89" w:rsidRDefault="00297EBC" w:rsidP="006A04F6">
      <w:pPr>
        <w:shd w:val="clear" w:color="auto" w:fill="DFF0F9" w:themeFill="accent3" w:themeFillTint="33"/>
        <w:rPr>
          <w:rFonts w:asciiTheme="majorHAnsi" w:hAnsiTheme="majorHAnsi"/>
          <w:i/>
        </w:rPr>
      </w:pPr>
      <w:r w:rsidRPr="00820C89">
        <w:rPr>
          <w:rFonts w:asciiTheme="majorHAnsi" w:hAnsiTheme="majorHAnsi"/>
          <w:i/>
        </w:rPr>
        <w:t>To understand how this sharing of responsibility can best be achieved, and employers can embed new employment practices, a genuine co-design process involving both Indigneous Australians and successful employers needs to be conducted. This co-design process will provide examples of small-scale successes that can be scaled-up to drive broader, system-level change.”</w:t>
      </w:r>
      <w:r w:rsidRPr="00820C89">
        <w:rPr>
          <w:rFonts w:asciiTheme="majorHAnsi" w:hAnsiTheme="majorHAnsi"/>
          <w:iCs/>
        </w:rPr>
        <w:t xml:space="preserve"> (Professor Deen Sanders OAM)</w:t>
      </w:r>
    </w:p>
    <w:p w14:paraId="2D23D4E7" w14:textId="77777777" w:rsidR="0023071F" w:rsidRPr="00820C89" w:rsidRDefault="00820362" w:rsidP="0040692E">
      <w:pPr>
        <w:rPr>
          <w:rFonts w:asciiTheme="majorHAnsi" w:hAnsiTheme="majorHAnsi"/>
        </w:rPr>
      </w:pPr>
      <w:r w:rsidRPr="00820C89">
        <w:rPr>
          <w:rFonts w:asciiTheme="majorHAnsi" w:hAnsiTheme="majorHAnsi"/>
        </w:rPr>
        <w:t xml:space="preserve">The </w:t>
      </w:r>
      <w:r w:rsidRPr="00820C89">
        <w:rPr>
          <w:rFonts w:asciiTheme="majorHAnsi" w:hAnsiTheme="majorHAnsi"/>
          <w:i/>
        </w:rPr>
        <w:t xml:space="preserve">Gari Yala </w:t>
      </w:r>
      <w:r w:rsidRPr="00820C89">
        <w:rPr>
          <w:rFonts w:asciiTheme="majorHAnsi" w:hAnsiTheme="majorHAnsi"/>
        </w:rPr>
        <w:t>report identified the need within some employers to explore the practice of inclusion in greater depth. The report found that Indigenous employees working within organisations that failed to embed culturally safe practices were less likely to be satisfied with their job, less likely to recommend their workplace to others and would be more likely to leave their organisation in the following year. This indicates that embedding cultural practices has benefits for both employees and employe</w:t>
      </w:r>
      <w:r w:rsidR="0029415F" w:rsidRPr="00820C89">
        <w:rPr>
          <w:rFonts w:asciiTheme="majorHAnsi" w:hAnsiTheme="majorHAnsi"/>
        </w:rPr>
        <w:t>rs.</w:t>
      </w:r>
      <w:r w:rsidR="0029415F" w:rsidRPr="00820C89">
        <w:rPr>
          <w:rStyle w:val="FootnoteReference"/>
          <w:rFonts w:asciiTheme="majorHAnsi" w:hAnsiTheme="majorHAnsi"/>
        </w:rPr>
        <w:footnoteReference w:id="49"/>
      </w:r>
    </w:p>
    <w:p w14:paraId="52AB5A7D" w14:textId="77777777" w:rsidR="00BC6A98" w:rsidRPr="00820C89" w:rsidRDefault="004959DE" w:rsidP="0040692E">
      <w:pPr>
        <w:rPr>
          <w:rFonts w:asciiTheme="majorHAnsi" w:hAnsiTheme="majorHAnsi"/>
        </w:rPr>
      </w:pPr>
      <w:r w:rsidRPr="00820C89">
        <w:rPr>
          <w:rFonts w:asciiTheme="majorHAnsi" w:hAnsiTheme="majorHAnsi"/>
        </w:rPr>
        <w:t xml:space="preserve">Consultations with a diverse range of stakeholders suggest that </w:t>
      </w:r>
      <w:r w:rsidR="004A02A2" w:rsidRPr="00820C89">
        <w:rPr>
          <w:rFonts w:asciiTheme="majorHAnsi" w:hAnsiTheme="majorHAnsi"/>
        </w:rPr>
        <w:t>identifying meaningful employment opportunities for IEP participants is a critical</w:t>
      </w:r>
      <w:r w:rsidR="00B87C5E" w:rsidRPr="00820C89">
        <w:rPr>
          <w:rFonts w:asciiTheme="majorHAnsi" w:hAnsiTheme="majorHAnsi"/>
        </w:rPr>
        <w:t xml:space="preserve"> but challenging</w:t>
      </w:r>
      <w:r w:rsidR="004A02A2" w:rsidRPr="00820C89">
        <w:rPr>
          <w:rFonts w:asciiTheme="majorHAnsi" w:hAnsiTheme="majorHAnsi"/>
        </w:rPr>
        <w:t xml:space="preserve"> </w:t>
      </w:r>
      <w:r w:rsidR="00470033" w:rsidRPr="00820C89">
        <w:rPr>
          <w:rFonts w:asciiTheme="majorHAnsi" w:hAnsiTheme="majorHAnsi"/>
        </w:rPr>
        <w:t>element of the programs</w:t>
      </w:r>
      <w:r w:rsidR="00DA78F5" w:rsidRPr="00820C89">
        <w:rPr>
          <w:rFonts w:asciiTheme="majorHAnsi" w:hAnsiTheme="majorHAnsi"/>
        </w:rPr>
        <w:t>.</w:t>
      </w:r>
      <w:r w:rsidR="006D35E8" w:rsidRPr="00820C89">
        <w:rPr>
          <w:rFonts w:asciiTheme="majorHAnsi" w:hAnsiTheme="majorHAnsi"/>
        </w:rPr>
        <w:t xml:space="preserve"> </w:t>
      </w:r>
      <w:r w:rsidR="00281C92" w:rsidRPr="00820C89">
        <w:rPr>
          <w:rFonts w:asciiTheme="majorHAnsi" w:hAnsiTheme="majorHAnsi"/>
        </w:rPr>
        <w:t xml:space="preserve">These stakeholder generally alluded to </w:t>
      </w:r>
      <w:r w:rsidR="008815CD" w:rsidRPr="00820C89">
        <w:rPr>
          <w:rFonts w:asciiTheme="majorHAnsi" w:hAnsiTheme="majorHAnsi"/>
        </w:rPr>
        <w:t xml:space="preserve">similar </w:t>
      </w:r>
      <w:r w:rsidR="00281C92" w:rsidRPr="00820C89">
        <w:rPr>
          <w:rFonts w:asciiTheme="majorHAnsi" w:hAnsiTheme="majorHAnsi"/>
        </w:rPr>
        <w:t xml:space="preserve">themes </w:t>
      </w:r>
      <w:r w:rsidR="00F06583" w:rsidRPr="00820C89">
        <w:rPr>
          <w:rFonts w:asciiTheme="majorHAnsi" w:hAnsiTheme="majorHAnsi"/>
        </w:rPr>
        <w:t>to those discussed in the literature review for this project</w:t>
      </w:r>
      <w:r w:rsidR="00281C92" w:rsidRPr="00820C89">
        <w:rPr>
          <w:rFonts w:asciiTheme="majorHAnsi" w:hAnsiTheme="majorHAnsi"/>
        </w:rPr>
        <w:t>, that is, differing notions between Indigenous and non-Indigenous Australians on the role, purpose and nature of employment</w:t>
      </w:r>
      <w:r w:rsidR="00824A3B" w:rsidRPr="00820C89">
        <w:rPr>
          <w:rFonts w:asciiTheme="majorHAnsi" w:hAnsiTheme="majorHAnsi"/>
        </w:rPr>
        <w:t>,</w:t>
      </w:r>
      <w:r w:rsidR="00FD67FA" w:rsidRPr="00820C89">
        <w:rPr>
          <w:rFonts w:asciiTheme="majorHAnsi" w:hAnsiTheme="majorHAnsi"/>
        </w:rPr>
        <w:t xml:space="preserve"> </w:t>
      </w:r>
      <w:r w:rsidR="000D64DC" w:rsidRPr="00820C89">
        <w:rPr>
          <w:rFonts w:asciiTheme="majorHAnsi" w:hAnsiTheme="majorHAnsi"/>
        </w:rPr>
        <w:t>along with</w:t>
      </w:r>
      <w:r w:rsidR="00FD67FA" w:rsidRPr="00820C89">
        <w:rPr>
          <w:rFonts w:asciiTheme="majorHAnsi" w:hAnsiTheme="majorHAnsi"/>
        </w:rPr>
        <w:t xml:space="preserve"> the challenges of finding employment opportunities in remote communities.</w:t>
      </w:r>
      <w:r w:rsidR="00BC6A98" w:rsidRPr="00820C89">
        <w:rPr>
          <w:rFonts w:asciiTheme="majorHAnsi" w:hAnsiTheme="majorHAnsi"/>
        </w:rPr>
        <w:t xml:space="preserve"> For example, NIAA Regional Staff and Indigenous community leaders note that:</w:t>
      </w:r>
    </w:p>
    <w:p w14:paraId="12BB4C92" w14:textId="77777777" w:rsidR="0082600C" w:rsidRPr="00820C89" w:rsidRDefault="006D35E8" w:rsidP="002F426C">
      <w:pPr>
        <w:ind w:left="357"/>
        <w:rPr>
          <w:rFonts w:asciiTheme="majorHAnsi" w:hAnsiTheme="majorHAnsi"/>
          <w:i/>
        </w:rPr>
      </w:pPr>
      <w:r w:rsidRPr="00820C89">
        <w:rPr>
          <w:rFonts w:asciiTheme="majorHAnsi" w:hAnsiTheme="majorHAnsi"/>
          <w:i/>
        </w:rPr>
        <w:t xml:space="preserve"> </w:t>
      </w:r>
      <w:r w:rsidR="0082600C" w:rsidRPr="00820C89">
        <w:rPr>
          <w:rFonts w:asciiTheme="majorHAnsi" w:hAnsiTheme="majorHAnsi"/>
          <w:i/>
        </w:rPr>
        <w:t>“Some Indigenous jobseekers just don’t feel comfortable working at mining, but at times, those might be the only employment opportunities that are available” (NIAA Regional Office Staff).</w:t>
      </w:r>
    </w:p>
    <w:p w14:paraId="36754ABE" w14:textId="77777777" w:rsidR="00305A3B" w:rsidRPr="00820C89" w:rsidRDefault="00C03E59" w:rsidP="006003E4">
      <w:pPr>
        <w:ind w:left="357"/>
        <w:rPr>
          <w:rFonts w:asciiTheme="majorHAnsi" w:hAnsiTheme="majorHAnsi"/>
          <w:i/>
        </w:rPr>
      </w:pPr>
      <w:r w:rsidRPr="00820C89">
        <w:rPr>
          <w:rFonts w:asciiTheme="majorHAnsi" w:hAnsiTheme="majorHAnsi"/>
          <w:i/>
        </w:rPr>
        <w:t>“</w:t>
      </w:r>
      <w:r w:rsidR="00305A3B" w:rsidRPr="00820C89">
        <w:rPr>
          <w:rFonts w:asciiTheme="majorHAnsi" w:hAnsiTheme="majorHAnsi"/>
          <w:i/>
        </w:rPr>
        <w:t xml:space="preserve">The </w:t>
      </w:r>
      <w:r w:rsidRPr="00820C89">
        <w:rPr>
          <w:rFonts w:asciiTheme="majorHAnsi" w:hAnsiTheme="majorHAnsi"/>
          <w:i/>
        </w:rPr>
        <w:t xml:space="preserve">[CDP] </w:t>
      </w:r>
      <w:r w:rsidR="00305A3B" w:rsidRPr="00820C89">
        <w:rPr>
          <w:rFonts w:asciiTheme="majorHAnsi" w:hAnsiTheme="majorHAnsi"/>
          <w:i/>
        </w:rPr>
        <w:t>job providers, currently out bush</w:t>
      </w:r>
      <w:r w:rsidRPr="00820C89">
        <w:rPr>
          <w:rFonts w:asciiTheme="majorHAnsi" w:hAnsiTheme="majorHAnsi"/>
          <w:i/>
        </w:rPr>
        <w:t xml:space="preserve"> are not creating engaging opportunities for people</w:t>
      </w:r>
      <w:r w:rsidR="00305A3B" w:rsidRPr="00820C89">
        <w:rPr>
          <w:rFonts w:asciiTheme="majorHAnsi" w:hAnsiTheme="majorHAnsi"/>
          <w:i/>
        </w:rPr>
        <w:t xml:space="preserve">.  </w:t>
      </w:r>
      <w:r w:rsidR="008D3AD1" w:rsidRPr="00820C89">
        <w:rPr>
          <w:rFonts w:asciiTheme="majorHAnsi" w:hAnsiTheme="majorHAnsi"/>
          <w:i/>
        </w:rPr>
        <w:t>If t</w:t>
      </w:r>
      <w:r w:rsidR="00305A3B" w:rsidRPr="00820C89">
        <w:rPr>
          <w:rFonts w:asciiTheme="majorHAnsi" w:hAnsiTheme="majorHAnsi"/>
          <w:i/>
        </w:rPr>
        <w:t xml:space="preserve">he jobs </w:t>
      </w:r>
      <w:r w:rsidRPr="00820C89">
        <w:rPr>
          <w:rFonts w:asciiTheme="majorHAnsi" w:hAnsiTheme="majorHAnsi"/>
          <w:i/>
        </w:rPr>
        <w:t>the</w:t>
      </w:r>
      <w:r w:rsidR="009629F0" w:rsidRPr="00820C89">
        <w:rPr>
          <w:rFonts w:asciiTheme="majorHAnsi" w:hAnsiTheme="majorHAnsi"/>
          <w:i/>
        </w:rPr>
        <w:t>y’re</w:t>
      </w:r>
      <w:r w:rsidRPr="00820C89">
        <w:rPr>
          <w:rFonts w:asciiTheme="majorHAnsi" w:hAnsiTheme="majorHAnsi"/>
          <w:i/>
        </w:rPr>
        <w:t xml:space="preserve"> </w:t>
      </w:r>
      <w:r w:rsidR="00305A3B" w:rsidRPr="00820C89">
        <w:rPr>
          <w:rFonts w:asciiTheme="majorHAnsi" w:hAnsiTheme="majorHAnsi"/>
          <w:i/>
        </w:rPr>
        <w:t>providing</w:t>
      </w:r>
      <w:r w:rsidRPr="00820C89">
        <w:rPr>
          <w:rFonts w:asciiTheme="majorHAnsi" w:hAnsiTheme="majorHAnsi"/>
          <w:i/>
        </w:rPr>
        <w:t xml:space="preserve"> are </w:t>
      </w:r>
      <w:r w:rsidR="00305A3B" w:rsidRPr="00820C89">
        <w:rPr>
          <w:rFonts w:asciiTheme="majorHAnsi" w:hAnsiTheme="majorHAnsi"/>
          <w:i/>
        </w:rPr>
        <w:t xml:space="preserve">not meaningful, they're not going to do it.  If </w:t>
      </w:r>
      <w:r w:rsidR="006A2C94" w:rsidRPr="00820C89">
        <w:rPr>
          <w:rFonts w:asciiTheme="majorHAnsi" w:hAnsiTheme="majorHAnsi"/>
          <w:i/>
        </w:rPr>
        <w:t xml:space="preserve">[CDP] is creating </w:t>
      </w:r>
      <w:r w:rsidR="00EF7190" w:rsidRPr="00820C89">
        <w:rPr>
          <w:rFonts w:asciiTheme="majorHAnsi" w:hAnsiTheme="majorHAnsi"/>
          <w:i/>
        </w:rPr>
        <w:t xml:space="preserve">opportunities for people that they aren’t passionate about, then it’s not doing anything. </w:t>
      </w:r>
      <w:r w:rsidR="00305A3B" w:rsidRPr="00820C89">
        <w:rPr>
          <w:rFonts w:asciiTheme="majorHAnsi" w:hAnsiTheme="majorHAnsi"/>
          <w:i/>
        </w:rPr>
        <w:t xml:space="preserve">Because we all know, when we don't want to do something, we don't do it. So we can't have different </w:t>
      </w:r>
      <w:r w:rsidR="00305A3B" w:rsidRPr="00820C89">
        <w:rPr>
          <w:rFonts w:asciiTheme="majorHAnsi" w:hAnsiTheme="majorHAnsi"/>
          <w:i/>
        </w:rPr>
        <w:lastRenderedPageBreak/>
        <w:t>rules for different people.</w:t>
      </w:r>
      <w:r w:rsidR="001D29B5" w:rsidRPr="00820C89">
        <w:rPr>
          <w:rFonts w:asciiTheme="majorHAnsi" w:hAnsiTheme="majorHAnsi"/>
          <w:i/>
        </w:rPr>
        <w:t xml:space="preserve"> I don’t know if the NIAA are</w:t>
      </w:r>
      <w:r w:rsidR="00722721" w:rsidRPr="00820C89">
        <w:rPr>
          <w:rFonts w:asciiTheme="majorHAnsi" w:hAnsiTheme="majorHAnsi"/>
          <w:i/>
        </w:rPr>
        <w:t xml:space="preserve"> </w:t>
      </w:r>
      <w:r w:rsidR="005B3F4D" w:rsidRPr="00820C89">
        <w:rPr>
          <w:rFonts w:asciiTheme="majorHAnsi" w:hAnsiTheme="majorHAnsi"/>
          <w:i/>
        </w:rPr>
        <w:t>programs</w:t>
      </w:r>
      <w:r w:rsidR="00722721" w:rsidRPr="00820C89">
        <w:rPr>
          <w:rFonts w:asciiTheme="majorHAnsi" w:hAnsiTheme="majorHAnsi"/>
          <w:i/>
        </w:rPr>
        <w:t xml:space="preserve"> are any better, but I don’t think they’re engaging with the community members to find out”</w:t>
      </w:r>
      <w:r w:rsidR="001F05E6" w:rsidRPr="00820C89">
        <w:rPr>
          <w:rFonts w:asciiTheme="majorHAnsi" w:hAnsiTheme="majorHAnsi"/>
          <w:i/>
        </w:rPr>
        <w:t xml:space="preserve"> (Indigenous Community Leader)</w:t>
      </w:r>
      <w:r w:rsidR="00BD08DA" w:rsidRPr="00820C89">
        <w:rPr>
          <w:rFonts w:asciiTheme="majorHAnsi" w:hAnsiTheme="majorHAnsi"/>
          <w:i/>
        </w:rPr>
        <w:t>.</w:t>
      </w:r>
    </w:p>
    <w:p w14:paraId="4CC11C5C" w14:textId="77777777" w:rsidR="00A65455" w:rsidRPr="00820C89" w:rsidRDefault="00BF791C" w:rsidP="0040692E">
      <w:pPr>
        <w:rPr>
          <w:rFonts w:asciiTheme="majorHAnsi" w:hAnsiTheme="majorHAnsi"/>
        </w:rPr>
      </w:pPr>
      <w:r w:rsidRPr="00820C89">
        <w:rPr>
          <w:rFonts w:asciiTheme="majorHAnsi" w:hAnsiTheme="majorHAnsi"/>
        </w:rPr>
        <w:t xml:space="preserve">Consultations </w:t>
      </w:r>
      <w:r w:rsidR="0063207A" w:rsidRPr="00820C89">
        <w:rPr>
          <w:rFonts w:asciiTheme="majorHAnsi" w:hAnsiTheme="majorHAnsi"/>
        </w:rPr>
        <w:t>directly with</w:t>
      </w:r>
      <w:r w:rsidR="0063207A" w:rsidRPr="00820C89">
        <w:rPr>
          <w:rFonts w:asciiTheme="majorHAnsi" w:hAnsiTheme="majorHAnsi"/>
          <w:b/>
          <w:bCs/>
        </w:rPr>
        <w:t xml:space="preserve"> </w:t>
      </w:r>
      <w:r w:rsidR="00CD61D8" w:rsidRPr="00820C89">
        <w:rPr>
          <w:rFonts w:asciiTheme="majorHAnsi" w:hAnsiTheme="majorHAnsi"/>
        </w:rPr>
        <w:t xml:space="preserve">VTEC and TAEG </w:t>
      </w:r>
      <w:r w:rsidR="0035422C" w:rsidRPr="00820C89">
        <w:rPr>
          <w:rFonts w:asciiTheme="majorHAnsi" w:hAnsiTheme="majorHAnsi"/>
        </w:rPr>
        <w:t>participants</w:t>
      </w:r>
      <w:r w:rsidR="0038121F" w:rsidRPr="00820C89">
        <w:rPr>
          <w:rFonts w:asciiTheme="majorHAnsi" w:hAnsiTheme="majorHAnsi"/>
        </w:rPr>
        <w:t xml:space="preserve"> </w:t>
      </w:r>
      <w:r w:rsidR="00B16FB6" w:rsidRPr="00820C89">
        <w:rPr>
          <w:rFonts w:asciiTheme="majorHAnsi" w:hAnsiTheme="majorHAnsi"/>
        </w:rPr>
        <w:t>reveal that they generally re</w:t>
      </w:r>
      <w:r w:rsidR="00A65455" w:rsidRPr="00820C89">
        <w:rPr>
          <w:rFonts w:asciiTheme="majorHAnsi" w:hAnsiTheme="majorHAnsi"/>
        </w:rPr>
        <w:t>flect positively on the type of work they are engaged in through the program</w:t>
      </w:r>
      <w:r w:rsidR="00B1377C" w:rsidRPr="00820C89">
        <w:rPr>
          <w:rFonts w:asciiTheme="majorHAnsi" w:hAnsiTheme="majorHAnsi"/>
        </w:rPr>
        <w:t>s</w:t>
      </w:r>
      <w:r w:rsidR="00A65455" w:rsidRPr="00820C89">
        <w:rPr>
          <w:rFonts w:asciiTheme="majorHAnsi" w:hAnsiTheme="majorHAnsi"/>
        </w:rPr>
        <w:t>,</w:t>
      </w:r>
      <w:r w:rsidR="007A3DB6" w:rsidRPr="00820C89">
        <w:rPr>
          <w:rFonts w:asciiTheme="majorHAnsi" w:hAnsiTheme="majorHAnsi"/>
        </w:rPr>
        <w:t xml:space="preserve"> reporting that they find it </w:t>
      </w:r>
      <w:r w:rsidR="00E96936" w:rsidRPr="00820C89">
        <w:rPr>
          <w:rFonts w:asciiTheme="majorHAnsi" w:hAnsiTheme="majorHAnsi"/>
        </w:rPr>
        <w:t xml:space="preserve">to be </w:t>
      </w:r>
      <w:r w:rsidR="008022F4" w:rsidRPr="00820C89">
        <w:rPr>
          <w:rFonts w:asciiTheme="majorHAnsi" w:hAnsiTheme="majorHAnsi"/>
        </w:rPr>
        <w:t xml:space="preserve">either </w:t>
      </w:r>
      <w:r w:rsidR="000C1D02" w:rsidRPr="00820C89">
        <w:rPr>
          <w:rFonts w:asciiTheme="majorHAnsi" w:hAnsiTheme="majorHAnsi"/>
        </w:rPr>
        <w:t>directly meaningfu</w:t>
      </w:r>
      <w:r w:rsidR="00BC49D5" w:rsidRPr="00820C89">
        <w:rPr>
          <w:rFonts w:asciiTheme="majorHAnsi" w:hAnsiTheme="majorHAnsi"/>
        </w:rPr>
        <w:t>l</w:t>
      </w:r>
      <w:r w:rsidR="000C1D02" w:rsidRPr="00820C89">
        <w:rPr>
          <w:rFonts w:asciiTheme="majorHAnsi" w:hAnsiTheme="majorHAnsi"/>
        </w:rPr>
        <w:t xml:space="preserve"> or a positive </w:t>
      </w:r>
      <w:r w:rsidR="00E5714F" w:rsidRPr="00820C89">
        <w:rPr>
          <w:rFonts w:asciiTheme="majorHAnsi" w:hAnsiTheme="majorHAnsi"/>
        </w:rPr>
        <w:t>‘stepping stone’ for them to move on to other employment opportunities.</w:t>
      </w:r>
      <w:r w:rsidR="002B1EAE" w:rsidRPr="00820C89">
        <w:rPr>
          <w:rFonts w:asciiTheme="majorHAnsi" w:hAnsiTheme="majorHAnsi"/>
        </w:rPr>
        <w:t xml:space="preserve"> For example, participants </w:t>
      </w:r>
      <w:r w:rsidR="00E83C61" w:rsidRPr="00820C89">
        <w:rPr>
          <w:rFonts w:asciiTheme="majorHAnsi" w:hAnsiTheme="majorHAnsi"/>
        </w:rPr>
        <w:t>note</w:t>
      </w:r>
      <w:r w:rsidR="002B1EAE" w:rsidRPr="00820C89">
        <w:rPr>
          <w:rFonts w:asciiTheme="majorHAnsi" w:hAnsiTheme="majorHAnsi"/>
        </w:rPr>
        <w:t xml:space="preserve"> that:</w:t>
      </w:r>
    </w:p>
    <w:p w14:paraId="2769DE40" w14:textId="77777777" w:rsidR="002B1EAE" w:rsidRPr="00820C89" w:rsidRDefault="00E83C61" w:rsidP="002B1EAE">
      <w:pPr>
        <w:ind w:left="357"/>
        <w:rPr>
          <w:rFonts w:asciiTheme="majorHAnsi" w:hAnsiTheme="majorHAnsi"/>
          <w:i/>
        </w:rPr>
      </w:pPr>
      <w:r w:rsidRPr="00820C89">
        <w:rPr>
          <w:rFonts w:asciiTheme="majorHAnsi" w:hAnsiTheme="majorHAnsi"/>
          <w:i/>
        </w:rPr>
        <w:t>“Previously I did</w:t>
      </w:r>
      <w:r w:rsidR="002B1EAE" w:rsidRPr="00820C89">
        <w:rPr>
          <w:rFonts w:asciiTheme="majorHAnsi" w:hAnsiTheme="majorHAnsi"/>
          <w:i/>
        </w:rPr>
        <w:t xml:space="preserve"> not really </w:t>
      </w:r>
      <w:r w:rsidR="00EB4056" w:rsidRPr="00820C89">
        <w:rPr>
          <w:rFonts w:asciiTheme="majorHAnsi" w:hAnsiTheme="majorHAnsi"/>
          <w:i/>
        </w:rPr>
        <w:t>have</w:t>
      </w:r>
      <w:r w:rsidR="002B1EAE" w:rsidRPr="00820C89">
        <w:rPr>
          <w:rFonts w:asciiTheme="majorHAnsi" w:hAnsiTheme="majorHAnsi"/>
          <w:i/>
        </w:rPr>
        <w:t xml:space="preserve"> the most meaningful work.  I was doing heaps of different jobs.  I was doing hospitality, landscaping, air-conditioning mechanic, childcare and just, yeah, heaps of stuff.  And then, I got a </w:t>
      </w:r>
      <w:r w:rsidR="001737BE" w:rsidRPr="00820C89">
        <w:rPr>
          <w:rFonts w:asciiTheme="majorHAnsi" w:hAnsiTheme="majorHAnsi"/>
          <w:i/>
        </w:rPr>
        <w:t>new [TAEG] placement</w:t>
      </w:r>
      <w:r w:rsidR="002B1EAE" w:rsidRPr="00820C89">
        <w:rPr>
          <w:rFonts w:asciiTheme="majorHAnsi" w:hAnsiTheme="majorHAnsi"/>
          <w:i/>
        </w:rPr>
        <w:t xml:space="preserve"> around March last year.  It’s been pretty good.</w:t>
      </w:r>
      <w:r w:rsidR="001737BE" w:rsidRPr="00820C89">
        <w:rPr>
          <w:rFonts w:asciiTheme="majorHAnsi" w:hAnsiTheme="majorHAnsi"/>
          <w:i/>
        </w:rPr>
        <w:t xml:space="preserve">” (TAEG </w:t>
      </w:r>
      <w:r w:rsidR="000749F9" w:rsidRPr="00820C89">
        <w:rPr>
          <w:rFonts w:asciiTheme="majorHAnsi" w:hAnsiTheme="majorHAnsi"/>
          <w:i/>
        </w:rPr>
        <w:t>Participant</w:t>
      </w:r>
      <w:r w:rsidR="001737BE" w:rsidRPr="00820C89">
        <w:rPr>
          <w:rFonts w:asciiTheme="majorHAnsi" w:hAnsiTheme="majorHAnsi"/>
          <w:i/>
        </w:rPr>
        <w:t>)</w:t>
      </w:r>
    </w:p>
    <w:p w14:paraId="237FF526" w14:textId="77777777" w:rsidR="00B1377C" w:rsidRPr="00820C89" w:rsidRDefault="00B1377C" w:rsidP="002B1EAE">
      <w:pPr>
        <w:ind w:left="357"/>
        <w:rPr>
          <w:rFonts w:asciiTheme="majorHAnsi" w:hAnsiTheme="majorHAnsi"/>
          <w:i/>
        </w:rPr>
      </w:pPr>
      <w:r w:rsidRPr="00820C89">
        <w:rPr>
          <w:rFonts w:asciiTheme="majorHAnsi" w:hAnsiTheme="majorHAnsi"/>
          <w:i/>
        </w:rPr>
        <w:t>“Look I don’t know if this is really what I want to do forever [hospitality]</w:t>
      </w:r>
      <w:r w:rsidR="00EB3D8F" w:rsidRPr="00820C89">
        <w:rPr>
          <w:rFonts w:asciiTheme="majorHAnsi" w:hAnsiTheme="majorHAnsi"/>
          <w:i/>
        </w:rPr>
        <w:t xml:space="preserve">, but it’s definitely a good place to work, and I know that. They make you feel welcome, and you get to be surrounded by culture. So yeh, I </w:t>
      </w:r>
      <w:r w:rsidR="00CE4598" w:rsidRPr="00820C89">
        <w:rPr>
          <w:rFonts w:asciiTheme="majorHAnsi" w:hAnsiTheme="majorHAnsi"/>
          <w:i/>
        </w:rPr>
        <w:t>can definitely see the value in being here”</w:t>
      </w:r>
      <w:r w:rsidR="007D06CB" w:rsidRPr="00820C89">
        <w:rPr>
          <w:rFonts w:asciiTheme="majorHAnsi" w:hAnsiTheme="majorHAnsi"/>
          <w:i/>
        </w:rPr>
        <w:t xml:space="preserve"> (TAEG </w:t>
      </w:r>
      <w:r w:rsidR="0037406D" w:rsidRPr="00820C89">
        <w:rPr>
          <w:rFonts w:asciiTheme="majorHAnsi" w:hAnsiTheme="majorHAnsi"/>
          <w:i/>
        </w:rPr>
        <w:t>Participant</w:t>
      </w:r>
      <w:r w:rsidR="007D06CB" w:rsidRPr="00820C89">
        <w:rPr>
          <w:rFonts w:asciiTheme="majorHAnsi" w:hAnsiTheme="majorHAnsi"/>
          <w:i/>
        </w:rPr>
        <w:t>)</w:t>
      </w:r>
    </w:p>
    <w:p w14:paraId="7EEC799C" w14:textId="77777777" w:rsidR="00F47FD9" w:rsidRPr="00820C89" w:rsidRDefault="00F45941" w:rsidP="005F19B2">
      <w:pPr>
        <w:ind w:left="357"/>
        <w:rPr>
          <w:rFonts w:asciiTheme="majorHAnsi" w:hAnsiTheme="majorHAnsi"/>
          <w:i/>
        </w:rPr>
      </w:pPr>
      <w:r w:rsidRPr="00820C89">
        <w:rPr>
          <w:rFonts w:asciiTheme="majorHAnsi" w:hAnsiTheme="majorHAnsi"/>
          <w:i/>
        </w:rPr>
        <w:t xml:space="preserve">“I enjoy it [the placement] because I get to work with Aboriginal people as well </w:t>
      </w:r>
      <w:r w:rsidR="00AF65B5" w:rsidRPr="00820C89">
        <w:rPr>
          <w:rFonts w:asciiTheme="majorHAnsi" w:hAnsiTheme="majorHAnsi"/>
          <w:i/>
        </w:rPr>
        <w:t>as</w:t>
      </w:r>
      <w:r w:rsidRPr="00820C89">
        <w:rPr>
          <w:rFonts w:asciiTheme="majorHAnsi" w:hAnsiTheme="majorHAnsi"/>
          <w:i/>
        </w:rPr>
        <w:t xml:space="preserve"> the rest of the community.  I think that’s one of the main reasons why I got into childcare</w:t>
      </w:r>
      <w:r w:rsidR="00AF65B5" w:rsidRPr="00820C89">
        <w:rPr>
          <w:rFonts w:asciiTheme="majorHAnsi" w:hAnsiTheme="majorHAnsi"/>
          <w:i/>
        </w:rPr>
        <w:t xml:space="preserve">” (VTEC Participant) </w:t>
      </w:r>
    </w:p>
    <w:p w14:paraId="51024876" w14:textId="77777777" w:rsidR="00F47FD9" w:rsidRPr="00820C89" w:rsidRDefault="00F47FD9" w:rsidP="00F47FD9">
      <w:pPr>
        <w:ind w:left="357"/>
        <w:rPr>
          <w:rFonts w:asciiTheme="majorHAnsi" w:hAnsiTheme="majorHAnsi"/>
          <w:i/>
        </w:rPr>
      </w:pPr>
      <w:r w:rsidRPr="00820C89">
        <w:rPr>
          <w:rFonts w:asciiTheme="majorHAnsi" w:hAnsiTheme="majorHAnsi"/>
          <w:i/>
        </w:rPr>
        <w:t>“I’m just so passionate with my job and what I do.  I feel like I’m actually doing good. I’m really happy that I’m up here and doing this and if I can contribute even five percent towards what’s going on I’m happy with that</w:t>
      </w:r>
      <w:r w:rsidR="00C32235" w:rsidRPr="00820C89">
        <w:rPr>
          <w:rFonts w:asciiTheme="majorHAnsi" w:hAnsiTheme="majorHAnsi"/>
          <w:i/>
        </w:rPr>
        <w:t>” (VTEC Participant).</w:t>
      </w:r>
    </w:p>
    <w:p w14:paraId="5FA2BB32" w14:textId="77777777" w:rsidR="00B5752A" w:rsidRPr="00820C89" w:rsidRDefault="00A970E6" w:rsidP="0040692E">
      <w:pPr>
        <w:rPr>
          <w:rFonts w:asciiTheme="majorHAnsi" w:hAnsiTheme="majorHAnsi"/>
        </w:rPr>
      </w:pPr>
      <w:r w:rsidRPr="00820C89">
        <w:rPr>
          <w:rFonts w:asciiTheme="majorHAnsi" w:hAnsiTheme="majorHAnsi"/>
        </w:rPr>
        <w:t xml:space="preserve">This evidence suggests </w:t>
      </w:r>
      <w:r w:rsidR="00074703" w:rsidRPr="00820C89">
        <w:rPr>
          <w:rFonts w:asciiTheme="majorHAnsi" w:hAnsiTheme="majorHAnsi"/>
        </w:rPr>
        <w:t>that participants</w:t>
      </w:r>
      <w:r w:rsidR="008F395F" w:rsidRPr="00820C89">
        <w:rPr>
          <w:rFonts w:asciiTheme="majorHAnsi" w:hAnsiTheme="majorHAnsi"/>
        </w:rPr>
        <w:t>’</w:t>
      </w:r>
      <w:r w:rsidR="003B4899" w:rsidRPr="00820C89">
        <w:rPr>
          <w:rFonts w:asciiTheme="majorHAnsi" w:hAnsiTheme="majorHAnsi"/>
        </w:rPr>
        <w:t xml:space="preserve"> level of satisfaction with their </w:t>
      </w:r>
      <w:r w:rsidR="00A247B6" w:rsidRPr="00820C89">
        <w:rPr>
          <w:rFonts w:asciiTheme="majorHAnsi" w:hAnsiTheme="majorHAnsi"/>
        </w:rPr>
        <w:t xml:space="preserve">employment placement </w:t>
      </w:r>
      <w:r w:rsidR="00B5752A" w:rsidRPr="00820C89">
        <w:rPr>
          <w:rFonts w:asciiTheme="majorHAnsi" w:hAnsiTheme="majorHAnsi"/>
        </w:rPr>
        <w:t xml:space="preserve">can be derived </w:t>
      </w:r>
      <w:r w:rsidR="0095486D" w:rsidRPr="00820C89">
        <w:rPr>
          <w:rFonts w:asciiTheme="majorHAnsi" w:hAnsiTheme="majorHAnsi"/>
        </w:rPr>
        <w:t xml:space="preserve">from a variety of sources, </w:t>
      </w:r>
      <w:r w:rsidR="001170CE" w:rsidRPr="00820C89">
        <w:rPr>
          <w:rFonts w:asciiTheme="majorHAnsi" w:hAnsiTheme="majorHAnsi"/>
        </w:rPr>
        <w:t>commonly associated with engaging closely with their local community and making a positive impact.</w:t>
      </w:r>
    </w:p>
    <w:p w14:paraId="00F44F53" w14:textId="77777777" w:rsidR="0040692E" w:rsidRPr="00820C89" w:rsidRDefault="0040692E" w:rsidP="0040692E">
      <w:pPr>
        <w:rPr>
          <w:rFonts w:asciiTheme="majorHAnsi" w:hAnsiTheme="majorHAnsi"/>
        </w:rPr>
      </w:pPr>
      <w:r w:rsidRPr="00820C89">
        <w:rPr>
          <w:rFonts w:asciiTheme="majorHAnsi" w:hAnsiTheme="majorHAnsi"/>
        </w:rPr>
        <w:t>F</w:t>
      </w:r>
      <w:r w:rsidR="003F1F19" w:rsidRPr="00820C89">
        <w:rPr>
          <w:rFonts w:asciiTheme="majorHAnsi" w:hAnsiTheme="majorHAnsi"/>
        </w:rPr>
        <w:t>inally</w:t>
      </w:r>
      <w:r w:rsidRPr="00820C89">
        <w:rPr>
          <w:rFonts w:asciiTheme="majorHAnsi" w:hAnsiTheme="majorHAnsi"/>
        </w:rPr>
        <w:t>,</w:t>
      </w:r>
      <w:r w:rsidR="00B05F98" w:rsidRPr="00820C89">
        <w:rPr>
          <w:rFonts w:asciiTheme="majorHAnsi" w:hAnsiTheme="majorHAnsi"/>
        </w:rPr>
        <w:t xml:space="preserve"> it is recognised that</w:t>
      </w:r>
      <w:r w:rsidRPr="00820C89">
        <w:rPr>
          <w:rFonts w:asciiTheme="majorHAnsi" w:hAnsiTheme="majorHAnsi"/>
        </w:rPr>
        <w:t xml:space="preserve"> given that the IEP focus on supporting labour supply (via upskilling participants and overcoming barriers employment) instead of stimulating labour demand, providers are limited in their ability to consistently create meaningful employment opportunities for participants. For example, during stakeholder consultations, several providers in remote and regional areas noted that they are heavily restricted by the local labour market in terms of what employment opportunities are available for them to offer participants. </w:t>
      </w:r>
    </w:p>
    <w:p w14:paraId="3793D4AE" w14:textId="77777777" w:rsidR="0018125D" w:rsidRPr="00820C89" w:rsidRDefault="0018125D" w:rsidP="0018125D">
      <w:pPr>
        <w:rPr>
          <w:rFonts w:asciiTheme="majorHAnsi" w:hAnsiTheme="majorHAnsi"/>
          <w:b/>
          <w:bCs/>
          <w:i/>
          <w:iCs/>
        </w:rPr>
      </w:pPr>
      <w:r w:rsidRPr="00820C89">
        <w:rPr>
          <w:rFonts w:asciiTheme="majorHAnsi" w:hAnsiTheme="majorHAnsi"/>
          <w:b/>
          <w:bCs/>
          <w:i/>
          <w:iCs/>
        </w:rPr>
        <w:t>Indigenous leadership comment on meaningful employment and measures of unemployment.</w:t>
      </w:r>
    </w:p>
    <w:p w14:paraId="3D52F386" w14:textId="77777777" w:rsidR="0018125D" w:rsidRPr="00820C89" w:rsidRDefault="0018125D" w:rsidP="0018125D">
      <w:pPr>
        <w:ind w:left="426" w:right="521"/>
        <w:rPr>
          <w:rFonts w:asciiTheme="majorHAnsi" w:hAnsiTheme="majorHAnsi"/>
          <w:i/>
          <w:iCs/>
        </w:rPr>
      </w:pPr>
      <w:r w:rsidRPr="00820C89">
        <w:rPr>
          <w:rFonts w:asciiTheme="majorHAnsi" w:hAnsiTheme="majorHAnsi"/>
          <w:i/>
          <w:iCs/>
        </w:rPr>
        <w:t>There is clear opportunity to develop a new definition of meaningful employment for Indigenous Australians. One that is referenced as a form of work that allows a person to work towards their personal aspirations, meet their community obligations and participate in their cultural expectation. It may be different for each person and should be negotiated individually (person centred).</w:t>
      </w:r>
    </w:p>
    <w:p w14:paraId="32553898" w14:textId="77777777" w:rsidR="0018125D" w:rsidRPr="00820C89" w:rsidRDefault="0018125D" w:rsidP="0018125D">
      <w:pPr>
        <w:ind w:left="426" w:right="521"/>
        <w:rPr>
          <w:rFonts w:asciiTheme="majorHAnsi" w:hAnsiTheme="majorHAnsi"/>
          <w:i/>
          <w:iCs/>
        </w:rPr>
      </w:pPr>
      <w:r w:rsidRPr="00820C89">
        <w:rPr>
          <w:rFonts w:asciiTheme="majorHAnsi" w:hAnsiTheme="majorHAnsi"/>
          <w:i/>
          <w:iCs/>
        </w:rPr>
        <w:t>COVID</w:t>
      </w:r>
      <w:r w:rsidR="006331AB" w:rsidRPr="00820C89">
        <w:rPr>
          <w:rFonts w:asciiTheme="majorHAnsi" w:hAnsiTheme="majorHAnsi"/>
          <w:i/>
          <w:iCs/>
        </w:rPr>
        <w:t>-</w:t>
      </w:r>
      <w:r w:rsidRPr="00820C89">
        <w:rPr>
          <w:rFonts w:asciiTheme="majorHAnsi" w:hAnsiTheme="majorHAnsi"/>
          <w:i/>
          <w:iCs/>
        </w:rPr>
        <w:t xml:space="preserve">19 provides us with illustration of why ‘employment’ should also not be measured on the simplistic spectrum of “not being in receipt of unemployment or other non-work benefits”. At the commencement of the pandemic many of our people prioritised caring for their family and community by returning to homelands and/or pooling whatever forms of income were available, so as to reduce their need to attend social services and </w:t>
      </w:r>
      <w:r w:rsidR="00403FFD" w:rsidRPr="00820C89">
        <w:rPr>
          <w:rFonts w:asciiTheme="majorHAnsi" w:hAnsiTheme="majorHAnsi"/>
          <w:i/>
          <w:iCs/>
        </w:rPr>
        <w:t>Centrelink</w:t>
      </w:r>
      <w:r w:rsidRPr="00820C89">
        <w:rPr>
          <w:rFonts w:asciiTheme="majorHAnsi" w:hAnsiTheme="majorHAnsi"/>
          <w:i/>
          <w:iCs/>
        </w:rPr>
        <w:t xml:space="preserve"> facilities. Even though this may have had the statistical effect of making them less visible to the welfare systems, they were no more employed then before the pandemic. In reality it is just another form of </w:t>
      </w:r>
      <w:r w:rsidR="00403FFD" w:rsidRPr="00820C89">
        <w:rPr>
          <w:rFonts w:asciiTheme="majorHAnsi" w:hAnsiTheme="majorHAnsi"/>
          <w:i/>
          <w:iCs/>
        </w:rPr>
        <w:t>being</w:t>
      </w:r>
      <w:r w:rsidRPr="00820C89">
        <w:rPr>
          <w:rFonts w:asciiTheme="majorHAnsi" w:hAnsiTheme="majorHAnsi"/>
          <w:i/>
          <w:iCs/>
        </w:rPr>
        <w:t xml:space="preserve"> </w:t>
      </w:r>
      <w:r w:rsidR="00403FFD" w:rsidRPr="00820C89">
        <w:rPr>
          <w:rFonts w:asciiTheme="majorHAnsi" w:hAnsiTheme="majorHAnsi"/>
          <w:i/>
          <w:iCs/>
        </w:rPr>
        <w:t>invisible</w:t>
      </w:r>
      <w:r w:rsidRPr="00820C89">
        <w:rPr>
          <w:rFonts w:asciiTheme="majorHAnsi" w:hAnsiTheme="majorHAnsi"/>
          <w:i/>
          <w:iCs/>
        </w:rPr>
        <w:t xml:space="preserve"> from the system. </w:t>
      </w:r>
    </w:p>
    <w:p w14:paraId="0A68DBB1" w14:textId="77777777" w:rsidR="0018125D" w:rsidRPr="00820C89" w:rsidRDefault="0018125D" w:rsidP="00403FFD">
      <w:pPr>
        <w:ind w:left="426" w:right="521"/>
        <w:rPr>
          <w:rFonts w:asciiTheme="majorHAnsi" w:hAnsiTheme="majorHAnsi"/>
          <w:i/>
        </w:rPr>
      </w:pPr>
      <w:r w:rsidRPr="00820C89">
        <w:rPr>
          <w:rFonts w:asciiTheme="majorHAnsi" w:hAnsiTheme="majorHAnsi"/>
          <w:b/>
          <w:bCs/>
          <w:i/>
          <w:iCs/>
        </w:rPr>
        <w:t>Professor Deen Sanders OAM</w:t>
      </w:r>
    </w:p>
    <w:p w14:paraId="73C0B8D0" w14:textId="77777777" w:rsidR="0040692E" w:rsidRPr="00820C89" w:rsidRDefault="0040692E" w:rsidP="00715F70">
      <w:pPr>
        <w:keepNext/>
        <w:keepLines/>
        <w:numPr>
          <w:ilvl w:val="2"/>
          <w:numId w:val="12"/>
        </w:numPr>
        <w:spacing w:before="170" w:after="0"/>
        <w:outlineLvl w:val="2"/>
        <w:rPr>
          <w:rFonts w:asciiTheme="majorHAnsi" w:eastAsiaTheme="majorEastAsia" w:hAnsiTheme="majorHAnsi" w:cstheme="majorBidi"/>
          <w:b/>
        </w:rPr>
      </w:pPr>
      <w:r w:rsidRPr="00820C89">
        <w:rPr>
          <w:rFonts w:asciiTheme="majorHAnsi" w:eastAsiaTheme="majorEastAsia" w:hAnsiTheme="majorHAnsi" w:cstheme="majorBidi"/>
          <w:b/>
        </w:rPr>
        <w:t>Employers more likely to employ Indigenous jobseekers</w:t>
      </w:r>
    </w:p>
    <w:p w14:paraId="437F0783" w14:textId="77777777" w:rsidR="0040692E" w:rsidRPr="00820C89" w:rsidRDefault="0040692E" w:rsidP="0040692E">
      <w:pPr>
        <w:rPr>
          <w:rFonts w:asciiTheme="majorHAnsi" w:hAnsiTheme="majorHAnsi"/>
        </w:rPr>
      </w:pPr>
      <w:r w:rsidRPr="00820C89">
        <w:rPr>
          <w:rFonts w:asciiTheme="majorHAnsi" w:hAnsiTheme="majorHAnsi"/>
        </w:rPr>
        <w:t xml:space="preserve">There are a number of barriers (real or perceived) that employers face when aiming to increase their Indigenous workforce, including candidate job-readiness, lack of organisational awareness and inclusive culture, limited </w:t>
      </w:r>
      <w:r w:rsidR="000A0E43" w:rsidRPr="00820C89">
        <w:rPr>
          <w:rFonts w:asciiTheme="majorHAnsi" w:hAnsiTheme="majorHAnsi"/>
        </w:rPr>
        <w:t>number</w:t>
      </w:r>
      <w:r w:rsidRPr="00820C89">
        <w:rPr>
          <w:rFonts w:asciiTheme="majorHAnsi" w:hAnsiTheme="majorHAnsi"/>
        </w:rPr>
        <w:t xml:space="preserve"> of Indigenous candidates, </w:t>
      </w:r>
      <w:r w:rsidR="000A0E43" w:rsidRPr="00820C89">
        <w:rPr>
          <w:rFonts w:asciiTheme="majorHAnsi" w:hAnsiTheme="majorHAnsi"/>
        </w:rPr>
        <w:t xml:space="preserve">and </w:t>
      </w:r>
      <w:r w:rsidRPr="00820C89">
        <w:rPr>
          <w:rFonts w:asciiTheme="majorHAnsi" w:hAnsiTheme="majorHAnsi"/>
        </w:rPr>
        <w:t xml:space="preserve">channels to reach Indigenous </w:t>
      </w:r>
      <w:r w:rsidRPr="00820C89">
        <w:rPr>
          <w:rFonts w:asciiTheme="majorHAnsi" w:hAnsiTheme="majorHAnsi"/>
        </w:rPr>
        <w:lastRenderedPageBreak/>
        <w:t>candidates or support for employers.</w:t>
      </w:r>
      <w:r w:rsidRPr="00820C89">
        <w:rPr>
          <w:rFonts w:asciiTheme="majorHAnsi" w:hAnsiTheme="majorHAnsi"/>
          <w:vertAlign w:val="superscript"/>
        </w:rPr>
        <w:footnoteReference w:id="50"/>
      </w:r>
      <w:r w:rsidRPr="00820C89">
        <w:rPr>
          <w:rFonts w:asciiTheme="majorHAnsi" w:hAnsiTheme="majorHAnsi"/>
        </w:rPr>
        <w:t xml:space="preserve"> While these barriers are highly contextual for each employer, reducing these barriers may enable an employer to increase and sustain their Indigenous workforce. </w:t>
      </w:r>
    </w:p>
    <w:p w14:paraId="7B50017B" w14:textId="77777777" w:rsidR="0040692E" w:rsidRPr="00820C89" w:rsidRDefault="0040692E" w:rsidP="0040692E">
      <w:pPr>
        <w:rPr>
          <w:rFonts w:asciiTheme="majorHAnsi" w:hAnsiTheme="majorHAnsi"/>
        </w:rPr>
      </w:pPr>
      <w:r w:rsidRPr="00820C89">
        <w:rPr>
          <w:rFonts w:asciiTheme="majorHAnsi" w:hAnsiTheme="majorHAnsi"/>
        </w:rPr>
        <w:t xml:space="preserve">All of the </w:t>
      </w:r>
      <w:r w:rsidR="00B8033A" w:rsidRPr="00820C89">
        <w:rPr>
          <w:rFonts w:asciiTheme="majorHAnsi" w:hAnsiTheme="majorHAnsi"/>
        </w:rPr>
        <w:t>sub-programs</w:t>
      </w:r>
      <w:r w:rsidRPr="00820C89">
        <w:rPr>
          <w:rFonts w:asciiTheme="majorHAnsi" w:hAnsiTheme="majorHAnsi"/>
        </w:rPr>
        <w:t xml:space="preserve"> are designed to overcome employer barriers to </w:t>
      </w:r>
      <w:r w:rsidR="000A0E43" w:rsidRPr="00820C89">
        <w:rPr>
          <w:rFonts w:asciiTheme="majorHAnsi" w:hAnsiTheme="majorHAnsi"/>
        </w:rPr>
        <w:t>recruiting and retaining</w:t>
      </w:r>
      <w:r w:rsidRPr="00820C89">
        <w:rPr>
          <w:rFonts w:asciiTheme="majorHAnsi" w:hAnsiTheme="majorHAnsi"/>
        </w:rPr>
        <w:t xml:space="preserve"> Indigenous candidates, but they do so via different mechanisms and with different expected outcomes. Both VTEC and TAEG support employers by improving their access to Indigenous candidates to fill existing roles, </w:t>
      </w:r>
      <w:r w:rsidR="00A413C0" w:rsidRPr="00820C89">
        <w:rPr>
          <w:rFonts w:asciiTheme="majorHAnsi" w:hAnsiTheme="majorHAnsi"/>
        </w:rPr>
        <w:t>as w</w:t>
      </w:r>
      <w:r w:rsidR="00F11203" w:rsidRPr="00820C89">
        <w:rPr>
          <w:rFonts w:asciiTheme="majorHAnsi" w:hAnsiTheme="majorHAnsi"/>
        </w:rPr>
        <w:t>ell as by providing</w:t>
      </w:r>
      <w:r w:rsidRPr="00820C89">
        <w:rPr>
          <w:rFonts w:asciiTheme="majorHAnsi" w:hAnsiTheme="majorHAnsi"/>
        </w:rPr>
        <w:t xml:space="preserve"> support for participants in transitioning to the workplace (reducing risk for employers).</w:t>
      </w:r>
    </w:p>
    <w:p w14:paraId="4755C42B" w14:textId="77777777" w:rsidR="0040692E" w:rsidRPr="00820C89" w:rsidRDefault="0040692E" w:rsidP="0040692E">
      <w:pPr>
        <w:rPr>
          <w:rFonts w:asciiTheme="majorHAnsi" w:hAnsiTheme="majorHAnsi"/>
        </w:rPr>
      </w:pPr>
      <w:r w:rsidRPr="00820C89">
        <w:rPr>
          <w:rFonts w:asciiTheme="majorHAnsi" w:hAnsiTheme="majorHAnsi"/>
        </w:rPr>
        <w:t>In contrast, the EPI program does not directly offer a support mechanism for employers</w:t>
      </w:r>
      <w:r w:rsidR="00F11203" w:rsidRPr="00820C89">
        <w:rPr>
          <w:rFonts w:asciiTheme="majorHAnsi" w:hAnsiTheme="majorHAnsi"/>
        </w:rPr>
        <w:t>.</w:t>
      </w:r>
      <w:r w:rsidRPr="00820C89">
        <w:rPr>
          <w:rFonts w:asciiTheme="majorHAnsi" w:hAnsiTheme="majorHAnsi"/>
        </w:rPr>
        <w:t xml:space="preserve"> </w:t>
      </w:r>
      <w:r w:rsidR="00F11203" w:rsidRPr="00820C89">
        <w:rPr>
          <w:rFonts w:asciiTheme="majorHAnsi" w:hAnsiTheme="majorHAnsi"/>
        </w:rPr>
        <w:t>Instead, the program</w:t>
      </w:r>
      <w:r w:rsidRPr="00820C89">
        <w:rPr>
          <w:rFonts w:asciiTheme="majorHAnsi" w:hAnsiTheme="majorHAnsi"/>
        </w:rPr>
        <w:t xml:space="preserve"> focuses on employers making corporate commitments to reach parity employment targets and to embed workplace strategies that will enable them to reach this target.</w:t>
      </w:r>
    </w:p>
    <w:p w14:paraId="40538275" w14:textId="77777777" w:rsidR="0040692E" w:rsidRPr="00820C89" w:rsidRDefault="0040692E" w:rsidP="0040692E">
      <w:pPr>
        <w:rPr>
          <w:rFonts w:asciiTheme="majorHAnsi" w:hAnsiTheme="majorHAnsi"/>
        </w:rPr>
      </w:pPr>
      <w:r w:rsidRPr="00820C89">
        <w:rPr>
          <w:rFonts w:asciiTheme="majorHAnsi" w:hAnsiTheme="majorHAnsi"/>
        </w:rPr>
        <w:t>To assess whether this outcome has been met, evidence needs to establish:</w:t>
      </w:r>
    </w:p>
    <w:p w14:paraId="5EC09E5D" w14:textId="77777777" w:rsidR="0040692E" w:rsidRPr="00820C89" w:rsidRDefault="0040692E" w:rsidP="00715F70">
      <w:pPr>
        <w:numPr>
          <w:ilvl w:val="0"/>
          <w:numId w:val="24"/>
        </w:numPr>
        <w:contextualSpacing/>
        <w:rPr>
          <w:rFonts w:asciiTheme="majorHAnsi" w:hAnsiTheme="majorHAnsi"/>
        </w:rPr>
      </w:pPr>
      <w:r w:rsidRPr="00820C89">
        <w:rPr>
          <w:rFonts w:asciiTheme="majorHAnsi" w:hAnsiTheme="majorHAnsi"/>
        </w:rPr>
        <w:t>whether participating in the IEP has increased employers’ access to and employment of Indigenous jobseekers</w:t>
      </w:r>
      <w:r w:rsidR="000A0E43" w:rsidRPr="00820C89">
        <w:rPr>
          <w:rFonts w:asciiTheme="majorHAnsi" w:hAnsiTheme="majorHAnsi"/>
        </w:rPr>
        <w:t xml:space="preserve">. </w:t>
      </w:r>
    </w:p>
    <w:p w14:paraId="1E884A27" w14:textId="77777777" w:rsidR="000A0E43" w:rsidRPr="00820C89" w:rsidRDefault="000A0E43" w:rsidP="000A0E43">
      <w:pPr>
        <w:ind w:left="360"/>
        <w:contextualSpacing/>
        <w:rPr>
          <w:rFonts w:asciiTheme="majorHAnsi" w:hAnsiTheme="majorHAnsi"/>
        </w:rPr>
      </w:pPr>
    </w:p>
    <w:p w14:paraId="6D917103" w14:textId="77777777" w:rsidR="0040692E" w:rsidRPr="00820C89" w:rsidRDefault="0040692E" w:rsidP="0040692E">
      <w:pPr>
        <w:keepNext/>
        <w:keepLines/>
        <w:tabs>
          <w:tab w:val="left" w:pos="340"/>
        </w:tabs>
        <w:spacing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the outcome</w:t>
      </w:r>
    </w:p>
    <w:p w14:paraId="7FA97ECA" w14:textId="77777777" w:rsidR="0040692E" w:rsidRPr="00820C89" w:rsidRDefault="0040692E" w:rsidP="0040692E">
      <w:pPr>
        <w:rPr>
          <w:rFonts w:asciiTheme="majorHAnsi" w:hAnsiTheme="majorHAnsi"/>
        </w:rPr>
      </w:pPr>
      <w:r w:rsidRPr="00820C89">
        <w:rPr>
          <w:rFonts w:asciiTheme="majorHAnsi" w:hAnsiTheme="majorHAnsi"/>
        </w:rPr>
        <w:t>Consultations with VTEC and TAEG employers demonstrate that anecdotally the programs are supporting businesses to access and employ more Indigenous jobseekers</w:t>
      </w:r>
      <w:r w:rsidR="00970CD6" w:rsidRPr="00820C89">
        <w:rPr>
          <w:rFonts w:asciiTheme="majorHAnsi" w:hAnsiTheme="majorHAnsi"/>
        </w:rPr>
        <w:t>;</w:t>
      </w:r>
      <w:r w:rsidRPr="00820C89">
        <w:rPr>
          <w:rFonts w:asciiTheme="majorHAnsi" w:hAnsiTheme="majorHAnsi"/>
        </w:rPr>
        <w:t xml:space="preserve"> however, in the absence of employer-level data this cannot be quantitatively validated. </w:t>
      </w:r>
    </w:p>
    <w:p w14:paraId="24721195" w14:textId="77777777" w:rsidR="0040692E" w:rsidRPr="00820C89" w:rsidRDefault="0040692E" w:rsidP="0040692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hAnsiTheme="majorHAnsi"/>
        </w:rPr>
      </w:pPr>
      <w:r w:rsidRPr="00820C89">
        <w:rPr>
          <w:rFonts w:asciiTheme="majorHAnsi" w:hAnsiTheme="majorHAnsi"/>
        </w:rPr>
        <w:t>VTEC and TAEG employers report that participating in the IEP improved their ability to work with Indigenous jobseekers along all stages of the recruitment and employment journey. For example, employers note that working with TAEG and VTEC providers improves:</w:t>
      </w:r>
    </w:p>
    <w:p w14:paraId="471940E5" w14:textId="77777777" w:rsidR="0040692E" w:rsidRPr="00820C89" w:rsidRDefault="0040692E" w:rsidP="00715F70">
      <w:pPr>
        <w:numPr>
          <w:ilvl w:val="0"/>
          <w:numId w:val="13"/>
        </w:numPr>
        <w:spacing w:before="60" w:after="60"/>
        <w:ind w:left="357" w:hanging="357"/>
        <w:rPr>
          <w:rFonts w:asciiTheme="majorHAnsi" w:hAnsiTheme="majorHAnsi"/>
          <w:color w:val="000000" w:themeColor="text1"/>
        </w:rPr>
      </w:pPr>
      <w:r w:rsidRPr="00820C89">
        <w:rPr>
          <w:rFonts w:asciiTheme="majorHAnsi" w:hAnsiTheme="majorHAnsi"/>
        </w:rPr>
        <w:t xml:space="preserve">their access to Indigenous jobseekers, as providers often have an extensive network of relationships with Indigenous communities which allows them to refer suitable candidates. Employers note that this is particularly valuable when providers are able to refer Indigenous jobseekers who are suitable for open positions, including having all of their required supporting </w:t>
      </w:r>
      <w:r w:rsidRPr="00820C89">
        <w:rPr>
          <w:rFonts w:asciiTheme="majorHAnsi" w:hAnsiTheme="majorHAnsi"/>
          <w:color w:val="000000" w:themeColor="text1"/>
        </w:rPr>
        <w:t xml:space="preserve">documents, such as birth certificate and tax file number </w:t>
      </w:r>
    </w:p>
    <w:p w14:paraId="2EDB5AC6" w14:textId="77777777" w:rsidR="0020349D" w:rsidRPr="00820C89" w:rsidRDefault="0020349D" w:rsidP="0020349D">
      <w:pPr>
        <w:spacing w:before="60" w:after="60"/>
        <w:ind w:left="357"/>
        <w:rPr>
          <w:rFonts w:asciiTheme="majorHAnsi" w:hAnsiTheme="majorHAnsi"/>
          <w:color w:val="000000" w:themeColor="text1"/>
        </w:rPr>
      </w:pPr>
      <w:r w:rsidRPr="00820C89">
        <w:rPr>
          <w:rFonts w:asciiTheme="majorHAnsi" w:hAnsiTheme="majorHAnsi"/>
          <w:i/>
          <w:color w:val="000000" w:themeColor="text1"/>
        </w:rPr>
        <w:t>“</w:t>
      </w:r>
      <w:r w:rsidR="009C5E78" w:rsidRPr="00820C89">
        <w:rPr>
          <w:rFonts w:asciiTheme="majorHAnsi" w:hAnsiTheme="majorHAnsi"/>
          <w:i/>
          <w:color w:val="000000" w:themeColor="text1"/>
        </w:rPr>
        <w:t>Because t</w:t>
      </w:r>
      <w:r w:rsidRPr="00820C89">
        <w:rPr>
          <w:rFonts w:asciiTheme="majorHAnsi" w:hAnsiTheme="majorHAnsi"/>
          <w:i/>
          <w:color w:val="000000" w:themeColor="text1"/>
        </w:rPr>
        <w:t>hey are wo</w:t>
      </w:r>
      <w:r w:rsidR="009C5E78" w:rsidRPr="00820C89">
        <w:rPr>
          <w:rFonts w:asciiTheme="majorHAnsi" w:hAnsiTheme="majorHAnsi"/>
          <w:i/>
          <w:color w:val="000000" w:themeColor="text1"/>
        </w:rPr>
        <w:t xml:space="preserve">rking with so many organisations and communities, they’ve already got relationships in places where we may not have. So they’re assisting with those introductions as well. I think that’s been a really strong part of the way that we work together” (VTEC Employer). </w:t>
      </w:r>
    </w:p>
    <w:p w14:paraId="30361FA5" w14:textId="77777777" w:rsidR="0040692E" w:rsidRPr="00820C89" w:rsidRDefault="0040692E" w:rsidP="00715F70">
      <w:pPr>
        <w:numPr>
          <w:ilvl w:val="0"/>
          <w:numId w:val="13"/>
        </w:numPr>
        <w:spacing w:before="60" w:after="60"/>
        <w:ind w:left="357" w:hanging="357"/>
        <w:rPr>
          <w:rFonts w:asciiTheme="majorHAnsi" w:hAnsiTheme="majorHAnsi"/>
          <w:color w:val="000000" w:themeColor="text1"/>
        </w:rPr>
      </w:pPr>
      <w:r w:rsidRPr="00820C89">
        <w:rPr>
          <w:rFonts w:asciiTheme="majorHAnsi" w:hAnsiTheme="majorHAnsi"/>
          <w:color w:val="000000" w:themeColor="text1"/>
        </w:rPr>
        <w:t xml:space="preserve">their ability to support Indigenous staff during their </w:t>
      </w:r>
      <w:r w:rsidR="00EE273B" w:rsidRPr="00820C89">
        <w:rPr>
          <w:rFonts w:asciiTheme="majorHAnsi" w:hAnsiTheme="majorHAnsi"/>
          <w:bCs/>
          <w:color w:val="000000" w:themeColor="text1"/>
        </w:rPr>
        <w:t>on boarding</w:t>
      </w:r>
      <w:r w:rsidRPr="00820C89">
        <w:rPr>
          <w:rFonts w:asciiTheme="majorHAnsi" w:hAnsiTheme="majorHAnsi"/>
          <w:color w:val="000000" w:themeColor="text1"/>
        </w:rPr>
        <w:t xml:space="preserve"> process and ongoing employment. Employers generally note that the individualised mentoring and support that providers deliver is critical to supporting Indigenous staff during the start of their employment journey, and that they would generally be unable to deliver the same level of culturally sensitive support without providers.</w:t>
      </w:r>
    </w:p>
    <w:p w14:paraId="2768BBE2" w14:textId="77777777" w:rsidR="0020349D" w:rsidRPr="00820C89" w:rsidRDefault="0020349D" w:rsidP="0020349D">
      <w:pPr>
        <w:spacing w:before="60" w:after="60"/>
        <w:ind w:left="357"/>
        <w:rPr>
          <w:rFonts w:asciiTheme="majorHAnsi" w:hAnsiTheme="majorHAnsi"/>
          <w:i/>
          <w:color w:val="000000" w:themeColor="text1"/>
        </w:rPr>
      </w:pPr>
      <w:r w:rsidRPr="00820C89">
        <w:rPr>
          <w:rFonts w:asciiTheme="majorHAnsi" w:hAnsiTheme="majorHAnsi"/>
          <w:i/>
          <w:color w:val="000000" w:themeColor="text1"/>
        </w:rPr>
        <w:t xml:space="preserve">“I’ve got [our VTEC] mentoring them and constantly ringing and asking how they’re going. It is that communication, making sure that, you might have someone that has got family that have just passed away and not being able to understand culturally how that happens and how it works, and what they need to do with ceremonies and things like that” (VTEC Employer). </w:t>
      </w:r>
    </w:p>
    <w:p w14:paraId="77FC96C1" w14:textId="77777777" w:rsidR="0040692E" w:rsidRPr="00820C89" w:rsidRDefault="0040692E" w:rsidP="00715F70">
      <w:pPr>
        <w:numPr>
          <w:ilvl w:val="0"/>
          <w:numId w:val="13"/>
        </w:numPr>
        <w:spacing w:before="60" w:after="60"/>
        <w:ind w:left="357" w:hanging="357"/>
        <w:rPr>
          <w:rFonts w:asciiTheme="majorHAnsi" w:hAnsiTheme="majorHAnsi"/>
          <w:color w:val="000000" w:themeColor="text1"/>
        </w:rPr>
      </w:pPr>
      <w:r w:rsidRPr="00820C89">
        <w:rPr>
          <w:rFonts w:asciiTheme="majorHAnsi" w:hAnsiTheme="majorHAnsi"/>
          <w:color w:val="000000" w:themeColor="text1"/>
        </w:rPr>
        <w:t>improving the level of cultural understanding and capability</w:t>
      </w:r>
      <w:r w:rsidR="004270F0" w:rsidRPr="00820C89">
        <w:rPr>
          <w:rFonts w:asciiTheme="majorHAnsi" w:hAnsiTheme="majorHAnsi"/>
          <w:color w:val="000000" w:themeColor="text1"/>
        </w:rPr>
        <w:t>, through</w:t>
      </w:r>
      <w:r w:rsidRPr="00820C89">
        <w:rPr>
          <w:rFonts w:asciiTheme="majorHAnsi" w:hAnsiTheme="majorHAnsi"/>
          <w:color w:val="000000" w:themeColor="text1"/>
        </w:rPr>
        <w:t xml:space="preserve"> cultural </w:t>
      </w:r>
      <w:r w:rsidR="004270F0" w:rsidRPr="00820C89">
        <w:rPr>
          <w:rFonts w:asciiTheme="majorHAnsi" w:hAnsiTheme="majorHAnsi"/>
          <w:color w:val="000000" w:themeColor="text1"/>
        </w:rPr>
        <w:t>awareness</w:t>
      </w:r>
      <w:r w:rsidRPr="00820C89">
        <w:rPr>
          <w:rFonts w:asciiTheme="majorHAnsi" w:hAnsiTheme="majorHAnsi"/>
          <w:color w:val="000000" w:themeColor="text1"/>
        </w:rPr>
        <w:t xml:space="preserve"> training and </w:t>
      </w:r>
      <w:r w:rsidR="004270F0" w:rsidRPr="00820C89">
        <w:rPr>
          <w:rFonts w:asciiTheme="majorHAnsi" w:hAnsiTheme="majorHAnsi"/>
          <w:color w:val="000000" w:themeColor="text1"/>
        </w:rPr>
        <w:t>more general support</w:t>
      </w:r>
    </w:p>
    <w:p w14:paraId="30305929" w14:textId="77777777" w:rsidR="00F7145C" w:rsidRPr="00820C89" w:rsidRDefault="00F7145C" w:rsidP="00F7145C">
      <w:pPr>
        <w:spacing w:before="60" w:after="60"/>
        <w:ind w:left="357"/>
        <w:rPr>
          <w:rFonts w:asciiTheme="majorHAnsi" w:hAnsiTheme="majorHAnsi"/>
          <w:color w:val="000000" w:themeColor="text1"/>
        </w:rPr>
      </w:pPr>
      <w:r w:rsidRPr="00820C89">
        <w:rPr>
          <w:rFonts w:asciiTheme="majorHAnsi" w:hAnsiTheme="majorHAnsi"/>
          <w:i/>
          <w:color w:val="000000" w:themeColor="text1"/>
        </w:rPr>
        <w:t xml:space="preserve">“The managers really need that coaching, and if I don’t have a really good manager that really understands and really puts that effort into making sure it happens, then it’s not going to work. So that’s where [VTECs] are great, not just working with our new hires, but also working with the </w:t>
      </w:r>
      <w:r w:rsidRPr="00820C89">
        <w:rPr>
          <w:rFonts w:asciiTheme="majorHAnsi" w:hAnsiTheme="majorHAnsi"/>
          <w:i/>
          <w:color w:val="000000" w:themeColor="text1"/>
        </w:rPr>
        <w:lastRenderedPageBreak/>
        <w:t xml:space="preserve">managers and making sure that the needs of our new hires are met and that we have an understanding about the different needs” (VTEC Employer). </w:t>
      </w:r>
    </w:p>
    <w:p w14:paraId="49D934DD" w14:textId="77777777" w:rsidR="0040692E" w:rsidRPr="00820C89" w:rsidRDefault="0040692E" w:rsidP="00715F70">
      <w:pPr>
        <w:numPr>
          <w:ilvl w:val="0"/>
          <w:numId w:val="13"/>
        </w:numPr>
        <w:spacing w:before="60" w:after="60"/>
        <w:ind w:left="357" w:hanging="357"/>
        <w:rPr>
          <w:rFonts w:asciiTheme="majorHAnsi" w:hAnsiTheme="majorHAnsi"/>
          <w:color w:val="000000" w:themeColor="text1"/>
        </w:rPr>
      </w:pPr>
      <w:r w:rsidRPr="00820C89">
        <w:rPr>
          <w:rFonts w:asciiTheme="majorHAnsi" w:hAnsiTheme="majorHAnsi"/>
          <w:color w:val="000000" w:themeColor="text1"/>
        </w:rPr>
        <w:t>their understanding of the employment, wage and training subsidy systems. For example, during employer focus groups, two stakeholders noted that the VTEC provider they had worked with provided valuable advice on the different wage and training subsidies that are available to organisations that hire Indigenous staff members</w:t>
      </w:r>
    </w:p>
    <w:p w14:paraId="2CCDDA41" w14:textId="77777777" w:rsidR="0020349D" w:rsidRPr="00820C89" w:rsidRDefault="0020349D" w:rsidP="0020349D">
      <w:pPr>
        <w:spacing w:before="60" w:after="60"/>
        <w:ind w:left="357"/>
        <w:rPr>
          <w:rFonts w:asciiTheme="majorHAnsi" w:hAnsiTheme="majorHAnsi"/>
          <w:color w:val="000000" w:themeColor="text1"/>
        </w:rPr>
      </w:pPr>
      <w:r w:rsidRPr="00820C89">
        <w:rPr>
          <w:rFonts w:asciiTheme="majorHAnsi" w:hAnsiTheme="majorHAnsi"/>
          <w:i/>
          <w:color w:val="000000" w:themeColor="text1"/>
        </w:rPr>
        <w:t xml:space="preserve">“I don’t know if this is the part for it, but we’ve also been fortunate to benefit from their skills and expertise in understanding wage subsidies and training subsidies and all of the other benefits or supports that are available to organisations when working with an Aboriginal workforce” (VTEC </w:t>
      </w:r>
      <w:r w:rsidR="006A1BE9" w:rsidRPr="00820C89">
        <w:rPr>
          <w:rFonts w:asciiTheme="majorHAnsi" w:hAnsiTheme="majorHAnsi"/>
          <w:i/>
          <w:color w:val="000000" w:themeColor="text1"/>
        </w:rPr>
        <w:t>e</w:t>
      </w:r>
      <w:r w:rsidRPr="00820C89">
        <w:rPr>
          <w:rFonts w:asciiTheme="majorHAnsi" w:hAnsiTheme="majorHAnsi"/>
          <w:i/>
          <w:color w:val="000000" w:themeColor="text1"/>
        </w:rPr>
        <w:t xml:space="preserve">mployer). </w:t>
      </w:r>
    </w:p>
    <w:p w14:paraId="703AAC87" w14:textId="77777777" w:rsidR="0040692E" w:rsidRPr="00820C89" w:rsidRDefault="0040692E" w:rsidP="00190E1D">
      <w:pPr>
        <w:spacing w:before="170"/>
        <w:rPr>
          <w:rFonts w:asciiTheme="majorHAnsi" w:hAnsiTheme="majorHAnsi"/>
          <w:color w:val="000000" w:themeColor="text1"/>
        </w:rPr>
      </w:pPr>
      <w:r w:rsidRPr="00820C89">
        <w:rPr>
          <w:rFonts w:asciiTheme="majorHAnsi" w:hAnsiTheme="majorHAnsi"/>
          <w:color w:val="000000" w:themeColor="text1"/>
        </w:rPr>
        <w:t>Provider and employer consultations suggest that TAEG and VTEC participants are more likely to obtain employment opportunities if employers exhibit a degree of flexibility in their hiring process and try and accommodate the needs of Indigenous jobseekers. For example, this may include allowing Indigenous candidates to:</w:t>
      </w:r>
    </w:p>
    <w:p w14:paraId="15F9AABC" w14:textId="77777777" w:rsidR="0040692E" w:rsidRPr="00820C89" w:rsidRDefault="008862B7" w:rsidP="00715F70">
      <w:pPr>
        <w:numPr>
          <w:ilvl w:val="0"/>
          <w:numId w:val="28"/>
        </w:numPr>
        <w:spacing w:before="60" w:after="60"/>
        <w:ind w:left="357" w:hanging="357"/>
        <w:rPr>
          <w:rFonts w:asciiTheme="majorHAnsi" w:hAnsiTheme="majorHAnsi"/>
        </w:rPr>
      </w:pPr>
      <w:r w:rsidRPr="00820C89">
        <w:rPr>
          <w:rFonts w:asciiTheme="majorHAnsi" w:hAnsiTheme="majorHAnsi"/>
          <w:color w:val="000000" w:themeColor="text1"/>
        </w:rPr>
        <w:t>a</w:t>
      </w:r>
      <w:r w:rsidR="0040692E" w:rsidRPr="00820C89">
        <w:rPr>
          <w:rFonts w:asciiTheme="majorHAnsi" w:hAnsiTheme="majorHAnsi"/>
          <w:color w:val="000000" w:themeColor="text1"/>
        </w:rPr>
        <w:t xml:space="preserve">pply for a position even if they </w:t>
      </w:r>
      <w:r w:rsidR="0040692E" w:rsidRPr="00820C89">
        <w:rPr>
          <w:rFonts w:asciiTheme="majorHAnsi" w:hAnsiTheme="majorHAnsi"/>
        </w:rPr>
        <w:t>do not have all the required identification documents, such as their birth certificate, tax file number or driver’s license</w:t>
      </w:r>
    </w:p>
    <w:p w14:paraId="2617B328" w14:textId="77777777" w:rsidR="0040692E" w:rsidRPr="00820C89" w:rsidRDefault="008862B7" w:rsidP="00715F70">
      <w:pPr>
        <w:numPr>
          <w:ilvl w:val="0"/>
          <w:numId w:val="28"/>
        </w:numPr>
        <w:spacing w:before="60" w:after="60"/>
        <w:ind w:left="357" w:hanging="357"/>
        <w:rPr>
          <w:rFonts w:asciiTheme="majorHAnsi" w:hAnsiTheme="majorHAnsi"/>
        </w:rPr>
      </w:pPr>
      <w:r w:rsidRPr="00820C89">
        <w:rPr>
          <w:rFonts w:asciiTheme="majorHAnsi" w:hAnsiTheme="majorHAnsi"/>
        </w:rPr>
        <w:t>a</w:t>
      </w:r>
      <w:r w:rsidR="0040692E" w:rsidRPr="00820C89">
        <w:rPr>
          <w:rFonts w:asciiTheme="majorHAnsi" w:hAnsiTheme="majorHAnsi"/>
        </w:rPr>
        <w:t>ttend an interview with their mentor or a representative from the provider agency</w:t>
      </w:r>
    </w:p>
    <w:p w14:paraId="7640DC98" w14:textId="77777777" w:rsidR="009D2F21" w:rsidRPr="00820C89" w:rsidRDefault="008862B7" w:rsidP="00715F70">
      <w:pPr>
        <w:numPr>
          <w:ilvl w:val="0"/>
          <w:numId w:val="28"/>
        </w:numPr>
        <w:spacing w:before="60"/>
        <w:ind w:left="357" w:hanging="357"/>
        <w:rPr>
          <w:rFonts w:asciiTheme="majorHAnsi" w:hAnsiTheme="majorHAnsi"/>
        </w:rPr>
      </w:pPr>
      <w:r w:rsidRPr="00820C89">
        <w:rPr>
          <w:rFonts w:asciiTheme="majorHAnsi" w:hAnsiTheme="majorHAnsi"/>
        </w:rPr>
        <w:t>h</w:t>
      </w:r>
      <w:r w:rsidR="0040692E" w:rsidRPr="00820C89">
        <w:rPr>
          <w:rFonts w:asciiTheme="majorHAnsi" w:hAnsiTheme="majorHAnsi"/>
        </w:rPr>
        <w:t>ave a degree of flexibility in their working hours, such that they can participate in employment while still meeting community, family or cultural obligations.</w:t>
      </w:r>
    </w:p>
    <w:p w14:paraId="315BB5F8" w14:textId="77777777" w:rsidR="0040692E" w:rsidRPr="00820C89" w:rsidRDefault="0040692E" w:rsidP="0040692E">
      <w:pPr>
        <w:rPr>
          <w:rFonts w:asciiTheme="majorHAnsi" w:hAnsiTheme="majorHAnsi"/>
          <w:color w:val="000000" w:themeColor="text1"/>
        </w:rPr>
      </w:pPr>
      <w:r w:rsidRPr="00820C89">
        <w:rPr>
          <w:rFonts w:asciiTheme="majorHAnsi" w:hAnsiTheme="majorHAnsi"/>
          <w:color w:val="000000" w:themeColor="text1"/>
        </w:rPr>
        <w:t xml:space="preserve">EPI </w:t>
      </w:r>
      <w:r w:rsidR="00617EB8" w:rsidRPr="00820C89">
        <w:rPr>
          <w:rFonts w:asciiTheme="majorHAnsi" w:hAnsiTheme="majorHAnsi"/>
          <w:color w:val="000000" w:themeColor="text1"/>
        </w:rPr>
        <w:t>p</w:t>
      </w:r>
      <w:r w:rsidRPr="00820C89">
        <w:rPr>
          <w:rFonts w:asciiTheme="majorHAnsi" w:hAnsiTheme="majorHAnsi"/>
          <w:color w:val="000000" w:themeColor="text1"/>
        </w:rPr>
        <w:t>artners also report that participating in the program enhances their ability to employ Indigenous jobseekers, primarily through providing them with the funding and organisational focus required to expand their internal Indigenous employment programs and overcome the barriers that might exist to employing Indigenous jobseekers</w:t>
      </w:r>
      <w:r w:rsidR="001E0B67" w:rsidRPr="00820C89">
        <w:rPr>
          <w:rFonts w:asciiTheme="majorHAnsi" w:hAnsiTheme="majorHAnsi"/>
          <w:color w:val="000000" w:themeColor="text1"/>
        </w:rPr>
        <w:t xml:space="preserve">. </w:t>
      </w:r>
      <w:r w:rsidRPr="00820C89">
        <w:rPr>
          <w:rFonts w:asciiTheme="majorHAnsi" w:hAnsiTheme="majorHAnsi"/>
          <w:color w:val="000000" w:themeColor="text1"/>
        </w:rPr>
        <w:t xml:space="preserve">These stakeholders emphasise that irrespective of the funding the program delivers, the public commitment of the organisations’ leadership to achieve the target of Indigenous employment parity can create the momentum and focus required for management to prioritise the initiative.   </w:t>
      </w:r>
    </w:p>
    <w:p w14:paraId="2660C396" w14:textId="77777777" w:rsidR="0040692E" w:rsidRPr="00820C89" w:rsidRDefault="0040692E" w:rsidP="0040692E">
      <w:pPr>
        <w:ind w:left="720"/>
        <w:rPr>
          <w:rFonts w:asciiTheme="majorHAnsi" w:hAnsiTheme="majorHAnsi"/>
          <w:i/>
        </w:rPr>
      </w:pPr>
      <w:r w:rsidRPr="00820C89">
        <w:rPr>
          <w:rFonts w:asciiTheme="majorHAnsi" w:hAnsiTheme="majorHAnsi"/>
          <w:i/>
        </w:rPr>
        <w:t xml:space="preserve">“Joining the EPI was like taking a very public pledge…it ensured the CEO and the whole leadership team were behind it, and that the whole organisation stayed focus on the target” (EPI </w:t>
      </w:r>
      <w:r w:rsidR="001F1912" w:rsidRPr="00820C89">
        <w:rPr>
          <w:rFonts w:asciiTheme="majorHAnsi" w:hAnsiTheme="majorHAnsi"/>
          <w:i/>
        </w:rPr>
        <w:t>partner</w:t>
      </w:r>
      <w:r w:rsidRPr="00820C89">
        <w:rPr>
          <w:rFonts w:asciiTheme="majorHAnsi" w:hAnsiTheme="majorHAnsi"/>
          <w:i/>
        </w:rPr>
        <w:t>).</w:t>
      </w:r>
    </w:p>
    <w:p w14:paraId="693C18D2" w14:textId="77777777" w:rsidR="0040692E" w:rsidRPr="00820C89" w:rsidRDefault="0040692E" w:rsidP="0040692E">
      <w:pPr>
        <w:rPr>
          <w:rFonts w:asciiTheme="majorHAnsi" w:hAnsiTheme="majorHAnsi"/>
        </w:rPr>
      </w:pPr>
      <w:r w:rsidRPr="00820C89">
        <w:rPr>
          <w:rFonts w:asciiTheme="majorHAnsi" w:hAnsiTheme="majorHAnsi"/>
        </w:rPr>
        <w:t xml:space="preserve">EPI </w:t>
      </w:r>
      <w:r w:rsidR="008A4B95" w:rsidRPr="00820C89">
        <w:rPr>
          <w:rFonts w:asciiTheme="majorHAnsi" w:hAnsiTheme="majorHAnsi"/>
        </w:rPr>
        <w:t>p</w:t>
      </w:r>
      <w:r w:rsidRPr="00820C89">
        <w:rPr>
          <w:rFonts w:asciiTheme="majorHAnsi" w:hAnsiTheme="majorHAnsi"/>
        </w:rPr>
        <w:t xml:space="preserve">artners also report that the program enhances their capacity to employ Indigenous jobseekers by providing them with the funding required to establish the appropriate infrastructure and systems to support these jobseekers. Section 3.4.2 provides a detailed overview of the support measures that EPI </w:t>
      </w:r>
      <w:r w:rsidR="001F1912" w:rsidRPr="00820C89">
        <w:rPr>
          <w:rFonts w:asciiTheme="majorHAnsi" w:hAnsiTheme="majorHAnsi"/>
        </w:rPr>
        <w:t>partner</w:t>
      </w:r>
      <w:r w:rsidRPr="00820C89">
        <w:rPr>
          <w:rFonts w:asciiTheme="majorHAnsi" w:hAnsiTheme="majorHAnsi"/>
        </w:rPr>
        <w:t xml:space="preserve">s typically embed in their organisation to support Indigenous jobseekers. </w:t>
      </w:r>
    </w:p>
    <w:p w14:paraId="41912D7F" w14:textId="77777777" w:rsidR="0040692E" w:rsidRPr="00820C89" w:rsidRDefault="008A4B95" w:rsidP="0040692E">
      <w:pPr>
        <w:rPr>
          <w:rFonts w:asciiTheme="majorHAnsi" w:hAnsiTheme="majorHAnsi"/>
        </w:rPr>
      </w:pPr>
      <w:r w:rsidRPr="00820C89">
        <w:rPr>
          <w:rFonts w:asciiTheme="majorHAnsi" w:hAnsiTheme="majorHAnsi"/>
        </w:rPr>
        <w:t>EPI partners observed</w:t>
      </w:r>
      <w:r w:rsidR="0040692E" w:rsidRPr="00820C89">
        <w:rPr>
          <w:rFonts w:asciiTheme="majorHAnsi" w:hAnsiTheme="majorHAnsi"/>
        </w:rPr>
        <w:t xml:space="preserve"> that employing Indigenous jobseekers, particularly those who may be relatively inexperienced in the workplace, can incur additional costs for businesses, and that the EPI program provides the funding that is required to compensate businesses for this. For example, one EPI </w:t>
      </w:r>
      <w:r w:rsidR="001F1912" w:rsidRPr="00820C89">
        <w:rPr>
          <w:rFonts w:asciiTheme="majorHAnsi" w:hAnsiTheme="majorHAnsi"/>
        </w:rPr>
        <w:t>partner</w:t>
      </w:r>
      <w:r w:rsidR="0040692E" w:rsidRPr="00820C89">
        <w:rPr>
          <w:rFonts w:asciiTheme="majorHAnsi" w:hAnsiTheme="majorHAnsi"/>
        </w:rPr>
        <w:t xml:space="preserve"> stated that:</w:t>
      </w:r>
    </w:p>
    <w:p w14:paraId="798B289D" w14:textId="77777777" w:rsidR="0040692E" w:rsidRPr="00820C89" w:rsidRDefault="0040692E" w:rsidP="0040692E">
      <w:pPr>
        <w:ind w:left="720"/>
        <w:rPr>
          <w:rFonts w:asciiTheme="majorHAnsi" w:hAnsiTheme="majorHAnsi"/>
          <w:i/>
        </w:rPr>
      </w:pPr>
      <w:r w:rsidRPr="00820C89">
        <w:rPr>
          <w:rFonts w:asciiTheme="majorHAnsi" w:hAnsiTheme="majorHAnsi"/>
          <w:i/>
        </w:rPr>
        <w:t xml:space="preserve">“The funding is what allowed us to make the commitment. The commercial reality would stop a CEO from making this commitment without the funding” (EPI </w:t>
      </w:r>
      <w:r w:rsidR="001F1912" w:rsidRPr="00820C89">
        <w:rPr>
          <w:rFonts w:asciiTheme="majorHAnsi" w:hAnsiTheme="majorHAnsi"/>
          <w:i/>
        </w:rPr>
        <w:t>partner</w:t>
      </w:r>
      <w:r w:rsidRPr="00820C89">
        <w:rPr>
          <w:rFonts w:asciiTheme="majorHAnsi" w:hAnsiTheme="majorHAnsi"/>
          <w:i/>
        </w:rPr>
        <w:t>).</w:t>
      </w:r>
    </w:p>
    <w:p w14:paraId="6AA21A2D" w14:textId="77777777" w:rsidR="0040692E" w:rsidRPr="00820C89" w:rsidRDefault="0040692E" w:rsidP="0040692E">
      <w:pPr>
        <w:rPr>
          <w:rFonts w:asciiTheme="majorHAnsi" w:hAnsiTheme="majorHAnsi"/>
        </w:rPr>
      </w:pPr>
      <w:r w:rsidRPr="00820C89">
        <w:rPr>
          <w:rFonts w:asciiTheme="majorHAnsi" w:hAnsiTheme="majorHAnsi"/>
        </w:rPr>
        <w:t>Other EPI partners commented that these additional costs may include:</w:t>
      </w:r>
    </w:p>
    <w:p w14:paraId="67D31606" w14:textId="77777777" w:rsidR="0040692E" w:rsidRPr="00820C89" w:rsidRDefault="0040692E" w:rsidP="00715F70">
      <w:pPr>
        <w:numPr>
          <w:ilvl w:val="0"/>
          <w:numId w:val="29"/>
        </w:numPr>
        <w:spacing w:before="60" w:after="60"/>
        <w:ind w:left="357" w:hanging="357"/>
        <w:rPr>
          <w:rFonts w:asciiTheme="majorHAnsi" w:hAnsiTheme="majorHAnsi"/>
        </w:rPr>
      </w:pPr>
      <w:r w:rsidRPr="00820C89">
        <w:rPr>
          <w:rFonts w:asciiTheme="majorHAnsi" w:hAnsiTheme="majorHAnsi"/>
        </w:rPr>
        <w:t>hiring additional staff members in recruitment or support teams to identify, on-board and support Indigenous participants</w:t>
      </w:r>
    </w:p>
    <w:p w14:paraId="2800D0AD" w14:textId="77777777" w:rsidR="0040692E" w:rsidRPr="00820C89" w:rsidRDefault="0040692E" w:rsidP="00715F70">
      <w:pPr>
        <w:numPr>
          <w:ilvl w:val="0"/>
          <w:numId w:val="29"/>
        </w:numPr>
        <w:spacing w:before="60" w:after="60"/>
        <w:ind w:left="357" w:hanging="357"/>
        <w:rPr>
          <w:rFonts w:asciiTheme="majorHAnsi" w:hAnsiTheme="majorHAnsi"/>
        </w:rPr>
      </w:pPr>
      <w:r w:rsidRPr="00820C89">
        <w:rPr>
          <w:rFonts w:asciiTheme="majorHAnsi" w:hAnsiTheme="majorHAnsi"/>
        </w:rPr>
        <w:t>over-resourcing teams, if managers believe that Indigenous jobseekers may struggle to hit performance targets when starting a new and unfamiliar job</w:t>
      </w:r>
    </w:p>
    <w:p w14:paraId="42525749" w14:textId="77777777" w:rsidR="0040692E" w:rsidRPr="00820C89" w:rsidRDefault="0040692E" w:rsidP="00715F70">
      <w:pPr>
        <w:numPr>
          <w:ilvl w:val="0"/>
          <w:numId w:val="29"/>
        </w:numPr>
        <w:spacing w:before="60"/>
        <w:ind w:left="357" w:hanging="357"/>
        <w:rPr>
          <w:rFonts w:asciiTheme="majorHAnsi" w:hAnsiTheme="majorHAnsi"/>
        </w:rPr>
      </w:pPr>
      <w:r w:rsidRPr="00820C89">
        <w:rPr>
          <w:rFonts w:asciiTheme="majorHAnsi" w:hAnsiTheme="majorHAnsi"/>
        </w:rPr>
        <w:t>site</w:t>
      </w:r>
      <w:r w:rsidR="00F047F3" w:rsidRPr="00820C89">
        <w:rPr>
          <w:rFonts w:asciiTheme="majorHAnsi" w:hAnsiTheme="majorHAnsi"/>
        </w:rPr>
        <w:t xml:space="preserve"> </w:t>
      </w:r>
      <w:r w:rsidRPr="00820C89">
        <w:rPr>
          <w:rFonts w:asciiTheme="majorHAnsi" w:hAnsiTheme="majorHAnsi"/>
        </w:rPr>
        <w:t>managers dedicating additional time to coaching and mentoring program participants.</w:t>
      </w:r>
    </w:p>
    <w:p w14:paraId="6BEB6E93" w14:textId="77777777" w:rsidR="00EC6591" w:rsidRPr="00820C89" w:rsidRDefault="00AB743E" w:rsidP="00EC6591">
      <w:pPr>
        <w:spacing w:before="60"/>
        <w:rPr>
          <w:rFonts w:asciiTheme="majorHAnsi" w:hAnsiTheme="majorHAnsi"/>
        </w:rPr>
      </w:pPr>
      <w:r w:rsidRPr="00820C89">
        <w:rPr>
          <w:rFonts w:asciiTheme="majorHAnsi" w:hAnsiTheme="majorHAnsi"/>
        </w:rPr>
        <w:t xml:space="preserve">It should be noted that </w:t>
      </w:r>
      <w:r w:rsidR="007356D4" w:rsidRPr="00820C89">
        <w:rPr>
          <w:rFonts w:asciiTheme="majorHAnsi" w:hAnsiTheme="majorHAnsi"/>
        </w:rPr>
        <w:t>i</w:t>
      </w:r>
      <w:r w:rsidR="00C47F1F" w:rsidRPr="00820C89">
        <w:rPr>
          <w:rFonts w:asciiTheme="majorHAnsi" w:hAnsiTheme="majorHAnsi"/>
        </w:rPr>
        <w:t xml:space="preserve">n a small number of </w:t>
      </w:r>
      <w:r w:rsidR="00EE0AB5" w:rsidRPr="00820C89">
        <w:rPr>
          <w:rFonts w:asciiTheme="majorHAnsi" w:hAnsiTheme="majorHAnsi"/>
        </w:rPr>
        <w:t>participant and community consultations s</w:t>
      </w:r>
      <w:r w:rsidR="00C47F1F" w:rsidRPr="00820C89">
        <w:rPr>
          <w:rFonts w:asciiTheme="majorHAnsi" w:hAnsiTheme="majorHAnsi"/>
        </w:rPr>
        <w:t>takeholder</w:t>
      </w:r>
      <w:r w:rsidR="002F4812" w:rsidRPr="00820C89">
        <w:rPr>
          <w:rFonts w:asciiTheme="majorHAnsi" w:hAnsiTheme="majorHAnsi"/>
        </w:rPr>
        <w:t>s</w:t>
      </w:r>
      <w:r w:rsidR="00C47F1F" w:rsidRPr="00820C89">
        <w:rPr>
          <w:rFonts w:asciiTheme="majorHAnsi" w:hAnsiTheme="majorHAnsi"/>
        </w:rPr>
        <w:t xml:space="preserve"> </w:t>
      </w:r>
      <w:r w:rsidR="004F306E" w:rsidRPr="00820C89">
        <w:rPr>
          <w:rFonts w:asciiTheme="majorHAnsi" w:hAnsiTheme="majorHAnsi"/>
        </w:rPr>
        <w:t>report</w:t>
      </w:r>
      <w:r w:rsidR="00C47F1F" w:rsidRPr="00820C89">
        <w:rPr>
          <w:rFonts w:asciiTheme="majorHAnsi" w:hAnsiTheme="majorHAnsi"/>
        </w:rPr>
        <w:t xml:space="preserve"> that</w:t>
      </w:r>
      <w:r w:rsidR="00EE0AB5" w:rsidRPr="00820C89">
        <w:rPr>
          <w:rFonts w:asciiTheme="majorHAnsi" w:hAnsiTheme="majorHAnsi"/>
        </w:rPr>
        <w:t xml:space="preserve"> </w:t>
      </w:r>
      <w:r w:rsidR="0068482E" w:rsidRPr="00820C89">
        <w:rPr>
          <w:rFonts w:asciiTheme="majorHAnsi" w:hAnsiTheme="majorHAnsi"/>
        </w:rPr>
        <w:t xml:space="preserve">certain </w:t>
      </w:r>
      <w:r w:rsidR="00EE0AB5" w:rsidRPr="00820C89">
        <w:rPr>
          <w:rFonts w:asciiTheme="majorHAnsi" w:hAnsiTheme="majorHAnsi"/>
        </w:rPr>
        <w:t>employers</w:t>
      </w:r>
      <w:r w:rsidR="002C1D61" w:rsidRPr="00820C89">
        <w:rPr>
          <w:rFonts w:asciiTheme="majorHAnsi" w:hAnsiTheme="majorHAnsi"/>
        </w:rPr>
        <w:t xml:space="preserve"> (both those involved in the IEP and in the broader community)</w:t>
      </w:r>
      <w:r w:rsidR="00EE0AB5" w:rsidRPr="00820C89">
        <w:rPr>
          <w:rFonts w:asciiTheme="majorHAnsi" w:hAnsiTheme="majorHAnsi"/>
        </w:rPr>
        <w:t xml:space="preserve"> </w:t>
      </w:r>
      <w:r w:rsidR="0044389C" w:rsidRPr="00820C89">
        <w:rPr>
          <w:rFonts w:asciiTheme="majorHAnsi" w:hAnsiTheme="majorHAnsi"/>
        </w:rPr>
        <w:t xml:space="preserve">may </w:t>
      </w:r>
      <w:r w:rsidR="0068482E" w:rsidRPr="00820C89">
        <w:rPr>
          <w:rFonts w:asciiTheme="majorHAnsi" w:hAnsiTheme="majorHAnsi"/>
        </w:rPr>
        <w:lastRenderedPageBreak/>
        <w:t xml:space="preserve">hold racist </w:t>
      </w:r>
      <w:r w:rsidR="002D4A0F" w:rsidRPr="00820C89">
        <w:rPr>
          <w:rFonts w:asciiTheme="majorHAnsi" w:hAnsiTheme="majorHAnsi"/>
        </w:rPr>
        <w:t xml:space="preserve">views </w:t>
      </w:r>
      <w:r w:rsidR="007356D4" w:rsidRPr="00820C89">
        <w:rPr>
          <w:rFonts w:asciiTheme="majorHAnsi" w:hAnsiTheme="majorHAnsi"/>
        </w:rPr>
        <w:t xml:space="preserve">and </w:t>
      </w:r>
      <w:r w:rsidR="00F82F3F" w:rsidRPr="00820C89">
        <w:rPr>
          <w:rFonts w:asciiTheme="majorHAnsi" w:hAnsiTheme="majorHAnsi"/>
        </w:rPr>
        <w:t xml:space="preserve">ingrained beliefs about Indigenous workers </w:t>
      </w:r>
      <w:r w:rsidR="002D4A0F" w:rsidRPr="00820C89">
        <w:rPr>
          <w:rFonts w:asciiTheme="majorHAnsi" w:hAnsiTheme="majorHAnsi"/>
        </w:rPr>
        <w:t>that limit their employment of</w:t>
      </w:r>
      <w:r w:rsidR="001E3241" w:rsidRPr="00820C89">
        <w:rPr>
          <w:rFonts w:asciiTheme="majorHAnsi" w:hAnsiTheme="majorHAnsi"/>
        </w:rPr>
        <w:t xml:space="preserve"> </w:t>
      </w:r>
      <w:r w:rsidR="002D4A0F" w:rsidRPr="00820C89">
        <w:rPr>
          <w:rFonts w:asciiTheme="majorHAnsi" w:hAnsiTheme="majorHAnsi"/>
        </w:rPr>
        <w:t>Indigenous jobseekers</w:t>
      </w:r>
      <w:r w:rsidR="00024D7C" w:rsidRPr="00820C89">
        <w:rPr>
          <w:rFonts w:asciiTheme="majorHAnsi" w:hAnsiTheme="majorHAnsi"/>
        </w:rPr>
        <w:t>.</w:t>
      </w:r>
      <w:r w:rsidR="00684387" w:rsidRPr="00820C89">
        <w:rPr>
          <w:rFonts w:asciiTheme="majorHAnsi" w:hAnsiTheme="majorHAnsi"/>
        </w:rPr>
        <w:t xml:space="preserve"> </w:t>
      </w:r>
      <w:r w:rsidR="00606365" w:rsidRPr="00820C89">
        <w:rPr>
          <w:rFonts w:asciiTheme="majorHAnsi" w:hAnsiTheme="majorHAnsi"/>
        </w:rPr>
        <w:t>For example, stakeholders note that:</w:t>
      </w:r>
    </w:p>
    <w:p w14:paraId="41FDDC30" w14:textId="77777777" w:rsidR="00606365" w:rsidRPr="00820C89" w:rsidRDefault="00C32C2B" w:rsidP="00FF416A">
      <w:pPr>
        <w:ind w:left="720"/>
        <w:rPr>
          <w:rFonts w:asciiTheme="majorHAnsi" w:hAnsiTheme="majorHAnsi"/>
          <w:i/>
        </w:rPr>
      </w:pPr>
      <w:r w:rsidRPr="00820C89">
        <w:rPr>
          <w:rFonts w:asciiTheme="majorHAnsi" w:hAnsiTheme="majorHAnsi"/>
          <w:i/>
        </w:rPr>
        <w:t>“</w:t>
      </w:r>
      <w:r w:rsidR="00F43B70" w:rsidRPr="00820C89">
        <w:rPr>
          <w:rFonts w:asciiTheme="majorHAnsi" w:hAnsiTheme="majorHAnsi"/>
          <w:i/>
        </w:rPr>
        <w:t>Ye</w:t>
      </w:r>
      <w:r w:rsidR="00AA6A8E" w:rsidRPr="00820C89">
        <w:rPr>
          <w:rFonts w:asciiTheme="majorHAnsi" w:hAnsiTheme="majorHAnsi"/>
          <w:i/>
        </w:rPr>
        <w:t>a</w:t>
      </w:r>
      <w:r w:rsidR="00F43B70" w:rsidRPr="00820C89">
        <w:rPr>
          <w:rFonts w:asciiTheme="majorHAnsi" w:hAnsiTheme="majorHAnsi"/>
          <w:i/>
        </w:rPr>
        <w:t xml:space="preserve">h, the community is definitely still racist. I mean, there is a reason you don’t see many Indigenous </w:t>
      </w:r>
      <w:r w:rsidR="00D028C3" w:rsidRPr="00820C89">
        <w:rPr>
          <w:rFonts w:asciiTheme="majorHAnsi" w:hAnsiTheme="majorHAnsi"/>
          <w:i/>
        </w:rPr>
        <w:t>faces working at any of the shops around here</w:t>
      </w:r>
      <w:r w:rsidR="002A71BB" w:rsidRPr="00820C89">
        <w:rPr>
          <w:rFonts w:asciiTheme="majorHAnsi" w:hAnsiTheme="majorHAnsi"/>
          <w:i/>
        </w:rPr>
        <w:t xml:space="preserve"> [including an EPI Partner]</w:t>
      </w:r>
      <w:r w:rsidR="00D028C3" w:rsidRPr="00820C89">
        <w:rPr>
          <w:rFonts w:asciiTheme="majorHAnsi" w:hAnsiTheme="majorHAnsi"/>
          <w:i/>
        </w:rPr>
        <w:t>”</w:t>
      </w:r>
    </w:p>
    <w:p w14:paraId="42F4EEBC" w14:textId="77777777" w:rsidR="009A6133" w:rsidRPr="00820C89" w:rsidRDefault="009A6133" w:rsidP="00FF416A">
      <w:pPr>
        <w:ind w:left="720"/>
        <w:rPr>
          <w:rFonts w:asciiTheme="majorHAnsi" w:hAnsiTheme="majorHAnsi"/>
          <w:i/>
        </w:rPr>
      </w:pPr>
      <w:r w:rsidRPr="00820C89">
        <w:rPr>
          <w:rFonts w:asciiTheme="majorHAnsi" w:hAnsiTheme="majorHAnsi"/>
          <w:i/>
        </w:rPr>
        <w:t xml:space="preserve">“To me, it’s racism. </w:t>
      </w:r>
      <w:r w:rsidR="009F25F1" w:rsidRPr="00820C89">
        <w:rPr>
          <w:rFonts w:asciiTheme="majorHAnsi" w:hAnsiTheme="majorHAnsi"/>
          <w:i/>
        </w:rPr>
        <w:t>A lot of young people don’t even think they can get a job around here, they think they can only work at the Aboriginal Co-op”</w:t>
      </w:r>
    </w:p>
    <w:p w14:paraId="49777F35" w14:textId="77777777" w:rsidR="004D4A59" w:rsidRPr="00820C89" w:rsidRDefault="00CE389F" w:rsidP="005446B0">
      <w:pPr>
        <w:rPr>
          <w:rFonts w:asciiTheme="majorHAnsi" w:hAnsiTheme="majorHAnsi"/>
        </w:rPr>
      </w:pPr>
      <w:r w:rsidRPr="00820C89">
        <w:rPr>
          <w:rFonts w:asciiTheme="majorHAnsi" w:hAnsiTheme="majorHAnsi"/>
        </w:rPr>
        <w:t xml:space="preserve">Importantly, while </w:t>
      </w:r>
      <w:r w:rsidR="00BC5ED5" w:rsidRPr="00820C89">
        <w:rPr>
          <w:rFonts w:asciiTheme="majorHAnsi" w:hAnsiTheme="majorHAnsi"/>
        </w:rPr>
        <w:t>these</w:t>
      </w:r>
      <w:r w:rsidRPr="00820C89">
        <w:rPr>
          <w:rFonts w:asciiTheme="majorHAnsi" w:hAnsiTheme="majorHAnsi"/>
        </w:rPr>
        <w:t xml:space="preserve"> v</w:t>
      </w:r>
      <w:r w:rsidR="009C6978" w:rsidRPr="00820C89">
        <w:rPr>
          <w:rFonts w:asciiTheme="majorHAnsi" w:hAnsiTheme="majorHAnsi"/>
        </w:rPr>
        <w:t>iew</w:t>
      </w:r>
      <w:r w:rsidR="007B5196" w:rsidRPr="00820C89">
        <w:rPr>
          <w:rFonts w:asciiTheme="majorHAnsi" w:hAnsiTheme="majorHAnsi"/>
        </w:rPr>
        <w:t>s</w:t>
      </w:r>
      <w:r w:rsidR="009C6978" w:rsidRPr="00820C89">
        <w:rPr>
          <w:rFonts w:asciiTheme="majorHAnsi" w:hAnsiTheme="majorHAnsi"/>
        </w:rPr>
        <w:t xml:space="preserve"> </w:t>
      </w:r>
      <w:r w:rsidR="009F625F" w:rsidRPr="00820C89">
        <w:rPr>
          <w:rFonts w:asciiTheme="majorHAnsi" w:hAnsiTheme="majorHAnsi"/>
        </w:rPr>
        <w:t xml:space="preserve">were only </w:t>
      </w:r>
      <w:r w:rsidR="00BC5ED5" w:rsidRPr="00820C89">
        <w:rPr>
          <w:rFonts w:asciiTheme="majorHAnsi" w:hAnsiTheme="majorHAnsi"/>
        </w:rPr>
        <w:t>explicitly</w:t>
      </w:r>
      <w:r w:rsidR="009F625F" w:rsidRPr="00820C89">
        <w:rPr>
          <w:rFonts w:asciiTheme="majorHAnsi" w:hAnsiTheme="majorHAnsi"/>
        </w:rPr>
        <w:t xml:space="preserve"> expressed </w:t>
      </w:r>
      <w:r w:rsidR="00BC5ED5" w:rsidRPr="00820C89">
        <w:rPr>
          <w:rFonts w:asciiTheme="majorHAnsi" w:hAnsiTheme="majorHAnsi"/>
        </w:rPr>
        <w:t>in three consultations</w:t>
      </w:r>
      <w:r w:rsidR="00A76905" w:rsidRPr="00820C89">
        <w:rPr>
          <w:rFonts w:asciiTheme="majorHAnsi" w:hAnsiTheme="majorHAnsi"/>
        </w:rPr>
        <w:t xml:space="preserve"> (from </w:t>
      </w:r>
      <w:r w:rsidR="002D6325" w:rsidRPr="00820C89">
        <w:rPr>
          <w:rFonts w:asciiTheme="majorHAnsi" w:hAnsiTheme="majorHAnsi"/>
        </w:rPr>
        <w:t>two</w:t>
      </w:r>
      <w:r w:rsidR="00A76905" w:rsidRPr="00820C89">
        <w:rPr>
          <w:rFonts w:asciiTheme="majorHAnsi" w:hAnsiTheme="majorHAnsi"/>
        </w:rPr>
        <w:t xml:space="preserve"> different regions)</w:t>
      </w:r>
      <w:r w:rsidR="0065793C" w:rsidRPr="00820C89">
        <w:rPr>
          <w:rFonts w:asciiTheme="majorHAnsi" w:hAnsiTheme="majorHAnsi"/>
        </w:rPr>
        <w:t>, given the sensitive nature of this topic</w:t>
      </w:r>
      <w:r w:rsidR="00A76905" w:rsidRPr="00820C89">
        <w:rPr>
          <w:rFonts w:asciiTheme="majorHAnsi" w:hAnsiTheme="majorHAnsi"/>
        </w:rPr>
        <w:t xml:space="preserve"> and a general unwillingness </w:t>
      </w:r>
      <w:r w:rsidR="00CA0DC3" w:rsidRPr="00820C89">
        <w:rPr>
          <w:rFonts w:asciiTheme="majorHAnsi" w:hAnsiTheme="majorHAnsi"/>
        </w:rPr>
        <w:t>for participants to speak of it</w:t>
      </w:r>
      <w:r w:rsidR="0065793C" w:rsidRPr="00820C89">
        <w:rPr>
          <w:rFonts w:asciiTheme="majorHAnsi" w:hAnsiTheme="majorHAnsi"/>
        </w:rPr>
        <w:t xml:space="preserve">, it is </w:t>
      </w:r>
      <w:r w:rsidR="00CA0DC3" w:rsidRPr="00820C89">
        <w:rPr>
          <w:rFonts w:asciiTheme="majorHAnsi" w:hAnsiTheme="majorHAnsi"/>
        </w:rPr>
        <w:t>likely</w:t>
      </w:r>
      <w:r w:rsidR="0065793C" w:rsidRPr="00820C89">
        <w:rPr>
          <w:rFonts w:asciiTheme="majorHAnsi" w:hAnsiTheme="majorHAnsi"/>
        </w:rPr>
        <w:t xml:space="preserve">  that other stakeholders </w:t>
      </w:r>
      <w:r w:rsidR="00933353" w:rsidRPr="00820C89">
        <w:rPr>
          <w:rFonts w:asciiTheme="majorHAnsi" w:hAnsiTheme="majorHAnsi"/>
        </w:rPr>
        <w:t xml:space="preserve">may </w:t>
      </w:r>
      <w:r w:rsidR="0065793C" w:rsidRPr="00820C89">
        <w:rPr>
          <w:rFonts w:asciiTheme="majorHAnsi" w:hAnsiTheme="majorHAnsi"/>
        </w:rPr>
        <w:t>have had similar experiences but did not feel comfortable expressing this view.</w:t>
      </w:r>
    </w:p>
    <w:p w14:paraId="0857F717" w14:textId="77777777" w:rsidR="007A6D4B" w:rsidRPr="00820C89" w:rsidRDefault="005A669D" w:rsidP="00942999">
      <w:pPr>
        <w:rPr>
          <w:rFonts w:asciiTheme="majorHAnsi" w:hAnsiTheme="majorHAnsi"/>
        </w:rPr>
      </w:pPr>
      <w:r w:rsidRPr="00820C89">
        <w:rPr>
          <w:rFonts w:asciiTheme="majorHAnsi" w:hAnsiTheme="majorHAnsi"/>
        </w:rPr>
        <w:t>W</w:t>
      </w:r>
      <w:r w:rsidR="00140CE0" w:rsidRPr="00820C89">
        <w:rPr>
          <w:rFonts w:asciiTheme="majorHAnsi" w:hAnsiTheme="majorHAnsi"/>
        </w:rPr>
        <w:t>hile</w:t>
      </w:r>
      <w:r w:rsidR="00FB038A" w:rsidRPr="00820C89">
        <w:rPr>
          <w:rFonts w:asciiTheme="majorHAnsi" w:hAnsiTheme="majorHAnsi"/>
        </w:rPr>
        <w:t xml:space="preserve"> the </w:t>
      </w:r>
      <w:r w:rsidR="00B8033A" w:rsidRPr="00820C89">
        <w:rPr>
          <w:rFonts w:asciiTheme="majorHAnsi" w:hAnsiTheme="majorHAnsi"/>
        </w:rPr>
        <w:t>IEP is</w:t>
      </w:r>
      <w:r w:rsidR="00FB038A" w:rsidRPr="00820C89">
        <w:rPr>
          <w:rFonts w:asciiTheme="majorHAnsi" w:hAnsiTheme="majorHAnsi"/>
        </w:rPr>
        <w:t xml:space="preserve"> unlikely to </w:t>
      </w:r>
      <w:r w:rsidR="00CF477D" w:rsidRPr="00820C89">
        <w:rPr>
          <w:rFonts w:asciiTheme="majorHAnsi" w:hAnsiTheme="majorHAnsi"/>
        </w:rPr>
        <w:t>have a</w:t>
      </w:r>
      <w:r w:rsidR="005E7736" w:rsidRPr="00820C89">
        <w:rPr>
          <w:rFonts w:asciiTheme="majorHAnsi" w:hAnsiTheme="majorHAnsi"/>
        </w:rPr>
        <w:t xml:space="preserve">n immediate </w:t>
      </w:r>
      <w:r w:rsidR="00CF477D" w:rsidRPr="00820C89">
        <w:rPr>
          <w:rFonts w:asciiTheme="majorHAnsi" w:hAnsiTheme="majorHAnsi"/>
        </w:rPr>
        <w:t>impact on community</w:t>
      </w:r>
      <w:r w:rsidR="006B4A75" w:rsidRPr="00820C89">
        <w:rPr>
          <w:rFonts w:asciiTheme="majorHAnsi" w:hAnsiTheme="majorHAnsi"/>
        </w:rPr>
        <w:t>-</w:t>
      </w:r>
      <w:r w:rsidR="00CF477D" w:rsidRPr="00820C89">
        <w:rPr>
          <w:rFonts w:asciiTheme="majorHAnsi" w:hAnsiTheme="majorHAnsi"/>
        </w:rPr>
        <w:t xml:space="preserve">wide </w:t>
      </w:r>
      <w:r w:rsidR="001C6896" w:rsidRPr="00820C89">
        <w:rPr>
          <w:rFonts w:asciiTheme="majorHAnsi" w:hAnsiTheme="majorHAnsi"/>
        </w:rPr>
        <w:t>attitudes</w:t>
      </w:r>
      <w:r w:rsidRPr="00820C89">
        <w:rPr>
          <w:rFonts w:asciiTheme="majorHAnsi" w:hAnsiTheme="majorHAnsi"/>
        </w:rPr>
        <w:t xml:space="preserve"> towards Indigenous Australians</w:t>
      </w:r>
      <w:r w:rsidR="00CE2ED7" w:rsidRPr="00820C89">
        <w:rPr>
          <w:rFonts w:asciiTheme="majorHAnsi" w:hAnsiTheme="majorHAnsi"/>
        </w:rPr>
        <w:t xml:space="preserve"> (given how deeply embedded these perspectives </w:t>
      </w:r>
      <w:r w:rsidR="0024203B" w:rsidRPr="00820C89">
        <w:rPr>
          <w:rFonts w:asciiTheme="majorHAnsi" w:hAnsiTheme="majorHAnsi"/>
        </w:rPr>
        <w:t>may be</w:t>
      </w:r>
      <w:r w:rsidR="00CE2ED7" w:rsidRPr="00820C89">
        <w:rPr>
          <w:rFonts w:asciiTheme="majorHAnsi" w:hAnsiTheme="majorHAnsi"/>
        </w:rPr>
        <w:t>), the programs may have some ability to drive longer-term change, by creating positive employment experiences for participants and employers</w:t>
      </w:r>
      <w:r w:rsidR="00261C65" w:rsidRPr="00820C89">
        <w:rPr>
          <w:rFonts w:asciiTheme="majorHAnsi" w:hAnsiTheme="majorHAnsi"/>
        </w:rPr>
        <w:t>.</w:t>
      </w:r>
      <w:r w:rsidR="00BA60A6" w:rsidRPr="00820C89">
        <w:rPr>
          <w:rFonts w:asciiTheme="majorHAnsi" w:hAnsiTheme="majorHAnsi"/>
        </w:rPr>
        <w:t xml:space="preserve"> </w:t>
      </w:r>
      <w:bookmarkStart w:id="114" w:name="_Toc54966951"/>
      <w:bookmarkStart w:id="115" w:name="_Toc55495129"/>
    </w:p>
    <w:p w14:paraId="31AED0DF" w14:textId="77777777" w:rsidR="003D3E98" w:rsidRPr="00820C89" w:rsidRDefault="0040692E" w:rsidP="00715F70">
      <w:pPr>
        <w:keepNext/>
        <w:keepLines/>
        <w:numPr>
          <w:ilvl w:val="1"/>
          <w:numId w:val="12"/>
        </w:numPr>
        <w:spacing w:before="240" w:after="130" w:line="280" w:lineRule="atLeast"/>
        <w:outlineLvl w:val="1"/>
        <w:rPr>
          <w:rFonts w:asciiTheme="majorHAnsi" w:eastAsiaTheme="majorEastAsia" w:hAnsiTheme="majorHAnsi" w:cstheme="majorBidi"/>
          <w:b/>
          <w:color w:val="62B5E5" w:themeColor="accent3"/>
          <w:sz w:val="22"/>
          <w:szCs w:val="26"/>
        </w:rPr>
      </w:pPr>
      <w:bookmarkStart w:id="116" w:name="_Toc101343300"/>
      <w:r w:rsidRPr="00820C89">
        <w:rPr>
          <w:rFonts w:asciiTheme="majorHAnsi" w:eastAsiaTheme="majorEastAsia" w:hAnsiTheme="majorHAnsi" w:cstheme="majorBidi"/>
          <w:b/>
          <w:color w:val="62B5E5" w:themeColor="accent3"/>
          <w:sz w:val="22"/>
          <w:szCs w:val="26"/>
        </w:rPr>
        <w:t>Medium-term outcomes</w:t>
      </w:r>
      <w:bookmarkEnd w:id="114"/>
      <w:bookmarkEnd w:id="115"/>
      <w:bookmarkEnd w:id="116"/>
    </w:p>
    <w:p w14:paraId="1A8FD89A" w14:textId="34C85331" w:rsidR="0040692E" w:rsidRPr="00820C89" w:rsidRDefault="0040692E" w:rsidP="00715F70">
      <w:pPr>
        <w:keepNext/>
        <w:keepLines/>
        <w:numPr>
          <w:ilvl w:val="2"/>
          <w:numId w:val="12"/>
        </w:numPr>
        <w:spacing w:after="240"/>
        <w:outlineLvl w:val="2"/>
        <w:rPr>
          <w:rFonts w:asciiTheme="majorHAnsi" w:eastAsiaTheme="majorEastAsia" w:hAnsiTheme="majorHAnsi" w:cstheme="majorBidi"/>
          <w:b/>
        </w:rPr>
      </w:pPr>
      <w:r w:rsidRPr="00820C89">
        <w:rPr>
          <w:rFonts w:asciiTheme="majorHAnsi" w:eastAsiaTheme="majorEastAsia" w:hAnsiTheme="majorHAnsi" w:cstheme="majorBidi"/>
          <w:b/>
        </w:rPr>
        <w:t>Participants develop improved work readiness and foundational skills</w:t>
      </w:r>
    </w:p>
    <w:p w14:paraId="311B6414" w14:textId="77777777" w:rsidR="006A04F6" w:rsidRPr="00BC7EC7" w:rsidRDefault="006A04F6" w:rsidP="006A04F6">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w:t>
      </w:r>
    </w:p>
    <w:p w14:paraId="2902E8A9" w14:textId="0FD9C3F1" w:rsidR="006A04F6" w:rsidRPr="006A04F6" w:rsidRDefault="006A04F6"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Pr>
          <w:b/>
          <w:bCs/>
          <w:i/>
          <w:iCs/>
          <w:color w:val="62B5E5" w:themeColor="accent3"/>
        </w:rPr>
        <w:t>The TAEG and VTEC programs are generally successful in building participants work-readiness skills, particularly in behavioural areas such as improving participants’ confidence and attitude to employment. There is limited evidence on the extent to which the EPI program has achieved this outcome.</w:t>
      </w:r>
      <w:r>
        <w:rPr>
          <w:b/>
          <w:bCs/>
          <w:i/>
          <w:iCs/>
          <w:color w:val="62B5E5" w:themeColor="accent3"/>
        </w:rPr>
        <w:br/>
      </w:r>
    </w:p>
    <w:p w14:paraId="1149BD76" w14:textId="5321C71C" w:rsidR="006A04F6" w:rsidRPr="006A04F6" w:rsidRDefault="006A04F6"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Pr>
          <w:b/>
          <w:bCs/>
          <w:i/>
          <w:iCs/>
          <w:color w:val="62B5E5" w:themeColor="accent3"/>
        </w:rPr>
        <w:t>All three of the sub-programs appear to support participants to build job-specific skills, predominantly through on-the-job learning as opposed to completing formal qualifications.</w:t>
      </w:r>
      <w:r>
        <w:rPr>
          <w:b/>
          <w:bCs/>
          <w:i/>
          <w:iCs/>
          <w:color w:val="62B5E5" w:themeColor="accent3"/>
        </w:rPr>
        <w:br/>
      </w:r>
    </w:p>
    <w:p w14:paraId="2513E99D" w14:textId="57AF2829" w:rsidR="006A04F6" w:rsidRPr="006A04F6" w:rsidRDefault="006A04F6"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Pr>
          <w:b/>
          <w:bCs/>
          <w:i/>
          <w:iCs/>
          <w:color w:val="62B5E5" w:themeColor="accent3"/>
        </w:rPr>
        <w:t xml:space="preserve">There is some anecdotal evidence to suggest that the programs can improve participants’ wellbeing - both through the individualised mentoring and support they receive, and the positive impact that employment can have under the right (cultural) conditions.   </w:t>
      </w:r>
    </w:p>
    <w:p w14:paraId="1B753A67" w14:textId="244924C2" w:rsidR="001E1919" w:rsidRPr="00820C89" w:rsidRDefault="001E1919" w:rsidP="001E1919">
      <w:pPr>
        <w:rPr>
          <w:rFonts w:asciiTheme="majorHAnsi" w:hAnsiTheme="majorHAnsi"/>
        </w:rPr>
      </w:pPr>
      <w:r w:rsidRPr="00820C89">
        <w:rPr>
          <w:rFonts w:asciiTheme="majorHAnsi" w:hAnsiTheme="majorHAnsi"/>
        </w:rPr>
        <w:t>Work readiness training</w:t>
      </w:r>
      <w:r w:rsidR="00DE02AA" w:rsidRPr="00820C89">
        <w:rPr>
          <w:rFonts w:asciiTheme="majorHAnsi" w:hAnsiTheme="majorHAnsi"/>
        </w:rPr>
        <w:t xml:space="preserve"> </w:t>
      </w:r>
      <w:r w:rsidR="00CE652F" w:rsidRPr="00820C89">
        <w:rPr>
          <w:rFonts w:asciiTheme="majorHAnsi" w:hAnsiTheme="majorHAnsi"/>
        </w:rPr>
        <w:t>is intended</w:t>
      </w:r>
      <w:r w:rsidRPr="00820C89">
        <w:rPr>
          <w:rFonts w:asciiTheme="majorHAnsi" w:hAnsiTheme="majorHAnsi"/>
        </w:rPr>
        <w:t xml:space="preserve"> to </w:t>
      </w:r>
      <w:r w:rsidR="00DE02AA" w:rsidRPr="00820C89">
        <w:rPr>
          <w:rFonts w:asciiTheme="majorHAnsi" w:hAnsiTheme="majorHAnsi"/>
        </w:rPr>
        <w:t>overcome</w:t>
      </w:r>
      <w:r w:rsidRPr="00820C89">
        <w:rPr>
          <w:rFonts w:asciiTheme="majorHAnsi" w:hAnsiTheme="majorHAnsi"/>
        </w:rPr>
        <w:t xml:space="preserve"> the structural barriers to employment</w:t>
      </w:r>
      <w:r w:rsidR="00DE02AA" w:rsidRPr="00820C89">
        <w:rPr>
          <w:rFonts w:asciiTheme="majorHAnsi" w:hAnsiTheme="majorHAnsi"/>
        </w:rPr>
        <w:t xml:space="preserve"> that an individual may face</w:t>
      </w:r>
      <w:r w:rsidR="005C74D1" w:rsidRPr="00820C89">
        <w:rPr>
          <w:rFonts w:asciiTheme="majorHAnsi" w:hAnsiTheme="majorHAnsi"/>
        </w:rPr>
        <w:t xml:space="preserve"> by building </w:t>
      </w:r>
      <w:r w:rsidR="00A62F71" w:rsidRPr="00820C89">
        <w:rPr>
          <w:rFonts w:asciiTheme="majorHAnsi" w:hAnsiTheme="majorHAnsi"/>
        </w:rPr>
        <w:t>the</w:t>
      </w:r>
      <w:r w:rsidRPr="00820C89">
        <w:rPr>
          <w:rFonts w:asciiTheme="majorHAnsi" w:hAnsiTheme="majorHAnsi"/>
        </w:rPr>
        <w:t xml:space="preserve"> fundamental capabilities required for effective workplace and community participation, including areas such as:</w:t>
      </w:r>
    </w:p>
    <w:p w14:paraId="7B4E4C91" w14:textId="77777777" w:rsidR="001E1919" w:rsidRPr="00820C89" w:rsidRDefault="001E1919" w:rsidP="00715F70">
      <w:pPr>
        <w:numPr>
          <w:ilvl w:val="0"/>
          <w:numId w:val="8"/>
        </w:numPr>
        <w:spacing w:before="60" w:after="60"/>
        <w:rPr>
          <w:rFonts w:asciiTheme="majorHAnsi" w:hAnsiTheme="majorHAnsi"/>
          <w:szCs w:val="17"/>
        </w:rPr>
      </w:pPr>
      <w:r w:rsidRPr="00820C89">
        <w:rPr>
          <w:rFonts w:asciiTheme="majorHAnsi" w:hAnsiTheme="majorHAnsi"/>
          <w:szCs w:val="17"/>
        </w:rPr>
        <w:t>English language training</w:t>
      </w:r>
    </w:p>
    <w:p w14:paraId="05DC5E00" w14:textId="77777777" w:rsidR="001E1919" w:rsidRPr="00820C89" w:rsidRDefault="001E1919" w:rsidP="00715F70">
      <w:pPr>
        <w:numPr>
          <w:ilvl w:val="0"/>
          <w:numId w:val="8"/>
        </w:numPr>
        <w:spacing w:before="60" w:after="60"/>
        <w:rPr>
          <w:rFonts w:asciiTheme="majorHAnsi" w:hAnsiTheme="majorHAnsi"/>
          <w:szCs w:val="17"/>
        </w:rPr>
      </w:pPr>
      <w:r w:rsidRPr="00820C89">
        <w:rPr>
          <w:rFonts w:asciiTheme="majorHAnsi" w:hAnsiTheme="majorHAnsi"/>
          <w:szCs w:val="17"/>
        </w:rPr>
        <w:t xml:space="preserve">literacy and numeracy skills  </w:t>
      </w:r>
    </w:p>
    <w:p w14:paraId="720EDB45" w14:textId="77777777" w:rsidR="001E1919" w:rsidRPr="00820C89" w:rsidRDefault="001E1919" w:rsidP="00715F70">
      <w:pPr>
        <w:numPr>
          <w:ilvl w:val="0"/>
          <w:numId w:val="8"/>
        </w:numPr>
        <w:spacing w:before="60" w:after="60"/>
        <w:rPr>
          <w:rFonts w:asciiTheme="majorHAnsi" w:hAnsiTheme="majorHAnsi"/>
          <w:szCs w:val="17"/>
        </w:rPr>
      </w:pPr>
      <w:r w:rsidRPr="00820C89">
        <w:rPr>
          <w:rFonts w:asciiTheme="majorHAnsi" w:hAnsiTheme="majorHAnsi"/>
          <w:szCs w:val="17"/>
        </w:rPr>
        <w:t>job search and application skills</w:t>
      </w:r>
    </w:p>
    <w:p w14:paraId="3EFEEBE4" w14:textId="77777777" w:rsidR="001E1919" w:rsidRPr="00820C89" w:rsidRDefault="001E1919" w:rsidP="00715F70">
      <w:pPr>
        <w:numPr>
          <w:ilvl w:val="0"/>
          <w:numId w:val="8"/>
        </w:numPr>
        <w:spacing w:before="60" w:after="60"/>
        <w:rPr>
          <w:rFonts w:asciiTheme="majorHAnsi" w:hAnsiTheme="majorHAnsi"/>
          <w:szCs w:val="17"/>
        </w:rPr>
      </w:pPr>
      <w:r w:rsidRPr="00820C89">
        <w:rPr>
          <w:rFonts w:asciiTheme="majorHAnsi" w:hAnsiTheme="majorHAnsi"/>
          <w:szCs w:val="17"/>
        </w:rPr>
        <w:t>training in basic, general skills required for the workplace (such as IT)</w:t>
      </w:r>
    </w:p>
    <w:p w14:paraId="54AC4D30" w14:textId="77777777" w:rsidR="001E1919" w:rsidRPr="00820C89" w:rsidRDefault="001E1919" w:rsidP="00715F70">
      <w:pPr>
        <w:numPr>
          <w:ilvl w:val="0"/>
          <w:numId w:val="8"/>
        </w:numPr>
        <w:spacing w:before="60" w:after="60"/>
        <w:rPr>
          <w:rFonts w:asciiTheme="majorHAnsi" w:hAnsiTheme="majorHAnsi"/>
          <w:szCs w:val="17"/>
        </w:rPr>
      </w:pPr>
      <w:r w:rsidRPr="00820C89">
        <w:rPr>
          <w:rFonts w:asciiTheme="majorHAnsi" w:hAnsiTheme="majorHAnsi"/>
          <w:szCs w:val="17"/>
        </w:rPr>
        <w:t xml:space="preserve">interpersonal skills and time management </w:t>
      </w:r>
    </w:p>
    <w:p w14:paraId="711A0F97" w14:textId="77777777" w:rsidR="001E1919" w:rsidRPr="00820C89" w:rsidRDefault="001E1919" w:rsidP="00715F70">
      <w:pPr>
        <w:numPr>
          <w:ilvl w:val="0"/>
          <w:numId w:val="8"/>
        </w:numPr>
        <w:spacing w:before="60" w:after="60"/>
        <w:rPr>
          <w:rFonts w:asciiTheme="majorHAnsi" w:hAnsiTheme="majorHAnsi"/>
          <w:szCs w:val="17"/>
        </w:rPr>
      </w:pPr>
      <w:r w:rsidRPr="00820C89">
        <w:rPr>
          <w:rFonts w:asciiTheme="majorHAnsi" w:hAnsiTheme="majorHAnsi"/>
          <w:szCs w:val="17"/>
        </w:rPr>
        <w:t xml:space="preserve">introduction to workplace expectations relating to working in teams, working with colleagues from diverse backgrounds, behaviour and dress code </w:t>
      </w:r>
    </w:p>
    <w:p w14:paraId="0FD4F5F1" w14:textId="77777777" w:rsidR="001E1919" w:rsidRPr="00820C89" w:rsidRDefault="001E1919" w:rsidP="00715F70">
      <w:pPr>
        <w:numPr>
          <w:ilvl w:val="0"/>
          <w:numId w:val="8"/>
        </w:numPr>
        <w:spacing w:before="60" w:after="60"/>
        <w:rPr>
          <w:rFonts w:asciiTheme="majorHAnsi" w:hAnsiTheme="majorHAnsi"/>
          <w:szCs w:val="17"/>
        </w:rPr>
      </w:pPr>
      <w:r w:rsidRPr="00820C89">
        <w:rPr>
          <w:rFonts w:asciiTheme="majorHAnsi" w:hAnsiTheme="majorHAnsi"/>
          <w:szCs w:val="17"/>
        </w:rPr>
        <w:t>assistance in overcoming barriers to work (such as lack of transport, childcare).</w:t>
      </w:r>
      <w:r w:rsidRPr="00820C89">
        <w:rPr>
          <w:rFonts w:asciiTheme="majorHAnsi" w:hAnsiTheme="majorHAnsi"/>
          <w:szCs w:val="17"/>
          <w:vertAlign w:val="superscript"/>
        </w:rPr>
        <w:footnoteReference w:id="51"/>
      </w:r>
    </w:p>
    <w:p w14:paraId="77EBC92F" w14:textId="77777777" w:rsidR="001E1919" w:rsidRPr="00820C89" w:rsidRDefault="001E1919" w:rsidP="001E1919">
      <w:pPr>
        <w:spacing w:before="170"/>
        <w:rPr>
          <w:rFonts w:asciiTheme="majorHAnsi" w:hAnsiTheme="majorHAnsi"/>
        </w:rPr>
      </w:pPr>
      <w:r w:rsidRPr="00820C89">
        <w:rPr>
          <w:rFonts w:asciiTheme="majorHAnsi" w:hAnsiTheme="majorHAnsi"/>
        </w:rPr>
        <w:t>For all of the</w:t>
      </w:r>
      <w:r w:rsidR="00B8033A" w:rsidRPr="00820C89">
        <w:rPr>
          <w:rFonts w:asciiTheme="majorHAnsi" w:hAnsiTheme="majorHAnsi"/>
        </w:rPr>
        <w:t xml:space="preserve"> sub-programs</w:t>
      </w:r>
      <w:r w:rsidRPr="00820C89">
        <w:rPr>
          <w:rFonts w:asciiTheme="majorHAnsi" w:hAnsiTheme="majorHAnsi"/>
        </w:rPr>
        <w:t xml:space="preserve">, work-readiness training aims to support the development of cognitive and soft/behavioural skills and help participants understand their aspirations and strengths. While </w:t>
      </w:r>
      <w:r w:rsidRPr="00820C89">
        <w:rPr>
          <w:rFonts w:asciiTheme="majorHAnsi" w:hAnsiTheme="majorHAnsi"/>
        </w:rPr>
        <w:lastRenderedPageBreak/>
        <w:t>the aims are the same, programs differ in the activities that they will utilise to reach these objectives. For instance, TAEG is funded to provide work preparation support and structured mentoring and may provide referrals to job-readiness support services. In comparison, VTEC offers case management, support to prepare for a work placement and may offer referrals to job-readiness support services. Finally, EPI partners may provide work readiness support during recruitment (though not all partners do).</w:t>
      </w:r>
    </w:p>
    <w:p w14:paraId="2B91F77A" w14:textId="77777777" w:rsidR="001E1919" w:rsidRPr="00820C89" w:rsidRDefault="001E1919" w:rsidP="001E1919">
      <w:pPr>
        <w:rPr>
          <w:rFonts w:asciiTheme="majorHAnsi" w:hAnsiTheme="majorHAnsi"/>
        </w:rPr>
      </w:pPr>
      <w:r w:rsidRPr="00820C89">
        <w:rPr>
          <w:rFonts w:asciiTheme="majorHAnsi" w:hAnsiTheme="majorHAnsi"/>
        </w:rPr>
        <w:t>To establish whether this outcome has been met, evidence needs to establish:</w:t>
      </w:r>
    </w:p>
    <w:p w14:paraId="19CFD046" w14:textId="77777777" w:rsidR="009D79FF" w:rsidRPr="00820C89" w:rsidRDefault="001E1919" w:rsidP="00715F70">
      <w:pPr>
        <w:numPr>
          <w:ilvl w:val="0"/>
          <w:numId w:val="24"/>
        </w:numPr>
        <w:spacing w:before="60" w:after="60"/>
        <w:ind w:left="357" w:hanging="357"/>
        <w:rPr>
          <w:rFonts w:asciiTheme="majorHAnsi" w:hAnsiTheme="majorHAnsi"/>
        </w:rPr>
      </w:pPr>
      <w:r w:rsidRPr="00820C89">
        <w:rPr>
          <w:rFonts w:asciiTheme="majorHAnsi" w:hAnsiTheme="majorHAnsi"/>
        </w:rPr>
        <w:t xml:space="preserve">the effectiveness of </w:t>
      </w:r>
      <w:r w:rsidR="00173B3D" w:rsidRPr="00820C89">
        <w:rPr>
          <w:rFonts w:asciiTheme="majorHAnsi" w:hAnsiTheme="majorHAnsi"/>
        </w:rPr>
        <w:t>the</w:t>
      </w:r>
      <w:r w:rsidRPr="00820C89">
        <w:rPr>
          <w:rFonts w:asciiTheme="majorHAnsi" w:hAnsiTheme="majorHAnsi"/>
        </w:rPr>
        <w:t xml:space="preserve"> supports </w:t>
      </w:r>
      <w:r w:rsidR="004F5509" w:rsidRPr="00820C89">
        <w:rPr>
          <w:rFonts w:asciiTheme="majorHAnsi" w:hAnsiTheme="majorHAnsi"/>
        </w:rPr>
        <w:t xml:space="preserve">offered by providers/partners </w:t>
      </w:r>
      <w:r w:rsidRPr="00820C89">
        <w:rPr>
          <w:rFonts w:asciiTheme="majorHAnsi" w:hAnsiTheme="majorHAnsi"/>
        </w:rPr>
        <w:t xml:space="preserve">in improving participants’ work-readiness </w:t>
      </w:r>
      <w:r w:rsidR="00920236" w:rsidRPr="00820C89">
        <w:rPr>
          <w:rFonts w:asciiTheme="majorHAnsi" w:hAnsiTheme="majorHAnsi"/>
        </w:rPr>
        <w:t>skills</w:t>
      </w:r>
      <w:r w:rsidRPr="00820C89">
        <w:rPr>
          <w:rFonts w:asciiTheme="majorHAnsi" w:hAnsiTheme="majorHAnsi"/>
        </w:rPr>
        <w:t xml:space="preserve">. </w:t>
      </w:r>
    </w:p>
    <w:p w14:paraId="5475D5CF" w14:textId="77777777" w:rsidR="0040692E" w:rsidRPr="00820C89" w:rsidRDefault="0040692E" w:rsidP="00C07C48">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work-readiness</w:t>
      </w:r>
    </w:p>
    <w:p w14:paraId="479851DF" w14:textId="77777777" w:rsidR="0040692E" w:rsidRPr="00820C89" w:rsidRDefault="00953FE0" w:rsidP="0040692E">
      <w:pPr>
        <w:rPr>
          <w:rFonts w:asciiTheme="majorHAnsi" w:hAnsiTheme="majorHAnsi"/>
        </w:rPr>
      </w:pPr>
      <w:r w:rsidRPr="00820C89">
        <w:rPr>
          <w:rFonts w:asciiTheme="majorHAnsi" w:hAnsiTheme="majorHAnsi"/>
        </w:rPr>
        <w:t xml:space="preserve">Providers, </w:t>
      </w:r>
      <w:r w:rsidR="0040692E" w:rsidRPr="00820C89">
        <w:rPr>
          <w:rFonts w:asciiTheme="majorHAnsi" w:hAnsiTheme="majorHAnsi"/>
        </w:rPr>
        <w:t xml:space="preserve">employers </w:t>
      </w:r>
      <w:r w:rsidRPr="00820C89">
        <w:rPr>
          <w:rFonts w:asciiTheme="majorHAnsi" w:hAnsiTheme="majorHAnsi"/>
        </w:rPr>
        <w:t xml:space="preserve">and partners across all three of the </w:t>
      </w:r>
      <w:r w:rsidR="00146C78" w:rsidRPr="00820C89">
        <w:rPr>
          <w:rFonts w:asciiTheme="majorHAnsi" w:hAnsiTheme="majorHAnsi"/>
        </w:rPr>
        <w:t>sub-program</w:t>
      </w:r>
      <w:r w:rsidRPr="00820C89">
        <w:rPr>
          <w:rFonts w:asciiTheme="majorHAnsi" w:hAnsiTheme="majorHAnsi"/>
        </w:rPr>
        <w:t>s</w:t>
      </w:r>
      <w:r w:rsidR="0040692E" w:rsidRPr="00820C89">
        <w:rPr>
          <w:rFonts w:asciiTheme="majorHAnsi" w:hAnsiTheme="majorHAnsi"/>
        </w:rPr>
        <w:t xml:space="preserve"> spoke positively regarding the effectiveness of the supports delivered by the </w:t>
      </w:r>
      <w:r w:rsidR="00F97CF6" w:rsidRPr="00820C89">
        <w:rPr>
          <w:rFonts w:asciiTheme="majorHAnsi" w:hAnsiTheme="majorHAnsi"/>
        </w:rPr>
        <w:t>programs</w:t>
      </w:r>
      <w:r w:rsidR="0040692E" w:rsidRPr="00820C89">
        <w:rPr>
          <w:rFonts w:asciiTheme="majorHAnsi" w:hAnsiTheme="majorHAnsi"/>
        </w:rPr>
        <w:t xml:space="preserve"> in building </w:t>
      </w:r>
      <w:r w:rsidR="00B31BB7" w:rsidRPr="00820C89">
        <w:rPr>
          <w:rFonts w:asciiTheme="majorHAnsi" w:hAnsiTheme="majorHAnsi"/>
        </w:rPr>
        <w:t>participants’</w:t>
      </w:r>
      <w:r w:rsidR="0040692E" w:rsidRPr="00820C89">
        <w:rPr>
          <w:rFonts w:asciiTheme="majorHAnsi" w:hAnsiTheme="majorHAnsi"/>
        </w:rPr>
        <w:t xml:space="preserve"> work-readiness skills and helping participants achieve positive employment outcomes. </w:t>
      </w:r>
    </w:p>
    <w:p w14:paraId="3989B287" w14:textId="77777777" w:rsidR="00267EE8" w:rsidRPr="00820C89" w:rsidRDefault="00B81E1F" w:rsidP="0040692E">
      <w:pPr>
        <w:rPr>
          <w:rFonts w:asciiTheme="majorHAnsi" w:hAnsiTheme="majorHAnsi"/>
        </w:rPr>
      </w:pPr>
      <w:r w:rsidRPr="00820C89">
        <w:rPr>
          <w:rFonts w:asciiTheme="majorHAnsi" w:hAnsiTheme="majorHAnsi"/>
        </w:rPr>
        <w:t>C</w:t>
      </w:r>
      <w:r w:rsidR="00E354CA" w:rsidRPr="00820C89">
        <w:rPr>
          <w:rFonts w:asciiTheme="majorHAnsi" w:hAnsiTheme="majorHAnsi"/>
        </w:rPr>
        <w:t xml:space="preserve">onsultations </w:t>
      </w:r>
      <w:r w:rsidR="00D46991" w:rsidRPr="00820C89">
        <w:rPr>
          <w:rFonts w:asciiTheme="majorHAnsi" w:hAnsiTheme="majorHAnsi"/>
        </w:rPr>
        <w:t xml:space="preserve">suggest that this improvement </w:t>
      </w:r>
      <w:r w:rsidR="00332274" w:rsidRPr="00820C89">
        <w:rPr>
          <w:rFonts w:asciiTheme="majorHAnsi" w:hAnsiTheme="majorHAnsi"/>
        </w:rPr>
        <w:t>in work-readiness skills is primarily a result of the extensive pre-employment support</w:t>
      </w:r>
      <w:r w:rsidR="00C140CB" w:rsidRPr="00820C89">
        <w:rPr>
          <w:rFonts w:asciiTheme="majorHAnsi" w:hAnsiTheme="majorHAnsi"/>
        </w:rPr>
        <w:t xml:space="preserve"> that providers deliver. As discussed in detail in Section </w:t>
      </w:r>
      <w:r w:rsidR="00A559D7" w:rsidRPr="00820C89">
        <w:rPr>
          <w:rFonts w:asciiTheme="majorHAnsi" w:hAnsiTheme="majorHAnsi"/>
        </w:rPr>
        <w:t>3.2.1</w:t>
      </w:r>
      <w:r w:rsidR="00C61C3E" w:rsidRPr="00820C89">
        <w:rPr>
          <w:rFonts w:asciiTheme="majorHAnsi" w:hAnsiTheme="majorHAnsi"/>
        </w:rPr>
        <w:t>,</w:t>
      </w:r>
      <w:r w:rsidR="00A559D7" w:rsidRPr="00820C89">
        <w:rPr>
          <w:rFonts w:asciiTheme="majorHAnsi" w:hAnsiTheme="majorHAnsi"/>
        </w:rPr>
        <w:t xml:space="preserve"> pre-employment support is a central element of the </w:t>
      </w:r>
      <w:r w:rsidR="00C8678F" w:rsidRPr="00820C89">
        <w:rPr>
          <w:rFonts w:asciiTheme="majorHAnsi" w:hAnsiTheme="majorHAnsi"/>
        </w:rPr>
        <w:t>TAEG and VTEC programs</w:t>
      </w:r>
      <w:r w:rsidR="00C61C3E" w:rsidRPr="00820C89">
        <w:rPr>
          <w:rFonts w:asciiTheme="majorHAnsi" w:hAnsiTheme="majorHAnsi"/>
        </w:rPr>
        <w:t xml:space="preserve"> and involves the delivery of a wide range of </w:t>
      </w:r>
      <w:r w:rsidR="0076458E" w:rsidRPr="00820C89">
        <w:rPr>
          <w:rFonts w:asciiTheme="majorHAnsi" w:hAnsiTheme="majorHAnsi"/>
        </w:rPr>
        <w:t xml:space="preserve">supports, including individual mentoring </w:t>
      </w:r>
      <w:r w:rsidR="004A383D" w:rsidRPr="00820C89">
        <w:rPr>
          <w:rFonts w:asciiTheme="majorHAnsi" w:hAnsiTheme="majorHAnsi"/>
        </w:rPr>
        <w:t>and case management.</w:t>
      </w:r>
      <w:r w:rsidR="00C61C3E" w:rsidRPr="00820C89">
        <w:rPr>
          <w:rFonts w:asciiTheme="majorHAnsi" w:hAnsiTheme="majorHAnsi"/>
        </w:rPr>
        <w:t xml:space="preserve"> </w:t>
      </w:r>
      <w:r w:rsidR="00A559D7" w:rsidRPr="00820C89">
        <w:rPr>
          <w:rFonts w:asciiTheme="majorHAnsi" w:hAnsiTheme="majorHAnsi"/>
        </w:rPr>
        <w:t xml:space="preserve"> </w:t>
      </w:r>
    </w:p>
    <w:p w14:paraId="7292A8B3" w14:textId="77777777" w:rsidR="0040692E" w:rsidRPr="00820C89" w:rsidRDefault="00895818" w:rsidP="0040692E">
      <w:pPr>
        <w:rPr>
          <w:rFonts w:asciiTheme="majorHAnsi" w:hAnsiTheme="majorHAnsi"/>
        </w:rPr>
      </w:pPr>
      <w:r w:rsidRPr="00820C89">
        <w:rPr>
          <w:rFonts w:asciiTheme="majorHAnsi" w:hAnsiTheme="majorHAnsi"/>
        </w:rPr>
        <w:t>T</w:t>
      </w:r>
      <w:r w:rsidR="0040692E" w:rsidRPr="00820C89">
        <w:rPr>
          <w:rFonts w:asciiTheme="majorHAnsi" w:hAnsiTheme="majorHAnsi"/>
        </w:rPr>
        <w:t>he provider survey reveals that the most cited benefit of both the VTEC and TAEG programs is an improvement in participants’ level of confidence and self-belief. This is a key behavioural work-readiness skill that is anticipated to support participants</w:t>
      </w:r>
      <w:r w:rsidR="008B7C39" w:rsidRPr="00820C89">
        <w:rPr>
          <w:rFonts w:asciiTheme="majorHAnsi" w:hAnsiTheme="majorHAnsi"/>
        </w:rPr>
        <w:t>’</w:t>
      </w:r>
      <w:r w:rsidR="0040692E" w:rsidRPr="00820C89">
        <w:rPr>
          <w:rFonts w:asciiTheme="majorHAnsi" w:hAnsiTheme="majorHAnsi"/>
        </w:rPr>
        <w:t xml:space="preserve"> ability to effectively operate in the workplace. Specifically, providers </w:t>
      </w:r>
      <w:r w:rsidR="009137D9" w:rsidRPr="00820C89">
        <w:rPr>
          <w:rFonts w:asciiTheme="majorHAnsi" w:hAnsiTheme="majorHAnsi"/>
        </w:rPr>
        <w:t>observe</w:t>
      </w:r>
      <w:r w:rsidR="0040692E" w:rsidRPr="00820C89">
        <w:rPr>
          <w:rFonts w:asciiTheme="majorHAnsi" w:hAnsiTheme="majorHAnsi"/>
        </w:rPr>
        <w:t xml:space="preserve"> that:</w:t>
      </w:r>
    </w:p>
    <w:p w14:paraId="7F5EDC0D"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 “We see the confidence and improvement in the participants. More outgoing, confident and able to integrate into a workforce.” (TAEG </w:t>
      </w:r>
      <w:r w:rsidR="001F1912" w:rsidRPr="00820C89">
        <w:rPr>
          <w:rFonts w:asciiTheme="majorHAnsi" w:hAnsiTheme="majorHAnsi"/>
          <w:i/>
        </w:rPr>
        <w:t>provider</w:t>
      </w:r>
      <w:r w:rsidRPr="00820C89">
        <w:rPr>
          <w:rFonts w:asciiTheme="majorHAnsi" w:hAnsiTheme="majorHAnsi"/>
          <w:i/>
        </w:rPr>
        <w:t>)</w:t>
      </w:r>
    </w:p>
    <w:p w14:paraId="752CD6D4" w14:textId="77777777" w:rsidR="0040692E" w:rsidRPr="00820C89" w:rsidRDefault="0040692E" w:rsidP="0040692E">
      <w:pPr>
        <w:ind w:left="360"/>
        <w:contextualSpacing/>
        <w:rPr>
          <w:rFonts w:asciiTheme="majorHAnsi" w:hAnsiTheme="majorHAnsi"/>
          <w:i/>
        </w:rPr>
      </w:pPr>
    </w:p>
    <w:p w14:paraId="543A89D0" w14:textId="77777777" w:rsidR="0040692E" w:rsidRPr="00820C89" w:rsidRDefault="0040692E" w:rsidP="00E05955">
      <w:pPr>
        <w:ind w:left="357"/>
        <w:rPr>
          <w:rFonts w:asciiTheme="majorHAnsi" w:hAnsiTheme="majorHAnsi"/>
          <w:i/>
        </w:rPr>
      </w:pPr>
      <w:r w:rsidRPr="00820C89">
        <w:rPr>
          <w:rFonts w:asciiTheme="majorHAnsi" w:hAnsiTheme="majorHAnsi"/>
          <w:i/>
        </w:rPr>
        <w:t xml:space="preserve">“We are only a new program, but we see significant growth and development in individuals which we have to supported to gain employment. Individual report increased feelings of confidence, esteem and satisfaction. Individuals report a knock-on improvement to other areas of their life” (TAEG </w:t>
      </w:r>
      <w:r w:rsidR="001F1912" w:rsidRPr="00820C89">
        <w:rPr>
          <w:rFonts w:asciiTheme="majorHAnsi" w:hAnsiTheme="majorHAnsi"/>
          <w:i/>
        </w:rPr>
        <w:t>provider</w:t>
      </w:r>
      <w:r w:rsidRPr="00820C89">
        <w:rPr>
          <w:rFonts w:asciiTheme="majorHAnsi" w:hAnsiTheme="majorHAnsi"/>
          <w:i/>
        </w:rPr>
        <w:t>)</w:t>
      </w:r>
    </w:p>
    <w:p w14:paraId="64C5C1B5" w14:textId="77777777" w:rsidR="003B4420" w:rsidRPr="00820C89" w:rsidRDefault="0040692E" w:rsidP="00E05955">
      <w:pPr>
        <w:spacing w:before="170"/>
        <w:rPr>
          <w:rFonts w:asciiTheme="majorHAnsi" w:hAnsiTheme="majorHAnsi"/>
        </w:rPr>
      </w:pPr>
      <w:r w:rsidRPr="00820C89">
        <w:rPr>
          <w:rFonts w:asciiTheme="majorHAnsi" w:hAnsiTheme="majorHAnsi"/>
        </w:rPr>
        <w:t>TAEG providers were 12 percentage points more likely to mention this benefit than VTEC providers</w:t>
      </w:r>
      <w:r w:rsidR="00AB09B0" w:rsidRPr="00820C89">
        <w:rPr>
          <w:rFonts w:asciiTheme="majorHAnsi" w:hAnsiTheme="majorHAnsi"/>
        </w:rPr>
        <w:t xml:space="preserve"> (</w:t>
      </w:r>
      <w:r w:rsidR="003A2777" w:rsidRPr="00820C89">
        <w:rPr>
          <w:rFonts w:asciiTheme="majorHAnsi" w:hAnsiTheme="majorHAnsi"/>
        </w:rPr>
        <w:t>46</w:t>
      </w:r>
      <w:r w:rsidR="00FE3DA9" w:rsidRPr="00820C89">
        <w:rPr>
          <w:rFonts w:asciiTheme="majorHAnsi" w:hAnsiTheme="majorHAnsi"/>
        </w:rPr>
        <w:t xml:space="preserve">% compared to </w:t>
      </w:r>
      <w:r w:rsidR="003A2777" w:rsidRPr="00820C89">
        <w:rPr>
          <w:rFonts w:asciiTheme="majorHAnsi" w:hAnsiTheme="majorHAnsi"/>
        </w:rPr>
        <w:t>34</w:t>
      </w:r>
      <w:r w:rsidR="00F83405" w:rsidRPr="00820C89">
        <w:rPr>
          <w:rFonts w:asciiTheme="majorHAnsi" w:hAnsiTheme="majorHAnsi"/>
        </w:rPr>
        <w:t>%</w:t>
      </w:r>
      <w:r w:rsidR="003A2777" w:rsidRPr="00820C89">
        <w:rPr>
          <w:rFonts w:asciiTheme="majorHAnsi" w:hAnsiTheme="majorHAnsi"/>
        </w:rPr>
        <w:t xml:space="preserve"> from a free-text question</w:t>
      </w:r>
      <w:r w:rsidR="00F83405" w:rsidRPr="00820C89">
        <w:rPr>
          <w:rFonts w:asciiTheme="majorHAnsi" w:hAnsiTheme="majorHAnsi"/>
        </w:rPr>
        <w:t>)</w:t>
      </w:r>
      <w:r w:rsidRPr="00820C89">
        <w:rPr>
          <w:rFonts w:asciiTheme="majorHAnsi" w:hAnsiTheme="majorHAnsi"/>
        </w:rPr>
        <w:t xml:space="preserve">. This difference may reflect TAEG’s focus on building basic foundational skills (such as literacy, numeracy and aspiration building) which is expected to have a significant impact on participants overall capability, and hence their feeling of confidence. </w:t>
      </w:r>
    </w:p>
    <w:p w14:paraId="11A53218" w14:textId="77777777" w:rsidR="00A85432" w:rsidRPr="00820C89" w:rsidRDefault="00CF57A8" w:rsidP="004E2D25">
      <w:pPr>
        <w:spacing w:before="170"/>
        <w:rPr>
          <w:rFonts w:asciiTheme="majorHAnsi" w:hAnsiTheme="majorHAnsi"/>
        </w:rPr>
      </w:pPr>
      <w:r w:rsidRPr="00820C89">
        <w:rPr>
          <w:rFonts w:asciiTheme="majorHAnsi" w:hAnsiTheme="majorHAnsi"/>
        </w:rPr>
        <w:t xml:space="preserve">Beyond </w:t>
      </w:r>
      <w:r w:rsidR="00C707BB" w:rsidRPr="00820C89">
        <w:rPr>
          <w:rFonts w:asciiTheme="majorHAnsi" w:hAnsiTheme="majorHAnsi"/>
        </w:rPr>
        <w:t xml:space="preserve">this, providers </w:t>
      </w:r>
      <w:r w:rsidR="00FC791D" w:rsidRPr="00820C89">
        <w:rPr>
          <w:rFonts w:asciiTheme="majorHAnsi" w:hAnsiTheme="majorHAnsi"/>
        </w:rPr>
        <w:t xml:space="preserve">also </w:t>
      </w:r>
      <w:r w:rsidR="00C95375" w:rsidRPr="00820C89">
        <w:rPr>
          <w:rFonts w:asciiTheme="majorHAnsi" w:hAnsiTheme="majorHAnsi"/>
        </w:rPr>
        <w:t>note</w:t>
      </w:r>
      <w:r w:rsidR="00FC791D" w:rsidRPr="00820C89">
        <w:rPr>
          <w:rFonts w:asciiTheme="majorHAnsi" w:hAnsiTheme="majorHAnsi"/>
        </w:rPr>
        <w:t xml:space="preserve"> that the</w:t>
      </w:r>
      <w:r w:rsidR="00FC791D" w:rsidRPr="00820C89">
        <w:rPr>
          <w:rFonts w:asciiTheme="majorHAnsi" w:hAnsiTheme="majorHAnsi"/>
          <w:b/>
          <w:bCs/>
        </w:rPr>
        <w:t xml:space="preserve"> </w:t>
      </w:r>
      <w:r w:rsidR="0055412E" w:rsidRPr="00820C89">
        <w:rPr>
          <w:rFonts w:asciiTheme="majorHAnsi" w:hAnsiTheme="majorHAnsi"/>
        </w:rPr>
        <w:t>TAEG and VTEC programs can</w:t>
      </w:r>
      <w:r w:rsidR="007313CB" w:rsidRPr="00820C89">
        <w:rPr>
          <w:rFonts w:asciiTheme="majorHAnsi" w:hAnsiTheme="majorHAnsi"/>
        </w:rPr>
        <w:t xml:space="preserve"> </w:t>
      </w:r>
      <w:r w:rsidR="003530F6" w:rsidRPr="00820C89">
        <w:rPr>
          <w:rFonts w:asciiTheme="majorHAnsi" w:hAnsiTheme="majorHAnsi"/>
        </w:rPr>
        <w:t>improve</w:t>
      </w:r>
      <w:r w:rsidR="007313CB" w:rsidRPr="00820C89">
        <w:rPr>
          <w:rFonts w:asciiTheme="majorHAnsi" w:hAnsiTheme="majorHAnsi"/>
        </w:rPr>
        <w:t xml:space="preserve"> participants overall outlook and attitude towards </w:t>
      </w:r>
      <w:r w:rsidR="00F75DFA" w:rsidRPr="00820C89">
        <w:rPr>
          <w:rFonts w:asciiTheme="majorHAnsi" w:hAnsiTheme="majorHAnsi"/>
        </w:rPr>
        <w:t>employment</w:t>
      </w:r>
      <w:r w:rsidR="007313CB" w:rsidRPr="00820C89">
        <w:rPr>
          <w:rFonts w:asciiTheme="majorHAnsi" w:hAnsiTheme="majorHAnsi"/>
        </w:rPr>
        <w:t xml:space="preserve"> by</w:t>
      </w:r>
      <w:r w:rsidR="00A00E3F" w:rsidRPr="00820C89">
        <w:rPr>
          <w:rFonts w:asciiTheme="majorHAnsi" w:hAnsiTheme="majorHAnsi"/>
        </w:rPr>
        <w:t xml:space="preserve"> creating </w:t>
      </w:r>
      <w:r w:rsidR="00DF6A9F" w:rsidRPr="00820C89">
        <w:rPr>
          <w:rFonts w:asciiTheme="majorHAnsi" w:hAnsiTheme="majorHAnsi"/>
        </w:rPr>
        <w:t>a</w:t>
      </w:r>
      <w:r w:rsidR="00A00E3F" w:rsidRPr="00820C89">
        <w:rPr>
          <w:rFonts w:asciiTheme="majorHAnsi" w:hAnsiTheme="majorHAnsi"/>
        </w:rPr>
        <w:t xml:space="preserve"> supportive environment</w:t>
      </w:r>
      <w:r w:rsidR="008250ED" w:rsidRPr="00820C89">
        <w:rPr>
          <w:rFonts w:asciiTheme="majorHAnsi" w:hAnsiTheme="majorHAnsi"/>
        </w:rPr>
        <w:t xml:space="preserve"> and positive experience</w:t>
      </w:r>
      <w:r w:rsidR="00DF6A9F" w:rsidRPr="00820C89">
        <w:rPr>
          <w:rFonts w:asciiTheme="majorHAnsi" w:hAnsiTheme="majorHAnsi"/>
        </w:rPr>
        <w:t>.</w:t>
      </w:r>
      <w:r w:rsidR="00CD6175" w:rsidRPr="00820C89">
        <w:rPr>
          <w:rFonts w:asciiTheme="majorHAnsi" w:hAnsiTheme="majorHAnsi"/>
        </w:rPr>
        <w:t xml:space="preserve"> </w:t>
      </w:r>
      <w:r w:rsidR="0024154C" w:rsidRPr="00820C89">
        <w:rPr>
          <w:rFonts w:asciiTheme="majorHAnsi" w:hAnsiTheme="majorHAnsi"/>
        </w:rPr>
        <w:t>T</w:t>
      </w:r>
      <w:r w:rsidR="00CD6175" w:rsidRPr="00820C89">
        <w:rPr>
          <w:rFonts w:asciiTheme="majorHAnsi" w:hAnsiTheme="majorHAnsi"/>
        </w:rPr>
        <w:t xml:space="preserve">hey </w:t>
      </w:r>
      <w:r w:rsidR="0077154D" w:rsidRPr="00820C89">
        <w:rPr>
          <w:rFonts w:asciiTheme="majorHAnsi" w:hAnsiTheme="majorHAnsi"/>
        </w:rPr>
        <w:t>report</w:t>
      </w:r>
      <w:r w:rsidR="00CD6175" w:rsidRPr="00820C89">
        <w:rPr>
          <w:rFonts w:asciiTheme="majorHAnsi" w:hAnsiTheme="majorHAnsi"/>
        </w:rPr>
        <w:t xml:space="preserve"> that </w:t>
      </w:r>
      <w:r w:rsidR="00306CC2" w:rsidRPr="00820C89">
        <w:rPr>
          <w:rFonts w:asciiTheme="majorHAnsi" w:hAnsiTheme="majorHAnsi"/>
        </w:rPr>
        <w:t xml:space="preserve">creating this </w:t>
      </w:r>
      <w:r w:rsidR="002F7FC3" w:rsidRPr="00820C89">
        <w:rPr>
          <w:rFonts w:asciiTheme="majorHAnsi" w:hAnsiTheme="majorHAnsi"/>
        </w:rPr>
        <w:t>can</w:t>
      </w:r>
      <w:r w:rsidR="005C5352" w:rsidRPr="00820C89">
        <w:rPr>
          <w:rFonts w:asciiTheme="majorHAnsi" w:hAnsiTheme="majorHAnsi"/>
        </w:rPr>
        <w:t xml:space="preserve"> overcome </w:t>
      </w:r>
      <w:r w:rsidR="00D16F0C" w:rsidRPr="00820C89">
        <w:rPr>
          <w:rFonts w:asciiTheme="majorHAnsi" w:hAnsiTheme="majorHAnsi"/>
        </w:rPr>
        <w:t xml:space="preserve">the negative attitudes that participants may have developed towards employment as a </w:t>
      </w:r>
      <w:r w:rsidR="00D11DE0" w:rsidRPr="00820C89">
        <w:rPr>
          <w:rFonts w:asciiTheme="majorHAnsi" w:hAnsiTheme="majorHAnsi"/>
        </w:rPr>
        <w:t>consequence</w:t>
      </w:r>
      <w:r w:rsidR="00D16F0C" w:rsidRPr="00820C89">
        <w:rPr>
          <w:rFonts w:asciiTheme="majorHAnsi" w:hAnsiTheme="majorHAnsi"/>
        </w:rPr>
        <w:t xml:space="preserve"> of </w:t>
      </w:r>
      <w:r w:rsidR="00863965" w:rsidRPr="00820C89">
        <w:rPr>
          <w:rFonts w:asciiTheme="majorHAnsi" w:hAnsiTheme="majorHAnsi"/>
        </w:rPr>
        <w:t>experiences with</w:t>
      </w:r>
      <w:r w:rsidR="00D16F0C" w:rsidRPr="00820C89">
        <w:rPr>
          <w:rFonts w:asciiTheme="majorHAnsi" w:hAnsiTheme="majorHAnsi"/>
        </w:rPr>
        <w:t xml:space="preserve"> demanding employers or </w:t>
      </w:r>
      <w:r w:rsidR="004B74D9" w:rsidRPr="00820C89">
        <w:rPr>
          <w:rFonts w:asciiTheme="majorHAnsi" w:hAnsiTheme="majorHAnsi"/>
        </w:rPr>
        <w:t>culturally insensitive workplaces</w:t>
      </w:r>
      <w:r w:rsidR="00D16F0C" w:rsidRPr="00820C89">
        <w:rPr>
          <w:rFonts w:asciiTheme="majorHAnsi" w:hAnsiTheme="majorHAnsi"/>
        </w:rPr>
        <w:t>.</w:t>
      </w:r>
      <w:r w:rsidR="00BD2C73" w:rsidRPr="00820C89">
        <w:rPr>
          <w:rFonts w:asciiTheme="majorHAnsi" w:hAnsiTheme="majorHAnsi"/>
        </w:rPr>
        <w:t xml:space="preserve"> For example, providers note that:</w:t>
      </w:r>
      <w:r w:rsidR="004C3CB2" w:rsidRPr="00820C89">
        <w:rPr>
          <w:rFonts w:asciiTheme="majorHAnsi" w:hAnsiTheme="majorHAnsi"/>
        </w:rPr>
        <w:t xml:space="preserve"> </w:t>
      </w:r>
      <w:r w:rsidR="00640A2D" w:rsidRPr="00820C89">
        <w:rPr>
          <w:rFonts w:asciiTheme="majorHAnsi" w:hAnsiTheme="majorHAnsi"/>
        </w:rPr>
        <w:t xml:space="preserve"> </w:t>
      </w:r>
    </w:p>
    <w:p w14:paraId="097F876F" w14:textId="77777777" w:rsidR="003361C2" w:rsidRPr="00820C89" w:rsidRDefault="00CA62CE" w:rsidP="00B06439">
      <w:pPr>
        <w:ind w:left="357"/>
        <w:rPr>
          <w:rFonts w:asciiTheme="majorHAnsi" w:hAnsiTheme="majorHAnsi"/>
          <w:i/>
        </w:rPr>
      </w:pPr>
      <w:r w:rsidRPr="00820C89">
        <w:rPr>
          <w:rFonts w:asciiTheme="majorHAnsi" w:hAnsiTheme="majorHAnsi"/>
          <w:i/>
        </w:rPr>
        <w:t>“W</w:t>
      </w:r>
      <w:r w:rsidR="00A85432" w:rsidRPr="00820C89">
        <w:rPr>
          <w:rFonts w:asciiTheme="majorHAnsi" w:hAnsiTheme="majorHAnsi"/>
          <w:i/>
        </w:rPr>
        <w:t xml:space="preserve">hat </w:t>
      </w:r>
      <w:r w:rsidRPr="00820C89">
        <w:rPr>
          <w:rFonts w:asciiTheme="majorHAnsi" w:hAnsiTheme="majorHAnsi"/>
          <w:i/>
        </w:rPr>
        <w:t xml:space="preserve">[participants] </w:t>
      </w:r>
      <w:r w:rsidR="00A85432" w:rsidRPr="00820C89">
        <w:rPr>
          <w:rFonts w:asciiTheme="majorHAnsi" w:hAnsiTheme="majorHAnsi"/>
          <w:i/>
        </w:rPr>
        <w:t>need</w:t>
      </w:r>
      <w:r w:rsidRPr="00820C89">
        <w:rPr>
          <w:rFonts w:asciiTheme="majorHAnsi" w:hAnsiTheme="majorHAnsi"/>
          <w:i/>
        </w:rPr>
        <w:t xml:space="preserve"> [during pre-employment support]</w:t>
      </w:r>
      <w:r w:rsidR="00A85432" w:rsidRPr="00820C89">
        <w:rPr>
          <w:rFonts w:asciiTheme="majorHAnsi" w:hAnsiTheme="majorHAnsi"/>
          <w:i/>
        </w:rPr>
        <w:t xml:space="preserve"> is this soft place to work where it’s not really about how quickly you can produce something but</w:t>
      </w:r>
      <w:r w:rsidR="00332A13" w:rsidRPr="00820C89">
        <w:rPr>
          <w:rFonts w:asciiTheme="majorHAnsi" w:hAnsiTheme="majorHAnsi"/>
          <w:i/>
        </w:rPr>
        <w:t>,</w:t>
      </w:r>
      <w:r w:rsidR="00A85432" w:rsidRPr="00820C89">
        <w:rPr>
          <w:rFonts w:asciiTheme="majorHAnsi" w:hAnsiTheme="majorHAnsi"/>
          <w:i/>
        </w:rPr>
        <w:t xml:space="preserve"> </w:t>
      </w:r>
      <w:r w:rsidRPr="00820C89">
        <w:rPr>
          <w:rFonts w:asciiTheme="majorHAnsi" w:hAnsiTheme="majorHAnsi"/>
          <w:i/>
        </w:rPr>
        <w:t xml:space="preserve">about </w:t>
      </w:r>
      <w:r w:rsidR="00332A13" w:rsidRPr="00820C89">
        <w:rPr>
          <w:rFonts w:asciiTheme="majorHAnsi" w:hAnsiTheme="majorHAnsi"/>
          <w:i/>
        </w:rPr>
        <w:t>a h</w:t>
      </w:r>
      <w:r w:rsidR="00A85432" w:rsidRPr="00820C89">
        <w:rPr>
          <w:rFonts w:asciiTheme="majorHAnsi" w:hAnsiTheme="majorHAnsi"/>
          <w:i/>
        </w:rPr>
        <w:t>appy, fun environment</w:t>
      </w:r>
      <w:r w:rsidR="00332A13" w:rsidRPr="00820C89">
        <w:rPr>
          <w:rFonts w:asciiTheme="majorHAnsi" w:hAnsiTheme="majorHAnsi"/>
          <w:i/>
        </w:rPr>
        <w:t xml:space="preserve">. Doing it this way means that participants actually learn how to work, and they develop a better </w:t>
      </w:r>
      <w:r w:rsidR="00FF7528" w:rsidRPr="00820C89">
        <w:rPr>
          <w:rFonts w:asciiTheme="majorHAnsi" w:hAnsiTheme="majorHAnsi"/>
          <w:i/>
        </w:rPr>
        <w:t>attitude to what work should be like”</w:t>
      </w:r>
      <w:r w:rsidR="00332A13" w:rsidRPr="00820C89">
        <w:rPr>
          <w:rFonts w:asciiTheme="majorHAnsi" w:hAnsiTheme="majorHAnsi"/>
          <w:i/>
        </w:rPr>
        <w:t xml:space="preserve"> </w:t>
      </w:r>
      <w:r w:rsidR="001E3805" w:rsidRPr="00820C89">
        <w:rPr>
          <w:rFonts w:asciiTheme="majorHAnsi" w:hAnsiTheme="majorHAnsi"/>
          <w:i/>
        </w:rPr>
        <w:t>(TAEG Provider)</w:t>
      </w:r>
    </w:p>
    <w:p w14:paraId="7C7B5016" w14:textId="77777777" w:rsidR="009F7C5C" w:rsidRPr="00820C89" w:rsidRDefault="00B06439" w:rsidP="009034E3">
      <w:pPr>
        <w:ind w:left="357"/>
        <w:rPr>
          <w:rFonts w:asciiTheme="majorHAnsi" w:hAnsiTheme="majorHAnsi"/>
          <w:i/>
        </w:rPr>
      </w:pPr>
      <w:r w:rsidRPr="00820C89">
        <w:rPr>
          <w:rFonts w:asciiTheme="majorHAnsi" w:hAnsiTheme="majorHAnsi"/>
          <w:i/>
        </w:rPr>
        <w:t>“</w:t>
      </w:r>
      <w:r w:rsidR="003361C2" w:rsidRPr="00820C89">
        <w:rPr>
          <w:rFonts w:asciiTheme="majorHAnsi" w:hAnsiTheme="majorHAnsi"/>
          <w:i/>
        </w:rPr>
        <w:t>A lot of Aboriginal people didn’t have the skills, you know, their education was limited because they come from the Mission to this town.</w:t>
      </w:r>
      <w:r w:rsidR="001D3D00" w:rsidRPr="00820C89">
        <w:rPr>
          <w:rFonts w:asciiTheme="majorHAnsi" w:hAnsiTheme="majorHAnsi"/>
          <w:i/>
        </w:rPr>
        <w:t xml:space="preserve"> That’s why the mentoring is so important, they learn that they can learn new skills and that work can be a good thing</w:t>
      </w:r>
      <w:r w:rsidRPr="00820C89">
        <w:rPr>
          <w:rFonts w:asciiTheme="majorHAnsi" w:hAnsiTheme="majorHAnsi"/>
          <w:i/>
        </w:rPr>
        <w:t>” (VTEC Provider)</w:t>
      </w:r>
    </w:p>
    <w:p w14:paraId="21BC66FD" w14:textId="77777777" w:rsidR="00F86457" w:rsidRPr="00820C89" w:rsidRDefault="00E1386E" w:rsidP="00CF1FF6">
      <w:pPr>
        <w:rPr>
          <w:rFonts w:asciiTheme="majorHAnsi" w:hAnsiTheme="majorHAnsi"/>
          <w:iCs/>
        </w:rPr>
      </w:pPr>
      <w:r w:rsidRPr="00820C89">
        <w:rPr>
          <w:rFonts w:asciiTheme="majorHAnsi" w:hAnsiTheme="majorHAnsi"/>
          <w:iCs/>
        </w:rPr>
        <w:t>C</w:t>
      </w:r>
      <w:r w:rsidR="001F18C8" w:rsidRPr="00820C89">
        <w:rPr>
          <w:rFonts w:asciiTheme="majorHAnsi" w:hAnsiTheme="majorHAnsi"/>
          <w:iCs/>
        </w:rPr>
        <w:t>onsultations with</w:t>
      </w:r>
      <w:r w:rsidR="00776B2D" w:rsidRPr="00820C89">
        <w:rPr>
          <w:rFonts w:asciiTheme="majorHAnsi" w:hAnsiTheme="majorHAnsi"/>
          <w:iCs/>
        </w:rPr>
        <w:t xml:space="preserve"> </w:t>
      </w:r>
      <w:r w:rsidR="001F18C8" w:rsidRPr="00820C89">
        <w:rPr>
          <w:rFonts w:asciiTheme="majorHAnsi" w:hAnsiTheme="majorHAnsi"/>
          <w:iCs/>
        </w:rPr>
        <w:t xml:space="preserve">participants and employers </w:t>
      </w:r>
      <w:r w:rsidR="00A5161A" w:rsidRPr="00820C89">
        <w:rPr>
          <w:rFonts w:asciiTheme="majorHAnsi" w:hAnsiTheme="majorHAnsi"/>
          <w:iCs/>
        </w:rPr>
        <w:t>suggest</w:t>
      </w:r>
      <w:r w:rsidR="00DE6965" w:rsidRPr="00820C89">
        <w:rPr>
          <w:rFonts w:asciiTheme="majorHAnsi" w:hAnsiTheme="majorHAnsi"/>
          <w:iCs/>
        </w:rPr>
        <w:t xml:space="preserve"> that the</w:t>
      </w:r>
      <w:r w:rsidR="007B47D3" w:rsidRPr="00820C89">
        <w:rPr>
          <w:rFonts w:asciiTheme="majorHAnsi" w:hAnsiTheme="majorHAnsi"/>
          <w:iCs/>
        </w:rPr>
        <w:t xml:space="preserve"> </w:t>
      </w:r>
      <w:r w:rsidR="007B47D3" w:rsidRPr="00820C89">
        <w:rPr>
          <w:rFonts w:asciiTheme="majorHAnsi" w:hAnsiTheme="majorHAnsi"/>
        </w:rPr>
        <w:t>VTEC and TAEG</w:t>
      </w:r>
      <w:r w:rsidR="004D68A0" w:rsidRPr="00820C89">
        <w:rPr>
          <w:rFonts w:asciiTheme="majorHAnsi" w:hAnsiTheme="majorHAnsi"/>
        </w:rPr>
        <w:t xml:space="preserve"> programs can be successful in building participants literacy and numeracy skills</w:t>
      </w:r>
      <w:r w:rsidR="00956C59" w:rsidRPr="00820C89">
        <w:rPr>
          <w:rFonts w:asciiTheme="majorHAnsi" w:hAnsiTheme="majorHAnsi"/>
        </w:rPr>
        <w:t xml:space="preserve">, although this </w:t>
      </w:r>
      <w:r w:rsidR="007F7290" w:rsidRPr="00820C89">
        <w:rPr>
          <w:rFonts w:asciiTheme="majorHAnsi" w:hAnsiTheme="majorHAnsi"/>
        </w:rPr>
        <w:t>is</w:t>
      </w:r>
      <w:r w:rsidR="006E0620" w:rsidRPr="00820C89">
        <w:rPr>
          <w:rFonts w:asciiTheme="majorHAnsi" w:hAnsiTheme="majorHAnsi"/>
        </w:rPr>
        <w:t xml:space="preserve"> generally not one of the leading outcomes </w:t>
      </w:r>
      <w:r w:rsidR="007211D3" w:rsidRPr="00820C89">
        <w:rPr>
          <w:rFonts w:asciiTheme="majorHAnsi" w:hAnsiTheme="majorHAnsi"/>
        </w:rPr>
        <w:t xml:space="preserve">these stakeholders </w:t>
      </w:r>
      <w:r w:rsidR="00E76C56" w:rsidRPr="00820C89">
        <w:rPr>
          <w:rFonts w:asciiTheme="majorHAnsi" w:hAnsiTheme="majorHAnsi"/>
        </w:rPr>
        <w:t>note</w:t>
      </w:r>
      <w:r w:rsidR="006E0620" w:rsidRPr="00820C89">
        <w:rPr>
          <w:rFonts w:asciiTheme="majorHAnsi" w:hAnsiTheme="majorHAnsi"/>
          <w:b/>
          <w:bCs/>
          <w:iCs/>
        </w:rPr>
        <w:t>.</w:t>
      </w:r>
      <w:r w:rsidR="00410AED" w:rsidRPr="00820C89">
        <w:rPr>
          <w:rFonts w:asciiTheme="majorHAnsi" w:hAnsiTheme="majorHAnsi"/>
          <w:b/>
          <w:bCs/>
          <w:iCs/>
        </w:rPr>
        <w:t xml:space="preserve"> </w:t>
      </w:r>
      <w:r w:rsidR="00687BBA" w:rsidRPr="00820C89">
        <w:rPr>
          <w:rFonts w:asciiTheme="majorHAnsi" w:hAnsiTheme="majorHAnsi"/>
          <w:iCs/>
        </w:rPr>
        <w:t>I</w:t>
      </w:r>
      <w:r w:rsidR="00410AED" w:rsidRPr="00820C89">
        <w:rPr>
          <w:rFonts w:asciiTheme="majorHAnsi" w:hAnsiTheme="majorHAnsi"/>
          <w:iCs/>
        </w:rPr>
        <w:t xml:space="preserve">t appears that </w:t>
      </w:r>
      <w:r w:rsidR="00071B47" w:rsidRPr="00820C89">
        <w:rPr>
          <w:rFonts w:asciiTheme="majorHAnsi" w:hAnsiTheme="majorHAnsi"/>
          <w:iCs/>
        </w:rPr>
        <w:t xml:space="preserve">while a </w:t>
      </w:r>
      <w:r w:rsidR="00A47A2B" w:rsidRPr="00820C89">
        <w:rPr>
          <w:rFonts w:asciiTheme="majorHAnsi" w:hAnsiTheme="majorHAnsi"/>
          <w:iCs/>
        </w:rPr>
        <w:t>significant</w:t>
      </w:r>
      <w:r w:rsidR="00071B47" w:rsidRPr="00820C89">
        <w:rPr>
          <w:rFonts w:asciiTheme="majorHAnsi" w:hAnsiTheme="majorHAnsi"/>
          <w:iCs/>
        </w:rPr>
        <w:t xml:space="preserve"> portion of providers </w:t>
      </w:r>
      <w:r w:rsidR="008102EA" w:rsidRPr="00820C89">
        <w:rPr>
          <w:rFonts w:asciiTheme="majorHAnsi" w:hAnsiTheme="majorHAnsi"/>
          <w:iCs/>
        </w:rPr>
        <w:t>deliver</w:t>
      </w:r>
      <w:r w:rsidR="00071B47" w:rsidRPr="00820C89">
        <w:rPr>
          <w:rFonts w:asciiTheme="majorHAnsi" w:hAnsiTheme="majorHAnsi"/>
          <w:iCs/>
        </w:rPr>
        <w:t xml:space="preserve"> literacy and numeracy training (see Section 3.2.1) this </w:t>
      </w:r>
      <w:r w:rsidR="00D56B5F" w:rsidRPr="00820C89">
        <w:rPr>
          <w:rFonts w:asciiTheme="majorHAnsi" w:hAnsiTheme="majorHAnsi"/>
          <w:iCs/>
        </w:rPr>
        <w:t xml:space="preserve">support is generally less intense than </w:t>
      </w:r>
      <w:r w:rsidR="00D56B5F" w:rsidRPr="00820C89">
        <w:rPr>
          <w:rFonts w:asciiTheme="majorHAnsi" w:hAnsiTheme="majorHAnsi"/>
          <w:iCs/>
        </w:rPr>
        <w:lastRenderedPageBreak/>
        <w:t>that delivered to build participants overall confidence</w:t>
      </w:r>
      <w:r w:rsidR="00403440" w:rsidRPr="00820C89">
        <w:rPr>
          <w:rFonts w:asciiTheme="majorHAnsi" w:hAnsiTheme="majorHAnsi"/>
          <w:iCs/>
        </w:rPr>
        <w:t xml:space="preserve"> and</w:t>
      </w:r>
      <w:r w:rsidR="00D56B5F" w:rsidRPr="00820C89">
        <w:rPr>
          <w:rFonts w:asciiTheme="majorHAnsi" w:hAnsiTheme="majorHAnsi"/>
          <w:iCs/>
        </w:rPr>
        <w:t xml:space="preserve"> work preparedness</w:t>
      </w:r>
      <w:r w:rsidR="00387645" w:rsidRPr="00820C89">
        <w:rPr>
          <w:rFonts w:asciiTheme="majorHAnsi" w:hAnsiTheme="majorHAnsi"/>
          <w:iCs/>
        </w:rPr>
        <w:t>, and hence the outcomes in this domain are also less pronounced.</w:t>
      </w:r>
    </w:p>
    <w:p w14:paraId="53C7A949" w14:textId="77777777" w:rsidR="006851A9" w:rsidRPr="00820C89" w:rsidRDefault="000F4CE3" w:rsidP="00CF1FF6">
      <w:pPr>
        <w:rPr>
          <w:rFonts w:asciiTheme="majorHAnsi" w:hAnsiTheme="majorHAnsi"/>
          <w:iCs/>
        </w:rPr>
      </w:pPr>
      <w:r w:rsidRPr="00820C89">
        <w:rPr>
          <w:rFonts w:asciiTheme="majorHAnsi" w:hAnsiTheme="majorHAnsi"/>
          <w:iCs/>
        </w:rPr>
        <w:t xml:space="preserve">VTEC and TAEG </w:t>
      </w:r>
      <w:r w:rsidR="004320E1" w:rsidRPr="00820C89">
        <w:rPr>
          <w:rFonts w:asciiTheme="majorHAnsi" w:hAnsiTheme="majorHAnsi"/>
          <w:iCs/>
        </w:rPr>
        <w:t xml:space="preserve">providers </w:t>
      </w:r>
      <w:r w:rsidRPr="00820C89">
        <w:rPr>
          <w:rFonts w:asciiTheme="majorHAnsi" w:hAnsiTheme="majorHAnsi"/>
          <w:iCs/>
        </w:rPr>
        <w:t xml:space="preserve">emphasise </w:t>
      </w:r>
      <w:r w:rsidR="006A415B" w:rsidRPr="00820C89">
        <w:rPr>
          <w:rFonts w:asciiTheme="majorHAnsi" w:hAnsiTheme="majorHAnsi"/>
          <w:iCs/>
        </w:rPr>
        <w:t xml:space="preserve">that the literacy and numeracy training they deliver (or provide referrals to) is intended to be used strategically to fill specific skill gaps, as opposed to a generic offering that is delivered to </w:t>
      </w:r>
      <w:r w:rsidR="00DD5CE2" w:rsidRPr="00820C89">
        <w:rPr>
          <w:rFonts w:asciiTheme="majorHAnsi" w:hAnsiTheme="majorHAnsi"/>
          <w:iCs/>
        </w:rPr>
        <w:t>all</w:t>
      </w:r>
      <w:r w:rsidR="006A415B" w:rsidRPr="00820C89">
        <w:rPr>
          <w:rFonts w:asciiTheme="majorHAnsi" w:hAnsiTheme="majorHAnsi"/>
          <w:iCs/>
        </w:rPr>
        <w:t xml:space="preserve"> participants. </w:t>
      </w:r>
      <w:r w:rsidR="00A635E5" w:rsidRPr="00820C89">
        <w:rPr>
          <w:rFonts w:asciiTheme="majorHAnsi" w:hAnsiTheme="majorHAnsi"/>
          <w:iCs/>
        </w:rPr>
        <w:t xml:space="preserve">Further, it is </w:t>
      </w:r>
      <w:r w:rsidR="002B3755" w:rsidRPr="00820C89">
        <w:rPr>
          <w:rFonts w:asciiTheme="majorHAnsi" w:hAnsiTheme="majorHAnsi"/>
        </w:rPr>
        <w:t xml:space="preserve">noted that </w:t>
      </w:r>
      <w:r w:rsidR="00A635E5" w:rsidRPr="00820C89">
        <w:rPr>
          <w:rFonts w:asciiTheme="majorHAnsi" w:hAnsiTheme="majorHAnsi"/>
          <w:iCs/>
        </w:rPr>
        <w:t>while this training may not be</w:t>
      </w:r>
      <w:r w:rsidR="000A199E" w:rsidRPr="00820C89">
        <w:rPr>
          <w:rFonts w:asciiTheme="majorHAnsi" w:hAnsiTheme="majorHAnsi"/>
          <w:iCs/>
        </w:rPr>
        <w:t xml:space="preserve"> broadly delivered, it can be highly successful in overcoming certain participants barriers, </w:t>
      </w:r>
      <w:r w:rsidR="00F03D28" w:rsidRPr="00820C89">
        <w:rPr>
          <w:rFonts w:asciiTheme="majorHAnsi" w:hAnsiTheme="majorHAnsi"/>
          <w:iCs/>
        </w:rPr>
        <w:t>for example</w:t>
      </w:r>
      <w:r w:rsidR="000A199E" w:rsidRPr="00820C89">
        <w:rPr>
          <w:rFonts w:asciiTheme="majorHAnsi" w:hAnsiTheme="majorHAnsi"/>
          <w:iCs/>
        </w:rPr>
        <w:t>:</w:t>
      </w:r>
    </w:p>
    <w:p w14:paraId="2DB64A42" w14:textId="77777777" w:rsidR="007D0BB9" w:rsidRPr="00820C89" w:rsidRDefault="007D0BB9" w:rsidP="007D0BB9">
      <w:pPr>
        <w:ind w:left="357"/>
        <w:rPr>
          <w:rFonts w:asciiTheme="majorHAnsi" w:hAnsiTheme="majorHAnsi"/>
          <w:i/>
        </w:rPr>
      </w:pPr>
      <w:r w:rsidRPr="00820C89">
        <w:rPr>
          <w:rFonts w:asciiTheme="majorHAnsi" w:hAnsiTheme="majorHAnsi"/>
          <w:i/>
        </w:rPr>
        <w:t>“For instance, we had a participant who absolutely loves his job, his employer loved him, but he was just lacking a little bit of numeracy. Because he was doing a warehousing job, he needed to improve that numeracy so he was placed into the STEPS program and they’ve kept him and he’s completed his 26 weeks.</w:t>
      </w:r>
      <w:r w:rsidR="003E6443" w:rsidRPr="00820C89">
        <w:rPr>
          <w:rFonts w:asciiTheme="majorHAnsi" w:hAnsiTheme="majorHAnsi"/>
          <w:i/>
        </w:rPr>
        <w:t xml:space="preserve"> </w:t>
      </w:r>
      <w:r w:rsidRPr="00820C89">
        <w:rPr>
          <w:rFonts w:asciiTheme="majorHAnsi" w:hAnsiTheme="majorHAnsi"/>
          <w:i/>
        </w:rPr>
        <w:t>So that was a success story.</w:t>
      </w:r>
      <w:r w:rsidR="003E6443" w:rsidRPr="00820C89">
        <w:rPr>
          <w:rFonts w:asciiTheme="majorHAnsi" w:hAnsiTheme="majorHAnsi"/>
          <w:i/>
        </w:rPr>
        <w:t>” (TAEG Participant)</w:t>
      </w:r>
      <w:r w:rsidRPr="00820C89">
        <w:rPr>
          <w:rFonts w:asciiTheme="majorHAnsi" w:hAnsiTheme="majorHAnsi"/>
          <w:i/>
        </w:rPr>
        <w:t xml:space="preserve">  </w:t>
      </w:r>
    </w:p>
    <w:p w14:paraId="454B9FAA" w14:textId="77777777" w:rsidR="00CF1FF6" w:rsidRPr="00820C89" w:rsidRDefault="00042323" w:rsidP="00B34F30">
      <w:pPr>
        <w:rPr>
          <w:rFonts w:asciiTheme="majorHAnsi" w:hAnsiTheme="majorHAnsi"/>
          <w:iCs/>
        </w:rPr>
      </w:pPr>
      <w:r w:rsidRPr="00820C89">
        <w:rPr>
          <w:rFonts w:asciiTheme="majorHAnsi" w:hAnsiTheme="majorHAnsi"/>
          <w:iCs/>
        </w:rPr>
        <w:t>T</w:t>
      </w:r>
      <w:r w:rsidR="00CF72B8" w:rsidRPr="00820C89">
        <w:rPr>
          <w:rFonts w:asciiTheme="majorHAnsi" w:hAnsiTheme="majorHAnsi"/>
          <w:iCs/>
        </w:rPr>
        <w:t xml:space="preserve">here was </w:t>
      </w:r>
      <w:r w:rsidR="00CF72B8" w:rsidRPr="00820C89">
        <w:rPr>
          <w:rFonts w:asciiTheme="majorHAnsi" w:hAnsiTheme="majorHAnsi"/>
        </w:rPr>
        <w:t xml:space="preserve">no direct evidence </w:t>
      </w:r>
      <w:r w:rsidR="00EE278A" w:rsidRPr="00820C89">
        <w:rPr>
          <w:rFonts w:asciiTheme="majorHAnsi" w:hAnsiTheme="majorHAnsi"/>
        </w:rPr>
        <w:t xml:space="preserve">from EPI Partners or participants that the program led to an improvement in literacy </w:t>
      </w:r>
      <w:r w:rsidR="007F3B6C" w:rsidRPr="00820C89">
        <w:rPr>
          <w:rFonts w:asciiTheme="majorHAnsi" w:hAnsiTheme="majorHAnsi"/>
        </w:rPr>
        <w:t xml:space="preserve">or </w:t>
      </w:r>
      <w:r w:rsidR="00EE278A" w:rsidRPr="00820C89">
        <w:rPr>
          <w:rFonts w:asciiTheme="majorHAnsi" w:hAnsiTheme="majorHAnsi"/>
        </w:rPr>
        <w:t>numeracy skills</w:t>
      </w:r>
      <w:r w:rsidR="00EE278A" w:rsidRPr="00820C89">
        <w:rPr>
          <w:rFonts w:asciiTheme="majorHAnsi" w:hAnsiTheme="majorHAnsi"/>
          <w:iCs/>
        </w:rPr>
        <w:t xml:space="preserve">. </w:t>
      </w:r>
      <w:r w:rsidR="00242296" w:rsidRPr="00820C89">
        <w:rPr>
          <w:rFonts w:asciiTheme="majorHAnsi" w:hAnsiTheme="majorHAnsi"/>
          <w:iCs/>
        </w:rPr>
        <w:t>As discussed in Section 3.2.1</w:t>
      </w:r>
      <w:r w:rsidR="0032596F" w:rsidRPr="00820C89">
        <w:rPr>
          <w:rFonts w:asciiTheme="majorHAnsi" w:hAnsiTheme="majorHAnsi"/>
          <w:iCs/>
        </w:rPr>
        <w:t>,</w:t>
      </w:r>
      <w:r w:rsidR="00242296" w:rsidRPr="00820C89">
        <w:rPr>
          <w:rFonts w:asciiTheme="majorHAnsi" w:hAnsiTheme="majorHAnsi"/>
          <w:iCs/>
        </w:rPr>
        <w:t xml:space="preserve"> this broadly aligns with the</w:t>
      </w:r>
      <w:r w:rsidR="00504B59" w:rsidRPr="00820C89">
        <w:rPr>
          <w:rFonts w:asciiTheme="majorHAnsi" w:hAnsiTheme="majorHAnsi"/>
          <w:iCs/>
        </w:rPr>
        <w:t xml:space="preserve"> program guidelines, and EPI’s focus on direct employment instead of formal training</w:t>
      </w:r>
      <w:r w:rsidR="00A805FC" w:rsidRPr="00820C89">
        <w:rPr>
          <w:rFonts w:asciiTheme="majorHAnsi" w:hAnsiTheme="majorHAnsi"/>
          <w:iCs/>
        </w:rPr>
        <w:t>.</w:t>
      </w:r>
    </w:p>
    <w:p w14:paraId="013926DC" w14:textId="77777777" w:rsidR="002B3755" w:rsidRPr="00820C89" w:rsidRDefault="002B3755" w:rsidP="00E05955">
      <w:pPr>
        <w:spacing w:before="170"/>
        <w:rPr>
          <w:rFonts w:asciiTheme="majorHAnsi" w:hAnsiTheme="majorHAnsi"/>
        </w:rPr>
      </w:pPr>
      <w:r w:rsidRPr="00820C89">
        <w:rPr>
          <w:rFonts w:asciiTheme="majorHAnsi" w:hAnsiTheme="majorHAnsi"/>
        </w:rPr>
        <w:t xml:space="preserve">Providers </w:t>
      </w:r>
      <w:r w:rsidR="00F82A21" w:rsidRPr="00820C89">
        <w:rPr>
          <w:rFonts w:asciiTheme="majorHAnsi" w:hAnsiTheme="majorHAnsi"/>
        </w:rPr>
        <w:t>note</w:t>
      </w:r>
      <w:r w:rsidRPr="00820C89">
        <w:rPr>
          <w:rFonts w:asciiTheme="majorHAnsi" w:hAnsiTheme="majorHAnsi"/>
        </w:rPr>
        <w:t xml:space="preserve"> that the</w:t>
      </w:r>
      <w:r w:rsidR="00C74A56" w:rsidRPr="00820C89">
        <w:rPr>
          <w:rFonts w:asciiTheme="majorHAnsi" w:hAnsiTheme="majorHAnsi"/>
        </w:rPr>
        <w:t xml:space="preserve"> level of</w:t>
      </w:r>
      <w:r w:rsidRPr="00820C89">
        <w:rPr>
          <w:rFonts w:asciiTheme="majorHAnsi" w:hAnsiTheme="majorHAnsi"/>
        </w:rPr>
        <w:t xml:space="preserve"> </w:t>
      </w:r>
      <w:r w:rsidR="00600067" w:rsidRPr="00820C89">
        <w:rPr>
          <w:rFonts w:asciiTheme="majorHAnsi" w:hAnsiTheme="majorHAnsi"/>
        </w:rPr>
        <w:t>motivation</w:t>
      </w:r>
      <w:r w:rsidRPr="00820C89">
        <w:rPr>
          <w:rFonts w:asciiTheme="majorHAnsi" w:hAnsiTheme="majorHAnsi"/>
        </w:rPr>
        <w:t xml:space="preserve"> of participants to </w:t>
      </w:r>
      <w:r w:rsidR="0083323D" w:rsidRPr="00820C89">
        <w:rPr>
          <w:rFonts w:asciiTheme="majorHAnsi" w:hAnsiTheme="majorHAnsi"/>
        </w:rPr>
        <w:t>gain</w:t>
      </w:r>
      <w:r w:rsidRPr="00820C89">
        <w:rPr>
          <w:rFonts w:asciiTheme="majorHAnsi" w:hAnsiTheme="majorHAnsi"/>
        </w:rPr>
        <w:t xml:space="preserve"> employment </w:t>
      </w:r>
      <w:r w:rsidR="009034E3" w:rsidRPr="00820C89">
        <w:rPr>
          <w:rFonts w:asciiTheme="majorHAnsi" w:hAnsiTheme="majorHAnsi"/>
        </w:rPr>
        <w:t>is</w:t>
      </w:r>
      <w:r w:rsidRPr="00820C89">
        <w:rPr>
          <w:rFonts w:asciiTheme="majorHAnsi" w:hAnsiTheme="majorHAnsi"/>
        </w:rPr>
        <w:t xml:space="preserve"> a critical </w:t>
      </w:r>
      <w:r w:rsidR="006D41D0" w:rsidRPr="00820C89">
        <w:rPr>
          <w:rFonts w:asciiTheme="majorHAnsi" w:hAnsiTheme="majorHAnsi"/>
        </w:rPr>
        <w:t>factor</w:t>
      </w:r>
      <w:r w:rsidRPr="00820C89">
        <w:rPr>
          <w:rFonts w:asciiTheme="majorHAnsi" w:hAnsiTheme="majorHAnsi"/>
        </w:rPr>
        <w:t xml:space="preserve"> in determining </w:t>
      </w:r>
      <w:r w:rsidR="00AE010A" w:rsidRPr="00820C89">
        <w:rPr>
          <w:rFonts w:asciiTheme="majorHAnsi" w:hAnsiTheme="majorHAnsi"/>
        </w:rPr>
        <w:t>the extent to which participants develop</w:t>
      </w:r>
      <w:r w:rsidRPr="00820C89">
        <w:rPr>
          <w:rFonts w:asciiTheme="majorHAnsi" w:hAnsiTheme="majorHAnsi"/>
        </w:rPr>
        <w:t xml:space="preserve"> work-readiness and employability skills. </w:t>
      </w:r>
      <w:r w:rsidR="001B190B" w:rsidRPr="00820C89">
        <w:rPr>
          <w:rFonts w:asciiTheme="majorHAnsi" w:hAnsiTheme="majorHAnsi"/>
        </w:rPr>
        <w:t>For example, providers note that:</w:t>
      </w:r>
    </w:p>
    <w:p w14:paraId="08948132" w14:textId="77777777" w:rsidR="0040692E" w:rsidRPr="00820C89" w:rsidRDefault="00600067" w:rsidP="00A25F78">
      <w:pPr>
        <w:pStyle w:val="ListParagraph"/>
        <w:spacing w:after="160" w:line="259" w:lineRule="auto"/>
        <w:ind w:left="360"/>
        <w:rPr>
          <w:rFonts w:asciiTheme="majorHAnsi" w:hAnsiTheme="majorHAnsi"/>
          <w:i/>
        </w:rPr>
      </w:pPr>
      <w:r w:rsidRPr="00820C89">
        <w:rPr>
          <w:rFonts w:asciiTheme="majorHAnsi" w:hAnsiTheme="majorHAnsi"/>
          <w:i/>
        </w:rPr>
        <w:t xml:space="preserve"> </w:t>
      </w:r>
      <w:r w:rsidR="00A25DC8" w:rsidRPr="00820C89">
        <w:rPr>
          <w:rFonts w:asciiTheme="majorHAnsi" w:hAnsiTheme="majorHAnsi"/>
          <w:i/>
        </w:rPr>
        <w:t xml:space="preserve">“The program works </w:t>
      </w:r>
      <w:r w:rsidR="00966B3D" w:rsidRPr="00820C89">
        <w:rPr>
          <w:rFonts w:asciiTheme="majorHAnsi" w:hAnsiTheme="majorHAnsi"/>
          <w:i/>
        </w:rPr>
        <w:t xml:space="preserve">best </w:t>
      </w:r>
      <w:r w:rsidR="00A25DC8" w:rsidRPr="00820C89">
        <w:rPr>
          <w:rFonts w:asciiTheme="majorHAnsi" w:hAnsiTheme="majorHAnsi"/>
          <w:i/>
        </w:rPr>
        <w:t xml:space="preserve">for people that </w:t>
      </w:r>
      <w:r w:rsidR="00966B3D" w:rsidRPr="00820C89">
        <w:rPr>
          <w:rFonts w:asciiTheme="majorHAnsi" w:hAnsiTheme="majorHAnsi"/>
          <w:i/>
        </w:rPr>
        <w:t>actually</w:t>
      </w:r>
      <w:r w:rsidR="00A25DC8" w:rsidRPr="00820C89">
        <w:rPr>
          <w:rFonts w:asciiTheme="majorHAnsi" w:hAnsiTheme="majorHAnsi"/>
          <w:i/>
        </w:rPr>
        <w:t xml:space="preserve"> want </w:t>
      </w:r>
      <w:r w:rsidR="00966B3D" w:rsidRPr="00820C89">
        <w:rPr>
          <w:rFonts w:asciiTheme="majorHAnsi" w:hAnsiTheme="majorHAnsi"/>
          <w:i/>
        </w:rPr>
        <w:t>a</w:t>
      </w:r>
      <w:r w:rsidR="00A25DC8" w:rsidRPr="00820C89">
        <w:rPr>
          <w:rFonts w:asciiTheme="majorHAnsi" w:hAnsiTheme="majorHAnsi"/>
          <w:i/>
        </w:rPr>
        <w:t xml:space="preserve"> job and are looking</w:t>
      </w:r>
      <w:r w:rsidR="00183BA8" w:rsidRPr="00820C89">
        <w:rPr>
          <w:rFonts w:asciiTheme="majorHAnsi" w:hAnsiTheme="majorHAnsi"/>
          <w:i/>
        </w:rPr>
        <w:t xml:space="preserve"> for it</w:t>
      </w:r>
      <w:r w:rsidR="00534219" w:rsidRPr="00820C89">
        <w:rPr>
          <w:rFonts w:asciiTheme="majorHAnsi" w:hAnsiTheme="majorHAnsi"/>
          <w:i/>
        </w:rPr>
        <w:t>.</w:t>
      </w:r>
      <w:r w:rsidR="00A25DC8" w:rsidRPr="00820C89">
        <w:rPr>
          <w:rFonts w:asciiTheme="majorHAnsi" w:hAnsiTheme="majorHAnsi"/>
          <w:i/>
        </w:rPr>
        <w:t xml:space="preserve"> It’s those ones </w:t>
      </w:r>
      <w:r w:rsidR="00534219" w:rsidRPr="00820C89">
        <w:rPr>
          <w:rFonts w:asciiTheme="majorHAnsi" w:hAnsiTheme="majorHAnsi"/>
          <w:i/>
        </w:rPr>
        <w:t>who actually want to learn skills and are just</w:t>
      </w:r>
      <w:r w:rsidR="00A25DC8" w:rsidRPr="00820C89">
        <w:rPr>
          <w:rFonts w:asciiTheme="majorHAnsi" w:hAnsiTheme="majorHAnsi"/>
          <w:i/>
        </w:rPr>
        <w:t xml:space="preserve"> looking for that support to get th</w:t>
      </w:r>
      <w:r w:rsidR="005B7B9B" w:rsidRPr="00820C89">
        <w:rPr>
          <w:rFonts w:asciiTheme="majorHAnsi" w:hAnsiTheme="majorHAnsi"/>
          <w:i/>
        </w:rPr>
        <w:t>ere</w:t>
      </w:r>
      <w:r w:rsidR="00534219" w:rsidRPr="00820C89">
        <w:rPr>
          <w:rFonts w:asciiTheme="majorHAnsi" w:hAnsiTheme="majorHAnsi"/>
          <w:i/>
        </w:rPr>
        <w:t xml:space="preserve"> – they get the best outcomes</w:t>
      </w:r>
      <w:r w:rsidR="00A25DC8" w:rsidRPr="00820C89">
        <w:rPr>
          <w:rFonts w:asciiTheme="majorHAnsi" w:hAnsiTheme="majorHAnsi"/>
          <w:i/>
        </w:rPr>
        <w:t>.” (VTEC provider)</w:t>
      </w:r>
    </w:p>
    <w:p w14:paraId="442D0247" w14:textId="77777777" w:rsidR="00484BE5" w:rsidRPr="00820C89" w:rsidRDefault="00484BE5" w:rsidP="00A25F78">
      <w:pPr>
        <w:pStyle w:val="ListParagraph"/>
        <w:spacing w:after="160" w:line="259" w:lineRule="auto"/>
        <w:ind w:left="360"/>
        <w:rPr>
          <w:rFonts w:asciiTheme="majorHAnsi" w:hAnsiTheme="majorHAnsi"/>
          <w:i/>
        </w:rPr>
      </w:pPr>
    </w:p>
    <w:p w14:paraId="0DBD3C18" w14:textId="77777777" w:rsidR="00CF1FF6" w:rsidRPr="00820C89" w:rsidRDefault="0095684B" w:rsidP="00F737AC">
      <w:pPr>
        <w:pStyle w:val="ListParagraph"/>
        <w:spacing w:after="160" w:line="259" w:lineRule="auto"/>
        <w:ind w:left="360"/>
        <w:rPr>
          <w:rFonts w:asciiTheme="majorHAnsi" w:hAnsiTheme="majorHAnsi"/>
          <w:i/>
        </w:rPr>
      </w:pPr>
      <w:r w:rsidRPr="00820C89">
        <w:rPr>
          <w:rFonts w:asciiTheme="majorHAnsi" w:hAnsiTheme="majorHAnsi"/>
          <w:i/>
        </w:rPr>
        <w:t>“Motivation is the biggest factor. Particularly if participants are at a stage in life when they have commitments and they need employment, then they will put in the effort to learn those basic skills”</w:t>
      </w:r>
      <w:r w:rsidR="001F3B7B" w:rsidRPr="00820C89">
        <w:rPr>
          <w:rFonts w:asciiTheme="majorHAnsi" w:hAnsiTheme="majorHAnsi"/>
          <w:i/>
        </w:rPr>
        <w:t xml:space="preserve"> (TAEG Provider)</w:t>
      </w:r>
    </w:p>
    <w:p w14:paraId="2FB71BDE" w14:textId="77777777" w:rsidR="0040692E" w:rsidRPr="00820C89" w:rsidRDefault="0040692E" w:rsidP="00715F70">
      <w:pPr>
        <w:keepNext/>
        <w:keepLines/>
        <w:numPr>
          <w:ilvl w:val="2"/>
          <w:numId w:val="12"/>
        </w:numPr>
        <w:spacing w:before="170" w:after="0"/>
        <w:outlineLvl w:val="2"/>
        <w:rPr>
          <w:rFonts w:asciiTheme="majorHAnsi" w:eastAsiaTheme="majorEastAsia" w:hAnsiTheme="majorHAnsi" w:cstheme="majorBidi"/>
          <w:b/>
        </w:rPr>
      </w:pPr>
      <w:r w:rsidRPr="00820C89">
        <w:rPr>
          <w:rFonts w:asciiTheme="majorHAnsi" w:eastAsiaTheme="majorEastAsia" w:hAnsiTheme="majorHAnsi" w:cstheme="majorBidi"/>
          <w:b/>
        </w:rPr>
        <w:t>Participants develop improved job skills</w:t>
      </w:r>
    </w:p>
    <w:p w14:paraId="1EB4E180" w14:textId="77777777" w:rsidR="0040692E" w:rsidRPr="00820C89" w:rsidRDefault="0040692E" w:rsidP="0040692E">
      <w:pPr>
        <w:rPr>
          <w:rFonts w:asciiTheme="majorHAnsi" w:hAnsiTheme="majorHAnsi"/>
        </w:rPr>
      </w:pPr>
      <w:r w:rsidRPr="00820C89">
        <w:rPr>
          <w:rFonts w:asciiTheme="majorHAnsi" w:hAnsiTheme="majorHAnsi"/>
        </w:rPr>
        <w:t xml:space="preserve">In contrast to work-readiness training/support, job-specific training is focused on </w:t>
      </w:r>
      <w:r w:rsidR="009A788B" w:rsidRPr="00820C89">
        <w:rPr>
          <w:rFonts w:asciiTheme="majorHAnsi" w:hAnsiTheme="majorHAnsi"/>
        </w:rPr>
        <w:t>building the specific skills required to</w:t>
      </w:r>
      <w:r w:rsidRPr="00820C89">
        <w:rPr>
          <w:rFonts w:asciiTheme="majorHAnsi" w:hAnsiTheme="majorHAnsi"/>
        </w:rPr>
        <w:t xml:space="preserve"> </w:t>
      </w:r>
      <w:r w:rsidR="009A788B" w:rsidRPr="00820C89">
        <w:rPr>
          <w:rFonts w:asciiTheme="majorHAnsi" w:hAnsiTheme="majorHAnsi"/>
        </w:rPr>
        <w:t xml:space="preserve">gain </w:t>
      </w:r>
      <w:r w:rsidRPr="00820C89">
        <w:rPr>
          <w:rFonts w:asciiTheme="majorHAnsi" w:hAnsiTheme="majorHAnsi"/>
        </w:rPr>
        <w:t xml:space="preserve">employment in a particular job. </w:t>
      </w:r>
    </w:p>
    <w:p w14:paraId="1C3BBAC7" w14:textId="77777777" w:rsidR="0040692E" w:rsidRPr="00820C89" w:rsidRDefault="0040692E" w:rsidP="0040692E">
      <w:pPr>
        <w:rPr>
          <w:rFonts w:asciiTheme="majorHAnsi" w:hAnsiTheme="majorHAnsi"/>
        </w:rPr>
      </w:pPr>
      <w:r w:rsidRPr="00820C89">
        <w:rPr>
          <w:rFonts w:asciiTheme="majorHAnsi" w:hAnsiTheme="majorHAnsi"/>
        </w:rPr>
        <w:t>For those facing long-term structural barriers to employment, job-specific training in the form of accredited training, work experience and job-placements is required in addition to job-readiness training.</w:t>
      </w:r>
      <w:r w:rsidRPr="00820C89">
        <w:rPr>
          <w:rFonts w:asciiTheme="majorHAnsi" w:hAnsiTheme="majorHAnsi"/>
          <w:vertAlign w:val="superscript"/>
        </w:rPr>
        <w:footnoteReference w:id="52"/>
      </w:r>
      <w:r w:rsidRPr="00820C89">
        <w:rPr>
          <w:rFonts w:asciiTheme="majorHAnsi" w:hAnsiTheme="majorHAnsi"/>
        </w:rPr>
        <w:t xml:space="preserve"> This is because significantly disadvantaged jobseekers may be excluded from labour market opportunities due to an absence of both work readiness skills as well as formal training and qualifications. Further, the development of job-specific skills can help prepare jobseekers for the employment demands of their local labour market, and hence ensure that they possess the relevant and in-demand skills.</w:t>
      </w:r>
    </w:p>
    <w:p w14:paraId="3A791E83" w14:textId="77777777" w:rsidR="0040692E" w:rsidRPr="00820C89" w:rsidRDefault="0040692E" w:rsidP="0040692E">
      <w:pPr>
        <w:rPr>
          <w:rFonts w:asciiTheme="majorHAnsi" w:hAnsiTheme="majorHAnsi"/>
        </w:rPr>
      </w:pPr>
      <w:r w:rsidRPr="00820C89">
        <w:rPr>
          <w:rFonts w:asciiTheme="majorHAnsi" w:hAnsiTheme="majorHAnsi"/>
        </w:rPr>
        <w:t>The IEP intend</w:t>
      </w:r>
      <w:r w:rsidR="00146C78" w:rsidRPr="00820C89">
        <w:rPr>
          <w:rFonts w:asciiTheme="majorHAnsi" w:hAnsiTheme="majorHAnsi"/>
        </w:rPr>
        <w:t>s</w:t>
      </w:r>
      <w:r w:rsidRPr="00820C89">
        <w:rPr>
          <w:rFonts w:asciiTheme="majorHAnsi" w:hAnsiTheme="majorHAnsi"/>
        </w:rPr>
        <w:t xml:space="preserve"> to develop participants</w:t>
      </w:r>
      <w:r w:rsidR="00147573" w:rsidRPr="00820C89">
        <w:rPr>
          <w:rFonts w:asciiTheme="majorHAnsi" w:hAnsiTheme="majorHAnsi"/>
        </w:rPr>
        <w:t>’</w:t>
      </w:r>
      <w:r w:rsidRPr="00820C89">
        <w:rPr>
          <w:rFonts w:asciiTheme="majorHAnsi" w:hAnsiTheme="majorHAnsi"/>
        </w:rPr>
        <w:t xml:space="preserve"> job skills via supporting participants to complete on-the-job training and/or formal qualifications. By definition, the on-the-job skills that participants acquire may be in any of the occupation areas where participants complete a placement. Examples of the types of formal qualifications delivered by VTECs, EPIs or TAEGs (or via an external RTO) include:</w:t>
      </w:r>
    </w:p>
    <w:p w14:paraId="53946699" w14:textId="77777777" w:rsidR="0040692E" w:rsidRPr="00820C89" w:rsidRDefault="0040692E" w:rsidP="00715F70">
      <w:pPr>
        <w:numPr>
          <w:ilvl w:val="0"/>
          <w:numId w:val="33"/>
        </w:numPr>
        <w:contextualSpacing/>
        <w:rPr>
          <w:rFonts w:asciiTheme="majorHAnsi" w:hAnsiTheme="majorHAnsi"/>
        </w:rPr>
      </w:pPr>
      <w:r w:rsidRPr="00820C89">
        <w:rPr>
          <w:rFonts w:asciiTheme="majorHAnsi" w:hAnsiTheme="majorHAnsi"/>
        </w:rPr>
        <w:t>Certificate II or III in Hospitality</w:t>
      </w:r>
    </w:p>
    <w:p w14:paraId="7F30E1B5" w14:textId="77777777" w:rsidR="0040692E" w:rsidRPr="00820C89" w:rsidRDefault="0040692E" w:rsidP="00715F70">
      <w:pPr>
        <w:numPr>
          <w:ilvl w:val="0"/>
          <w:numId w:val="33"/>
        </w:numPr>
        <w:contextualSpacing/>
        <w:rPr>
          <w:rFonts w:asciiTheme="majorHAnsi" w:hAnsiTheme="majorHAnsi"/>
        </w:rPr>
      </w:pPr>
      <w:r w:rsidRPr="00820C89">
        <w:rPr>
          <w:rFonts w:asciiTheme="majorHAnsi" w:hAnsiTheme="majorHAnsi"/>
        </w:rPr>
        <w:t>Certificate I, II or II in Construction</w:t>
      </w:r>
    </w:p>
    <w:p w14:paraId="114FCCB3" w14:textId="77777777" w:rsidR="0040692E" w:rsidRPr="00820C89" w:rsidRDefault="0040692E" w:rsidP="00715F70">
      <w:pPr>
        <w:numPr>
          <w:ilvl w:val="0"/>
          <w:numId w:val="33"/>
        </w:numPr>
        <w:contextualSpacing/>
        <w:rPr>
          <w:rFonts w:asciiTheme="majorHAnsi" w:hAnsiTheme="majorHAnsi"/>
        </w:rPr>
      </w:pPr>
      <w:r w:rsidRPr="00820C89">
        <w:rPr>
          <w:rFonts w:asciiTheme="majorHAnsi" w:hAnsiTheme="majorHAnsi"/>
        </w:rPr>
        <w:t>Certificate III in Early Childhood Education and Care</w:t>
      </w:r>
    </w:p>
    <w:p w14:paraId="3D6CB0E4" w14:textId="77777777" w:rsidR="0040692E" w:rsidRPr="00820C89" w:rsidRDefault="0040692E" w:rsidP="009B6DDD">
      <w:pPr>
        <w:spacing w:before="240"/>
        <w:rPr>
          <w:rFonts w:asciiTheme="majorHAnsi" w:hAnsiTheme="majorHAnsi"/>
        </w:rPr>
      </w:pPr>
      <w:r w:rsidRPr="00820C89">
        <w:rPr>
          <w:rFonts w:asciiTheme="majorHAnsi" w:hAnsiTheme="majorHAnsi"/>
        </w:rPr>
        <w:t xml:space="preserve">While all of the </w:t>
      </w:r>
      <w:r w:rsidR="00146C78" w:rsidRPr="00820C89">
        <w:rPr>
          <w:rFonts w:asciiTheme="majorHAnsi" w:hAnsiTheme="majorHAnsi"/>
        </w:rPr>
        <w:t>sub-program</w:t>
      </w:r>
      <w:r w:rsidRPr="00820C89">
        <w:rPr>
          <w:rFonts w:asciiTheme="majorHAnsi" w:hAnsiTheme="majorHAnsi"/>
        </w:rPr>
        <w:t xml:space="preserve">s have improved job skills as an </w:t>
      </w:r>
      <w:r w:rsidR="00DD266B" w:rsidRPr="00820C89">
        <w:rPr>
          <w:rFonts w:asciiTheme="majorHAnsi" w:hAnsiTheme="majorHAnsi"/>
        </w:rPr>
        <w:t>objective</w:t>
      </w:r>
      <w:r w:rsidRPr="00820C89">
        <w:rPr>
          <w:rFonts w:asciiTheme="majorHAnsi" w:hAnsiTheme="majorHAnsi"/>
        </w:rPr>
        <w:t xml:space="preserve">, the design of the programs may mean that they prioritise this aspect of the training more or less. For example, VTEC is a deliberate job-skills training program where participants are matched to roles upon entry into the </w:t>
      </w:r>
      <w:r w:rsidR="00DF01FA" w:rsidRPr="00820C89">
        <w:rPr>
          <w:rFonts w:asciiTheme="majorHAnsi" w:hAnsiTheme="majorHAnsi"/>
        </w:rPr>
        <w:t>program and</w:t>
      </w:r>
      <w:r w:rsidRPr="00820C89">
        <w:rPr>
          <w:rFonts w:asciiTheme="majorHAnsi" w:hAnsiTheme="majorHAnsi"/>
        </w:rPr>
        <w:t xml:space="preserve"> receive training specific to their future role. In contrast, the TAEG program is more flexible and may not have an employment opportunity directly attached to the program. Consequently, the program may have less of a focus on job-specific training, and a greater emphasis </w:t>
      </w:r>
      <w:r w:rsidRPr="00820C89">
        <w:rPr>
          <w:rFonts w:asciiTheme="majorHAnsi" w:hAnsiTheme="majorHAnsi"/>
        </w:rPr>
        <w:lastRenderedPageBreak/>
        <w:t xml:space="preserve">on broad employability skills. Finally, the EPI program is highly employment focussed in nature, and generally involves extensive on-the-job training, potentially supplemented with formal training courses. </w:t>
      </w:r>
    </w:p>
    <w:p w14:paraId="0DCAE7B5" w14:textId="77777777" w:rsidR="0040692E" w:rsidRPr="00820C89" w:rsidRDefault="0040692E" w:rsidP="0040692E">
      <w:pPr>
        <w:rPr>
          <w:rFonts w:asciiTheme="majorHAnsi" w:hAnsiTheme="majorHAnsi"/>
        </w:rPr>
      </w:pPr>
      <w:r w:rsidRPr="00820C89">
        <w:rPr>
          <w:rFonts w:asciiTheme="majorHAnsi" w:hAnsiTheme="majorHAnsi"/>
        </w:rPr>
        <w:t>To establish whether this outcome has been met, evidence needs to establish:</w:t>
      </w:r>
    </w:p>
    <w:p w14:paraId="3C27CC2B" w14:textId="77777777" w:rsidR="0040692E" w:rsidRPr="00820C89" w:rsidRDefault="0040692E" w:rsidP="00715F70">
      <w:pPr>
        <w:numPr>
          <w:ilvl w:val="0"/>
          <w:numId w:val="24"/>
        </w:numPr>
        <w:ind w:left="357" w:hanging="357"/>
        <w:rPr>
          <w:rFonts w:asciiTheme="majorHAnsi" w:hAnsiTheme="majorHAnsi"/>
        </w:rPr>
      </w:pPr>
      <w:r w:rsidRPr="00820C89">
        <w:rPr>
          <w:rFonts w:asciiTheme="majorHAnsi" w:hAnsiTheme="majorHAnsi"/>
        </w:rPr>
        <w:t xml:space="preserve">the effectiveness of </w:t>
      </w:r>
      <w:r w:rsidR="0074348D" w:rsidRPr="00820C89">
        <w:rPr>
          <w:rFonts w:asciiTheme="majorHAnsi" w:hAnsiTheme="majorHAnsi"/>
        </w:rPr>
        <w:t>the</w:t>
      </w:r>
      <w:r w:rsidRPr="00820C89">
        <w:rPr>
          <w:rFonts w:asciiTheme="majorHAnsi" w:hAnsiTheme="majorHAnsi"/>
        </w:rPr>
        <w:t xml:space="preserve"> supports </w:t>
      </w:r>
      <w:r w:rsidR="0074348D" w:rsidRPr="00820C89">
        <w:rPr>
          <w:rFonts w:asciiTheme="majorHAnsi" w:hAnsiTheme="majorHAnsi"/>
        </w:rPr>
        <w:t xml:space="preserve">offered by providers/partners </w:t>
      </w:r>
      <w:r w:rsidRPr="00820C89">
        <w:rPr>
          <w:rFonts w:asciiTheme="majorHAnsi" w:hAnsiTheme="majorHAnsi"/>
        </w:rPr>
        <w:t>in improving participants job skills.</w:t>
      </w:r>
    </w:p>
    <w:p w14:paraId="5DD0570D" w14:textId="77777777" w:rsidR="00FC2746" w:rsidRPr="00820C89" w:rsidRDefault="0040692E" w:rsidP="00D47263">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this outcome</w:t>
      </w:r>
    </w:p>
    <w:p w14:paraId="1CA867DD" w14:textId="77777777" w:rsidR="0040692E" w:rsidRPr="00820C89" w:rsidRDefault="0040692E" w:rsidP="0040692E">
      <w:pPr>
        <w:rPr>
          <w:rFonts w:asciiTheme="majorHAnsi" w:hAnsiTheme="majorHAnsi"/>
        </w:rPr>
      </w:pPr>
      <w:r w:rsidRPr="00820C89">
        <w:rPr>
          <w:rFonts w:asciiTheme="majorHAnsi" w:hAnsiTheme="majorHAnsi"/>
        </w:rPr>
        <w:t>Consultations suggest that</w:t>
      </w:r>
      <w:r w:rsidRPr="00820C89">
        <w:rPr>
          <w:rFonts w:asciiTheme="majorHAnsi" w:hAnsiTheme="majorHAnsi"/>
          <w:b/>
          <w:bCs/>
        </w:rPr>
        <w:t xml:space="preserve"> </w:t>
      </w:r>
      <w:r w:rsidRPr="00820C89">
        <w:rPr>
          <w:rFonts w:asciiTheme="majorHAnsi" w:hAnsiTheme="majorHAnsi"/>
        </w:rPr>
        <w:t xml:space="preserve">providers and partners across all three </w:t>
      </w:r>
      <w:r w:rsidR="002C4E6D" w:rsidRPr="00820C89">
        <w:rPr>
          <w:rFonts w:asciiTheme="majorHAnsi" w:hAnsiTheme="majorHAnsi"/>
        </w:rPr>
        <w:t>sub-program</w:t>
      </w:r>
      <w:r w:rsidRPr="00820C89">
        <w:rPr>
          <w:rFonts w:asciiTheme="majorHAnsi" w:hAnsiTheme="majorHAnsi"/>
        </w:rPr>
        <w:t>s believe that participants learn valuable job-specific skills</w:t>
      </w:r>
      <w:r w:rsidR="00771567" w:rsidRPr="00820C89">
        <w:rPr>
          <w:rFonts w:asciiTheme="majorHAnsi" w:hAnsiTheme="majorHAnsi"/>
        </w:rPr>
        <w:t xml:space="preserve"> through the programs</w:t>
      </w:r>
      <w:r w:rsidR="00A52C9F" w:rsidRPr="00820C89">
        <w:rPr>
          <w:rFonts w:asciiTheme="majorHAnsi" w:hAnsiTheme="majorHAnsi"/>
        </w:rPr>
        <w:t>, predominantly</w:t>
      </w:r>
      <w:r w:rsidRPr="00820C89">
        <w:rPr>
          <w:rFonts w:asciiTheme="majorHAnsi" w:hAnsiTheme="majorHAnsi"/>
        </w:rPr>
        <w:t xml:space="preserve"> through on-the-job training. </w:t>
      </w:r>
      <w:r w:rsidR="00B568C5" w:rsidRPr="00820C89">
        <w:rPr>
          <w:rFonts w:asciiTheme="majorHAnsi" w:hAnsiTheme="majorHAnsi"/>
        </w:rPr>
        <w:t>These stakeholders note that these often include highly transferrable</w:t>
      </w:r>
      <w:r w:rsidRPr="00820C89">
        <w:rPr>
          <w:rFonts w:asciiTheme="majorHAnsi" w:hAnsiTheme="majorHAnsi"/>
        </w:rPr>
        <w:t xml:space="preserve"> and in-demand </w:t>
      </w:r>
      <w:r w:rsidR="00B568C5" w:rsidRPr="00820C89">
        <w:rPr>
          <w:rFonts w:asciiTheme="majorHAnsi" w:hAnsiTheme="majorHAnsi"/>
        </w:rPr>
        <w:t>skills that</w:t>
      </w:r>
      <w:r w:rsidRPr="00820C89">
        <w:rPr>
          <w:rFonts w:asciiTheme="majorHAnsi" w:hAnsiTheme="majorHAnsi"/>
        </w:rPr>
        <w:t xml:space="preserve"> improve participants employability beyond the programs, noting that:</w:t>
      </w:r>
    </w:p>
    <w:p w14:paraId="03A55079" w14:textId="77777777" w:rsidR="0040692E" w:rsidRPr="00820C89" w:rsidRDefault="009663DF" w:rsidP="0040692E">
      <w:pPr>
        <w:ind w:left="360"/>
        <w:contextualSpacing/>
        <w:rPr>
          <w:rFonts w:asciiTheme="majorHAnsi" w:hAnsiTheme="majorHAnsi"/>
          <w:i/>
        </w:rPr>
      </w:pPr>
      <w:r w:rsidRPr="00820C89">
        <w:rPr>
          <w:rFonts w:asciiTheme="majorHAnsi" w:hAnsiTheme="majorHAnsi"/>
          <w:i/>
        </w:rPr>
        <w:t>“</w:t>
      </w:r>
      <w:r w:rsidR="0040692E" w:rsidRPr="00820C89">
        <w:rPr>
          <w:rFonts w:asciiTheme="majorHAnsi" w:hAnsiTheme="majorHAnsi"/>
          <w:i/>
        </w:rPr>
        <w:t>We’ve had some amazing successes around trialling innovative, different ways of doing training initiatives in skillsets, full quals</w:t>
      </w:r>
      <w:r w:rsidR="005D2A02" w:rsidRPr="00820C89">
        <w:rPr>
          <w:rFonts w:asciiTheme="majorHAnsi" w:hAnsiTheme="majorHAnsi"/>
          <w:i/>
        </w:rPr>
        <w:t xml:space="preserve"> and</w:t>
      </w:r>
      <w:r w:rsidR="0040692E" w:rsidRPr="00820C89">
        <w:rPr>
          <w:rFonts w:asciiTheme="majorHAnsi" w:hAnsiTheme="majorHAnsi"/>
          <w:i/>
        </w:rPr>
        <w:t xml:space="preserve"> often on the job</w:t>
      </w:r>
      <w:r w:rsidRPr="00820C89">
        <w:rPr>
          <w:rFonts w:asciiTheme="majorHAnsi" w:hAnsiTheme="majorHAnsi"/>
          <w:i/>
        </w:rPr>
        <w:t>”</w:t>
      </w:r>
      <w:r w:rsidR="0040692E" w:rsidRPr="00820C89">
        <w:rPr>
          <w:rFonts w:asciiTheme="majorHAnsi" w:hAnsiTheme="majorHAnsi"/>
          <w:i/>
        </w:rPr>
        <w:t xml:space="preserve"> (EPI </w:t>
      </w:r>
      <w:r w:rsidR="00EC322F" w:rsidRPr="00820C89">
        <w:rPr>
          <w:rFonts w:asciiTheme="majorHAnsi" w:hAnsiTheme="majorHAnsi"/>
          <w:i/>
        </w:rPr>
        <w:t>P</w:t>
      </w:r>
      <w:r w:rsidR="001F1912" w:rsidRPr="00820C89">
        <w:rPr>
          <w:rFonts w:asciiTheme="majorHAnsi" w:hAnsiTheme="majorHAnsi"/>
          <w:i/>
        </w:rPr>
        <w:t>artner</w:t>
      </w:r>
      <w:r w:rsidR="0040692E" w:rsidRPr="00820C89">
        <w:rPr>
          <w:rFonts w:asciiTheme="majorHAnsi" w:hAnsiTheme="majorHAnsi"/>
          <w:i/>
        </w:rPr>
        <w:t>)</w:t>
      </w:r>
    </w:p>
    <w:p w14:paraId="780CD47F" w14:textId="77777777" w:rsidR="0040692E" w:rsidRPr="00820C89" w:rsidRDefault="0040692E" w:rsidP="0040692E">
      <w:pPr>
        <w:ind w:left="360"/>
        <w:contextualSpacing/>
        <w:rPr>
          <w:rFonts w:asciiTheme="majorHAnsi" w:hAnsiTheme="majorHAnsi"/>
          <w:i/>
        </w:rPr>
      </w:pPr>
    </w:p>
    <w:p w14:paraId="1F41023A"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“Even if participants leave the employer, the skills they learn help them move on to other things.” (VTEC </w:t>
      </w:r>
      <w:r w:rsidR="00EC322F" w:rsidRPr="00820C89">
        <w:rPr>
          <w:rFonts w:asciiTheme="majorHAnsi" w:hAnsiTheme="majorHAnsi"/>
          <w:i/>
        </w:rPr>
        <w:t>P</w:t>
      </w:r>
      <w:r w:rsidR="001F1912" w:rsidRPr="00820C89">
        <w:rPr>
          <w:rFonts w:asciiTheme="majorHAnsi" w:hAnsiTheme="majorHAnsi"/>
          <w:i/>
        </w:rPr>
        <w:t>rovider</w:t>
      </w:r>
      <w:r w:rsidRPr="00820C89">
        <w:rPr>
          <w:rFonts w:asciiTheme="majorHAnsi" w:hAnsiTheme="majorHAnsi"/>
          <w:i/>
        </w:rPr>
        <w:t>)</w:t>
      </w:r>
    </w:p>
    <w:p w14:paraId="1BFF28BD" w14:textId="77777777" w:rsidR="00737740" w:rsidRPr="00820C89" w:rsidRDefault="00737740" w:rsidP="00EC322F">
      <w:pPr>
        <w:contextualSpacing/>
        <w:rPr>
          <w:rFonts w:asciiTheme="majorHAnsi" w:hAnsiTheme="majorHAnsi"/>
          <w:i/>
        </w:rPr>
      </w:pPr>
    </w:p>
    <w:p w14:paraId="26CAA0F2" w14:textId="77777777" w:rsidR="004E3A82" w:rsidRPr="00820C89" w:rsidRDefault="004E3A82" w:rsidP="00EC322F">
      <w:pPr>
        <w:ind w:left="360"/>
        <w:contextualSpacing/>
        <w:rPr>
          <w:rFonts w:asciiTheme="majorHAnsi" w:hAnsiTheme="majorHAnsi"/>
          <w:i/>
        </w:rPr>
      </w:pPr>
      <w:r w:rsidRPr="00820C89">
        <w:rPr>
          <w:rFonts w:asciiTheme="majorHAnsi" w:hAnsiTheme="majorHAnsi"/>
          <w:i/>
        </w:rPr>
        <w:t>“</w:t>
      </w:r>
      <w:r w:rsidR="00737740" w:rsidRPr="00820C89">
        <w:rPr>
          <w:rFonts w:asciiTheme="majorHAnsi" w:hAnsiTheme="majorHAnsi"/>
          <w:i/>
        </w:rPr>
        <w:t xml:space="preserve">I think a lot of the positions here </w:t>
      </w:r>
      <w:r w:rsidRPr="00820C89">
        <w:rPr>
          <w:rFonts w:asciiTheme="majorHAnsi" w:hAnsiTheme="majorHAnsi"/>
          <w:i/>
        </w:rPr>
        <w:t>build</w:t>
      </w:r>
      <w:r w:rsidR="00737740" w:rsidRPr="00820C89">
        <w:rPr>
          <w:rFonts w:asciiTheme="majorHAnsi" w:hAnsiTheme="majorHAnsi"/>
          <w:i/>
        </w:rPr>
        <w:t xml:space="preserve"> transferable skills, so even sometimes at the end of the trainee</w:t>
      </w:r>
      <w:r w:rsidRPr="00820C89">
        <w:rPr>
          <w:rFonts w:asciiTheme="majorHAnsi" w:hAnsiTheme="majorHAnsi"/>
          <w:i/>
        </w:rPr>
        <w:t>, if there isn’t a position available, we’ve seen participants jump into other roles”</w:t>
      </w:r>
      <w:r w:rsidR="00EC322F" w:rsidRPr="00820C89">
        <w:rPr>
          <w:rFonts w:asciiTheme="majorHAnsi" w:hAnsiTheme="majorHAnsi"/>
          <w:i/>
        </w:rPr>
        <w:t xml:space="preserve"> (VTEC Provider)</w:t>
      </w:r>
    </w:p>
    <w:p w14:paraId="468D25ED" w14:textId="77777777" w:rsidR="00737740" w:rsidRPr="00820C89" w:rsidRDefault="00737740" w:rsidP="005937C3">
      <w:pPr>
        <w:contextualSpacing/>
        <w:rPr>
          <w:rFonts w:asciiTheme="majorHAnsi" w:hAnsiTheme="majorHAnsi"/>
          <w:i/>
        </w:rPr>
      </w:pPr>
    </w:p>
    <w:p w14:paraId="2FF4CFE9" w14:textId="77777777" w:rsidR="00D52CC3" w:rsidRPr="00820C89" w:rsidRDefault="00D52CC3" w:rsidP="005937C3">
      <w:pPr>
        <w:contextualSpacing/>
        <w:rPr>
          <w:rFonts w:asciiTheme="majorHAnsi" w:hAnsiTheme="majorHAnsi"/>
        </w:rPr>
      </w:pPr>
      <w:r w:rsidRPr="00820C89">
        <w:rPr>
          <w:rFonts w:asciiTheme="majorHAnsi" w:hAnsiTheme="majorHAnsi"/>
        </w:rPr>
        <w:t xml:space="preserve">This </w:t>
      </w:r>
      <w:r w:rsidR="00486720" w:rsidRPr="00820C89">
        <w:rPr>
          <w:rFonts w:asciiTheme="majorHAnsi" w:hAnsiTheme="majorHAnsi"/>
        </w:rPr>
        <w:t>finding was further</w:t>
      </w:r>
      <w:r w:rsidRPr="00820C89">
        <w:rPr>
          <w:rFonts w:asciiTheme="majorHAnsi" w:hAnsiTheme="majorHAnsi"/>
        </w:rPr>
        <w:t xml:space="preserve"> validated by consultations with participants, </w:t>
      </w:r>
      <w:r w:rsidR="006054AA" w:rsidRPr="00820C89">
        <w:rPr>
          <w:rFonts w:asciiTheme="majorHAnsi" w:hAnsiTheme="majorHAnsi"/>
        </w:rPr>
        <w:t xml:space="preserve">who </w:t>
      </w:r>
      <w:r w:rsidR="00364334" w:rsidRPr="00820C89">
        <w:rPr>
          <w:rFonts w:asciiTheme="majorHAnsi" w:hAnsiTheme="majorHAnsi"/>
        </w:rPr>
        <w:t xml:space="preserve">in several instances emphasised </w:t>
      </w:r>
      <w:r w:rsidR="00C65F43" w:rsidRPr="00820C89">
        <w:rPr>
          <w:rFonts w:asciiTheme="majorHAnsi" w:hAnsiTheme="majorHAnsi"/>
        </w:rPr>
        <w:t>that</w:t>
      </w:r>
      <w:r w:rsidR="00364334" w:rsidRPr="00820C89">
        <w:rPr>
          <w:rFonts w:asciiTheme="majorHAnsi" w:hAnsiTheme="majorHAnsi"/>
        </w:rPr>
        <w:t xml:space="preserve"> they</w:t>
      </w:r>
      <w:r w:rsidR="009D7D0D" w:rsidRPr="00820C89">
        <w:rPr>
          <w:rFonts w:asciiTheme="majorHAnsi" w:hAnsiTheme="majorHAnsi"/>
        </w:rPr>
        <w:t xml:space="preserve"> </w:t>
      </w:r>
      <w:r w:rsidR="00E6734F" w:rsidRPr="00820C89">
        <w:rPr>
          <w:rFonts w:asciiTheme="majorHAnsi" w:hAnsiTheme="majorHAnsi"/>
        </w:rPr>
        <w:t xml:space="preserve">developed </w:t>
      </w:r>
      <w:r w:rsidR="00F52B05" w:rsidRPr="00820C89">
        <w:rPr>
          <w:rFonts w:asciiTheme="majorHAnsi" w:hAnsiTheme="majorHAnsi"/>
        </w:rPr>
        <w:t>useful</w:t>
      </w:r>
      <w:r w:rsidR="00364334" w:rsidRPr="00820C89">
        <w:rPr>
          <w:rFonts w:asciiTheme="majorHAnsi" w:hAnsiTheme="majorHAnsi"/>
        </w:rPr>
        <w:t xml:space="preserve"> job-specific skills</w:t>
      </w:r>
      <w:r w:rsidR="00A5701B" w:rsidRPr="00820C89">
        <w:rPr>
          <w:rFonts w:asciiTheme="majorHAnsi" w:hAnsiTheme="majorHAnsi"/>
        </w:rPr>
        <w:t xml:space="preserve"> through the programs</w:t>
      </w:r>
      <w:r w:rsidR="006D50E5" w:rsidRPr="00820C89">
        <w:rPr>
          <w:rFonts w:asciiTheme="majorHAnsi" w:hAnsiTheme="majorHAnsi"/>
        </w:rPr>
        <w:t xml:space="preserve">, </w:t>
      </w:r>
      <w:r w:rsidR="00BC3A83" w:rsidRPr="00820C89">
        <w:rPr>
          <w:rFonts w:asciiTheme="majorHAnsi" w:hAnsiTheme="majorHAnsi"/>
        </w:rPr>
        <w:t>reporting</w:t>
      </w:r>
      <w:r w:rsidR="006D50E5" w:rsidRPr="00820C89">
        <w:rPr>
          <w:rFonts w:asciiTheme="majorHAnsi" w:hAnsiTheme="majorHAnsi"/>
        </w:rPr>
        <w:t xml:space="preserve"> that:</w:t>
      </w:r>
    </w:p>
    <w:p w14:paraId="5DD8FD2D" w14:textId="77777777" w:rsidR="00631818" w:rsidRPr="00820C89" w:rsidRDefault="00631818" w:rsidP="005937C3">
      <w:pPr>
        <w:contextualSpacing/>
        <w:rPr>
          <w:rFonts w:asciiTheme="majorHAnsi" w:hAnsiTheme="majorHAnsi"/>
        </w:rPr>
      </w:pPr>
    </w:p>
    <w:p w14:paraId="687597E3" w14:textId="77777777" w:rsidR="00631818" w:rsidRPr="00820C89" w:rsidRDefault="00C54F9C" w:rsidP="00E74527">
      <w:pPr>
        <w:ind w:left="360"/>
        <w:contextualSpacing/>
        <w:rPr>
          <w:rFonts w:asciiTheme="majorHAnsi" w:hAnsiTheme="majorHAnsi"/>
          <w:i/>
        </w:rPr>
      </w:pPr>
      <w:r w:rsidRPr="00820C89">
        <w:rPr>
          <w:rFonts w:asciiTheme="majorHAnsi" w:hAnsiTheme="majorHAnsi"/>
          <w:i/>
        </w:rPr>
        <w:t>“Yeh I love working in the kitchen here</w:t>
      </w:r>
      <w:r w:rsidR="00FF0204" w:rsidRPr="00820C89">
        <w:rPr>
          <w:rFonts w:asciiTheme="majorHAnsi" w:hAnsiTheme="majorHAnsi"/>
          <w:i/>
        </w:rPr>
        <w:t>. I never really liked being at school because I just had to sit in a classroom all day, but here I can be busy and on my feet all day. I reckon working here and set me up to working in</w:t>
      </w:r>
      <w:r w:rsidR="00712076" w:rsidRPr="00820C89">
        <w:rPr>
          <w:rFonts w:asciiTheme="majorHAnsi" w:hAnsiTheme="majorHAnsi"/>
          <w:i/>
        </w:rPr>
        <w:t xml:space="preserve"> other kitchens in the future too, that’s definitely what I want to do”</w:t>
      </w:r>
      <w:r w:rsidR="00A47AB3" w:rsidRPr="00820C89">
        <w:rPr>
          <w:rFonts w:asciiTheme="majorHAnsi" w:hAnsiTheme="majorHAnsi"/>
          <w:i/>
        </w:rPr>
        <w:t xml:space="preserve"> (TAEG Participant)</w:t>
      </w:r>
    </w:p>
    <w:p w14:paraId="0250D8ED" w14:textId="77777777" w:rsidR="00C63BEA" w:rsidRPr="00820C89" w:rsidRDefault="00C63BEA" w:rsidP="00E74527">
      <w:pPr>
        <w:ind w:left="360"/>
        <w:contextualSpacing/>
        <w:rPr>
          <w:rFonts w:asciiTheme="majorHAnsi" w:hAnsiTheme="majorHAnsi"/>
          <w:i/>
        </w:rPr>
      </w:pPr>
    </w:p>
    <w:p w14:paraId="729EC06E" w14:textId="77777777" w:rsidR="00C63BEA" w:rsidRPr="00820C89" w:rsidRDefault="0086688D" w:rsidP="00E74527">
      <w:pPr>
        <w:ind w:left="360"/>
        <w:contextualSpacing/>
        <w:rPr>
          <w:rFonts w:asciiTheme="majorHAnsi" w:hAnsiTheme="majorHAnsi"/>
          <w:i/>
        </w:rPr>
      </w:pPr>
      <w:r w:rsidRPr="00820C89">
        <w:rPr>
          <w:rFonts w:asciiTheme="majorHAnsi" w:hAnsiTheme="majorHAnsi"/>
          <w:i/>
        </w:rPr>
        <w:t>“</w:t>
      </w:r>
      <w:r w:rsidR="00C63BEA" w:rsidRPr="00820C89">
        <w:rPr>
          <w:rFonts w:asciiTheme="majorHAnsi" w:hAnsiTheme="majorHAnsi"/>
          <w:i/>
        </w:rPr>
        <w:t>I’ve definitely learnt customer service skills in this job…look I don’t really know if it’s what I want to do forever, but I do like working with people, and I think I’ve gotten a lot more confident in how I can deal with people now so that I can actually get those sort of jobs. Maybe in sales for example”</w:t>
      </w:r>
      <w:r w:rsidR="00A47AB3" w:rsidRPr="00820C89">
        <w:rPr>
          <w:rFonts w:asciiTheme="majorHAnsi" w:hAnsiTheme="majorHAnsi"/>
          <w:i/>
        </w:rPr>
        <w:t xml:space="preserve"> (TAEG Participant)</w:t>
      </w:r>
    </w:p>
    <w:p w14:paraId="4F492EFA" w14:textId="77777777" w:rsidR="00DF44AB" w:rsidRPr="00820C89" w:rsidRDefault="00DF44AB" w:rsidP="00E74527">
      <w:pPr>
        <w:ind w:left="360"/>
        <w:contextualSpacing/>
        <w:rPr>
          <w:rFonts w:asciiTheme="majorHAnsi" w:hAnsiTheme="majorHAnsi"/>
          <w:i/>
        </w:rPr>
      </w:pPr>
    </w:p>
    <w:p w14:paraId="459C16B2" w14:textId="77777777" w:rsidR="00DF44AB" w:rsidRPr="00820C89" w:rsidRDefault="00DF44AB" w:rsidP="00DF44AB">
      <w:pPr>
        <w:contextualSpacing/>
        <w:rPr>
          <w:rFonts w:asciiTheme="majorHAnsi" w:hAnsiTheme="majorHAnsi"/>
        </w:rPr>
      </w:pPr>
      <w:r w:rsidRPr="00820C89">
        <w:rPr>
          <w:rFonts w:asciiTheme="majorHAnsi" w:hAnsiTheme="majorHAnsi"/>
        </w:rPr>
        <w:t xml:space="preserve">This evidence also suggests that the extent to which participants acquire job-specific skills may be linked to their level of interest in </w:t>
      </w:r>
      <w:r w:rsidR="00DF0486" w:rsidRPr="00820C89">
        <w:rPr>
          <w:rFonts w:asciiTheme="majorHAnsi" w:hAnsiTheme="majorHAnsi"/>
        </w:rPr>
        <w:t>their placement occupation</w:t>
      </w:r>
      <w:r w:rsidRPr="00820C89">
        <w:rPr>
          <w:rFonts w:asciiTheme="majorHAnsi" w:hAnsiTheme="majorHAnsi"/>
        </w:rPr>
        <w:t xml:space="preserve">. That is, </w:t>
      </w:r>
      <w:r w:rsidR="00BD74FE" w:rsidRPr="00820C89">
        <w:rPr>
          <w:rFonts w:asciiTheme="majorHAnsi" w:hAnsiTheme="majorHAnsi"/>
        </w:rPr>
        <w:t xml:space="preserve">participants with a genuine interest in their </w:t>
      </w:r>
      <w:r w:rsidR="00393D27" w:rsidRPr="00820C89">
        <w:rPr>
          <w:rFonts w:asciiTheme="majorHAnsi" w:hAnsiTheme="majorHAnsi"/>
        </w:rPr>
        <w:t>industry of employment</w:t>
      </w:r>
      <w:r w:rsidR="00BD74FE" w:rsidRPr="00820C89">
        <w:rPr>
          <w:rFonts w:asciiTheme="majorHAnsi" w:hAnsiTheme="majorHAnsi"/>
        </w:rPr>
        <w:t xml:space="preserve"> may be more motivated to develop job-specific skills. </w:t>
      </w:r>
      <w:r w:rsidR="0084231F" w:rsidRPr="00820C89">
        <w:rPr>
          <w:rFonts w:asciiTheme="majorHAnsi" w:hAnsiTheme="majorHAnsi"/>
        </w:rPr>
        <w:t xml:space="preserve">This further reaffirms the </w:t>
      </w:r>
      <w:r w:rsidR="00FA2A62" w:rsidRPr="00820C89">
        <w:rPr>
          <w:rFonts w:asciiTheme="majorHAnsi" w:hAnsiTheme="majorHAnsi"/>
        </w:rPr>
        <w:t xml:space="preserve">finding identified in Section 4.3.2 </w:t>
      </w:r>
      <w:r w:rsidR="008C1405" w:rsidRPr="00820C89">
        <w:rPr>
          <w:rFonts w:asciiTheme="majorHAnsi" w:hAnsiTheme="majorHAnsi"/>
        </w:rPr>
        <w:t xml:space="preserve">that </w:t>
      </w:r>
      <w:r w:rsidR="00517A59" w:rsidRPr="00820C89">
        <w:rPr>
          <w:rFonts w:asciiTheme="majorHAnsi" w:hAnsiTheme="majorHAnsi"/>
        </w:rPr>
        <w:t xml:space="preserve">matching participants with employment opportunities that they </w:t>
      </w:r>
      <w:r w:rsidR="005D0889" w:rsidRPr="00820C89">
        <w:rPr>
          <w:rFonts w:asciiTheme="majorHAnsi" w:hAnsiTheme="majorHAnsi"/>
        </w:rPr>
        <w:t>find engaging and meaningful is a key success factor for the program.</w:t>
      </w:r>
      <w:r w:rsidR="0084231F" w:rsidRPr="00820C89">
        <w:rPr>
          <w:rFonts w:asciiTheme="majorHAnsi" w:hAnsiTheme="majorHAnsi"/>
        </w:rPr>
        <w:t xml:space="preserve"> </w:t>
      </w:r>
    </w:p>
    <w:p w14:paraId="101F7765" w14:textId="77777777" w:rsidR="0040692E" w:rsidRPr="00820C89" w:rsidRDefault="0040692E" w:rsidP="0040692E">
      <w:pPr>
        <w:ind w:left="360"/>
        <w:contextualSpacing/>
        <w:rPr>
          <w:rFonts w:asciiTheme="majorHAnsi" w:hAnsiTheme="majorHAnsi"/>
          <w:i/>
        </w:rPr>
      </w:pPr>
    </w:p>
    <w:p w14:paraId="2234112B" w14:textId="77777777" w:rsidR="00570A96" w:rsidRPr="00820C89" w:rsidRDefault="00D67FCA" w:rsidP="00570A96">
      <w:pPr>
        <w:spacing w:before="170"/>
        <w:rPr>
          <w:rFonts w:asciiTheme="majorHAnsi" w:hAnsiTheme="majorHAnsi"/>
        </w:rPr>
      </w:pPr>
      <w:r w:rsidRPr="00820C89">
        <w:rPr>
          <w:rFonts w:asciiTheme="majorHAnsi" w:hAnsiTheme="majorHAnsi"/>
        </w:rPr>
        <w:t>T</w:t>
      </w:r>
      <w:r w:rsidR="0014279D" w:rsidRPr="00820C89">
        <w:rPr>
          <w:rFonts w:asciiTheme="majorHAnsi" w:hAnsiTheme="majorHAnsi"/>
        </w:rPr>
        <w:t xml:space="preserve">he provider survey </w:t>
      </w:r>
      <w:r w:rsidR="0054399C" w:rsidRPr="00820C89">
        <w:rPr>
          <w:rFonts w:asciiTheme="majorHAnsi" w:hAnsiTheme="majorHAnsi"/>
        </w:rPr>
        <w:t>reveals</w:t>
      </w:r>
      <w:r w:rsidR="0014279D" w:rsidRPr="00820C89">
        <w:rPr>
          <w:rFonts w:asciiTheme="majorHAnsi" w:hAnsiTheme="majorHAnsi"/>
        </w:rPr>
        <w:t xml:space="preserve"> that </w:t>
      </w:r>
      <w:r w:rsidR="00FF6444" w:rsidRPr="00820C89">
        <w:rPr>
          <w:rFonts w:asciiTheme="majorHAnsi" w:hAnsiTheme="majorHAnsi"/>
        </w:rPr>
        <w:t xml:space="preserve">79% and 55% of </w:t>
      </w:r>
      <w:r w:rsidR="00715384" w:rsidRPr="00820C89">
        <w:rPr>
          <w:rFonts w:asciiTheme="majorHAnsi" w:hAnsiTheme="majorHAnsi"/>
        </w:rPr>
        <w:t xml:space="preserve">TAEG and VTEC </w:t>
      </w:r>
      <w:r w:rsidR="00507534" w:rsidRPr="00820C89">
        <w:rPr>
          <w:rFonts w:asciiTheme="majorHAnsi" w:hAnsiTheme="majorHAnsi"/>
        </w:rPr>
        <w:t>participants</w:t>
      </w:r>
      <w:r w:rsidR="00404777" w:rsidRPr="00820C89">
        <w:rPr>
          <w:rFonts w:asciiTheme="majorHAnsi" w:hAnsiTheme="majorHAnsi"/>
        </w:rPr>
        <w:t xml:space="preserve"> respectively</w:t>
      </w:r>
      <w:r w:rsidR="00FF6444" w:rsidRPr="00820C89">
        <w:rPr>
          <w:rFonts w:asciiTheme="majorHAnsi" w:hAnsiTheme="majorHAnsi"/>
        </w:rPr>
        <w:t xml:space="preserve"> </w:t>
      </w:r>
      <w:r w:rsidR="00983A6B" w:rsidRPr="00820C89">
        <w:rPr>
          <w:rFonts w:asciiTheme="majorHAnsi" w:hAnsiTheme="majorHAnsi"/>
        </w:rPr>
        <w:t>complete</w:t>
      </w:r>
      <w:r w:rsidR="00FF6444" w:rsidRPr="00820C89">
        <w:rPr>
          <w:rFonts w:asciiTheme="majorHAnsi" w:hAnsiTheme="majorHAnsi"/>
        </w:rPr>
        <w:t xml:space="preserve"> </w:t>
      </w:r>
      <w:r w:rsidR="00AD43A7" w:rsidRPr="00820C89">
        <w:rPr>
          <w:rFonts w:asciiTheme="majorHAnsi" w:hAnsiTheme="majorHAnsi"/>
        </w:rPr>
        <w:t>the vocational education training courses they commence</w:t>
      </w:r>
      <w:r w:rsidR="00FF6444" w:rsidRPr="00820C89">
        <w:rPr>
          <w:rFonts w:asciiTheme="majorHAnsi" w:hAnsiTheme="majorHAnsi"/>
        </w:rPr>
        <w:t xml:space="preserve">. </w:t>
      </w:r>
      <w:r w:rsidR="00C956A3" w:rsidRPr="00820C89">
        <w:rPr>
          <w:rFonts w:asciiTheme="majorHAnsi" w:hAnsiTheme="majorHAnsi"/>
        </w:rPr>
        <w:t>The</w:t>
      </w:r>
      <w:r w:rsidR="00570A96" w:rsidRPr="00820C89">
        <w:rPr>
          <w:rFonts w:asciiTheme="majorHAnsi" w:hAnsiTheme="majorHAnsi"/>
        </w:rPr>
        <w:t xml:space="preserve"> survey suggests that there are a wide range of reasons – predominantly centred around outside disruptions to participants learning - that lead participants to not complete the formal vocational training courses that they commence.</w:t>
      </w:r>
      <w:r w:rsidR="00570A96" w:rsidRPr="00820C89">
        <w:rPr>
          <w:rFonts w:asciiTheme="majorHAnsi" w:hAnsiTheme="majorHAnsi"/>
          <w:b/>
        </w:rPr>
        <w:t xml:space="preserve"> </w:t>
      </w:r>
      <w:r w:rsidR="00570A96" w:rsidRPr="00820C89">
        <w:rPr>
          <w:rFonts w:asciiTheme="majorHAnsi" w:hAnsiTheme="majorHAnsi"/>
        </w:rPr>
        <w:t>For example, the most cited reasons included:</w:t>
      </w:r>
    </w:p>
    <w:p w14:paraId="4283704B" w14:textId="77777777" w:rsidR="00570A96" w:rsidRPr="00820C89" w:rsidRDefault="00570A96" w:rsidP="00715F70">
      <w:pPr>
        <w:numPr>
          <w:ilvl w:val="0"/>
          <w:numId w:val="34"/>
        </w:numPr>
        <w:spacing w:before="60" w:after="60"/>
        <w:rPr>
          <w:rFonts w:asciiTheme="majorHAnsi" w:hAnsiTheme="majorHAnsi"/>
        </w:rPr>
      </w:pPr>
      <w:r w:rsidRPr="00820C89">
        <w:rPr>
          <w:rFonts w:asciiTheme="majorHAnsi" w:hAnsiTheme="majorHAnsi"/>
        </w:rPr>
        <w:t>family and cultural obligations preventing participants from consistently attending training</w:t>
      </w:r>
    </w:p>
    <w:p w14:paraId="4777C6A3" w14:textId="77777777" w:rsidR="00570A96" w:rsidRPr="00820C89" w:rsidRDefault="00570A96" w:rsidP="00715F70">
      <w:pPr>
        <w:numPr>
          <w:ilvl w:val="0"/>
          <w:numId w:val="34"/>
        </w:numPr>
        <w:spacing w:before="60" w:after="60"/>
        <w:rPr>
          <w:rFonts w:asciiTheme="majorHAnsi" w:hAnsiTheme="majorHAnsi"/>
        </w:rPr>
      </w:pPr>
      <w:r w:rsidRPr="00820C89">
        <w:rPr>
          <w:rFonts w:asciiTheme="majorHAnsi" w:hAnsiTheme="majorHAnsi"/>
        </w:rPr>
        <w:t>physical or mental health issues</w:t>
      </w:r>
    </w:p>
    <w:p w14:paraId="590C2970" w14:textId="77777777" w:rsidR="00570A96" w:rsidRPr="00820C89" w:rsidRDefault="00570A96" w:rsidP="00715F70">
      <w:pPr>
        <w:numPr>
          <w:ilvl w:val="0"/>
          <w:numId w:val="34"/>
        </w:numPr>
        <w:spacing w:before="60" w:after="60"/>
        <w:rPr>
          <w:rFonts w:asciiTheme="majorHAnsi" w:hAnsiTheme="majorHAnsi"/>
        </w:rPr>
      </w:pPr>
      <w:r w:rsidRPr="00820C89">
        <w:rPr>
          <w:rFonts w:asciiTheme="majorHAnsi" w:hAnsiTheme="majorHAnsi"/>
        </w:rPr>
        <w:t>a lack of available transport</w:t>
      </w:r>
    </w:p>
    <w:p w14:paraId="429E9FCE" w14:textId="77777777" w:rsidR="00570A96" w:rsidRPr="00820C89" w:rsidRDefault="00570A96" w:rsidP="00715F70">
      <w:pPr>
        <w:numPr>
          <w:ilvl w:val="0"/>
          <w:numId w:val="34"/>
        </w:numPr>
        <w:spacing w:before="60" w:after="60"/>
        <w:ind w:left="357" w:hanging="357"/>
        <w:rPr>
          <w:rFonts w:asciiTheme="majorHAnsi" w:hAnsiTheme="majorHAnsi"/>
        </w:rPr>
      </w:pPr>
      <w:r w:rsidRPr="00820C89">
        <w:rPr>
          <w:rFonts w:asciiTheme="majorHAnsi" w:hAnsiTheme="majorHAnsi"/>
        </w:rPr>
        <w:t>participants moving or relocating.</w:t>
      </w:r>
    </w:p>
    <w:p w14:paraId="5A656DD0" w14:textId="77777777" w:rsidR="00570A96" w:rsidRPr="00820C89" w:rsidRDefault="00570A96" w:rsidP="00570A96">
      <w:pPr>
        <w:spacing w:before="170"/>
        <w:rPr>
          <w:rFonts w:asciiTheme="majorHAnsi" w:hAnsiTheme="majorHAnsi"/>
        </w:rPr>
      </w:pPr>
      <w:r w:rsidRPr="00820C89">
        <w:rPr>
          <w:rFonts w:asciiTheme="majorHAnsi" w:hAnsiTheme="majorHAnsi"/>
        </w:rPr>
        <w:t xml:space="preserve">To a lesser extent, providers also note that several training-specific challenges can lead to participants not completing courses, including participants: </w:t>
      </w:r>
    </w:p>
    <w:p w14:paraId="0032A573" w14:textId="77777777" w:rsidR="00570A96" w:rsidRPr="00820C89" w:rsidRDefault="00570A96" w:rsidP="00715F70">
      <w:pPr>
        <w:numPr>
          <w:ilvl w:val="0"/>
          <w:numId w:val="35"/>
        </w:numPr>
        <w:spacing w:before="60" w:after="60"/>
        <w:ind w:left="357" w:hanging="357"/>
        <w:rPr>
          <w:rFonts w:asciiTheme="majorHAnsi" w:hAnsiTheme="majorHAnsi"/>
        </w:rPr>
      </w:pPr>
      <w:r w:rsidRPr="00820C89">
        <w:rPr>
          <w:rFonts w:asciiTheme="majorHAnsi" w:hAnsiTheme="majorHAnsi"/>
        </w:rPr>
        <w:lastRenderedPageBreak/>
        <w:t>lacking the basic foundational skills required to engage with vocational training</w:t>
      </w:r>
    </w:p>
    <w:p w14:paraId="3201DAEF" w14:textId="77777777" w:rsidR="00570A96" w:rsidRPr="00820C89" w:rsidRDefault="00570A96" w:rsidP="00715F70">
      <w:pPr>
        <w:numPr>
          <w:ilvl w:val="0"/>
          <w:numId w:val="35"/>
        </w:numPr>
        <w:spacing w:before="60" w:after="60"/>
        <w:ind w:left="357" w:hanging="357"/>
        <w:rPr>
          <w:rFonts w:asciiTheme="majorHAnsi" w:hAnsiTheme="majorHAnsi"/>
        </w:rPr>
      </w:pPr>
      <w:r w:rsidRPr="00820C89">
        <w:rPr>
          <w:rFonts w:asciiTheme="majorHAnsi" w:hAnsiTheme="majorHAnsi"/>
        </w:rPr>
        <w:t>having little interest in the theoretical or classroom aspects of training courses, with participants having a strong preference for more applied or hands-on learning.</w:t>
      </w:r>
    </w:p>
    <w:p w14:paraId="0C38D879" w14:textId="77777777" w:rsidR="007736B6" w:rsidRPr="00820C89" w:rsidRDefault="007736B6" w:rsidP="000E3A2B">
      <w:pPr>
        <w:spacing w:before="60" w:after="60"/>
        <w:ind w:left="357"/>
        <w:rPr>
          <w:rFonts w:asciiTheme="majorHAnsi" w:hAnsiTheme="majorHAnsi"/>
        </w:rPr>
      </w:pPr>
    </w:p>
    <w:p w14:paraId="7BD54D0E" w14:textId="77777777" w:rsidR="00C931FB" w:rsidRPr="00820C89" w:rsidRDefault="00FD7FE4" w:rsidP="007736B6">
      <w:pPr>
        <w:spacing w:before="60" w:after="60"/>
        <w:rPr>
          <w:rFonts w:asciiTheme="majorHAnsi" w:hAnsiTheme="majorHAnsi"/>
        </w:rPr>
      </w:pPr>
      <w:r w:rsidRPr="00820C89">
        <w:rPr>
          <w:rFonts w:asciiTheme="majorHAnsi" w:hAnsiTheme="majorHAnsi"/>
        </w:rPr>
        <w:t>However, c</w:t>
      </w:r>
      <w:r w:rsidR="00846740" w:rsidRPr="00820C89">
        <w:rPr>
          <w:rFonts w:asciiTheme="majorHAnsi" w:hAnsiTheme="majorHAnsi"/>
        </w:rPr>
        <w:t xml:space="preserve">onsultations with </w:t>
      </w:r>
      <w:r w:rsidR="00C931FB" w:rsidRPr="00820C89">
        <w:rPr>
          <w:rFonts w:asciiTheme="majorHAnsi" w:hAnsiTheme="majorHAnsi"/>
        </w:rPr>
        <w:t xml:space="preserve">a wide range of stakeholders reveal that there are mixed </w:t>
      </w:r>
      <w:r w:rsidR="00572056" w:rsidRPr="00820C89">
        <w:rPr>
          <w:rFonts w:asciiTheme="majorHAnsi" w:hAnsiTheme="majorHAnsi"/>
        </w:rPr>
        <w:t xml:space="preserve">perspectives on whether the attainment of </w:t>
      </w:r>
      <w:r w:rsidR="000C31B4" w:rsidRPr="00820C89">
        <w:rPr>
          <w:rFonts w:asciiTheme="majorHAnsi" w:hAnsiTheme="majorHAnsi"/>
        </w:rPr>
        <w:t xml:space="preserve">formal vocational education and training </w:t>
      </w:r>
      <w:r w:rsidR="00F045FA" w:rsidRPr="00820C89">
        <w:rPr>
          <w:rFonts w:asciiTheme="majorHAnsi" w:hAnsiTheme="majorHAnsi"/>
        </w:rPr>
        <w:t>qualifications</w:t>
      </w:r>
      <w:r w:rsidR="00FC2E3E" w:rsidRPr="00820C89">
        <w:rPr>
          <w:rFonts w:asciiTheme="majorHAnsi" w:hAnsiTheme="majorHAnsi"/>
        </w:rPr>
        <w:t xml:space="preserve"> </w:t>
      </w:r>
      <w:r w:rsidR="008E0830" w:rsidRPr="00820C89">
        <w:rPr>
          <w:rFonts w:asciiTheme="majorHAnsi" w:hAnsiTheme="majorHAnsi"/>
        </w:rPr>
        <w:t>has a meaningful impact on participants employability.</w:t>
      </w:r>
      <w:r w:rsidR="000C31B4" w:rsidRPr="00820C89">
        <w:rPr>
          <w:rFonts w:asciiTheme="majorHAnsi" w:hAnsiTheme="majorHAnsi"/>
        </w:rPr>
        <w:t xml:space="preserve"> </w:t>
      </w:r>
      <w:r w:rsidR="00FB1A5C" w:rsidRPr="00820C89">
        <w:rPr>
          <w:rFonts w:asciiTheme="majorHAnsi" w:hAnsiTheme="majorHAnsi"/>
        </w:rPr>
        <w:t xml:space="preserve">For example, several stakeholders </w:t>
      </w:r>
      <w:r w:rsidR="00465F02" w:rsidRPr="00820C89">
        <w:rPr>
          <w:rFonts w:asciiTheme="majorHAnsi" w:hAnsiTheme="majorHAnsi"/>
        </w:rPr>
        <w:t xml:space="preserve">argue </w:t>
      </w:r>
      <w:r w:rsidR="0046226F" w:rsidRPr="00820C89">
        <w:rPr>
          <w:rFonts w:asciiTheme="majorHAnsi" w:hAnsiTheme="majorHAnsi"/>
        </w:rPr>
        <w:t xml:space="preserve">that these </w:t>
      </w:r>
      <w:r w:rsidR="009D699F" w:rsidRPr="00820C89">
        <w:rPr>
          <w:rFonts w:asciiTheme="majorHAnsi" w:hAnsiTheme="majorHAnsi"/>
        </w:rPr>
        <w:t>qualifications do not help Indigenous jobseekers find employment</w:t>
      </w:r>
      <w:r w:rsidR="0070677C" w:rsidRPr="00820C89">
        <w:rPr>
          <w:rFonts w:asciiTheme="majorHAnsi" w:hAnsiTheme="majorHAnsi"/>
        </w:rPr>
        <w:t xml:space="preserve"> as they do not address the fundamental barriers </w:t>
      </w:r>
      <w:r w:rsidR="001458C2" w:rsidRPr="00820C89">
        <w:rPr>
          <w:rFonts w:asciiTheme="majorHAnsi" w:hAnsiTheme="majorHAnsi"/>
        </w:rPr>
        <w:t xml:space="preserve">that </w:t>
      </w:r>
      <w:r w:rsidR="00A81C06" w:rsidRPr="00820C89">
        <w:rPr>
          <w:rFonts w:asciiTheme="majorHAnsi" w:hAnsiTheme="majorHAnsi"/>
        </w:rPr>
        <w:t>participants likely face</w:t>
      </w:r>
      <w:r w:rsidR="001F1DD0" w:rsidRPr="00820C89">
        <w:rPr>
          <w:rFonts w:asciiTheme="majorHAnsi" w:hAnsiTheme="majorHAnsi"/>
        </w:rPr>
        <w:t xml:space="preserve"> to gaining </w:t>
      </w:r>
      <w:r w:rsidR="00AD1169" w:rsidRPr="00820C89">
        <w:rPr>
          <w:rFonts w:asciiTheme="majorHAnsi" w:hAnsiTheme="majorHAnsi"/>
        </w:rPr>
        <w:t>employment</w:t>
      </w:r>
      <w:r w:rsidR="00A81C06" w:rsidRPr="00820C89">
        <w:rPr>
          <w:rFonts w:asciiTheme="majorHAnsi" w:hAnsiTheme="majorHAnsi"/>
        </w:rPr>
        <w:t xml:space="preserve">, such as employer </w:t>
      </w:r>
      <w:r w:rsidR="000435AB" w:rsidRPr="00820C89">
        <w:rPr>
          <w:rFonts w:asciiTheme="majorHAnsi" w:hAnsiTheme="majorHAnsi"/>
        </w:rPr>
        <w:t>discrimination</w:t>
      </w:r>
      <w:r w:rsidR="00A81C06" w:rsidRPr="00820C89">
        <w:rPr>
          <w:rFonts w:asciiTheme="majorHAnsi" w:hAnsiTheme="majorHAnsi"/>
        </w:rPr>
        <w:t xml:space="preserve"> and a lack of </w:t>
      </w:r>
      <w:r w:rsidR="005207D5" w:rsidRPr="00820C89">
        <w:rPr>
          <w:rFonts w:asciiTheme="majorHAnsi" w:hAnsiTheme="majorHAnsi"/>
        </w:rPr>
        <w:t>workplace familiarity</w:t>
      </w:r>
      <w:r w:rsidR="00C97304" w:rsidRPr="00820C89">
        <w:rPr>
          <w:rFonts w:asciiTheme="majorHAnsi" w:hAnsiTheme="majorHAnsi"/>
        </w:rPr>
        <w:t>, noting that:</w:t>
      </w:r>
    </w:p>
    <w:p w14:paraId="40FA0DA5" w14:textId="77777777" w:rsidR="00E30F67" w:rsidRPr="00820C89" w:rsidRDefault="00E30F67" w:rsidP="007736B6">
      <w:pPr>
        <w:spacing w:before="60" w:after="60"/>
        <w:rPr>
          <w:rFonts w:asciiTheme="majorHAnsi" w:hAnsiTheme="majorHAnsi"/>
        </w:rPr>
      </w:pPr>
    </w:p>
    <w:p w14:paraId="53EA3AA6" w14:textId="77777777" w:rsidR="00E30F67" w:rsidRPr="00820C89" w:rsidRDefault="00E30F67" w:rsidP="009E53C6">
      <w:pPr>
        <w:ind w:left="360"/>
        <w:contextualSpacing/>
        <w:rPr>
          <w:rFonts w:asciiTheme="majorHAnsi" w:hAnsiTheme="majorHAnsi"/>
          <w:i/>
        </w:rPr>
      </w:pPr>
      <w:r w:rsidRPr="00820C89">
        <w:rPr>
          <w:rFonts w:asciiTheme="majorHAnsi" w:hAnsiTheme="majorHAnsi"/>
          <w:i/>
        </w:rPr>
        <w:t xml:space="preserve">“I always say that </w:t>
      </w:r>
      <w:r w:rsidR="005A0E15" w:rsidRPr="00820C89">
        <w:rPr>
          <w:rFonts w:asciiTheme="majorHAnsi" w:hAnsiTheme="majorHAnsi"/>
          <w:i/>
        </w:rPr>
        <w:t xml:space="preserve">my people have more qualifications than anyone else when they are going for a job, that’s not the issue. The issue is the community and employers themselves…they lack the cultural capability and </w:t>
      </w:r>
      <w:r w:rsidR="003A4DD7" w:rsidRPr="00820C89">
        <w:rPr>
          <w:rFonts w:asciiTheme="majorHAnsi" w:hAnsiTheme="majorHAnsi"/>
          <w:i/>
        </w:rPr>
        <w:t>sensitivity</w:t>
      </w:r>
      <w:r w:rsidR="005A0E15" w:rsidRPr="00820C89">
        <w:rPr>
          <w:rFonts w:asciiTheme="majorHAnsi" w:hAnsiTheme="majorHAnsi"/>
          <w:i/>
        </w:rPr>
        <w:t xml:space="preserve"> to know how to employ Indigenous people”</w:t>
      </w:r>
      <w:r w:rsidR="009E53C6" w:rsidRPr="00820C89">
        <w:rPr>
          <w:rFonts w:asciiTheme="majorHAnsi" w:hAnsiTheme="majorHAnsi"/>
          <w:i/>
        </w:rPr>
        <w:t xml:space="preserve"> (Indigenous Community Leader)</w:t>
      </w:r>
    </w:p>
    <w:p w14:paraId="5BD8C5A0" w14:textId="77777777" w:rsidR="00AD1169" w:rsidRPr="00820C89" w:rsidRDefault="00AD1169" w:rsidP="009E53C6">
      <w:pPr>
        <w:ind w:left="360"/>
        <w:contextualSpacing/>
        <w:rPr>
          <w:rFonts w:asciiTheme="majorHAnsi" w:hAnsiTheme="majorHAnsi"/>
          <w:i/>
        </w:rPr>
      </w:pPr>
    </w:p>
    <w:p w14:paraId="2622645E" w14:textId="77777777" w:rsidR="00AD1169" w:rsidRPr="00820C89" w:rsidRDefault="00AD1169" w:rsidP="009E53C6">
      <w:pPr>
        <w:ind w:left="360"/>
        <w:contextualSpacing/>
        <w:rPr>
          <w:rFonts w:asciiTheme="majorHAnsi" w:hAnsiTheme="majorHAnsi"/>
          <w:i/>
        </w:rPr>
      </w:pPr>
      <w:r w:rsidRPr="00820C89">
        <w:rPr>
          <w:rFonts w:asciiTheme="majorHAnsi" w:hAnsiTheme="majorHAnsi"/>
          <w:i/>
        </w:rPr>
        <w:t xml:space="preserve">“I’m having to complete my certificate at the moment, and my mentor tells me it will help me do my job better, but it just doesn’t. I don’t really see how it will help me at all” (VTEC </w:t>
      </w:r>
      <w:r w:rsidR="002D12E7" w:rsidRPr="00820C89">
        <w:rPr>
          <w:rFonts w:asciiTheme="majorHAnsi" w:hAnsiTheme="majorHAnsi"/>
          <w:i/>
        </w:rPr>
        <w:t>Participant</w:t>
      </w:r>
      <w:r w:rsidRPr="00820C89">
        <w:rPr>
          <w:rFonts w:asciiTheme="majorHAnsi" w:hAnsiTheme="majorHAnsi"/>
          <w:i/>
        </w:rPr>
        <w:t>)</w:t>
      </w:r>
      <w:r w:rsidR="00AD2FB1" w:rsidRPr="00820C89">
        <w:rPr>
          <w:rFonts w:asciiTheme="majorHAnsi" w:hAnsiTheme="majorHAnsi"/>
          <w:i/>
        </w:rPr>
        <w:t>.</w:t>
      </w:r>
    </w:p>
    <w:p w14:paraId="10712A71" w14:textId="77777777" w:rsidR="00C931FB" w:rsidRPr="00820C89" w:rsidRDefault="00C931FB" w:rsidP="007736B6">
      <w:pPr>
        <w:spacing w:before="60" w:after="60"/>
        <w:rPr>
          <w:rFonts w:asciiTheme="majorHAnsi" w:hAnsiTheme="majorHAnsi"/>
        </w:rPr>
      </w:pPr>
    </w:p>
    <w:p w14:paraId="6075DEAE" w14:textId="77777777" w:rsidR="00377A4E" w:rsidRPr="00820C89" w:rsidRDefault="008239FB" w:rsidP="007736B6">
      <w:pPr>
        <w:spacing w:before="60" w:after="60"/>
        <w:rPr>
          <w:rFonts w:asciiTheme="majorHAnsi" w:hAnsiTheme="majorHAnsi"/>
        </w:rPr>
      </w:pPr>
      <w:r w:rsidRPr="00820C89">
        <w:rPr>
          <w:rFonts w:asciiTheme="majorHAnsi" w:hAnsiTheme="majorHAnsi"/>
        </w:rPr>
        <w:t xml:space="preserve">Conversely, </w:t>
      </w:r>
      <w:r w:rsidR="00EF7FFE" w:rsidRPr="00820C89">
        <w:rPr>
          <w:rFonts w:asciiTheme="majorHAnsi" w:hAnsiTheme="majorHAnsi"/>
        </w:rPr>
        <w:t xml:space="preserve">at least </w:t>
      </w:r>
      <w:r w:rsidR="008777C3" w:rsidRPr="00820C89">
        <w:rPr>
          <w:rFonts w:asciiTheme="majorHAnsi" w:hAnsiTheme="majorHAnsi"/>
        </w:rPr>
        <w:t>one provider noted that</w:t>
      </w:r>
      <w:r w:rsidR="008C3EB5" w:rsidRPr="00820C89">
        <w:rPr>
          <w:rFonts w:asciiTheme="majorHAnsi" w:hAnsiTheme="majorHAnsi"/>
        </w:rPr>
        <w:t xml:space="preserve"> that the </w:t>
      </w:r>
      <w:r w:rsidR="004756A3" w:rsidRPr="00820C89">
        <w:rPr>
          <w:rFonts w:asciiTheme="majorHAnsi" w:hAnsiTheme="majorHAnsi"/>
        </w:rPr>
        <w:t>attainment</w:t>
      </w:r>
      <w:r w:rsidR="008C3EB5" w:rsidRPr="00820C89">
        <w:rPr>
          <w:rFonts w:asciiTheme="majorHAnsi" w:hAnsiTheme="majorHAnsi"/>
        </w:rPr>
        <w:t xml:space="preserve"> of </w:t>
      </w:r>
      <w:r w:rsidR="000776CB" w:rsidRPr="00820C89">
        <w:rPr>
          <w:rFonts w:asciiTheme="majorHAnsi" w:hAnsiTheme="majorHAnsi"/>
        </w:rPr>
        <w:t>certa</w:t>
      </w:r>
      <w:r w:rsidR="004B0DD7" w:rsidRPr="00820C89">
        <w:rPr>
          <w:rFonts w:asciiTheme="majorHAnsi" w:hAnsiTheme="majorHAnsi"/>
        </w:rPr>
        <w:t xml:space="preserve">in </w:t>
      </w:r>
      <w:r w:rsidR="00377A4E" w:rsidRPr="00820C89">
        <w:rPr>
          <w:rFonts w:asciiTheme="majorHAnsi" w:hAnsiTheme="majorHAnsi"/>
        </w:rPr>
        <w:t xml:space="preserve">in-demand </w:t>
      </w:r>
      <w:r w:rsidR="009656EC" w:rsidRPr="00820C89">
        <w:rPr>
          <w:rFonts w:asciiTheme="majorHAnsi" w:hAnsiTheme="majorHAnsi"/>
        </w:rPr>
        <w:t>vocational qualifications</w:t>
      </w:r>
      <w:r w:rsidR="00885224" w:rsidRPr="00820C89">
        <w:rPr>
          <w:rFonts w:asciiTheme="majorHAnsi" w:hAnsiTheme="majorHAnsi"/>
        </w:rPr>
        <w:t xml:space="preserve"> can </w:t>
      </w:r>
      <w:r w:rsidR="009626B5" w:rsidRPr="00820C89">
        <w:rPr>
          <w:rFonts w:asciiTheme="majorHAnsi" w:hAnsiTheme="majorHAnsi"/>
        </w:rPr>
        <w:t>enhance the overall employability of participants</w:t>
      </w:r>
      <w:r w:rsidR="009423AB" w:rsidRPr="00820C89">
        <w:rPr>
          <w:rFonts w:asciiTheme="majorHAnsi" w:hAnsiTheme="majorHAnsi"/>
        </w:rPr>
        <w:t>, reporting that</w:t>
      </w:r>
      <w:r w:rsidR="00B64C94" w:rsidRPr="00820C89">
        <w:rPr>
          <w:rFonts w:asciiTheme="majorHAnsi" w:hAnsiTheme="majorHAnsi"/>
        </w:rPr>
        <w:t>:</w:t>
      </w:r>
    </w:p>
    <w:p w14:paraId="24ECAACE" w14:textId="77777777" w:rsidR="00B64C94" w:rsidRPr="00820C89" w:rsidRDefault="00B64C94" w:rsidP="007736B6">
      <w:pPr>
        <w:spacing w:before="60" w:after="60"/>
        <w:rPr>
          <w:rFonts w:asciiTheme="majorHAnsi" w:hAnsiTheme="majorHAnsi"/>
        </w:rPr>
      </w:pPr>
    </w:p>
    <w:p w14:paraId="26616266" w14:textId="77777777" w:rsidR="009626B5" w:rsidRPr="00820C89" w:rsidRDefault="009626B5" w:rsidP="009626B5">
      <w:pPr>
        <w:spacing w:before="60" w:after="60"/>
        <w:ind w:left="720"/>
        <w:rPr>
          <w:rFonts w:asciiTheme="majorHAnsi" w:hAnsiTheme="majorHAnsi"/>
          <w:i/>
        </w:rPr>
      </w:pPr>
      <w:r w:rsidRPr="00820C89">
        <w:rPr>
          <w:rFonts w:asciiTheme="majorHAnsi" w:hAnsiTheme="majorHAnsi"/>
          <w:i/>
        </w:rPr>
        <w:t>“</w:t>
      </w:r>
      <w:r w:rsidR="005923BA" w:rsidRPr="00820C89">
        <w:rPr>
          <w:rFonts w:asciiTheme="majorHAnsi" w:hAnsiTheme="majorHAnsi"/>
          <w:i/>
        </w:rPr>
        <w:t>Completing</w:t>
      </w:r>
      <w:r w:rsidR="00B64C94" w:rsidRPr="00820C89">
        <w:rPr>
          <w:rFonts w:asciiTheme="majorHAnsi" w:hAnsiTheme="majorHAnsi"/>
          <w:i/>
        </w:rPr>
        <w:t xml:space="preserve"> f</w:t>
      </w:r>
      <w:r w:rsidRPr="00820C89">
        <w:rPr>
          <w:rFonts w:asciiTheme="majorHAnsi" w:hAnsiTheme="majorHAnsi"/>
          <w:i/>
        </w:rPr>
        <w:t xml:space="preserve">orklift </w:t>
      </w:r>
      <w:r w:rsidR="005923BA" w:rsidRPr="00820C89">
        <w:rPr>
          <w:rFonts w:asciiTheme="majorHAnsi" w:hAnsiTheme="majorHAnsi"/>
          <w:i/>
        </w:rPr>
        <w:t>training</w:t>
      </w:r>
      <w:r w:rsidRPr="00820C89">
        <w:rPr>
          <w:rFonts w:asciiTheme="majorHAnsi" w:hAnsiTheme="majorHAnsi"/>
          <w:i/>
        </w:rPr>
        <w:t>, confined space training, working at heights training and these sorts of things</w:t>
      </w:r>
      <w:r w:rsidR="00A16410" w:rsidRPr="00820C89">
        <w:rPr>
          <w:rFonts w:asciiTheme="majorHAnsi" w:hAnsiTheme="majorHAnsi"/>
          <w:i/>
        </w:rPr>
        <w:t xml:space="preserve">… </w:t>
      </w:r>
      <w:r w:rsidRPr="00820C89">
        <w:rPr>
          <w:rFonts w:asciiTheme="majorHAnsi" w:hAnsiTheme="majorHAnsi"/>
          <w:i/>
        </w:rPr>
        <w:t>are good skills for later. So even if they don’t work out here, they’re very good skills to take away</w:t>
      </w:r>
      <w:r w:rsidR="005923BA" w:rsidRPr="00820C89">
        <w:rPr>
          <w:rFonts w:asciiTheme="majorHAnsi" w:hAnsiTheme="majorHAnsi"/>
          <w:i/>
        </w:rPr>
        <w:t xml:space="preserve"> and earn good money</w:t>
      </w:r>
      <w:r w:rsidRPr="00820C89">
        <w:rPr>
          <w:rFonts w:asciiTheme="majorHAnsi" w:hAnsiTheme="majorHAnsi"/>
          <w:i/>
        </w:rPr>
        <w:t xml:space="preserve">” (TAEG provider). </w:t>
      </w:r>
    </w:p>
    <w:p w14:paraId="0108BA6D" w14:textId="77777777" w:rsidR="00AA0631" w:rsidRPr="00820C89" w:rsidRDefault="00AA0631" w:rsidP="009626B5">
      <w:pPr>
        <w:spacing w:before="60" w:after="60"/>
        <w:ind w:left="720"/>
        <w:rPr>
          <w:rFonts w:asciiTheme="majorHAnsi" w:hAnsiTheme="majorHAnsi"/>
          <w:i/>
        </w:rPr>
      </w:pPr>
    </w:p>
    <w:p w14:paraId="46E49322" w14:textId="77777777" w:rsidR="00183EC4" w:rsidRPr="00820C89" w:rsidRDefault="00D57B55" w:rsidP="002120B6">
      <w:pPr>
        <w:spacing w:before="60" w:after="60"/>
        <w:rPr>
          <w:rFonts w:asciiTheme="majorHAnsi" w:hAnsiTheme="majorHAnsi"/>
          <w:i/>
        </w:rPr>
      </w:pPr>
      <w:r w:rsidRPr="00820C89">
        <w:rPr>
          <w:rFonts w:asciiTheme="majorHAnsi" w:hAnsiTheme="majorHAnsi"/>
        </w:rPr>
        <w:t>Taken together, t</w:t>
      </w:r>
      <w:r w:rsidR="00AA0631" w:rsidRPr="00820C89">
        <w:rPr>
          <w:rFonts w:asciiTheme="majorHAnsi" w:hAnsiTheme="majorHAnsi"/>
        </w:rPr>
        <w:t xml:space="preserve">hese competing perspectives </w:t>
      </w:r>
      <w:r w:rsidRPr="00820C89">
        <w:rPr>
          <w:rFonts w:asciiTheme="majorHAnsi" w:hAnsiTheme="majorHAnsi"/>
        </w:rPr>
        <w:t>suggest that</w:t>
      </w:r>
      <w:r w:rsidR="0057765A" w:rsidRPr="00820C89">
        <w:rPr>
          <w:rFonts w:asciiTheme="majorHAnsi" w:hAnsiTheme="majorHAnsi"/>
        </w:rPr>
        <w:t xml:space="preserve"> care should be taken when</w:t>
      </w:r>
      <w:r w:rsidR="009B3AE8" w:rsidRPr="00820C89">
        <w:rPr>
          <w:rFonts w:asciiTheme="majorHAnsi" w:hAnsiTheme="majorHAnsi"/>
        </w:rPr>
        <w:t xml:space="preserve"> </w:t>
      </w:r>
      <w:r w:rsidR="0057765A" w:rsidRPr="00820C89">
        <w:rPr>
          <w:rFonts w:asciiTheme="majorHAnsi" w:hAnsiTheme="majorHAnsi"/>
        </w:rPr>
        <w:t xml:space="preserve">encouraging participants to complete qualifications </w:t>
      </w:r>
      <w:r w:rsidR="009B3AE8" w:rsidRPr="00820C89">
        <w:rPr>
          <w:rFonts w:asciiTheme="majorHAnsi" w:hAnsiTheme="majorHAnsi"/>
        </w:rPr>
        <w:t>to ensure that the courses are both highly in-demand, relevant and of direct interest to the jobseeker.</w:t>
      </w:r>
      <w:r w:rsidR="00982DF7" w:rsidRPr="00820C89">
        <w:rPr>
          <w:rFonts w:asciiTheme="majorHAnsi" w:hAnsiTheme="majorHAnsi"/>
          <w:i/>
        </w:rPr>
        <w:t>4</w:t>
      </w:r>
    </w:p>
    <w:p w14:paraId="49ED4749" w14:textId="77777777" w:rsidR="0040692E" w:rsidRPr="00820C89" w:rsidRDefault="0040692E" w:rsidP="00715F70">
      <w:pPr>
        <w:keepNext/>
        <w:keepLines/>
        <w:numPr>
          <w:ilvl w:val="2"/>
          <w:numId w:val="12"/>
        </w:numPr>
        <w:spacing w:before="240" w:after="60"/>
        <w:outlineLvl w:val="2"/>
        <w:rPr>
          <w:rFonts w:asciiTheme="majorHAnsi" w:eastAsiaTheme="majorEastAsia" w:hAnsiTheme="majorHAnsi" w:cstheme="majorBidi"/>
          <w:b/>
        </w:rPr>
      </w:pPr>
      <w:r w:rsidRPr="00820C89">
        <w:rPr>
          <w:rFonts w:asciiTheme="majorHAnsi" w:eastAsiaTheme="majorEastAsia" w:hAnsiTheme="majorHAnsi" w:cstheme="majorBidi"/>
          <w:b/>
        </w:rPr>
        <w:t>Participants develop improved wellbeing</w:t>
      </w:r>
    </w:p>
    <w:p w14:paraId="2ED488D9" w14:textId="77777777" w:rsidR="00F30220" w:rsidRPr="00820C89" w:rsidRDefault="00F30220" w:rsidP="0040692E">
      <w:pPr>
        <w:rPr>
          <w:rFonts w:asciiTheme="majorHAnsi" w:hAnsiTheme="majorHAnsi"/>
        </w:rPr>
      </w:pPr>
      <w:r w:rsidRPr="00820C89">
        <w:rPr>
          <w:rFonts w:asciiTheme="majorHAnsi" w:hAnsiTheme="majorHAnsi"/>
        </w:rPr>
        <w:t xml:space="preserve">While there is </w:t>
      </w:r>
      <w:r w:rsidR="0090683F" w:rsidRPr="00820C89">
        <w:rPr>
          <w:rFonts w:asciiTheme="majorHAnsi" w:hAnsiTheme="majorHAnsi"/>
        </w:rPr>
        <w:t xml:space="preserve">no single definition of wellbeing, the </w:t>
      </w:r>
      <w:r w:rsidR="00D045B7" w:rsidRPr="00820C89">
        <w:rPr>
          <w:rFonts w:asciiTheme="majorHAnsi" w:hAnsiTheme="majorHAnsi"/>
        </w:rPr>
        <w:t>concept</w:t>
      </w:r>
      <w:r w:rsidR="0090683F" w:rsidRPr="00820C89">
        <w:rPr>
          <w:rFonts w:asciiTheme="majorHAnsi" w:hAnsiTheme="majorHAnsi"/>
        </w:rPr>
        <w:t xml:space="preserve"> </w:t>
      </w:r>
      <w:r w:rsidR="0000578B" w:rsidRPr="00820C89">
        <w:rPr>
          <w:rFonts w:asciiTheme="majorHAnsi" w:hAnsiTheme="majorHAnsi"/>
        </w:rPr>
        <w:t>is generally understood to mean the presence of positive emotions</w:t>
      </w:r>
      <w:r w:rsidR="00DE55D7" w:rsidRPr="00820C89">
        <w:rPr>
          <w:rFonts w:asciiTheme="majorHAnsi" w:hAnsiTheme="majorHAnsi"/>
        </w:rPr>
        <w:t xml:space="preserve">, </w:t>
      </w:r>
      <w:r w:rsidR="0000578B" w:rsidRPr="00820C89">
        <w:rPr>
          <w:rFonts w:asciiTheme="majorHAnsi" w:hAnsiTheme="majorHAnsi"/>
        </w:rPr>
        <w:t xml:space="preserve">satisfaction with life, </w:t>
      </w:r>
      <w:r w:rsidR="00AE7A71" w:rsidRPr="00820C89">
        <w:rPr>
          <w:rFonts w:asciiTheme="majorHAnsi" w:hAnsiTheme="majorHAnsi"/>
        </w:rPr>
        <w:t xml:space="preserve">fulfilment </w:t>
      </w:r>
      <w:r w:rsidR="00A6216A" w:rsidRPr="00820C89">
        <w:rPr>
          <w:rFonts w:asciiTheme="majorHAnsi" w:hAnsiTheme="majorHAnsi"/>
        </w:rPr>
        <w:t>and a state of physical and mental good health.</w:t>
      </w:r>
      <w:r w:rsidR="00477C58" w:rsidRPr="00820C89">
        <w:rPr>
          <w:rStyle w:val="FootnoteReference"/>
          <w:rFonts w:asciiTheme="majorHAnsi" w:hAnsiTheme="majorHAnsi"/>
        </w:rPr>
        <w:footnoteReference w:id="53"/>
      </w:r>
      <w:r w:rsidR="005231D7" w:rsidRPr="00820C89">
        <w:rPr>
          <w:rFonts w:asciiTheme="majorHAnsi" w:hAnsiTheme="majorHAnsi"/>
        </w:rPr>
        <w:t xml:space="preserve"> Wellbeing </w:t>
      </w:r>
      <w:r w:rsidR="00955C28" w:rsidRPr="00820C89">
        <w:rPr>
          <w:rFonts w:asciiTheme="majorHAnsi" w:hAnsiTheme="majorHAnsi"/>
        </w:rPr>
        <w:t>is generally influenced b</w:t>
      </w:r>
      <w:r w:rsidR="00892753" w:rsidRPr="00820C89">
        <w:rPr>
          <w:rFonts w:asciiTheme="majorHAnsi" w:hAnsiTheme="majorHAnsi"/>
        </w:rPr>
        <w:t xml:space="preserve">y a wide range of factors, </w:t>
      </w:r>
      <w:r w:rsidR="001E734A" w:rsidRPr="00820C89">
        <w:rPr>
          <w:rFonts w:asciiTheme="majorHAnsi" w:hAnsiTheme="majorHAnsi"/>
        </w:rPr>
        <w:t xml:space="preserve">including individuals </w:t>
      </w:r>
      <w:r w:rsidR="000D1E1A" w:rsidRPr="00820C89">
        <w:rPr>
          <w:rFonts w:asciiTheme="majorHAnsi" w:hAnsiTheme="majorHAnsi"/>
        </w:rPr>
        <w:t xml:space="preserve">health, </w:t>
      </w:r>
      <w:r w:rsidR="00BA3D62" w:rsidRPr="00820C89">
        <w:rPr>
          <w:rFonts w:asciiTheme="majorHAnsi" w:hAnsiTheme="majorHAnsi"/>
        </w:rPr>
        <w:t>relationships</w:t>
      </w:r>
      <w:r w:rsidR="0067433B" w:rsidRPr="00820C89">
        <w:rPr>
          <w:rFonts w:asciiTheme="majorHAnsi" w:hAnsiTheme="majorHAnsi"/>
        </w:rPr>
        <w:t xml:space="preserve"> with others</w:t>
      </w:r>
      <w:r w:rsidR="00BA3D62" w:rsidRPr="00820C89">
        <w:rPr>
          <w:rFonts w:asciiTheme="majorHAnsi" w:hAnsiTheme="majorHAnsi"/>
        </w:rPr>
        <w:t xml:space="preserve"> </w:t>
      </w:r>
      <w:r w:rsidR="00A06F69" w:rsidRPr="00820C89">
        <w:rPr>
          <w:rFonts w:asciiTheme="majorHAnsi" w:hAnsiTheme="majorHAnsi"/>
        </w:rPr>
        <w:t>and availability and access to basic resources.</w:t>
      </w:r>
      <w:r w:rsidR="001E734A" w:rsidRPr="00820C89">
        <w:rPr>
          <w:rFonts w:asciiTheme="majorHAnsi" w:hAnsiTheme="majorHAnsi"/>
        </w:rPr>
        <w:t xml:space="preserve"> </w:t>
      </w:r>
      <w:r w:rsidR="00F43A29" w:rsidRPr="00820C89">
        <w:rPr>
          <w:rFonts w:asciiTheme="majorHAnsi" w:hAnsiTheme="majorHAnsi"/>
        </w:rPr>
        <w:t xml:space="preserve">Given the inherently subjective nature of the concept, wellbeing is </w:t>
      </w:r>
      <w:r w:rsidR="009E62E2" w:rsidRPr="00820C89">
        <w:rPr>
          <w:rFonts w:asciiTheme="majorHAnsi" w:hAnsiTheme="majorHAnsi"/>
        </w:rPr>
        <w:t>typically measured by self-reports.</w:t>
      </w:r>
      <w:r w:rsidR="007D4D09" w:rsidRPr="00820C89">
        <w:rPr>
          <w:rStyle w:val="FootnoteReference"/>
          <w:rFonts w:asciiTheme="majorHAnsi" w:hAnsiTheme="majorHAnsi"/>
        </w:rPr>
        <w:t xml:space="preserve"> </w:t>
      </w:r>
      <w:r w:rsidR="007D4D09" w:rsidRPr="00820C89">
        <w:rPr>
          <w:rStyle w:val="FootnoteReference"/>
          <w:rFonts w:asciiTheme="majorHAnsi" w:hAnsiTheme="majorHAnsi"/>
        </w:rPr>
        <w:footnoteReference w:id="54"/>
      </w:r>
      <w:r w:rsidR="007D4D09" w:rsidRPr="00820C89">
        <w:rPr>
          <w:rFonts w:asciiTheme="majorHAnsi" w:hAnsiTheme="majorHAnsi"/>
        </w:rPr>
        <w:t xml:space="preserve"> </w:t>
      </w:r>
      <w:r w:rsidR="00F43A29" w:rsidRPr="00820C89">
        <w:rPr>
          <w:rFonts w:asciiTheme="majorHAnsi" w:hAnsiTheme="majorHAnsi"/>
        </w:rPr>
        <w:t xml:space="preserve"> </w:t>
      </w:r>
    </w:p>
    <w:p w14:paraId="2A92B1B1" w14:textId="77777777" w:rsidR="004A06C9" w:rsidRPr="00820C89" w:rsidRDefault="004A06C9" w:rsidP="0040692E">
      <w:pPr>
        <w:rPr>
          <w:rFonts w:asciiTheme="majorHAnsi" w:hAnsiTheme="majorHAnsi"/>
        </w:rPr>
      </w:pPr>
      <w:r w:rsidRPr="00820C89">
        <w:rPr>
          <w:rFonts w:asciiTheme="majorHAnsi" w:hAnsiTheme="majorHAnsi"/>
        </w:rPr>
        <w:t xml:space="preserve">Research such as the </w:t>
      </w:r>
      <w:r w:rsidRPr="00820C89">
        <w:rPr>
          <w:rFonts w:asciiTheme="majorHAnsi" w:hAnsiTheme="majorHAnsi"/>
          <w:i/>
        </w:rPr>
        <w:t xml:space="preserve">Mayi Kuwayu Study: the National Study of Aboriginal and Torres Strait Islander Wellbeing </w:t>
      </w:r>
      <w:r w:rsidRPr="00820C89">
        <w:rPr>
          <w:rFonts w:asciiTheme="majorHAnsi" w:hAnsiTheme="majorHAnsi"/>
        </w:rPr>
        <w:t xml:space="preserve">have expanded and adapted this concept to an Indigenous context. The study considers </w:t>
      </w:r>
      <w:r w:rsidR="00AF2CB5" w:rsidRPr="00820C89">
        <w:rPr>
          <w:rFonts w:asciiTheme="majorHAnsi" w:hAnsiTheme="majorHAnsi"/>
        </w:rPr>
        <w:t>the correlations and linkages between</w:t>
      </w:r>
      <w:r w:rsidRPr="00820C89">
        <w:rPr>
          <w:rFonts w:asciiTheme="majorHAnsi" w:hAnsiTheme="majorHAnsi"/>
        </w:rPr>
        <w:t xml:space="preserve"> Aboriginal and Torres Strait Islander </w:t>
      </w:r>
      <w:r w:rsidR="00AF2CB5" w:rsidRPr="00820C89">
        <w:rPr>
          <w:rFonts w:asciiTheme="majorHAnsi" w:hAnsiTheme="majorHAnsi"/>
        </w:rPr>
        <w:t xml:space="preserve">concepts and practices such as </w:t>
      </w:r>
      <w:r w:rsidRPr="00820C89">
        <w:rPr>
          <w:rFonts w:asciiTheme="majorHAnsi" w:hAnsiTheme="majorHAnsi"/>
        </w:rPr>
        <w:t>connection to country, cultural practices, spirituality and language use.</w:t>
      </w:r>
      <w:r w:rsidRPr="00820C89">
        <w:rPr>
          <w:rStyle w:val="FootnoteReference"/>
          <w:rFonts w:asciiTheme="majorHAnsi" w:hAnsiTheme="majorHAnsi"/>
        </w:rPr>
        <w:footnoteReference w:id="55"/>
      </w:r>
    </w:p>
    <w:p w14:paraId="58B7AA5E" w14:textId="77777777" w:rsidR="00AF2CB5" w:rsidRPr="00820C89" w:rsidRDefault="008B6916" w:rsidP="009B6522">
      <w:pPr>
        <w:rPr>
          <w:rFonts w:asciiTheme="majorHAnsi" w:hAnsiTheme="majorHAnsi"/>
        </w:rPr>
      </w:pPr>
      <w:r w:rsidRPr="00820C89">
        <w:rPr>
          <w:rFonts w:asciiTheme="majorHAnsi" w:hAnsiTheme="majorHAnsi"/>
        </w:rPr>
        <w:t xml:space="preserve">An individual’s employment status is also likely to impact their wellbeing. </w:t>
      </w:r>
      <w:r w:rsidR="000F3BF7" w:rsidRPr="00820C89">
        <w:rPr>
          <w:rFonts w:asciiTheme="majorHAnsi" w:hAnsiTheme="majorHAnsi"/>
        </w:rPr>
        <w:t xml:space="preserve">For example, </w:t>
      </w:r>
      <w:r w:rsidR="003701C7" w:rsidRPr="00820C89">
        <w:rPr>
          <w:rFonts w:asciiTheme="majorHAnsi" w:hAnsiTheme="majorHAnsi"/>
        </w:rPr>
        <w:t xml:space="preserve">studies suggest that paid employment is critical </w:t>
      </w:r>
      <w:r w:rsidR="00B01B4F" w:rsidRPr="00820C89">
        <w:rPr>
          <w:rFonts w:asciiTheme="majorHAnsi" w:hAnsiTheme="majorHAnsi"/>
        </w:rPr>
        <w:t>to</w:t>
      </w:r>
      <w:r w:rsidR="003701C7" w:rsidRPr="00820C89">
        <w:rPr>
          <w:rFonts w:asciiTheme="majorHAnsi" w:hAnsiTheme="majorHAnsi"/>
        </w:rPr>
        <w:t xml:space="preserve"> individual wellbeing by providing access to resources, </w:t>
      </w:r>
      <w:r w:rsidR="00E665AF" w:rsidRPr="00820C89">
        <w:rPr>
          <w:rFonts w:asciiTheme="majorHAnsi" w:hAnsiTheme="majorHAnsi"/>
        </w:rPr>
        <w:t>as well as fostering a sense of meaning and purpose</w:t>
      </w:r>
      <w:r w:rsidR="0045504B" w:rsidRPr="00820C89">
        <w:rPr>
          <w:rFonts w:asciiTheme="majorHAnsi" w:hAnsiTheme="majorHAnsi"/>
        </w:rPr>
        <w:t>.</w:t>
      </w:r>
      <w:r w:rsidR="00803B8D" w:rsidRPr="00820C89">
        <w:rPr>
          <w:rStyle w:val="FootnoteReference"/>
          <w:rFonts w:asciiTheme="majorHAnsi" w:hAnsiTheme="majorHAnsi"/>
        </w:rPr>
        <w:footnoteReference w:id="56"/>
      </w:r>
      <w:r w:rsidR="00E665AF" w:rsidRPr="00820C89">
        <w:rPr>
          <w:rFonts w:asciiTheme="majorHAnsi" w:hAnsiTheme="majorHAnsi"/>
        </w:rPr>
        <w:t xml:space="preserve"> </w:t>
      </w:r>
      <w:r w:rsidR="00E95B63" w:rsidRPr="00820C89">
        <w:rPr>
          <w:rFonts w:asciiTheme="majorHAnsi" w:hAnsiTheme="majorHAnsi"/>
        </w:rPr>
        <w:t xml:space="preserve">Further, unemployment has been associated </w:t>
      </w:r>
      <w:r w:rsidR="00E95B63" w:rsidRPr="00820C89">
        <w:rPr>
          <w:rFonts w:asciiTheme="majorHAnsi" w:hAnsiTheme="majorHAnsi"/>
        </w:rPr>
        <w:lastRenderedPageBreak/>
        <w:t>with lower levels of wellbeing both in the short and long-term.</w:t>
      </w:r>
      <w:r w:rsidR="0023735F" w:rsidRPr="00820C89">
        <w:rPr>
          <w:rStyle w:val="FootnoteReference"/>
          <w:rFonts w:asciiTheme="majorHAnsi" w:hAnsiTheme="majorHAnsi"/>
        </w:rPr>
        <w:footnoteReference w:id="57"/>
      </w:r>
      <w:r w:rsidR="00654284" w:rsidRPr="00820C89">
        <w:rPr>
          <w:rFonts w:asciiTheme="majorHAnsi" w:hAnsiTheme="majorHAnsi"/>
        </w:rPr>
        <w:t xml:space="preserve"> </w:t>
      </w:r>
      <w:r w:rsidR="00AF2CB5" w:rsidRPr="00820C89">
        <w:rPr>
          <w:rFonts w:asciiTheme="majorHAnsi" w:hAnsiTheme="majorHAnsi"/>
        </w:rPr>
        <w:t xml:space="preserve">However, the caveat to this, is that, for employment to have a positive impact on wellbeing, employers must be culturally competent and provide a safe and welcoming environment. The </w:t>
      </w:r>
      <w:r w:rsidR="00AF2CB5" w:rsidRPr="00820C89">
        <w:rPr>
          <w:rFonts w:asciiTheme="majorHAnsi" w:hAnsiTheme="majorHAnsi"/>
          <w:i/>
        </w:rPr>
        <w:t xml:space="preserve">Gari Yala </w:t>
      </w:r>
      <w:r w:rsidR="00AF2CB5" w:rsidRPr="00820C89">
        <w:rPr>
          <w:rFonts w:asciiTheme="majorHAnsi" w:hAnsiTheme="majorHAnsi"/>
        </w:rPr>
        <w:t xml:space="preserve">report found that </w:t>
      </w:r>
      <w:r w:rsidR="00F500A7" w:rsidRPr="00820C89">
        <w:rPr>
          <w:rFonts w:asciiTheme="majorHAnsi" w:hAnsiTheme="majorHAnsi"/>
        </w:rPr>
        <w:t xml:space="preserve">culturally unsafe workplaces significantly decreased Indigenous </w:t>
      </w:r>
      <w:r w:rsidR="0053095C" w:rsidRPr="00820C89">
        <w:rPr>
          <w:rFonts w:asciiTheme="majorHAnsi" w:hAnsiTheme="majorHAnsi"/>
        </w:rPr>
        <w:t>workers’</w:t>
      </w:r>
      <w:r w:rsidR="00F500A7" w:rsidRPr="00820C89">
        <w:rPr>
          <w:rFonts w:asciiTheme="majorHAnsi" w:hAnsiTheme="majorHAnsi"/>
        </w:rPr>
        <w:t xml:space="preserve"> wellbeing and retention.</w:t>
      </w:r>
      <w:r w:rsidR="00F500A7" w:rsidRPr="00820C89">
        <w:rPr>
          <w:rStyle w:val="FootnoteReference"/>
          <w:rFonts w:asciiTheme="majorHAnsi" w:hAnsiTheme="majorHAnsi"/>
        </w:rPr>
        <w:footnoteReference w:id="58"/>
      </w:r>
      <w:r w:rsidR="00F500A7" w:rsidRPr="00820C89">
        <w:rPr>
          <w:rFonts w:asciiTheme="majorHAnsi" w:hAnsiTheme="majorHAnsi"/>
        </w:rPr>
        <w:t xml:space="preserve">  </w:t>
      </w:r>
    </w:p>
    <w:p w14:paraId="190FB48A" w14:textId="77777777" w:rsidR="0040692E" w:rsidRPr="00820C89" w:rsidRDefault="0040692E" w:rsidP="000B37B7">
      <w:pPr>
        <w:spacing w:after="0"/>
        <w:rPr>
          <w:rFonts w:asciiTheme="majorHAnsi" w:hAnsiTheme="majorHAnsi"/>
        </w:rPr>
      </w:pPr>
      <w:r w:rsidRPr="00820C89">
        <w:rPr>
          <w:rFonts w:asciiTheme="majorHAnsi" w:hAnsiTheme="majorHAnsi"/>
        </w:rPr>
        <w:t xml:space="preserve">The IEP </w:t>
      </w:r>
      <w:r w:rsidR="002C4E6D" w:rsidRPr="00820C89">
        <w:rPr>
          <w:rFonts w:asciiTheme="majorHAnsi" w:hAnsiTheme="majorHAnsi"/>
        </w:rPr>
        <w:t>is</w:t>
      </w:r>
      <w:r w:rsidRPr="00820C89">
        <w:rPr>
          <w:rFonts w:asciiTheme="majorHAnsi" w:hAnsiTheme="majorHAnsi"/>
        </w:rPr>
        <w:t xml:space="preserve"> intended to improve the wellbeing of program participants by:</w:t>
      </w:r>
    </w:p>
    <w:p w14:paraId="0A8DC430" w14:textId="77777777" w:rsidR="0040692E" w:rsidRPr="00820C89" w:rsidRDefault="0040692E" w:rsidP="00715F70">
      <w:pPr>
        <w:numPr>
          <w:ilvl w:val="0"/>
          <w:numId w:val="23"/>
        </w:numPr>
        <w:spacing w:before="60" w:after="60"/>
        <w:ind w:left="357" w:hanging="357"/>
        <w:rPr>
          <w:rFonts w:asciiTheme="majorHAnsi" w:hAnsiTheme="majorHAnsi"/>
        </w:rPr>
      </w:pPr>
      <w:r w:rsidRPr="00820C89">
        <w:rPr>
          <w:rFonts w:asciiTheme="majorHAnsi" w:hAnsiTheme="majorHAnsi"/>
        </w:rPr>
        <w:t>addressing broad ranging barriers to employment (including health, housing, confidence etc</w:t>
      </w:r>
      <w:r w:rsidR="008862B7" w:rsidRPr="00820C89">
        <w:rPr>
          <w:rFonts w:asciiTheme="majorHAnsi" w:hAnsiTheme="majorHAnsi"/>
          <w:bCs/>
          <w:iCs/>
        </w:rPr>
        <w:t>.)</w:t>
      </w:r>
    </w:p>
    <w:p w14:paraId="7BAC25CC" w14:textId="77777777" w:rsidR="0040692E" w:rsidRPr="00820C89" w:rsidRDefault="0040692E" w:rsidP="00715F70">
      <w:pPr>
        <w:numPr>
          <w:ilvl w:val="0"/>
          <w:numId w:val="23"/>
        </w:numPr>
        <w:spacing w:before="60" w:after="60"/>
        <w:ind w:left="357" w:hanging="357"/>
        <w:rPr>
          <w:rFonts w:asciiTheme="majorHAnsi" w:hAnsiTheme="majorHAnsi"/>
        </w:rPr>
      </w:pPr>
      <w:r w:rsidRPr="00820C89">
        <w:rPr>
          <w:rFonts w:asciiTheme="majorHAnsi" w:hAnsiTheme="majorHAnsi"/>
        </w:rPr>
        <w:t>supporting participants to develop new support networks</w:t>
      </w:r>
    </w:p>
    <w:p w14:paraId="16330470" w14:textId="77777777" w:rsidR="0040692E" w:rsidRPr="00820C89" w:rsidRDefault="0040692E" w:rsidP="00715F70">
      <w:pPr>
        <w:numPr>
          <w:ilvl w:val="0"/>
          <w:numId w:val="23"/>
        </w:numPr>
        <w:spacing w:before="60" w:after="60"/>
        <w:ind w:left="357" w:hanging="357"/>
        <w:rPr>
          <w:rFonts w:asciiTheme="majorHAnsi" w:hAnsiTheme="majorHAnsi"/>
        </w:rPr>
      </w:pPr>
      <w:r w:rsidRPr="00820C89">
        <w:rPr>
          <w:rFonts w:asciiTheme="majorHAnsi" w:hAnsiTheme="majorHAnsi"/>
        </w:rPr>
        <w:t xml:space="preserve">increasing </w:t>
      </w:r>
      <w:r w:rsidRPr="00820C89">
        <w:rPr>
          <w:rFonts w:asciiTheme="majorHAnsi" w:hAnsiTheme="majorHAnsi"/>
          <w:bCs/>
          <w:iCs/>
        </w:rPr>
        <w:t>participants</w:t>
      </w:r>
      <w:r w:rsidR="00EE273B" w:rsidRPr="00820C89">
        <w:rPr>
          <w:rFonts w:asciiTheme="majorHAnsi" w:hAnsiTheme="majorHAnsi"/>
          <w:bCs/>
          <w:iCs/>
        </w:rPr>
        <w:t>’</w:t>
      </w:r>
      <w:r w:rsidRPr="00820C89">
        <w:rPr>
          <w:rFonts w:asciiTheme="majorHAnsi" w:hAnsiTheme="majorHAnsi"/>
        </w:rPr>
        <w:t xml:space="preserve"> income and financial security</w:t>
      </w:r>
    </w:p>
    <w:p w14:paraId="3E3E03F2" w14:textId="77777777" w:rsidR="0040692E" w:rsidRPr="00820C89" w:rsidRDefault="0040692E" w:rsidP="00715F70">
      <w:pPr>
        <w:numPr>
          <w:ilvl w:val="0"/>
          <w:numId w:val="23"/>
        </w:numPr>
        <w:spacing w:before="60" w:after="60"/>
        <w:ind w:left="357" w:hanging="357"/>
        <w:rPr>
          <w:rFonts w:asciiTheme="majorHAnsi" w:hAnsiTheme="majorHAnsi"/>
        </w:rPr>
      </w:pPr>
      <w:r w:rsidRPr="00820C89">
        <w:rPr>
          <w:rFonts w:asciiTheme="majorHAnsi" w:hAnsiTheme="majorHAnsi"/>
        </w:rPr>
        <w:t xml:space="preserve">increasing </w:t>
      </w:r>
      <w:r w:rsidRPr="00820C89">
        <w:rPr>
          <w:rFonts w:asciiTheme="majorHAnsi" w:hAnsiTheme="majorHAnsi"/>
          <w:bCs/>
          <w:iCs/>
        </w:rPr>
        <w:t>participants</w:t>
      </w:r>
      <w:r w:rsidR="00EE273B" w:rsidRPr="00820C89">
        <w:rPr>
          <w:rFonts w:asciiTheme="majorHAnsi" w:hAnsiTheme="majorHAnsi"/>
          <w:bCs/>
          <w:iCs/>
        </w:rPr>
        <w:t>’</w:t>
      </w:r>
      <w:r w:rsidRPr="00820C89">
        <w:rPr>
          <w:rFonts w:asciiTheme="majorHAnsi" w:hAnsiTheme="majorHAnsi"/>
        </w:rPr>
        <w:t xml:space="preserve"> trust in mainstream employment and employment services.</w:t>
      </w:r>
    </w:p>
    <w:p w14:paraId="6C2A2AC9" w14:textId="77777777" w:rsidR="0040692E" w:rsidRPr="00820C89" w:rsidRDefault="0040692E" w:rsidP="000B37B7">
      <w:pPr>
        <w:spacing w:before="170" w:after="0"/>
        <w:rPr>
          <w:rFonts w:asciiTheme="majorHAnsi" w:hAnsiTheme="majorHAnsi"/>
        </w:rPr>
      </w:pPr>
      <w:r w:rsidRPr="00820C89">
        <w:rPr>
          <w:rFonts w:asciiTheme="majorHAnsi" w:hAnsiTheme="majorHAnsi"/>
        </w:rPr>
        <w:t>To establish whether this outcome has been met, evidence needs to establish:</w:t>
      </w:r>
    </w:p>
    <w:p w14:paraId="28B852FD" w14:textId="77777777" w:rsidR="0040692E" w:rsidRPr="00820C89" w:rsidRDefault="0040692E" w:rsidP="00715F70">
      <w:pPr>
        <w:numPr>
          <w:ilvl w:val="0"/>
          <w:numId w:val="23"/>
        </w:numPr>
        <w:spacing w:before="60" w:after="60"/>
        <w:ind w:left="357" w:hanging="357"/>
        <w:rPr>
          <w:rFonts w:asciiTheme="majorHAnsi" w:hAnsiTheme="majorHAnsi"/>
        </w:rPr>
      </w:pPr>
      <w:r w:rsidRPr="00820C89">
        <w:rPr>
          <w:rFonts w:asciiTheme="majorHAnsi" w:hAnsiTheme="majorHAnsi"/>
        </w:rPr>
        <w:t>the extent to which participants report that their wellbeing has improved over the course of the program</w:t>
      </w:r>
    </w:p>
    <w:p w14:paraId="42547207" w14:textId="77777777" w:rsidR="0040692E" w:rsidRPr="00820C89" w:rsidRDefault="0040692E" w:rsidP="00715F70">
      <w:pPr>
        <w:numPr>
          <w:ilvl w:val="0"/>
          <w:numId w:val="23"/>
        </w:numPr>
        <w:spacing w:before="60" w:after="60"/>
        <w:ind w:left="357" w:hanging="357"/>
        <w:rPr>
          <w:rFonts w:asciiTheme="majorHAnsi" w:hAnsiTheme="majorHAnsi"/>
        </w:rPr>
      </w:pPr>
      <w:r w:rsidRPr="00820C89">
        <w:rPr>
          <w:rFonts w:asciiTheme="majorHAnsi" w:hAnsiTheme="majorHAnsi"/>
        </w:rPr>
        <w:t>the aspects of the program or employment that participants identify has had the greatest impact on their wellbeing</w:t>
      </w:r>
    </w:p>
    <w:p w14:paraId="3CA74046" w14:textId="77777777" w:rsidR="0040692E" w:rsidRPr="00820C89" w:rsidRDefault="0040692E" w:rsidP="00715F70">
      <w:pPr>
        <w:numPr>
          <w:ilvl w:val="0"/>
          <w:numId w:val="23"/>
        </w:numPr>
        <w:spacing w:before="60" w:after="60"/>
        <w:ind w:left="357" w:hanging="357"/>
        <w:rPr>
          <w:rFonts w:asciiTheme="majorHAnsi" w:hAnsiTheme="majorHAnsi"/>
        </w:rPr>
      </w:pPr>
      <w:r w:rsidRPr="00820C89">
        <w:rPr>
          <w:rFonts w:asciiTheme="majorHAnsi" w:hAnsiTheme="majorHAnsi"/>
        </w:rPr>
        <w:t>the extent to which improvements in wellbeing enable participants to obtain and maintain employment.</w:t>
      </w:r>
    </w:p>
    <w:p w14:paraId="77598D13" w14:textId="77777777" w:rsidR="0040692E" w:rsidRPr="00820C89" w:rsidRDefault="0040692E" w:rsidP="00432016">
      <w:pPr>
        <w:keepNext/>
        <w:keepLines/>
        <w:tabs>
          <w:tab w:val="left" w:pos="340"/>
        </w:tabs>
        <w:spacing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this outcome</w:t>
      </w:r>
    </w:p>
    <w:p w14:paraId="41861554" w14:textId="77777777" w:rsidR="00F539B6" w:rsidRPr="00820C89" w:rsidRDefault="0040692E" w:rsidP="0040692E">
      <w:pPr>
        <w:rPr>
          <w:rFonts w:asciiTheme="majorHAnsi" w:hAnsiTheme="majorHAnsi"/>
        </w:rPr>
      </w:pPr>
      <w:r w:rsidRPr="00820C89">
        <w:rPr>
          <w:rFonts w:asciiTheme="majorHAnsi" w:hAnsiTheme="majorHAnsi"/>
        </w:rPr>
        <w:t xml:space="preserve">The </w:t>
      </w:r>
      <w:r w:rsidR="00A03D0E" w:rsidRPr="00820C89">
        <w:rPr>
          <w:rFonts w:asciiTheme="majorHAnsi" w:hAnsiTheme="majorHAnsi"/>
        </w:rPr>
        <w:t>sub-programs</w:t>
      </w:r>
      <w:r w:rsidRPr="00820C89">
        <w:rPr>
          <w:rFonts w:asciiTheme="majorHAnsi" w:hAnsiTheme="majorHAnsi"/>
        </w:rPr>
        <w:t xml:space="preserve"> do not measure participant wellbeing in a systematic or rigorous manner, meaning that there is limited visibility over the effectiveness of the programs in achieving this outcome.</w:t>
      </w:r>
    </w:p>
    <w:p w14:paraId="4FED0212" w14:textId="77777777" w:rsidR="0040692E" w:rsidRPr="00820C89" w:rsidRDefault="0040692E" w:rsidP="0040692E">
      <w:pPr>
        <w:rPr>
          <w:rFonts w:asciiTheme="majorHAnsi" w:hAnsiTheme="majorHAnsi"/>
        </w:rPr>
      </w:pPr>
      <w:r w:rsidRPr="00820C89">
        <w:rPr>
          <w:rFonts w:asciiTheme="majorHAnsi" w:hAnsiTheme="majorHAnsi"/>
        </w:rPr>
        <w:t xml:space="preserve">Further, this means that any measurement of participant wellbeing will inevitably rely on self-reported measures, which may be influenced by subjectivity biases as well as participants reluctance to disclose sensitive information. </w:t>
      </w:r>
    </w:p>
    <w:p w14:paraId="52753C1D" w14:textId="77777777" w:rsidR="0040692E" w:rsidRPr="00820C89" w:rsidRDefault="0040692E" w:rsidP="0040692E">
      <w:pPr>
        <w:rPr>
          <w:rFonts w:asciiTheme="majorHAnsi" w:hAnsiTheme="majorHAnsi"/>
        </w:rPr>
      </w:pPr>
      <w:r w:rsidRPr="00820C89">
        <w:rPr>
          <w:rFonts w:asciiTheme="majorHAnsi" w:hAnsiTheme="majorHAnsi"/>
        </w:rPr>
        <w:t>Provider consultations suggest that IEP participants, particularly in VTEC and TAEG, enter the program with highly variable levels of physical and mental health. For example, one provider summarised that:</w:t>
      </w:r>
    </w:p>
    <w:p w14:paraId="768FFAA0" w14:textId="77777777" w:rsidR="0040692E" w:rsidRPr="00820C89" w:rsidRDefault="0040692E" w:rsidP="001701D1">
      <w:pPr>
        <w:spacing w:after="0"/>
        <w:ind w:left="357"/>
        <w:contextualSpacing/>
        <w:rPr>
          <w:rFonts w:asciiTheme="majorHAnsi" w:hAnsiTheme="majorHAnsi"/>
          <w:i/>
        </w:rPr>
      </w:pPr>
      <w:r w:rsidRPr="00820C89">
        <w:rPr>
          <w:rFonts w:asciiTheme="majorHAnsi" w:hAnsiTheme="majorHAnsi"/>
          <w:i/>
        </w:rPr>
        <w:t xml:space="preserve">“Participants in remote and regional areas often face inter-generational trauma and welfare dependence with associated health, substance abuse and low self-esteem. Indigenous Australians are not a homogenous group and some people, depending on their level of inter-generational trauma, and notably their proximity by generation to people who were stolen, will require a combination of all of the above plus more.” (VTEC </w:t>
      </w:r>
      <w:r w:rsidR="001F1912" w:rsidRPr="00820C89">
        <w:rPr>
          <w:rFonts w:asciiTheme="majorHAnsi" w:hAnsiTheme="majorHAnsi"/>
          <w:i/>
        </w:rPr>
        <w:t>provider</w:t>
      </w:r>
      <w:r w:rsidRPr="00820C89">
        <w:rPr>
          <w:rFonts w:asciiTheme="majorHAnsi" w:hAnsiTheme="majorHAnsi"/>
          <w:i/>
        </w:rPr>
        <w:t>)</w:t>
      </w:r>
    </w:p>
    <w:p w14:paraId="0C8EC104" w14:textId="77777777" w:rsidR="0040692E" w:rsidRPr="00820C89" w:rsidRDefault="0040692E" w:rsidP="001701D1">
      <w:pPr>
        <w:spacing w:before="170"/>
        <w:rPr>
          <w:rFonts w:asciiTheme="majorHAnsi" w:hAnsiTheme="majorHAnsi"/>
        </w:rPr>
      </w:pPr>
      <w:r w:rsidRPr="00820C89">
        <w:rPr>
          <w:rFonts w:asciiTheme="majorHAnsi" w:hAnsiTheme="majorHAnsi"/>
        </w:rPr>
        <w:t>During stakeholder consultations, VTEC and TAEG providers emphasised that participant wellbeing and labour market outcomes are closely related, and that supporting participants to address physical and mental health challenges is critical to meeting employment milestones. For example, one provider summarised that:</w:t>
      </w:r>
    </w:p>
    <w:p w14:paraId="5B8F77B7" w14:textId="77777777" w:rsidR="0040692E" w:rsidRPr="00820C89" w:rsidRDefault="0040692E" w:rsidP="001701D1">
      <w:pPr>
        <w:ind w:left="357"/>
        <w:rPr>
          <w:rFonts w:asciiTheme="majorHAnsi" w:hAnsiTheme="majorHAnsi"/>
          <w:i/>
        </w:rPr>
      </w:pPr>
      <w:r w:rsidRPr="00820C89">
        <w:rPr>
          <w:rFonts w:asciiTheme="majorHAnsi" w:hAnsiTheme="majorHAnsi"/>
          <w:i/>
        </w:rPr>
        <w:t xml:space="preserve">“Supporting </w:t>
      </w:r>
      <w:r w:rsidR="006B3805" w:rsidRPr="00820C89">
        <w:rPr>
          <w:rFonts w:asciiTheme="majorHAnsi" w:hAnsiTheme="majorHAnsi"/>
          <w:i/>
        </w:rPr>
        <w:t>jobseeker</w:t>
      </w:r>
      <w:r w:rsidRPr="00820C89">
        <w:rPr>
          <w:rFonts w:asciiTheme="majorHAnsi" w:hAnsiTheme="majorHAnsi"/>
          <w:i/>
        </w:rPr>
        <w:t xml:space="preserve">s to address these barriers, often with the assistance and expertise of (Aboriginal) service providers is key to ensuring </w:t>
      </w:r>
      <w:r w:rsidR="006B3805" w:rsidRPr="00820C89">
        <w:rPr>
          <w:rFonts w:asciiTheme="majorHAnsi" w:hAnsiTheme="majorHAnsi"/>
          <w:i/>
        </w:rPr>
        <w:t>jobseeker</w:t>
      </w:r>
      <w:r w:rsidRPr="00820C89">
        <w:rPr>
          <w:rFonts w:asciiTheme="majorHAnsi" w:hAnsiTheme="majorHAnsi"/>
          <w:i/>
        </w:rPr>
        <w:t xml:space="preserve">s once commencing employment are more likely to remain at a workplace.” (VTEC </w:t>
      </w:r>
      <w:r w:rsidR="001F1912" w:rsidRPr="00820C89">
        <w:rPr>
          <w:rFonts w:asciiTheme="majorHAnsi" w:hAnsiTheme="majorHAnsi"/>
          <w:i/>
        </w:rPr>
        <w:t>provider</w:t>
      </w:r>
      <w:r w:rsidRPr="00820C89">
        <w:rPr>
          <w:rFonts w:asciiTheme="majorHAnsi" w:hAnsiTheme="majorHAnsi"/>
          <w:i/>
        </w:rPr>
        <w:t>)</w:t>
      </w:r>
    </w:p>
    <w:p w14:paraId="29F08957" w14:textId="77777777" w:rsidR="0040692E" w:rsidRPr="00820C89" w:rsidRDefault="0040692E" w:rsidP="0040692E">
      <w:pPr>
        <w:rPr>
          <w:rFonts w:asciiTheme="majorHAnsi" w:hAnsiTheme="majorHAnsi"/>
        </w:rPr>
      </w:pPr>
      <w:r w:rsidRPr="00820C89">
        <w:rPr>
          <w:rFonts w:asciiTheme="majorHAnsi" w:hAnsiTheme="majorHAnsi"/>
        </w:rPr>
        <w:t xml:space="preserve">There is some evidence to suggest that the individualised mentoring that the VTEC and TAEG programs deliver supports </w:t>
      </w:r>
      <w:r w:rsidR="00EE273B" w:rsidRPr="00820C89">
        <w:rPr>
          <w:rFonts w:asciiTheme="majorHAnsi" w:hAnsiTheme="majorHAnsi"/>
        </w:rPr>
        <w:t>participants’</w:t>
      </w:r>
      <w:r w:rsidRPr="00820C89">
        <w:rPr>
          <w:rFonts w:asciiTheme="majorHAnsi" w:hAnsiTheme="majorHAnsi"/>
        </w:rPr>
        <w:t xml:space="preserve"> physical and mental wellbeing. Provider consultations suggest that this occurs through gaining a deep understanding of participants’ background and either providing support services directly to them (likely in the form of informal counselling) or referring them to healthcare professionals. For example, providers note that:</w:t>
      </w:r>
    </w:p>
    <w:p w14:paraId="0BD18AA0" w14:textId="77777777" w:rsidR="0040692E" w:rsidRPr="00820C89" w:rsidRDefault="0040692E" w:rsidP="0040692E">
      <w:pPr>
        <w:ind w:left="360"/>
        <w:rPr>
          <w:rFonts w:asciiTheme="majorHAnsi" w:hAnsiTheme="majorHAnsi"/>
          <w:i/>
        </w:rPr>
      </w:pPr>
      <w:r w:rsidRPr="00820C89">
        <w:rPr>
          <w:rFonts w:asciiTheme="majorHAnsi" w:hAnsiTheme="majorHAnsi"/>
          <w:i/>
        </w:rPr>
        <w:t xml:space="preserve">“Our weekly pre-employment program addresses a number of barriers to employment including drug &amp; alcohol, physical fitness, mental health.” (VTEC </w:t>
      </w:r>
      <w:r w:rsidR="001F1912" w:rsidRPr="00820C89">
        <w:rPr>
          <w:rFonts w:asciiTheme="majorHAnsi" w:hAnsiTheme="majorHAnsi"/>
          <w:i/>
        </w:rPr>
        <w:t>provider</w:t>
      </w:r>
      <w:r w:rsidRPr="00820C89">
        <w:rPr>
          <w:rFonts w:asciiTheme="majorHAnsi" w:hAnsiTheme="majorHAnsi"/>
          <w:i/>
        </w:rPr>
        <w:t>)</w:t>
      </w:r>
    </w:p>
    <w:p w14:paraId="00BFE290" w14:textId="77777777" w:rsidR="0040692E" w:rsidRPr="00820C89" w:rsidRDefault="0040692E" w:rsidP="00035C61">
      <w:pPr>
        <w:ind w:left="357"/>
        <w:rPr>
          <w:rFonts w:asciiTheme="majorHAnsi" w:hAnsiTheme="majorHAnsi"/>
          <w:i/>
        </w:rPr>
      </w:pPr>
      <w:r w:rsidRPr="00820C89">
        <w:rPr>
          <w:rFonts w:asciiTheme="majorHAnsi" w:hAnsiTheme="majorHAnsi"/>
          <w:i/>
        </w:rPr>
        <w:lastRenderedPageBreak/>
        <w:t xml:space="preserve">“We look at fitness, drug use, medicals, family issues, ex-offender history, past employment history etc.” (TAEG </w:t>
      </w:r>
      <w:r w:rsidR="001F1912" w:rsidRPr="00820C89">
        <w:rPr>
          <w:rFonts w:asciiTheme="majorHAnsi" w:hAnsiTheme="majorHAnsi"/>
          <w:i/>
        </w:rPr>
        <w:t>provider</w:t>
      </w:r>
      <w:r w:rsidRPr="00820C89">
        <w:rPr>
          <w:rFonts w:asciiTheme="majorHAnsi" w:hAnsiTheme="majorHAnsi"/>
          <w:i/>
        </w:rPr>
        <w:t>)</w:t>
      </w:r>
    </w:p>
    <w:p w14:paraId="5C6357E5" w14:textId="77777777" w:rsidR="0040692E" w:rsidRPr="00820C89" w:rsidRDefault="0040692E" w:rsidP="0040692E">
      <w:pPr>
        <w:rPr>
          <w:rFonts w:asciiTheme="majorHAnsi" w:hAnsiTheme="majorHAnsi"/>
        </w:rPr>
      </w:pPr>
      <w:r w:rsidRPr="00820C89">
        <w:rPr>
          <w:rFonts w:asciiTheme="majorHAnsi" w:hAnsiTheme="majorHAnsi"/>
        </w:rPr>
        <w:t xml:space="preserve">More broadly, providers and EPI partners across </w:t>
      </w:r>
      <w:r w:rsidR="00570567" w:rsidRPr="00820C89">
        <w:rPr>
          <w:rFonts w:asciiTheme="majorHAnsi" w:hAnsiTheme="majorHAnsi"/>
        </w:rPr>
        <w:t>the sub-programs</w:t>
      </w:r>
      <w:r w:rsidRPr="00820C89">
        <w:rPr>
          <w:rFonts w:asciiTheme="majorHAnsi" w:hAnsiTheme="majorHAnsi"/>
        </w:rPr>
        <w:t xml:space="preserve"> </w:t>
      </w:r>
      <w:r w:rsidR="008670D3" w:rsidRPr="00820C89">
        <w:rPr>
          <w:rFonts w:asciiTheme="majorHAnsi" w:hAnsiTheme="majorHAnsi"/>
        </w:rPr>
        <w:t>consistently</w:t>
      </w:r>
      <w:r w:rsidR="00551149" w:rsidRPr="00820C89">
        <w:rPr>
          <w:rFonts w:asciiTheme="majorHAnsi" w:hAnsiTheme="majorHAnsi"/>
        </w:rPr>
        <w:t xml:space="preserve"> </w:t>
      </w:r>
      <w:r w:rsidRPr="00820C89">
        <w:rPr>
          <w:rFonts w:asciiTheme="majorHAnsi" w:hAnsiTheme="majorHAnsi"/>
        </w:rPr>
        <w:t xml:space="preserve">report that gaining employment can directly enhance </w:t>
      </w:r>
      <w:r w:rsidR="00EE273B" w:rsidRPr="00820C89">
        <w:rPr>
          <w:rFonts w:asciiTheme="majorHAnsi" w:hAnsiTheme="majorHAnsi"/>
        </w:rPr>
        <w:t>participants’</w:t>
      </w:r>
      <w:r w:rsidRPr="00820C89">
        <w:rPr>
          <w:rFonts w:asciiTheme="majorHAnsi" w:hAnsiTheme="majorHAnsi"/>
        </w:rPr>
        <w:t xml:space="preserve"> wellbeing. These providers generally emphasise that employment can have a transformative impact on participants’ lives by:  </w:t>
      </w:r>
    </w:p>
    <w:p w14:paraId="6A2FE520" w14:textId="77777777" w:rsidR="0040692E" w:rsidRPr="00820C89" w:rsidRDefault="0040692E" w:rsidP="00715F70">
      <w:pPr>
        <w:numPr>
          <w:ilvl w:val="0"/>
          <w:numId w:val="15"/>
        </w:numPr>
        <w:spacing w:before="60" w:after="60"/>
        <w:ind w:left="357" w:hanging="357"/>
        <w:rPr>
          <w:rFonts w:asciiTheme="majorHAnsi" w:hAnsiTheme="majorHAnsi"/>
        </w:rPr>
      </w:pPr>
      <w:r w:rsidRPr="00820C89">
        <w:rPr>
          <w:rFonts w:asciiTheme="majorHAnsi" w:hAnsiTheme="majorHAnsi"/>
        </w:rPr>
        <w:t>giving participants a newfound sense of belonging, helping reduce the psychological impact of trauma</w:t>
      </w:r>
    </w:p>
    <w:p w14:paraId="4A75E85F" w14:textId="77777777" w:rsidR="0040692E" w:rsidRPr="00820C89" w:rsidRDefault="0040692E" w:rsidP="00715F70">
      <w:pPr>
        <w:numPr>
          <w:ilvl w:val="0"/>
          <w:numId w:val="15"/>
        </w:numPr>
        <w:spacing w:before="60" w:after="60"/>
        <w:ind w:left="357" w:hanging="357"/>
        <w:rPr>
          <w:rFonts w:asciiTheme="majorHAnsi" w:hAnsiTheme="majorHAnsi"/>
        </w:rPr>
      </w:pPr>
      <w:r w:rsidRPr="00820C89">
        <w:rPr>
          <w:rFonts w:asciiTheme="majorHAnsi" w:hAnsiTheme="majorHAnsi"/>
        </w:rPr>
        <w:t>providing a stabilising influence on participants’ lives that encourages them to adopt healthier lifestyle habits</w:t>
      </w:r>
    </w:p>
    <w:p w14:paraId="286065FF" w14:textId="77777777" w:rsidR="0040692E" w:rsidRPr="00820C89" w:rsidRDefault="0040692E" w:rsidP="00715F70">
      <w:pPr>
        <w:numPr>
          <w:ilvl w:val="0"/>
          <w:numId w:val="15"/>
        </w:numPr>
        <w:spacing w:before="60"/>
        <w:ind w:left="357" w:hanging="357"/>
        <w:rPr>
          <w:rFonts w:asciiTheme="majorHAnsi" w:hAnsiTheme="majorHAnsi"/>
        </w:rPr>
      </w:pPr>
      <w:r w:rsidRPr="00820C89">
        <w:rPr>
          <w:rFonts w:asciiTheme="majorHAnsi" w:hAnsiTheme="majorHAnsi"/>
        </w:rPr>
        <w:t>providing an incentive for individuals to seek help to overcome addiction or substance abuse problems.</w:t>
      </w:r>
    </w:p>
    <w:p w14:paraId="1535A72E" w14:textId="77777777" w:rsidR="0096689E" w:rsidRPr="00820C89" w:rsidRDefault="00B45405" w:rsidP="0096689E">
      <w:pPr>
        <w:spacing w:before="60"/>
        <w:rPr>
          <w:rFonts w:asciiTheme="majorHAnsi" w:hAnsiTheme="majorHAnsi"/>
        </w:rPr>
      </w:pPr>
      <w:r w:rsidRPr="00820C89">
        <w:rPr>
          <w:rFonts w:asciiTheme="majorHAnsi" w:hAnsiTheme="majorHAnsi"/>
        </w:rPr>
        <w:t xml:space="preserve">This </w:t>
      </w:r>
      <w:r w:rsidR="00C61BCD" w:rsidRPr="00820C89">
        <w:rPr>
          <w:rFonts w:asciiTheme="majorHAnsi" w:hAnsiTheme="majorHAnsi"/>
        </w:rPr>
        <w:t>findi</w:t>
      </w:r>
      <w:r w:rsidR="00C42E4F" w:rsidRPr="00820C89">
        <w:rPr>
          <w:rFonts w:asciiTheme="majorHAnsi" w:hAnsiTheme="majorHAnsi"/>
        </w:rPr>
        <w:t>ng</w:t>
      </w:r>
      <w:r w:rsidRPr="00820C89">
        <w:rPr>
          <w:rFonts w:asciiTheme="majorHAnsi" w:hAnsiTheme="majorHAnsi"/>
        </w:rPr>
        <w:t xml:space="preserve"> was supported by consultations with participants, noting that only a comparatively small number of stakeholders </w:t>
      </w:r>
      <w:r w:rsidR="00857C3D" w:rsidRPr="00820C89">
        <w:rPr>
          <w:rFonts w:asciiTheme="majorHAnsi" w:hAnsiTheme="majorHAnsi"/>
        </w:rPr>
        <w:t>were willing to speak openly on this subject</w:t>
      </w:r>
      <w:r w:rsidR="00686521" w:rsidRPr="00820C89">
        <w:rPr>
          <w:rFonts w:asciiTheme="majorHAnsi" w:hAnsiTheme="majorHAnsi"/>
        </w:rPr>
        <w:t>, noting that:</w:t>
      </w:r>
    </w:p>
    <w:p w14:paraId="465B4463" w14:textId="77777777" w:rsidR="00F25323" w:rsidRPr="00820C89" w:rsidRDefault="00F25323" w:rsidP="00F25323">
      <w:pPr>
        <w:ind w:left="357"/>
        <w:rPr>
          <w:rFonts w:asciiTheme="majorHAnsi" w:hAnsiTheme="majorHAnsi"/>
          <w:i/>
        </w:rPr>
      </w:pPr>
      <w:r w:rsidRPr="00820C89">
        <w:rPr>
          <w:rFonts w:asciiTheme="majorHAnsi" w:hAnsiTheme="majorHAnsi"/>
          <w:i/>
        </w:rPr>
        <w:t>“My other workplaces just had too much pressure.  I don't know how to explain it.  It's just easy working here, and it makes me feel a lot better”. (TAEG Participant)</w:t>
      </w:r>
    </w:p>
    <w:p w14:paraId="365B580B" w14:textId="77777777" w:rsidR="00B45405" w:rsidRPr="00820C89" w:rsidRDefault="00C25A00" w:rsidP="00C4521A">
      <w:pPr>
        <w:ind w:left="357"/>
        <w:rPr>
          <w:rFonts w:asciiTheme="majorHAnsi" w:hAnsiTheme="majorHAnsi"/>
          <w:i/>
        </w:rPr>
      </w:pPr>
      <w:r w:rsidRPr="00820C89">
        <w:rPr>
          <w:rFonts w:asciiTheme="majorHAnsi" w:hAnsiTheme="majorHAnsi"/>
          <w:i/>
        </w:rPr>
        <w:t>“</w:t>
      </w:r>
      <w:r w:rsidR="00AC7B0E" w:rsidRPr="00820C89">
        <w:rPr>
          <w:rFonts w:asciiTheme="majorHAnsi" w:hAnsiTheme="majorHAnsi"/>
          <w:i/>
        </w:rPr>
        <w:t>I definitely feel better.  Well, since I’ve been working here my memory’s been getting better, which is good.  I’ve had terrible short-term memory… I wouldn't say an active person but I get up early every day, and then just do normal stuff.</w:t>
      </w:r>
      <w:r w:rsidRPr="00820C89">
        <w:rPr>
          <w:rFonts w:asciiTheme="majorHAnsi" w:hAnsiTheme="majorHAnsi"/>
          <w:i/>
        </w:rPr>
        <w:t>”</w:t>
      </w:r>
      <w:r w:rsidR="00AC7B0E" w:rsidRPr="00820C89">
        <w:rPr>
          <w:rFonts w:asciiTheme="majorHAnsi" w:hAnsiTheme="majorHAnsi"/>
          <w:i/>
        </w:rPr>
        <w:t xml:space="preserve"> (VTEC Participant)   </w:t>
      </w:r>
    </w:p>
    <w:p w14:paraId="694D5BCF" w14:textId="77777777" w:rsidR="00FC0FE2" w:rsidRPr="00820C89" w:rsidRDefault="005035BE" w:rsidP="0040692E">
      <w:pPr>
        <w:rPr>
          <w:rFonts w:asciiTheme="majorHAnsi" w:hAnsiTheme="majorHAnsi"/>
        </w:rPr>
      </w:pPr>
      <w:r w:rsidRPr="00820C89">
        <w:rPr>
          <w:rFonts w:asciiTheme="majorHAnsi" w:hAnsiTheme="majorHAnsi"/>
        </w:rPr>
        <w:t xml:space="preserve">Finally, as one provider </w:t>
      </w:r>
      <w:r w:rsidR="00F163E9" w:rsidRPr="00820C89">
        <w:rPr>
          <w:rFonts w:asciiTheme="majorHAnsi" w:hAnsiTheme="majorHAnsi"/>
        </w:rPr>
        <w:t xml:space="preserve">aptly noted, </w:t>
      </w:r>
      <w:r w:rsidR="00BB1748" w:rsidRPr="00820C89">
        <w:rPr>
          <w:rFonts w:asciiTheme="majorHAnsi" w:hAnsiTheme="majorHAnsi"/>
        </w:rPr>
        <w:t xml:space="preserve">the </w:t>
      </w:r>
      <w:r w:rsidR="00876A91" w:rsidRPr="00820C89">
        <w:rPr>
          <w:rFonts w:asciiTheme="majorHAnsi" w:hAnsiTheme="majorHAnsi"/>
        </w:rPr>
        <w:t>benefits</w:t>
      </w:r>
      <w:r w:rsidR="00BB1748" w:rsidRPr="00820C89">
        <w:rPr>
          <w:rFonts w:asciiTheme="majorHAnsi" w:hAnsiTheme="majorHAnsi"/>
        </w:rPr>
        <w:t xml:space="preserve"> </w:t>
      </w:r>
      <w:r w:rsidR="000C3F10" w:rsidRPr="00820C89">
        <w:rPr>
          <w:rFonts w:asciiTheme="majorHAnsi" w:hAnsiTheme="majorHAnsi"/>
        </w:rPr>
        <w:t xml:space="preserve">of </w:t>
      </w:r>
      <w:r w:rsidR="00090AFE" w:rsidRPr="00820C89">
        <w:rPr>
          <w:rFonts w:asciiTheme="majorHAnsi" w:hAnsiTheme="majorHAnsi"/>
        </w:rPr>
        <w:t>employment</w:t>
      </w:r>
      <w:r w:rsidR="00BB1748" w:rsidRPr="00820C89">
        <w:rPr>
          <w:rFonts w:asciiTheme="majorHAnsi" w:hAnsiTheme="majorHAnsi"/>
        </w:rPr>
        <w:t xml:space="preserve"> on participants</w:t>
      </w:r>
      <w:r w:rsidR="00090AFE" w:rsidRPr="00820C89">
        <w:rPr>
          <w:rFonts w:asciiTheme="majorHAnsi" w:hAnsiTheme="majorHAnsi"/>
        </w:rPr>
        <w:t>’</w:t>
      </w:r>
      <w:r w:rsidR="00BB1748" w:rsidRPr="00820C89">
        <w:rPr>
          <w:rFonts w:asciiTheme="majorHAnsi" w:hAnsiTheme="majorHAnsi"/>
        </w:rPr>
        <w:t xml:space="preserve"> wellbeing </w:t>
      </w:r>
      <w:r w:rsidR="00876A91" w:rsidRPr="00820C89">
        <w:rPr>
          <w:rFonts w:asciiTheme="majorHAnsi" w:hAnsiTheme="majorHAnsi"/>
        </w:rPr>
        <w:t xml:space="preserve">are likely to accrue over time, and hence </w:t>
      </w:r>
      <w:r w:rsidR="00035BF8" w:rsidRPr="00820C89">
        <w:rPr>
          <w:rFonts w:asciiTheme="majorHAnsi" w:hAnsiTheme="majorHAnsi"/>
        </w:rPr>
        <w:t>observed more strongly</w:t>
      </w:r>
      <w:r w:rsidR="00876A91" w:rsidRPr="00820C89">
        <w:rPr>
          <w:rFonts w:asciiTheme="majorHAnsi" w:hAnsiTheme="majorHAnsi"/>
        </w:rPr>
        <w:t xml:space="preserve"> in the </w:t>
      </w:r>
      <w:r w:rsidR="00C67EFC" w:rsidRPr="00820C89">
        <w:rPr>
          <w:rFonts w:asciiTheme="majorHAnsi" w:hAnsiTheme="majorHAnsi"/>
        </w:rPr>
        <w:t xml:space="preserve">long run. </w:t>
      </w:r>
      <w:r w:rsidR="00157192" w:rsidRPr="00820C89">
        <w:rPr>
          <w:rFonts w:asciiTheme="majorHAnsi" w:hAnsiTheme="majorHAnsi"/>
        </w:rPr>
        <w:t xml:space="preserve">This suggests that </w:t>
      </w:r>
      <w:r w:rsidR="000D5AD9" w:rsidRPr="00820C89">
        <w:rPr>
          <w:rFonts w:asciiTheme="majorHAnsi" w:hAnsiTheme="majorHAnsi"/>
        </w:rPr>
        <w:t xml:space="preserve">the </w:t>
      </w:r>
      <w:r w:rsidR="00157192" w:rsidRPr="00820C89">
        <w:rPr>
          <w:rFonts w:asciiTheme="majorHAnsi" w:hAnsiTheme="majorHAnsi"/>
        </w:rPr>
        <w:t xml:space="preserve">consultations that have been </w:t>
      </w:r>
      <w:r w:rsidR="00474676" w:rsidRPr="00820C89">
        <w:rPr>
          <w:rFonts w:asciiTheme="majorHAnsi" w:hAnsiTheme="majorHAnsi"/>
        </w:rPr>
        <w:t>conducted</w:t>
      </w:r>
      <w:r w:rsidR="00157192" w:rsidRPr="00820C89">
        <w:rPr>
          <w:rFonts w:asciiTheme="majorHAnsi" w:hAnsiTheme="majorHAnsi"/>
        </w:rPr>
        <w:t xml:space="preserve"> with current participants as part of this evaluation </w:t>
      </w:r>
      <w:r w:rsidR="009614BC" w:rsidRPr="00820C89">
        <w:rPr>
          <w:rFonts w:asciiTheme="majorHAnsi" w:hAnsiTheme="majorHAnsi"/>
        </w:rPr>
        <w:t xml:space="preserve">may understate the </w:t>
      </w:r>
      <w:r w:rsidR="008A3161" w:rsidRPr="00820C89">
        <w:rPr>
          <w:rFonts w:asciiTheme="majorHAnsi" w:hAnsiTheme="majorHAnsi"/>
        </w:rPr>
        <w:t>total</w:t>
      </w:r>
      <w:r w:rsidR="009614BC" w:rsidRPr="00820C89">
        <w:rPr>
          <w:rFonts w:asciiTheme="majorHAnsi" w:hAnsiTheme="majorHAnsi"/>
        </w:rPr>
        <w:t xml:space="preserve"> impact the programs have had on participants</w:t>
      </w:r>
      <w:r w:rsidR="00422435" w:rsidRPr="00820C89">
        <w:rPr>
          <w:rFonts w:asciiTheme="majorHAnsi" w:hAnsiTheme="majorHAnsi"/>
        </w:rPr>
        <w:t>’</w:t>
      </w:r>
      <w:r w:rsidR="009614BC" w:rsidRPr="00820C89">
        <w:rPr>
          <w:rFonts w:asciiTheme="majorHAnsi" w:hAnsiTheme="majorHAnsi"/>
        </w:rPr>
        <w:t xml:space="preserve"> wellbeing.</w:t>
      </w:r>
    </w:p>
    <w:p w14:paraId="57C80EC8" w14:textId="5889E619" w:rsidR="00597763" w:rsidRDefault="0040692E" w:rsidP="00715F70">
      <w:pPr>
        <w:keepNext/>
        <w:keepLines/>
        <w:numPr>
          <w:ilvl w:val="1"/>
          <w:numId w:val="12"/>
        </w:numPr>
        <w:spacing w:before="240" w:after="60" w:line="280" w:lineRule="atLeast"/>
        <w:outlineLvl w:val="1"/>
        <w:rPr>
          <w:rFonts w:asciiTheme="majorHAnsi" w:eastAsiaTheme="majorEastAsia" w:hAnsiTheme="majorHAnsi" w:cstheme="majorBidi"/>
          <w:b/>
          <w:color w:val="62B5E5" w:themeColor="accent3"/>
          <w:sz w:val="22"/>
          <w:szCs w:val="26"/>
        </w:rPr>
      </w:pPr>
      <w:bookmarkStart w:id="117" w:name="_Toc54966952"/>
      <w:bookmarkStart w:id="118" w:name="_Toc55495130"/>
      <w:bookmarkStart w:id="119" w:name="_Toc101343301"/>
      <w:r w:rsidRPr="00820C89">
        <w:rPr>
          <w:rFonts w:asciiTheme="majorHAnsi" w:eastAsiaTheme="majorEastAsia" w:hAnsiTheme="majorHAnsi" w:cstheme="majorBidi"/>
          <w:b/>
          <w:color w:val="62B5E5" w:themeColor="accent3"/>
          <w:sz w:val="22"/>
          <w:szCs w:val="26"/>
        </w:rPr>
        <w:t>Long-term outcomes</w:t>
      </w:r>
      <w:bookmarkEnd w:id="117"/>
      <w:bookmarkEnd w:id="118"/>
      <w:bookmarkEnd w:id="119"/>
    </w:p>
    <w:p w14:paraId="3B7E02A4" w14:textId="77777777" w:rsidR="006A04F6" w:rsidRPr="00BC7EC7" w:rsidRDefault="006A04F6" w:rsidP="006A04F6">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w:t>
      </w:r>
    </w:p>
    <w:p w14:paraId="433E4F2B" w14:textId="32437C66" w:rsidR="006A04F6" w:rsidRPr="006A04F6" w:rsidRDefault="006A04F6"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sidRPr="00071366">
        <w:rPr>
          <w:b/>
          <w:bCs/>
          <w:i/>
          <w:iCs/>
          <w:color w:val="62B5E5" w:themeColor="accent3"/>
        </w:rPr>
        <w:t xml:space="preserve">The EPI program has the highest and least variable 26-week milestone completion rate of the sub-programs, while the TAEG and VTEC sub-programs have similar rates. </w:t>
      </w:r>
      <w:r>
        <w:rPr>
          <w:b/>
          <w:bCs/>
          <w:i/>
          <w:iCs/>
          <w:color w:val="62B5E5" w:themeColor="accent3"/>
        </w:rPr>
        <w:br/>
      </w:r>
    </w:p>
    <w:p w14:paraId="0DD7ABA5" w14:textId="163A67E3" w:rsidR="006A04F6" w:rsidRPr="006A04F6" w:rsidRDefault="006A04F6"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i/>
          <w:color w:val="62B5E5" w:themeColor="accent3"/>
        </w:rPr>
      </w:pPr>
      <w:r w:rsidRPr="005F6E52">
        <w:rPr>
          <w:b/>
          <w:i/>
          <w:color w:val="62B5E5" w:themeColor="accent3"/>
        </w:rPr>
        <w:t>12+ months after program exit, the sub-programs cease to have any statistically significant difference in their ability to support participants to exit income support.</w:t>
      </w:r>
      <w:r>
        <w:rPr>
          <w:b/>
          <w:i/>
          <w:color w:val="62B5E5" w:themeColor="accent3"/>
        </w:rPr>
        <w:br/>
      </w:r>
    </w:p>
    <w:p w14:paraId="306C8E15" w14:textId="1EFF8C76" w:rsidR="006A04F6" w:rsidRPr="006A04F6" w:rsidRDefault="006A04F6"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i/>
          <w:color w:val="62B5E5" w:themeColor="accent3"/>
        </w:rPr>
      </w:pPr>
      <w:r w:rsidRPr="005F6E52">
        <w:rPr>
          <w:b/>
          <w:i/>
          <w:color w:val="62B5E5" w:themeColor="accent3"/>
        </w:rPr>
        <w:t>Across the sub-programs, the 26-week milestone is associated with whether participants cease receiving income support in both the short and long-term, although further analysis is required to further explore this relationship.</w:t>
      </w:r>
      <w:r>
        <w:rPr>
          <w:b/>
          <w:i/>
          <w:color w:val="62B5E5" w:themeColor="accent3"/>
        </w:rPr>
        <w:br/>
      </w:r>
    </w:p>
    <w:p w14:paraId="69338CC9" w14:textId="14FA6588" w:rsidR="006A04F6" w:rsidRPr="006A04F6" w:rsidRDefault="006A04F6"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i/>
          <w:color w:val="62B5E5" w:themeColor="accent3"/>
        </w:rPr>
      </w:pPr>
      <w:r w:rsidRPr="00E04CE2">
        <w:rPr>
          <w:b/>
          <w:i/>
          <w:color w:val="62B5E5" w:themeColor="accent3"/>
        </w:rPr>
        <w:t>EPI partners report to have begun embedding a range of new Indigenous employment practices into their businesses, however, it is unclear to what extent these changes are sustainable.</w:t>
      </w:r>
      <w:r>
        <w:rPr>
          <w:b/>
          <w:i/>
          <w:color w:val="62B5E5" w:themeColor="accent3"/>
        </w:rPr>
        <w:br/>
      </w:r>
    </w:p>
    <w:p w14:paraId="75108E3C" w14:textId="2265B6D7" w:rsidR="006A04F6" w:rsidRPr="006A04F6" w:rsidRDefault="006A04F6" w:rsidP="00715F70">
      <w:pPr>
        <w:pStyle w:val="ListParagraph"/>
        <w:numPr>
          <w:ilvl w:val="0"/>
          <w:numId w:val="80"/>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i/>
          <w:color w:val="62B5E5" w:themeColor="accent3"/>
        </w:rPr>
      </w:pPr>
      <w:r w:rsidRPr="001656D4">
        <w:rPr>
          <w:b/>
          <w:i/>
          <w:color w:val="62B5E5" w:themeColor="accent3"/>
        </w:rPr>
        <w:t xml:space="preserve">There is little evidence to suggest that the employers of </w:t>
      </w:r>
      <w:r w:rsidRPr="005F6E52">
        <w:rPr>
          <w:b/>
          <w:i/>
          <w:color w:val="62B5E5" w:themeColor="accent3"/>
        </w:rPr>
        <w:t xml:space="preserve">VTEC and TAEG participants </w:t>
      </w:r>
      <w:r w:rsidRPr="00995843">
        <w:rPr>
          <w:b/>
          <w:i/>
          <w:color w:val="62B5E5" w:themeColor="accent3"/>
        </w:rPr>
        <w:t>have embedded significant new Indigenous employment practices into their businesses.</w:t>
      </w:r>
    </w:p>
    <w:p w14:paraId="30EBEECA" w14:textId="77777777" w:rsidR="0040692E" w:rsidRPr="00820C89" w:rsidRDefault="0040692E" w:rsidP="00715F70">
      <w:pPr>
        <w:keepNext/>
        <w:keepLines/>
        <w:numPr>
          <w:ilvl w:val="2"/>
          <w:numId w:val="12"/>
        </w:numPr>
        <w:spacing w:before="120" w:after="0"/>
        <w:outlineLvl w:val="2"/>
        <w:rPr>
          <w:rFonts w:asciiTheme="majorHAnsi" w:eastAsiaTheme="majorEastAsia" w:hAnsiTheme="majorHAnsi" w:cstheme="majorBidi"/>
          <w:b/>
        </w:rPr>
      </w:pPr>
      <w:r w:rsidRPr="00820C89">
        <w:rPr>
          <w:rFonts w:asciiTheme="majorHAnsi" w:eastAsiaTheme="majorEastAsia" w:hAnsiTheme="majorHAnsi" w:cstheme="majorBidi"/>
          <w:b/>
        </w:rPr>
        <w:t>Participants remain engaged in sustainable employment</w:t>
      </w:r>
    </w:p>
    <w:p w14:paraId="663496F1" w14:textId="77777777" w:rsidR="00630D8A" w:rsidRPr="00820C89" w:rsidRDefault="0040692E" w:rsidP="0040692E">
      <w:pPr>
        <w:rPr>
          <w:rFonts w:asciiTheme="majorHAnsi" w:hAnsiTheme="majorHAnsi"/>
        </w:rPr>
      </w:pPr>
      <w:r w:rsidRPr="00820C89">
        <w:rPr>
          <w:rFonts w:asciiTheme="majorHAnsi" w:hAnsiTheme="majorHAnsi"/>
        </w:rPr>
        <w:t>Remaining engaged in sustainable employment is the overarching objective of the IEP</w:t>
      </w:r>
      <w:r w:rsidR="00570567" w:rsidRPr="00820C89">
        <w:rPr>
          <w:rFonts w:asciiTheme="majorHAnsi" w:hAnsiTheme="majorHAnsi"/>
        </w:rPr>
        <w:t xml:space="preserve"> </w:t>
      </w:r>
      <w:r w:rsidRPr="00820C89">
        <w:rPr>
          <w:rFonts w:asciiTheme="majorHAnsi" w:hAnsiTheme="majorHAnsi"/>
        </w:rPr>
        <w:t xml:space="preserve">and is the outcome that will ultimately lead to achieving </w:t>
      </w:r>
      <w:r w:rsidRPr="00820C89">
        <w:rPr>
          <w:rFonts w:asciiTheme="majorHAnsi" w:hAnsiTheme="majorHAnsi"/>
          <w:i/>
        </w:rPr>
        <w:t xml:space="preserve">Closing the Gap </w:t>
      </w:r>
      <w:r w:rsidRPr="00820C89">
        <w:rPr>
          <w:rFonts w:asciiTheme="majorHAnsi" w:hAnsiTheme="majorHAnsi"/>
        </w:rPr>
        <w:t xml:space="preserve">targets. Sustainable employment is </w:t>
      </w:r>
      <w:r w:rsidRPr="00820C89">
        <w:rPr>
          <w:rFonts w:asciiTheme="majorHAnsi" w:hAnsiTheme="majorHAnsi"/>
        </w:rPr>
        <w:lastRenderedPageBreak/>
        <w:t xml:space="preserve">generally understood to mean that an individual remains in employment, either in one job or by moving to other jobs, and has opportunities </w:t>
      </w:r>
      <w:r w:rsidR="002913A7" w:rsidRPr="00820C89">
        <w:rPr>
          <w:rFonts w:asciiTheme="majorHAnsi" w:hAnsiTheme="majorHAnsi"/>
        </w:rPr>
        <w:t xml:space="preserve">to </w:t>
      </w:r>
      <w:r w:rsidRPr="00820C89">
        <w:rPr>
          <w:rFonts w:asciiTheme="majorHAnsi" w:hAnsiTheme="majorHAnsi"/>
        </w:rPr>
        <w:t>advance and progress their career.</w:t>
      </w:r>
      <w:r w:rsidRPr="00820C89">
        <w:rPr>
          <w:rFonts w:asciiTheme="majorHAnsi" w:hAnsiTheme="majorHAnsi"/>
          <w:vertAlign w:val="superscript"/>
        </w:rPr>
        <w:footnoteReference w:id="59"/>
      </w:r>
      <w:r w:rsidRPr="00820C89">
        <w:rPr>
          <w:rFonts w:asciiTheme="majorHAnsi" w:hAnsiTheme="majorHAnsi"/>
        </w:rPr>
        <w:t xml:space="preserve"> </w:t>
      </w:r>
    </w:p>
    <w:p w14:paraId="0A8F9A68" w14:textId="77777777" w:rsidR="0040692E" w:rsidRPr="00820C89" w:rsidRDefault="0040692E" w:rsidP="0040692E">
      <w:pPr>
        <w:rPr>
          <w:rFonts w:asciiTheme="majorHAnsi" w:hAnsiTheme="majorHAnsi"/>
        </w:rPr>
      </w:pPr>
      <w:r w:rsidRPr="00820C89">
        <w:rPr>
          <w:rFonts w:asciiTheme="majorHAnsi" w:hAnsiTheme="majorHAnsi"/>
        </w:rPr>
        <w:t xml:space="preserve">In mainstream academic literature, obtaining sustainable employment is generally associated with improved wellbeing, health and economic security. However, it is acknowledged that from an Indigenous perspective the value and role of employment may differ form that presented in Western academic thinking. </w:t>
      </w:r>
    </w:p>
    <w:p w14:paraId="42234F1D" w14:textId="77777777" w:rsidR="0040692E" w:rsidRPr="00820C89" w:rsidRDefault="006C09B7" w:rsidP="0040692E">
      <w:pPr>
        <w:rPr>
          <w:rFonts w:asciiTheme="majorHAnsi" w:hAnsiTheme="majorHAnsi"/>
        </w:rPr>
      </w:pPr>
      <w:r w:rsidRPr="00820C89">
        <w:rPr>
          <w:rFonts w:asciiTheme="majorHAnsi" w:hAnsiTheme="majorHAnsi"/>
        </w:rPr>
        <w:t>The IEP</w:t>
      </w:r>
      <w:r w:rsidR="0040692E" w:rsidRPr="00820C89">
        <w:rPr>
          <w:rFonts w:asciiTheme="majorHAnsi" w:hAnsiTheme="majorHAnsi"/>
        </w:rPr>
        <w:t xml:space="preserve"> ha</w:t>
      </w:r>
      <w:r w:rsidRPr="00820C89">
        <w:rPr>
          <w:rFonts w:asciiTheme="majorHAnsi" w:hAnsiTheme="majorHAnsi"/>
        </w:rPr>
        <w:t>s</w:t>
      </w:r>
      <w:r w:rsidR="0040692E" w:rsidRPr="00820C89">
        <w:rPr>
          <w:rFonts w:asciiTheme="majorHAnsi" w:hAnsiTheme="majorHAnsi"/>
        </w:rPr>
        <w:t xml:space="preserve"> sustainable employment as an outcome and expect this to include participants being more likely to remain in employment (for 26-weeks or more) as well as being able to advance in their careers with their employer or another employer. The IEP explicitly acknowledge</w:t>
      </w:r>
      <w:r w:rsidR="00183C4F" w:rsidRPr="00820C89">
        <w:rPr>
          <w:rFonts w:asciiTheme="majorHAnsi" w:hAnsiTheme="majorHAnsi"/>
        </w:rPr>
        <w:t>s</w:t>
      </w:r>
      <w:r w:rsidR="0040692E" w:rsidRPr="00820C89">
        <w:rPr>
          <w:rFonts w:asciiTheme="majorHAnsi" w:hAnsiTheme="majorHAnsi"/>
        </w:rPr>
        <w:t xml:space="preserve"> the importance of career progression in ensuring that Indigenous jobseekers remain engaged and have an opportunity to pursue a meaningful long-term career beyond the immediate period of their employment placement.</w:t>
      </w:r>
    </w:p>
    <w:p w14:paraId="5F9EE260" w14:textId="77777777" w:rsidR="0040692E" w:rsidRPr="00820C89" w:rsidRDefault="0040692E" w:rsidP="0040692E">
      <w:pPr>
        <w:keepNext/>
        <w:keepLines/>
        <w:tabs>
          <w:tab w:val="left" w:pos="340"/>
        </w:tabs>
        <w:spacing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How is effectiveness determined against this outcome</w:t>
      </w:r>
      <w:r w:rsidR="000F4C8D" w:rsidRPr="00820C89">
        <w:rPr>
          <w:rFonts w:asciiTheme="majorHAnsi" w:eastAsiaTheme="majorEastAsia" w:hAnsiTheme="majorHAnsi" w:cstheme="majorBidi"/>
          <w:b/>
          <w:color w:val="75787B" w:themeColor="accent6"/>
        </w:rPr>
        <w:t>?</w:t>
      </w:r>
    </w:p>
    <w:p w14:paraId="6D5F6AB8" w14:textId="77777777" w:rsidR="0040692E" w:rsidRPr="00820C89" w:rsidRDefault="0040692E" w:rsidP="00782036">
      <w:pPr>
        <w:spacing w:after="0"/>
        <w:rPr>
          <w:rFonts w:asciiTheme="majorHAnsi" w:hAnsiTheme="majorHAnsi"/>
        </w:rPr>
      </w:pPr>
      <w:r w:rsidRPr="00820C89">
        <w:rPr>
          <w:rFonts w:asciiTheme="majorHAnsi" w:hAnsiTheme="majorHAnsi"/>
        </w:rPr>
        <w:t>To assess whether this outcome has been met, evidence needs to establish:</w:t>
      </w:r>
    </w:p>
    <w:p w14:paraId="008DF9A0"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the extent to which participants meet program employment milestones</w:t>
      </w:r>
    </w:p>
    <w:p w14:paraId="61AE2E70"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 xml:space="preserve">the extent to which participants remain in employment beyond the program </w:t>
      </w:r>
    </w:p>
    <w:p w14:paraId="72386B2F"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the extent to which participants are able to advance in their careers with their employer or another employer</w:t>
      </w:r>
    </w:p>
    <w:p w14:paraId="7974CFF9" w14:textId="77777777" w:rsidR="00BC50DC"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the contexts in which achieving the above outcomes is more or less likely.</w:t>
      </w:r>
    </w:p>
    <w:p w14:paraId="115B84DD" w14:textId="77777777" w:rsidR="0040692E" w:rsidRPr="00820C89" w:rsidRDefault="0040692E" w:rsidP="00782036">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this outcome</w:t>
      </w:r>
    </w:p>
    <w:p w14:paraId="7F04BA12" w14:textId="77777777" w:rsidR="0040692E" w:rsidRPr="00820C89" w:rsidRDefault="00F84CF3" w:rsidP="0040692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heme="majorHAnsi" w:hAnsiTheme="majorHAnsi"/>
        </w:rPr>
      </w:pPr>
      <w:r w:rsidRPr="00820C89">
        <w:rPr>
          <w:rFonts w:asciiTheme="majorHAnsi" w:hAnsiTheme="majorHAnsi"/>
        </w:rPr>
        <w:t xml:space="preserve">As part of the outcomes-based funding model, </w:t>
      </w:r>
      <w:r w:rsidR="00205483" w:rsidRPr="00820C89">
        <w:rPr>
          <w:rFonts w:asciiTheme="majorHAnsi" w:hAnsiTheme="majorHAnsi"/>
        </w:rPr>
        <w:t xml:space="preserve">IEP providers are awarded funding </w:t>
      </w:r>
      <w:r w:rsidR="006E02D8" w:rsidRPr="00820C89">
        <w:rPr>
          <w:rFonts w:asciiTheme="majorHAnsi" w:hAnsiTheme="majorHAnsi"/>
        </w:rPr>
        <w:t>after participants meet specific employment milestones</w:t>
      </w:r>
      <w:r w:rsidR="0094136C" w:rsidRPr="00820C89">
        <w:rPr>
          <w:rFonts w:asciiTheme="majorHAnsi" w:hAnsiTheme="majorHAnsi"/>
        </w:rPr>
        <w:t xml:space="preserve">, typically at (or at some combination of) </w:t>
      </w:r>
      <w:r w:rsidR="004020DC" w:rsidRPr="00820C89">
        <w:rPr>
          <w:rFonts w:asciiTheme="majorHAnsi" w:hAnsiTheme="majorHAnsi"/>
        </w:rPr>
        <w:t>4, 13, 26 and 52 weeks</w:t>
      </w:r>
      <w:r w:rsidR="00210ADE" w:rsidRPr="00820C89">
        <w:rPr>
          <w:rFonts w:asciiTheme="majorHAnsi" w:hAnsiTheme="majorHAnsi"/>
        </w:rPr>
        <w:t xml:space="preserve">. </w:t>
      </w:r>
      <w:r w:rsidR="00D40B66" w:rsidRPr="00820C89">
        <w:rPr>
          <w:rFonts w:asciiTheme="majorHAnsi" w:hAnsiTheme="majorHAnsi"/>
        </w:rPr>
        <w:t>The exact employment milestones that are used (and the level of associated funding) typic</w:t>
      </w:r>
      <w:r w:rsidR="00517CEB" w:rsidRPr="00820C89">
        <w:rPr>
          <w:rFonts w:asciiTheme="majorHAnsi" w:hAnsiTheme="majorHAnsi"/>
        </w:rPr>
        <w:t>ally vary in accordance with the specific contract that a provider may have with the NIAA.</w:t>
      </w:r>
      <w:r w:rsidR="003A5C9E" w:rsidRPr="00820C89">
        <w:rPr>
          <w:rFonts w:asciiTheme="majorHAnsi" w:hAnsiTheme="majorHAnsi"/>
        </w:rPr>
        <w:t xml:space="preserve"> </w:t>
      </w:r>
      <w:r w:rsidR="00E666FB" w:rsidRPr="00820C89">
        <w:rPr>
          <w:rFonts w:asciiTheme="majorHAnsi" w:hAnsiTheme="majorHAnsi"/>
        </w:rPr>
        <w:t>For</w:t>
      </w:r>
      <w:r w:rsidR="00282F7B" w:rsidRPr="00820C89">
        <w:rPr>
          <w:rFonts w:asciiTheme="majorHAnsi" w:hAnsiTheme="majorHAnsi"/>
        </w:rPr>
        <w:t xml:space="preserve"> the purpose </w:t>
      </w:r>
      <w:r w:rsidR="001A4D4E" w:rsidRPr="00820C89">
        <w:rPr>
          <w:rFonts w:asciiTheme="majorHAnsi" w:hAnsiTheme="majorHAnsi"/>
        </w:rPr>
        <w:t>of this analysis, t</w:t>
      </w:r>
      <w:r w:rsidR="0040692E" w:rsidRPr="00820C89">
        <w:rPr>
          <w:rFonts w:asciiTheme="majorHAnsi" w:hAnsiTheme="majorHAnsi"/>
        </w:rPr>
        <w:t xml:space="preserve">he 26-week milestone completion rate is </w:t>
      </w:r>
      <w:r w:rsidR="001A4D4E" w:rsidRPr="00820C89">
        <w:rPr>
          <w:rFonts w:asciiTheme="majorHAnsi" w:hAnsiTheme="majorHAnsi"/>
        </w:rPr>
        <w:t xml:space="preserve">primarily used, as this is the most consistently reported </w:t>
      </w:r>
      <w:r w:rsidR="008F56A1" w:rsidRPr="00820C89">
        <w:rPr>
          <w:rFonts w:asciiTheme="majorHAnsi" w:hAnsiTheme="majorHAnsi"/>
        </w:rPr>
        <w:t>milestone used across the projects.</w:t>
      </w:r>
      <w:r w:rsidR="0077614D" w:rsidRPr="00820C89">
        <w:rPr>
          <w:rFonts w:asciiTheme="majorHAnsi" w:hAnsiTheme="majorHAnsi"/>
        </w:rPr>
        <w:t xml:space="preserve"> </w:t>
      </w:r>
      <w:r w:rsidR="00AE5C6C" w:rsidRPr="00820C89">
        <w:rPr>
          <w:rFonts w:asciiTheme="majorHAnsi" w:hAnsiTheme="majorHAnsi"/>
        </w:rPr>
        <w:t xml:space="preserve">In alignment with program guidelines, the 26-week milestone completion rate is </w:t>
      </w:r>
      <w:r w:rsidR="0081305E" w:rsidRPr="00820C89">
        <w:rPr>
          <w:rFonts w:asciiTheme="majorHAnsi" w:hAnsiTheme="majorHAnsi"/>
        </w:rPr>
        <w:t>taken to be the proportion of participants who reach 26-week</w:t>
      </w:r>
      <w:r w:rsidR="006808F4" w:rsidRPr="00820C89">
        <w:rPr>
          <w:rFonts w:asciiTheme="majorHAnsi" w:hAnsiTheme="majorHAnsi"/>
        </w:rPr>
        <w:t>s</w:t>
      </w:r>
      <w:r w:rsidR="0081305E" w:rsidRPr="00820C89">
        <w:rPr>
          <w:rFonts w:asciiTheme="majorHAnsi" w:hAnsiTheme="majorHAnsi"/>
        </w:rPr>
        <w:t xml:space="preserve"> in employment as a share of those who commence an employment placement.</w:t>
      </w:r>
    </w:p>
    <w:p w14:paraId="78A910FD" w14:textId="77777777" w:rsidR="00F07E41" w:rsidRPr="00820C89" w:rsidRDefault="000A38EA" w:rsidP="00FD187C">
      <w:pPr>
        <w:rPr>
          <w:rFonts w:asciiTheme="majorHAnsi" w:hAnsiTheme="majorHAnsi"/>
        </w:rPr>
      </w:pPr>
      <w:r w:rsidRPr="006A04F6">
        <w:rPr>
          <w:rFonts w:asciiTheme="majorHAnsi" w:hAnsiTheme="majorHAnsi"/>
        </w:rPr>
        <w:t>When assessing milestone completion rates, the EPI program has the highest average 26-week milestone completion rate of the three programs (</w:t>
      </w:r>
      <w:r w:rsidR="00FC4812" w:rsidRPr="006A04F6">
        <w:rPr>
          <w:rFonts w:asciiTheme="majorHAnsi" w:hAnsiTheme="majorHAnsi"/>
        </w:rPr>
        <w:t>76%</w:t>
      </w:r>
      <w:r w:rsidRPr="006A04F6">
        <w:rPr>
          <w:rFonts w:asciiTheme="majorHAnsi" w:hAnsiTheme="majorHAnsi"/>
        </w:rPr>
        <w:t>), while the TAEG and VTEC programs have similar rates of 6</w:t>
      </w:r>
      <w:r w:rsidR="003C3692" w:rsidRPr="006A04F6">
        <w:rPr>
          <w:rFonts w:asciiTheme="majorHAnsi" w:hAnsiTheme="majorHAnsi"/>
        </w:rPr>
        <w:t xml:space="preserve">4% </w:t>
      </w:r>
      <w:r w:rsidRPr="006A04F6">
        <w:rPr>
          <w:rFonts w:asciiTheme="majorHAnsi" w:hAnsiTheme="majorHAnsi"/>
        </w:rPr>
        <w:t>and 6</w:t>
      </w:r>
      <w:r w:rsidR="003C3692" w:rsidRPr="006A04F6">
        <w:rPr>
          <w:rFonts w:asciiTheme="majorHAnsi" w:hAnsiTheme="majorHAnsi"/>
        </w:rPr>
        <w:t xml:space="preserve">5% </w:t>
      </w:r>
      <w:r w:rsidRPr="006A04F6">
        <w:rPr>
          <w:rFonts w:asciiTheme="majorHAnsi" w:hAnsiTheme="majorHAnsi"/>
        </w:rPr>
        <w:t xml:space="preserve">respectively (Chart </w:t>
      </w:r>
      <w:r w:rsidR="00D256C4" w:rsidRPr="006A04F6">
        <w:rPr>
          <w:rFonts w:asciiTheme="majorHAnsi" w:hAnsiTheme="majorHAnsi"/>
        </w:rPr>
        <w:t>4.1</w:t>
      </w:r>
      <w:r w:rsidRPr="006A04F6">
        <w:rPr>
          <w:rFonts w:asciiTheme="majorHAnsi" w:hAnsiTheme="majorHAnsi"/>
        </w:rPr>
        <w:t>)</w:t>
      </w:r>
      <w:r w:rsidR="0040692E" w:rsidRPr="006A04F6">
        <w:rPr>
          <w:rFonts w:asciiTheme="majorHAnsi" w:hAnsiTheme="majorHAnsi"/>
        </w:rPr>
        <w:t>.</w:t>
      </w:r>
      <w:r w:rsidR="0040692E" w:rsidRPr="00820C89">
        <w:rPr>
          <w:rFonts w:asciiTheme="majorHAnsi" w:hAnsiTheme="majorHAnsi"/>
        </w:rPr>
        <w:t xml:space="preserve"> </w:t>
      </w:r>
    </w:p>
    <w:p w14:paraId="73632FAF" w14:textId="71EDB2EE" w:rsidR="008D2AD9" w:rsidRPr="00820C89" w:rsidRDefault="00F07E41" w:rsidP="00FD187C">
      <w:pPr>
        <w:rPr>
          <w:rFonts w:asciiTheme="majorHAnsi" w:hAnsiTheme="majorHAnsi"/>
        </w:rPr>
      </w:pPr>
      <w:r w:rsidRPr="00820C89">
        <w:rPr>
          <w:rFonts w:asciiTheme="majorHAnsi" w:hAnsiTheme="majorHAnsi"/>
        </w:rPr>
        <w:t xml:space="preserve">Building off this, econometric analysis was </w:t>
      </w:r>
      <w:r w:rsidR="00393380" w:rsidRPr="00820C89">
        <w:rPr>
          <w:rFonts w:asciiTheme="majorHAnsi" w:hAnsiTheme="majorHAnsi"/>
        </w:rPr>
        <w:t xml:space="preserve">used to further explore the effectiveness of the sub-programs. </w:t>
      </w:r>
      <w:r w:rsidR="00667C5B" w:rsidRPr="00820C89">
        <w:rPr>
          <w:rFonts w:asciiTheme="majorHAnsi" w:hAnsiTheme="majorHAnsi"/>
        </w:rPr>
        <w:t>This analysis controlled for</w:t>
      </w:r>
      <w:r w:rsidRPr="00820C89">
        <w:rPr>
          <w:rFonts w:asciiTheme="majorHAnsi" w:hAnsiTheme="majorHAnsi"/>
        </w:rPr>
        <w:t xml:space="preserve"> basic participant characteristics such as age, gender, remoteness, year and length of unemployment to better isolate the impact of the specific sub-programs (Table A.7 in Appendix C). This analysis supports the above finding, suggesting that even when basic controls are applied EPI participants are 14 percentage points more likely to achieve the 26-week milestone than the VTEC participants, while TAEG participants are marginally less likely (-3 percentage points). </w:t>
      </w:r>
    </w:p>
    <w:p w14:paraId="3F294330" w14:textId="77777777" w:rsidR="0093526A" w:rsidRPr="006A04F6" w:rsidRDefault="0093526A" w:rsidP="00FD187C">
      <w:pPr>
        <w:pStyle w:val="CaptionChart"/>
        <w:rPr>
          <w:rFonts w:asciiTheme="majorHAnsi" w:hAnsiTheme="majorHAnsi"/>
          <w:color w:val="808080" w:themeColor="background1" w:themeShade="80"/>
        </w:rPr>
      </w:pPr>
      <w:bookmarkStart w:id="120" w:name="_Ref57049971"/>
      <w:r w:rsidRPr="006A04F6">
        <w:rPr>
          <w:rFonts w:asciiTheme="majorHAnsi" w:hAnsiTheme="majorHAnsi"/>
        </w:rPr>
        <w:lastRenderedPageBreak/>
        <w:t xml:space="preserve">: Average participant 26-week milestone completion rate for </w:t>
      </w:r>
      <w:r w:rsidRPr="006A04F6">
        <w:rPr>
          <w:rFonts w:asciiTheme="majorHAnsi" w:hAnsiTheme="majorHAnsi"/>
          <w:color w:val="808080" w:themeColor="background1" w:themeShade="80"/>
        </w:rPr>
        <w:t>participants that commence an employment placement, by program</w:t>
      </w:r>
      <w:bookmarkEnd w:id="120"/>
    </w:p>
    <w:p w14:paraId="2D035098" w14:textId="77777777" w:rsidR="0093526A" w:rsidRPr="00820C89" w:rsidRDefault="00010E5E" w:rsidP="00FD187C">
      <w:pPr>
        <w:rPr>
          <w:rFonts w:asciiTheme="majorHAnsi" w:hAnsiTheme="majorHAnsi"/>
        </w:rPr>
      </w:pPr>
      <w:r w:rsidRPr="00820C89">
        <w:rPr>
          <w:rFonts w:asciiTheme="majorHAnsi" w:hAnsiTheme="majorHAnsi"/>
          <w:noProof/>
          <w:lang w:eastAsia="en-AU"/>
        </w:rPr>
        <w:drawing>
          <wp:inline distT="0" distB="0" distL="0" distR="0" wp14:anchorId="600833D0" wp14:editId="710F8DF4">
            <wp:extent cx="4953000" cy="2371725"/>
            <wp:effectExtent l="0" t="0" r="0" b="9525"/>
            <wp:docPr id="449" name="Chart 449" descr=" When assessing milestone completion rates, the EPI program has the highest average 26-week milestone completion rate of the three programs (76%), while the TAEG and VTEC programs have similar rates of 64% and 65% respectively " title=" .">
              <a:extLst xmlns:a="http://schemas.openxmlformats.org/drawingml/2006/main">
                <a:ext uri="{FF2B5EF4-FFF2-40B4-BE49-F238E27FC236}">
                  <a16:creationId xmlns:a16="http://schemas.microsoft.com/office/drawing/2014/main" id="{90852342-0D04-47F4-A354-5763D228D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37ADFC" w14:textId="77777777" w:rsidR="004E7EA4" w:rsidRPr="00820C89" w:rsidRDefault="00A26C64" w:rsidP="007D040D">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p>
    <w:p w14:paraId="3A1A836D" w14:textId="49F1C003" w:rsidR="00206615" w:rsidRPr="00820C89" w:rsidRDefault="00C74C82" w:rsidP="0040692E">
      <w:pPr>
        <w:rPr>
          <w:rFonts w:asciiTheme="majorHAnsi" w:hAnsiTheme="majorHAnsi"/>
        </w:rPr>
      </w:pPr>
      <w:r w:rsidRPr="00820C89">
        <w:rPr>
          <w:rFonts w:asciiTheme="majorHAnsi" w:hAnsiTheme="majorHAnsi"/>
        </w:rPr>
        <w:t>There</w:t>
      </w:r>
      <w:r w:rsidR="0040692E" w:rsidRPr="00820C89">
        <w:rPr>
          <w:rFonts w:asciiTheme="majorHAnsi" w:hAnsiTheme="majorHAnsi"/>
        </w:rPr>
        <w:t xml:space="preserve"> is also considerable variation in the milestone completion rates within each of the three programs, as indicated by the difference between milestone completion rates one standard deviation above and below the mean level </w:t>
      </w:r>
      <w:r w:rsidR="00DB53CF" w:rsidRPr="00820C89">
        <w:rPr>
          <w:rFonts w:asciiTheme="majorHAnsi" w:hAnsiTheme="majorHAnsi"/>
        </w:rPr>
        <w:t xml:space="preserve">(Chart </w:t>
      </w:r>
      <w:r w:rsidR="00BA21F6" w:rsidRPr="00820C89">
        <w:rPr>
          <w:rFonts w:asciiTheme="majorHAnsi" w:hAnsiTheme="majorHAnsi"/>
        </w:rPr>
        <w:t>4.1</w:t>
      </w:r>
      <w:r w:rsidR="00DB53CF" w:rsidRPr="00820C89">
        <w:rPr>
          <w:rFonts w:asciiTheme="majorHAnsi" w:hAnsiTheme="majorHAnsi"/>
        </w:rPr>
        <w:t>).</w:t>
      </w:r>
    </w:p>
    <w:p w14:paraId="16801ADC" w14:textId="77777777" w:rsidR="00A25C59" w:rsidRPr="00820C89" w:rsidRDefault="0040692E" w:rsidP="0040692E">
      <w:pPr>
        <w:rPr>
          <w:rFonts w:asciiTheme="majorHAnsi" w:hAnsiTheme="majorHAnsi"/>
        </w:rPr>
      </w:pPr>
      <w:r w:rsidRPr="00820C89">
        <w:rPr>
          <w:rFonts w:asciiTheme="majorHAnsi" w:hAnsiTheme="majorHAnsi"/>
        </w:rPr>
        <w:t xml:space="preserve">The TAEG program appears to have the greatest level of variation in milestone completion rates. This </w:t>
      </w:r>
      <w:r w:rsidR="002A54B8" w:rsidRPr="00820C89">
        <w:rPr>
          <w:rFonts w:asciiTheme="majorHAnsi" w:hAnsiTheme="majorHAnsi"/>
        </w:rPr>
        <w:t xml:space="preserve">could be driven by a range of factors, including </w:t>
      </w:r>
      <w:r w:rsidR="00DE6135" w:rsidRPr="00820C89">
        <w:rPr>
          <w:rFonts w:asciiTheme="majorHAnsi" w:hAnsiTheme="majorHAnsi"/>
        </w:rPr>
        <w:t xml:space="preserve">the more flexible (and hence less consistent) TAEG guidelines, </w:t>
      </w:r>
      <w:r w:rsidR="00532BFE" w:rsidRPr="00820C89">
        <w:rPr>
          <w:rFonts w:asciiTheme="majorHAnsi" w:hAnsiTheme="majorHAnsi"/>
        </w:rPr>
        <w:t xml:space="preserve">TAEG </w:t>
      </w:r>
      <w:r w:rsidR="005677AD" w:rsidRPr="00820C89">
        <w:rPr>
          <w:rFonts w:asciiTheme="majorHAnsi" w:hAnsiTheme="majorHAnsi"/>
        </w:rPr>
        <w:t>having</w:t>
      </w:r>
      <w:r w:rsidR="00532BFE" w:rsidRPr="00820C89">
        <w:rPr>
          <w:rFonts w:asciiTheme="majorHAnsi" w:hAnsiTheme="majorHAnsi"/>
        </w:rPr>
        <w:t xml:space="preserve"> a move variable composition of participants, or simply greater variation in the quality of providers delivering the sub-program</w:t>
      </w:r>
      <w:r w:rsidR="00457193" w:rsidRPr="00820C89">
        <w:rPr>
          <w:rFonts w:asciiTheme="majorHAnsi" w:hAnsiTheme="majorHAnsi"/>
        </w:rPr>
        <w:t>.</w:t>
      </w:r>
      <w:r w:rsidR="002A54B8" w:rsidRPr="00820C89">
        <w:rPr>
          <w:rFonts w:asciiTheme="majorHAnsi" w:hAnsiTheme="majorHAnsi"/>
        </w:rPr>
        <w:t xml:space="preserve"> </w:t>
      </w:r>
    </w:p>
    <w:p w14:paraId="08ECD0B6" w14:textId="3852698A" w:rsidR="0040692E" w:rsidRPr="00820C89" w:rsidRDefault="0040692E" w:rsidP="001656D4">
      <w:pPr>
        <w:rPr>
          <w:rFonts w:asciiTheme="majorHAnsi" w:hAnsiTheme="majorHAnsi"/>
        </w:rPr>
      </w:pPr>
      <w:r w:rsidRPr="00820C89">
        <w:rPr>
          <w:rFonts w:asciiTheme="majorHAnsi" w:hAnsiTheme="majorHAnsi"/>
        </w:rPr>
        <w:t xml:space="preserve">Conversely, the EPI </w:t>
      </w:r>
      <w:r w:rsidR="00A25C59" w:rsidRPr="00820C89">
        <w:rPr>
          <w:rFonts w:asciiTheme="majorHAnsi" w:hAnsiTheme="majorHAnsi"/>
        </w:rPr>
        <w:t>sub-</w:t>
      </w:r>
      <w:r w:rsidRPr="00820C89">
        <w:rPr>
          <w:rFonts w:asciiTheme="majorHAnsi" w:hAnsiTheme="majorHAnsi"/>
        </w:rPr>
        <w:t>program has the smallest variation in outcomes</w:t>
      </w:r>
      <w:r w:rsidR="00A25C59" w:rsidRPr="00820C89">
        <w:rPr>
          <w:rFonts w:asciiTheme="majorHAnsi" w:hAnsiTheme="majorHAnsi"/>
        </w:rPr>
        <w:t xml:space="preserve">. </w:t>
      </w:r>
      <w:r w:rsidR="00AD1D1B" w:rsidRPr="00820C89">
        <w:rPr>
          <w:rFonts w:asciiTheme="majorHAnsi" w:hAnsiTheme="majorHAnsi"/>
        </w:rPr>
        <w:t>Anecdotally, s</w:t>
      </w:r>
      <w:r w:rsidR="00A25C59" w:rsidRPr="00820C89">
        <w:rPr>
          <w:rFonts w:asciiTheme="majorHAnsi" w:hAnsiTheme="majorHAnsi"/>
        </w:rPr>
        <w:t xml:space="preserve">takeholder consultations suggest that this may be a result of </w:t>
      </w:r>
      <w:r w:rsidRPr="00820C89">
        <w:rPr>
          <w:rFonts w:asciiTheme="majorHAnsi" w:hAnsiTheme="majorHAnsi"/>
        </w:rPr>
        <w:t xml:space="preserve">EPI </w:t>
      </w:r>
      <w:r w:rsidR="001F1912" w:rsidRPr="00820C89">
        <w:rPr>
          <w:rFonts w:asciiTheme="majorHAnsi" w:hAnsiTheme="majorHAnsi"/>
        </w:rPr>
        <w:t>partner</w:t>
      </w:r>
      <w:r w:rsidRPr="00820C89">
        <w:rPr>
          <w:rFonts w:asciiTheme="majorHAnsi" w:hAnsiTheme="majorHAnsi"/>
        </w:rPr>
        <w:t xml:space="preserve">s </w:t>
      </w:r>
      <w:r w:rsidR="00DA3C76" w:rsidRPr="00820C89">
        <w:rPr>
          <w:rFonts w:asciiTheme="majorHAnsi" w:hAnsiTheme="majorHAnsi"/>
        </w:rPr>
        <w:t xml:space="preserve">taking a </w:t>
      </w:r>
      <w:r w:rsidRPr="00820C89">
        <w:rPr>
          <w:rFonts w:asciiTheme="majorHAnsi" w:hAnsiTheme="majorHAnsi"/>
        </w:rPr>
        <w:t>more work-ready and hence uniform group of participants, meaning that program outcomes are naturally more consistent in nature</w:t>
      </w:r>
      <w:r w:rsidR="007A4F0C" w:rsidRPr="00820C89">
        <w:rPr>
          <w:rFonts w:asciiTheme="majorHAnsi" w:hAnsiTheme="majorHAnsi"/>
        </w:rPr>
        <w:t>.</w:t>
      </w:r>
      <w:r w:rsidR="007F3D86" w:rsidRPr="00820C89">
        <w:rPr>
          <w:rFonts w:asciiTheme="majorHAnsi" w:hAnsiTheme="majorHAnsi"/>
        </w:rPr>
        <w:t xml:space="preserve"> Alternatively, it is possible that </w:t>
      </w:r>
      <w:r w:rsidRPr="00820C89">
        <w:rPr>
          <w:rFonts w:asciiTheme="majorHAnsi" w:hAnsiTheme="majorHAnsi"/>
        </w:rPr>
        <w:t xml:space="preserve">EPI </w:t>
      </w:r>
      <w:r w:rsidR="001F1912" w:rsidRPr="00820C89">
        <w:rPr>
          <w:rFonts w:asciiTheme="majorHAnsi" w:hAnsiTheme="majorHAnsi"/>
        </w:rPr>
        <w:t>partner</w:t>
      </w:r>
      <w:r w:rsidRPr="00820C89">
        <w:rPr>
          <w:rFonts w:asciiTheme="majorHAnsi" w:hAnsiTheme="majorHAnsi"/>
        </w:rPr>
        <w:t xml:space="preserve">s </w:t>
      </w:r>
      <w:r w:rsidR="00470BE5" w:rsidRPr="00820C89">
        <w:rPr>
          <w:rFonts w:asciiTheme="majorHAnsi" w:hAnsiTheme="majorHAnsi"/>
        </w:rPr>
        <w:t>have</w:t>
      </w:r>
      <w:r w:rsidR="00DA3C76" w:rsidRPr="00820C89">
        <w:rPr>
          <w:rFonts w:asciiTheme="majorHAnsi" w:hAnsiTheme="majorHAnsi"/>
        </w:rPr>
        <w:t xml:space="preserve"> a</w:t>
      </w:r>
      <w:r w:rsidRPr="00820C89">
        <w:rPr>
          <w:rFonts w:asciiTheme="majorHAnsi" w:hAnsiTheme="majorHAnsi"/>
        </w:rPr>
        <w:t xml:space="preserve"> greater level of control over the employment outcomes of program participants, as they directly employ participants.</w:t>
      </w:r>
    </w:p>
    <w:p w14:paraId="000F7CEF" w14:textId="77777777" w:rsidR="0040692E" w:rsidRPr="00820C89" w:rsidRDefault="0040692E" w:rsidP="006A262D">
      <w:pPr>
        <w:spacing w:before="170"/>
        <w:rPr>
          <w:rFonts w:asciiTheme="majorHAnsi" w:hAnsiTheme="majorHAnsi"/>
        </w:rPr>
      </w:pPr>
      <w:r w:rsidRPr="006A04F6">
        <w:rPr>
          <w:rFonts w:asciiTheme="majorHAnsi" w:hAnsiTheme="majorHAnsi"/>
        </w:rPr>
        <w:t>From 2014-18, the average combined milestone completion rate across the three programs was relatively consistent, fluctuating between 6</w:t>
      </w:r>
      <w:r w:rsidR="0071004E" w:rsidRPr="006A04F6">
        <w:rPr>
          <w:rFonts w:asciiTheme="majorHAnsi" w:hAnsiTheme="majorHAnsi"/>
        </w:rPr>
        <w:t>6</w:t>
      </w:r>
      <w:r w:rsidRPr="006A04F6">
        <w:rPr>
          <w:rFonts w:asciiTheme="majorHAnsi" w:hAnsiTheme="majorHAnsi"/>
        </w:rPr>
        <w:t xml:space="preserve"> to 72 percent (Chart 4.2).</w:t>
      </w:r>
      <w:r w:rsidRPr="00820C89">
        <w:rPr>
          <w:rFonts w:asciiTheme="majorHAnsi" w:hAnsiTheme="majorHAnsi"/>
        </w:rPr>
        <w:t xml:space="preserve"> However, VTEC employment outcomes have consistently worsened over this period. Further analysis reveals that this is not driven by changes in the composition of providers, as even within the set of providers who continuously operate between 2014-18 milestone rates have decreased. </w:t>
      </w:r>
    </w:p>
    <w:p w14:paraId="6D3893BF" w14:textId="77777777" w:rsidR="0040692E" w:rsidRPr="00820C89" w:rsidRDefault="001006EF" w:rsidP="001006EF">
      <w:pPr>
        <w:pStyle w:val="CaptionChart"/>
        <w:rPr>
          <w:rFonts w:asciiTheme="majorHAnsi" w:hAnsiTheme="majorHAnsi"/>
        </w:rPr>
      </w:pPr>
      <w:r w:rsidRPr="00820C89">
        <w:rPr>
          <w:rFonts w:asciiTheme="majorHAnsi" w:hAnsiTheme="majorHAnsi"/>
        </w:rPr>
        <w:lastRenderedPageBreak/>
        <w:t>:</w:t>
      </w:r>
      <w:r w:rsidR="0040692E" w:rsidRPr="00820C89">
        <w:rPr>
          <w:rFonts w:asciiTheme="majorHAnsi" w:hAnsiTheme="majorHAnsi"/>
        </w:rPr>
        <w:t xml:space="preserve"> Time-series of average milestone completion rate, by program</w:t>
      </w:r>
    </w:p>
    <w:p w14:paraId="2E88E5B3" w14:textId="77777777" w:rsidR="0040692E" w:rsidRPr="00820C89" w:rsidRDefault="006261D3" w:rsidP="0040692E">
      <w:pPr>
        <w:rPr>
          <w:rFonts w:asciiTheme="majorHAnsi" w:hAnsiTheme="majorHAnsi"/>
        </w:rPr>
      </w:pPr>
      <w:r w:rsidRPr="00820C89">
        <w:rPr>
          <w:noProof/>
          <w:lang w:eastAsia="en-AU"/>
        </w:rPr>
        <w:drawing>
          <wp:inline distT="0" distB="0" distL="0" distR="0" wp14:anchorId="0889A812" wp14:editId="6548DB59">
            <wp:extent cx="5562600" cy="2743200"/>
            <wp:effectExtent l="0" t="0" r="0" b="0"/>
            <wp:docPr id="451" name="Chart 451" descr=" " title=" .">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E0C716" w14:textId="77777777" w:rsidR="0040692E" w:rsidRPr="00820C89" w:rsidRDefault="0040692E" w:rsidP="0040692E">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p>
    <w:p w14:paraId="4E4286A3" w14:textId="77777777" w:rsidR="0040692E" w:rsidRPr="00820C89" w:rsidRDefault="0040692E" w:rsidP="0040692E">
      <w:pPr>
        <w:rPr>
          <w:rFonts w:asciiTheme="majorHAnsi" w:hAnsiTheme="majorHAnsi"/>
          <w:i/>
        </w:rPr>
      </w:pPr>
      <w:r w:rsidRPr="00820C89">
        <w:rPr>
          <w:rFonts w:asciiTheme="majorHAnsi" w:hAnsiTheme="majorHAnsi"/>
        </w:rPr>
        <w:t xml:space="preserve">Provider consultations suggest that there are a diverse range of factors that lead to participants not meeting the 26-week employment milestone, primarily centred </w:t>
      </w:r>
      <w:r w:rsidR="00EE273B" w:rsidRPr="00820C89">
        <w:rPr>
          <w:rFonts w:asciiTheme="majorHAnsi" w:hAnsiTheme="majorHAnsi"/>
        </w:rPr>
        <w:t>on</w:t>
      </w:r>
      <w:r w:rsidRPr="00820C89">
        <w:rPr>
          <w:rFonts w:asciiTheme="majorHAnsi" w:hAnsiTheme="majorHAnsi"/>
        </w:rPr>
        <w:t xml:space="preserve"> </w:t>
      </w:r>
      <w:r w:rsidR="00EE273B" w:rsidRPr="00820C89">
        <w:rPr>
          <w:rFonts w:asciiTheme="majorHAnsi" w:hAnsiTheme="majorHAnsi"/>
        </w:rPr>
        <w:t>participants’</w:t>
      </w:r>
      <w:r w:rsidRPr="00820C89">
        <w:rPr>
          <w:rFonts w:asciiTheme="majorHAnsi" w:hAnsiTheme="majorHAnsi"/>
        </w:rPr>
        <w:t xml:space="preserve"> cultural obligations and individual circumstances. For example, providers note that the most common reasons they observe include:</w:t>
      </w:r>
    </w:p>
    <w:p w14:paraId="6933E76A" w14:textId="77777777" w:rsidR="0040692E" w:rsidRPr="00820C89" w:rsidRDefault="0040692E" w:rsidP="00715F70">
      <w:pPr>
        <w:numPr>
          <w:ilvl w:val="0"/>
          <w:numId w:val="13"/>
        </w:numPr>
        <w:spacing w:before="60" w:after="60"/>
        <w:ind w:left="357" w:hanging="357"/>
        <w:rPr>
          <w:rFonts w:asciiTheme="majorHAnsi" w:hAnsiTheme="majorHAnsi"/>
          <w:b/>
          <w:i/>
        </w:rPr>
      </w:pPr>
      <w:r w:rsidRPr="00820C89">
        <w:rPr>
          <w:rFonts w:asciiTheme="majorHAnsi" w:hAnsiTheme="majorHAnsi"/>
        </w:rPr>
        <w:t xml:space="preserve">Cultural obligations that require </w:t>
      </w:r>
      <w:r w:rsidR="00EE273B" w:rsidRPr="00820C89">
        <w:rPr>
          <w:rFonts w:asciiTheme="majorHAnsi" w:hAnsiTheme="majorHAnsi"/>
          <w:bCs/>
          <w:iCs/>
        </w:rPr>
        <w:t>individuals’</w:t>
      </w:r>
      <w:r w:rsidRPr="00820C89">
        <w:rPr>
          <w:rFonts w:asciiTheme="majorHAnsi" w:hAnsiTheme="majorHAnsi"/>
        </w:rPr>
        <w:t xml:space="preserve"> time and effort, preventing them from meeting work commitments </w:t>
      </w:r>
    </w:p>
    <w:p w14:paraId="0741C34D" w14:textId="77777777" w:rsidR="0040692E" w:rsidRPr="00820C89" w:rsidRDefault="0040692E" w:rsidP="00715F70">
      <w:pPr>
        <w:numPr>
          <w:ilvl w:val="0"/>
          <w:numId w:val="13"/>
        </w:numPr>
        <w:spacing w:before="60" w:after="60"/>
        <w:ind w:left="357" w:hanging="357"/>
        <w:rPr>
          <w:rFonts w:asciiTheme="majorHAnsi" w:hAnsiTheme="majorHAnsi"/>
          <w:b/>
          <w:i/>
        </w:rPr>
      </w:pPr>
      <w:r w:rsidRPr="00820C89">
        <w:rPr>
          <w:rFonts w:asciiTheme="majorHAnsi" w:hAnsiTheme="majorHAnsi"/>
        </w:rPr>
        <w:t>A strong sharing economy meaning that individuals do not privately benefit from additional income, effectively reducing their incentive to work</w:t>
      </w:r>
    </w:p>
    <w:p w14:paraId="00EE02C5" w14:textId="77777777" w:rsidR="001E564F" w:rsidRPr="00820C89" w:rsidRDefault="0040692E" w:rsidP="00715F70">
      <w:pPr>
        <w:numPr>
          <w:ilvl w:val="0"/>
          <w:numId w:val="13"/>
        </w:numPr>
        <w:spacing w:before="60" w:after="60"/>
        <w:ind w:left="357" w:hanging="357"/>
        <w:rPr>
          <w:rFonts w:asciiTheme="majorHAnsi" w:hAnsiTheme="majorHAnsi"/>
          <w:b/>
          <w:i/>
        </w:rPr>
      </w:pPr>
      <w:r w:rsidRPr="00820C89">
        <w:rPr>
          <w:rFonts w:asciiTheme="majorHAnsi" w:hAnsiTheme="majorHAnsi"/>
        </w:rPr>
        <w:t>A poor match between participants’ interests and their employment placement.</w:t>
      </w:r>
    </w:p>
    <w:p w14:paraId="45ECEFF8" w14:textId="77777777" w:rsidR="00475E9A" w:rsidRPr="00820C89" w:rsidRDefault="00475E9A" w:rsidP="002120B6">
      <w:pPr>
        <w:spacing w:before="60" w:after="60"/>
        <w:rPr>
          <w:rFonts w:asciiTheme="majorHAnsi" w:hAnsiTheme="majorHAnsi"/>
          <w:b/>
          <w:i/>
        </w:rPr>
      </w:pPr>
    </w:p>
    <w:p w14:paraId="2DBEE3F9" w14:textId="77777777" w:rsidR="00B30B40" w:rsidRPr="00820C89" w:rsidRDefault="0040692E" w:rsidP="0040692E">
      <w:pPr>
        <w:rPr>
          <w:rFonts w:asciiTheme="majorHAnsi" w:hAnsiTheme="majorHAnsi"/>
        </w:rPr>
      </w:pPr>
      <w:r w:rsidRPr="00820C89">
        <w:rPr>
          <w:rFonts w:asciiTheme="majorHAnsi" w:hAnsiTheme="majorHAnsi"/>
        </w:rPr>
        <w:t xml:space="preserve">Stakeholder consultations with providers and NIAA regional staff suggest that it can be challenging for participants to obtain sustainable employment in regional and remote areas, as there may be limited permanent employment opportunities available. These stakeholders emphasise that irrespective of the skills and connections that participants develop as part of the program, the achievement of long-term employment outcomes requires there to be employment opportunities available for participants. </w:t>
      </w:r>
    </w:p>
    <w:p w14:paraId="0F3C9576" w14:textId="77777777" w:rsidR="00AB4EB6" w:rsidRPr="00820C89" w:rsidRDefault="00AB4EB6" w:rsidP="004D4B6B">
      <w:pPr>
        <w:rPr>
          <w:rFonts w:asciiTheme="majorHAnsi" w:hAnsiTheme="majorHAnsi"/>
        </w:rPr>
      </w:pPr>
      <w:r w:rsidRPr="00820C89">
        <w:rPr>
          <w:rFonts w:asciiTheme="majorHAnsi" w:hAnsiTheme="majorHAnsi"/>
        </w:rPr>
        <w:t xml:space="preserve">Additionally, where the employment opportunities do exist, they are likely to be casual – conflicting with program eligibility guidelines. </w:t>
      </w:r>
      <w:r w:rsidR="004B2E51" w:rsidRPr="00820C89">
        <w:rPr>
          <w:rFonts w:asciiTheme="majorHAnsi" w:hAnsiTheme="majorHAnsi"/>
        </w:rPr>
        <w:t>This</w:t>
      </w:r>
      <w:r w:rsidRPr="00820C89">
        <w:rPr>
          <w:rFonts w:asciiTheme="majorHAnsi" w:hAnsiTheme="majorHAnsi"/>
        </w:rPr>
        <w:t xml:space="preserve"> issue is enhanced by the expectation that participants travel or relocate to work, conflicting with community, cultural or family obligations</w:t>
      </w:r>
      <w:r w:rsidR="004D142A" w:rsidRPr="00820C89">
        <w:rPr>
          <w:rFonts w:asciiTheme="majorHAnsi" w:hAnsiTheme="majorHAnsi"/>
        </w:rPr>
        <w:t>.</w:t>
      </w:r>
    </w:p>
    <w:p w14:paraId="223E86B8" w14:textId="77777777" w:rsidR="00294312" w:rsidRPr="00820C89" w:rsidRDefault="00294312" w:rsidP="00294312">
      <w:pPr>
        <w:rPr>
          <w:rFonts w:asciiTheme="majorHAnsi" w:hAnsiTheme="majorHAnsi"/>
          <w:b/>
          <w:i/>
          <w:color w:val="86BC25" w:themeColor="accent1"/>
        </w:rPr>
      </w:pPr>
      <w:r w:rsidRPr="00820C89">
        <w:rPr>
          <w:rFonts w:asciiTheme="majorHAnsi" w:hAnsiTheme="majorHAnsi"/>
        </w:rPr>
        <w:t>Stakeholder consultations also suggest that EPI partners have the greatest and most deliberate focus of the three programs on supporting participants to advance their careers and obtain more senior positions. VTEC and TAEG providers appear to have a less consistent focus on this outcome, with the extent to which this is targeted being driven by the goals of an individual provider or employer.</w:t>
      </w:r>
      <w:r w:rsidRPr="00820C89">
        <w:rPr>
          <w:rFonts w:asciiTheme="majorHAnsi" w:hAnsiTheme="majorHAnsi"/>
          <w:b/>
          <w:i/>
          <w:color w:val="86BC25" w:themeColor="accent1"/>
        </w:rPr>
        <w:t xml:space="preserve"> </w:t>
      </w:r>
      <w:r w:rsidRPr="00820C89">
        <w:rPr>
          <w:rFonts w:asciiTheme="majorHAnsi" w:hAnsiTheme="majorHAnsi"/>
        </w:rPr>
        <w:t>EPI partners consistently report that they seek to advance the careers of their Indigenous staff members and that they have implemented a range of initiatives to try and achieve this. For example:</w:t>
      </w:r>
    </w:p>
    <w:p w14:paraId="53C2F2D2" w14:textId="77777777" w:rsidR="00294312" w:rsidRPr="00820C89" w:rsidRDefault="00294312" w:rsidP="00715F70">
      <w:pPr>
        <w:pStyle w:val="ListParagraph"/>
        <w:numPr>
          <w:ilvl w:val="0"/>
          <w:numId w:val="57"/>
        </w:numPr>
        <w:rPr>
          <w:rFonts w:asciiTheme="majorHAnsi" w:hAnsiTheme="majorHAnsi"/>
        </w:rPr>
      </w:pPr>
      <w:r w:rsidRPr="00820C89">
        <w:rPr>
          <w:rFonts w:asciiTheme="majorHAnsi" w:hAnsiTheme="majorHAnsi"/>
        </w:rPr>
        <w:t>one EPI partner noted that they had developed a leadership development program specifically for Indigenous staff members. They report that to date over 70 Indigenous staff members have participated in the program, and over 50% have been promoted within the organisation.</w:t>
      </w:r>
    </w:p>
    <w:p w14:paraId="78EA420B" w14:textId="77777777" w:rsidR="00294312" w:rsidRPr="00820C89" w:rsidRDefault="00294312" w:rsidP="00294312">
      <w:pPr>
        <w:rPr>
          <w:rFonts w:asciiTheme="majorHAnsi" w:hAnsiTheme="majorHAnsi"/>
        </w:rPr>
      </w:pPr>
      <w:r w:rsidRPr="00820C89">
        <w:rPr>
          <w:rFonts w:asciiTheme="majorHAnsi" w:hAnsiTheme="majorHAnsi"/>
        </w:rPr>
        <w:t>EPI’s greater focus on the career advancement of their Indigenous staff members may be due to several factors, including that they:</w:t>
      </w:r>
    </w:p>
    <w:p w14:paraId="4DF4A571" w14:textId="77777777" w:rsidR="00294312" w:rsidRPr="00820C89" w:rsidRDefault="00294312" w:rsidP="00715F70">
      <w:pPr>
        <w:numPr>
          <w:ilvl w:val="0"/>
          <w:numId w:val="37"/>
        </w:numPr>
        <w:spacing w:before="60" w:after="60"/>
        <w:ind w:left="357" w:hanging="357"/>
        <w:rPr>
          <w:rFonts w:asciiTheme="majorHAnsi" w:hAnsiTheme="majorHAnsi"/>
        </w:rPr>
      </w:pPr>
      <w:r w:rsidRPr="00820C89">
        <w:rPr>
          <w:rFonts w:asciiTheme="majorHAnsi" w:hAnsiTheme="majorHAnsi"/>
        </w:rPr>
        <w:lastRenderedPageBreak/>
        <w:t xml:space="preserve">directly employ participants (which VTEC and TAEG providers do not necessarily do), meaning that they have a greater level of control over participants career progression   </w:t>
      </w:r>
    </w:p>
    <w:p w14:paraId="3D7BCD39" w14:textId="77777777" w:rsidR="00294312" w:rsidRPr="00820C89" w:rsidRDefault="00294312" w:rsidP="00715F70">
      <w:pPr>
        <w:numPr>
          <w:ilvl w:val="0"/>
          <w:numId w:val="37"/>
        </w:numPr>
        <w:spacing w:before="60" w:after="60"/>
        <w:ind w:left="357" w:hanging="357"/>
        <w:rPr>
          <w:rFonts w:asciiTheme="majorHAnsi" w:hAnsiTheme="majorHAnsi"/>
        </w:rPr>
      </w:pPr>
      <w:r w:rsidRPr="00820C89">
        <w:rPr>
          <w:rFonts w:asciiTheme="majorHAnsi" w:hAnsiTheme="majorHAnsi"/>
        </w:rPr>
        <w:t>operate at a scale which allows for the development of more targeted career progression programs.</w:t>
      </w:r>
    </w:p>
    <w:p w14:paraId="517CD022" w14:textId="77777777" w:rsidR="00294312" w:rsidRPr="00820C89" w:rsidRDefault="00294312" w:rsidP="00715F70">
      <w:pPr>
        <w:numPr>
          <w:ilvl w:val="0"/>
          <w:numId w:val="37"/>
        </w:numPr>
        <w:spacing w:before="60"/>
        <w:ind w:left="357" w:hanging="357"/>
        <w:rPr>
          <w:rFonts w:asciiTheme="majorHAnsi" w:hAnsiTheme="majorHAnsi"/>
        </w:rPr>
      </w:pPr>
      <w:r w:rsidRPr="00820C89">
        <w:rPr>
          <w:rFonts w:asciiTheme="majorHAnsi" w:hAnsiTheme="majorHAnsi"/>
        </w:rPr>
        <w:t xml:space="preserve">May work with more job-ready group of participants, who will naturally find it easier to progress to senior positions.  </w:t>
      </w:r>
    </w:p>
    <w:p w14:paraId="3C498CAE" w14:textId="77777777" w:rsidR="0065518E" w:rsidRPr="00820C89" w:rsidRDefault="0040692E" w:rsidP="0065518E">
      <w:pPr>
        <w:keepNext/>
        <w:keepLines/>
        <w:tabs>
          <w:tab w:val="left" w:pos="340"/>
        </w:tabs>
        <w:spacing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Participant characteristics</w:t>
      </w:r>
    </w:p>
    <w:p w14:paraId="099FCDEA" w14:textId="77777777" w:rsidR="00A40919" w:rsidRPr="00820C89" w:rsidRDefault="0040692E" w:rsidP="00CF5FF8">
      <w:r w:rsidRPr="00820C89">
        <w:t xml:space="preserve">This section identifies the key participant characteristics that </w:t>
      </w:r>
      <w:r w:rsidR="00A51FB5" w:rsidRPr="00820C89">
        <w:t>are associated with relatively higher or lower milestone completion rates</w:t>
      </w:r>
      <w:r w:rsidRPr="00820C89">
        <w:t xml:space="preserve">. </w:t>
      </w:r>
    </w:p>
    <w:p w14:paraId="6CA6D15D" w14:textId="74FADAA3" w:rsidR="0065518E" w:rsidRPr="00820C89" w:rsidRDefault="00D47DED" w:rsidP="00CF5FF8">
      <w:pPr>
        <w:rPr>
          <w:rFonts w:eastAsiaTheme="majorEastAsia" w:cstheme="majorBidi"/>
          <w:b/>
          <w:color w:val="75787B" w:themeColor="accent6"/>
        </w:rPr>
      </w:pPr>
      <w:r w:rsidRPr="00820C89">
        <w:t>A</w:t>
      </w:r>
      <w:r w:rsidR="0040692E" w:rsidRPr="00820C89">
        <w:t xml:space="preserve"> range of participant characteristics that are not currently captured in the program data may drive program impact, including participants</w:t>
      </w:r>
      <w:r w:rsidR="008D4142" w:rsidRPr="00820C89">
        <w:t xml:space="preserve">’ </w:t>
      </w:r>
      <w:r w:rsidRPr="00820C89">
        <w:t>l</w:t>
      </w:r>
      <w:r w:rsidR="0040692E" w:rsidRPr="00820C89">
        <w:t>ength of unemployment</w:t>
      </w:r>
      <w:r w:rsidRPr="00820C89">
        <w:t>, h</w:t>
      </w:r>
      <w:r w:rsidR="0040692E" w:rsidRPr="00820C89">
        <w:t>ighest level of educational attainment</w:t>
      </w:r>
      <w:r w:rsidRPr="00820C89">
        <w:t xml:space="preserve">, and </w:t>
      </w:r>
      <w:r w:rsidR="0040692E" w:rsidRPr="00820C89">
        <w:t>JSCI stream</w:t>
      </w:r>
      <w:r w:rsidR="009E683A" w:rsidRPr="00820C89">
        <w:t>.</w:t>
      </w:r>
      <w:r w:rsidR="00FC560F" w:rsidRPr="00820C89">
        <w:t xml:space="preserve"> </w:t>
      </w:r>
      <w:r w:rsidR="00E02211" w:rsidRPr="00820C89">
        <w:t xml:space="preserve">Further, as discussed </w:t>
      </w:r>
      <w:r w:rsidR="0011209A" w:rsidRPr="00820C89">
        <w:t>in subsequent sections</w:t>
      </w:r>
      <w:r w:rsidR="00E02211" w:rsidRPr="00820C89">
        <w:t xml:space="preserve">, the relative </w:t>
      </w:r>
      <w:r w:rsidR="00E54A16" w:rsidRPr="00820C89">
        <w:t xml:space="preserve">success of different </w:t>
      </w:r>
      <w:r w:rsidR="006759E3" w:rsidRPr="00820C89">
        <w:t>cohorts appears</w:t>
      </w:r>
      <w:r w:rsidR="00E54A16" w:rsidRPr="00820C89">
        <w:t xml:space="preserve"> </w:t>
      </w:r>
      <w:r w:rsidR="00AD7F8B" w:rsidRPr="00820C89">
        <w:t>to change</w:t>
      </w:r>
      <w:r w:rsidR="00E54A16" w:rsidRPr="00820C89">
        <w:t xml:space="preserve"> depending on which </w:t>
      </w:r>
      <w:r w:rsidR="003E54DD" w:rsidRPr="00820C89">
        <w:t>dataset</w:t>
      </w:r>
      <w:r w:rsidR="002C72C6" w:rsidRPr="00820C89">
        <w:t>s</w:t>
      </w:r>
      <w:r w:rsidR="003E54DD" w:rsidRPr="00820C89">
        <w:t xml:space="preserve"> or analytical technique</w:t>
      </w:r>
      <w:r w:rsidR="002C72C6" w:rsidRPr="00820C89">
        <w:t>s</w:t>
      </w:r>
      <w:r w:rsidR="003E54DD" w:rsidRPr="00820C89">
        <w:t xml:space="preserve"> </w:t>
      </w:r>
      <w:r w:rsidR="002C72C6" w:rsidRPr="00820C89">
        <w:t xml:space="preserve">are </w:t>
      </w:r>
      <w:r w:rsidR="003E54DD" w:rsidRPr="00820C89">
        <w:t>used (i.e. when looking at 26-week outcomes vs. income support status)</w:t>
      </w:r>
      <w:r w:rsidR="00927555" w:rsidRPr="00820C89">
        <w:t>. This highlights the need for further analysis to be conducted on this topic</w:t>
      </w:r>
      <w:r w:rsidR="004336A9" w:rsidRPr="00820C89">
        <w:t>, with access to the fuller dataset</w:t>
      </w:r>
      <w:r w:rsidR="00F23042" w:rsidRPr="00820C89">
        <w:t>, and new data</w:t>
      </w:r>
      <w:r w:rsidR="00927555" w:rsidRPr="00820C89">
        <w:t>.</w:t>
      </w:r>
    </w:p>
    <w:p w14:paraId="56BADB0A" w14:textId="4525BD48" w:rsidR="0040692E" w:rsidRPr="00820C89" w:rsidRDefault="0040692E" w:rsidP="0040692E">
      <w:pPr>
        <w:rPr>
          <w:rFonts w:asciiTheme="majorHAnsi" w:hAnsiTheme="majorHAnsi"/>
          <w:b/>
          <w:bCs/>
        </w:rPr>
      </w:pPr>
      <w:r w:rsidRPr="00820C89">
        <w:rPr>
          <w:rFonts w:asciiTheme="majorHAnsi" w:hAnsiTheme="majorHAnsi"/>
        </w:rPr>
        <w:t xml:space="preserve">On balance, older participants appear to have a </w:t>
      </w:r>
      <w:r w:rsidR="00373AAB" w:rsidRPr="00820C89">
        <w:rPr>
          <w:rFonts w:asciiTheme="majorHAnsi" w:hAnsiTheme="majorHAnsi"/>
        </w:rPr>
        <w:t xml:space="preserve">marginally </w:t>
      </w:r>
      <w:r w:rsidRPr="00820C89">
        <w:rPr>
          <w:rFonts w:asciiTheme="majorHAnsi" w:hAnsiTheme="majorHAnsi"/>
        </w:rPr>
        <w:t>higher average milestone completion rate than younger participants</w:t>
      </w:r>
      <w:r w:rsidRPr="006A04F6">
        <w:rPr>
          <w:rFonts w:asciiTheme="majorHAnsi" w:hAnsiTheme="majorHAnsi"/>
        </w:rPr>
        <w:t>.</w:t>
      </w:r>
      <w:r w:rsidR="00A91C8D" w:rsidRPr="006A04F6">
        <w:rPr>
          <w:rFonts w:asciiTheme="majorHAnsi" w:hAnsiTheme="majorHAnsi"/>
          <w:b/>
          <w:bCs/>
        </w:rPr>
        <w:t xml:space="preserve"> </w:t>
      </w:r>
      <w:r w:rsidR="00681DCF" w:rsidRPr="006A04F6">
        <w:rPr>
          <w:rFonts w:asciiTheme="majorHAnsi" w:hAnsiTheme="majorHAnsi"/>
        </w:rPr>
        <w:t>Participants aged 46 years old and</w:t>
      </w:r>
      <w:r w:rsidR="00843130" w:rsidRPr="006A04F6">
        <w:rPr>
          <w:rFonts w:asciiTheme="majorHAnsi" w:hAnsiTheme="majorHAnsi"/>
        </w:rPr>
        <w:t xml:space="preserve"> over have an average 26-week milestone completion rate that is</w:t>
      </w:r>
      <w:r w:rsidR="002C7FDC" w:rsidRPr="006A04F6">
        <w:rPr>
          <w:rFonts w:asciiTheme="majorHAnsi" w:hAnsiTheme="majorHAnsi"/>
        </w:rPr>
        <w:t xml:space="preserve"> </w:t>
      </w:r>
      <w:r w:rsidR="00843130" w:rsidRPr="006A04F6">
        <w:rPr>
          <w:rFonts w:asciiTheme="majorHAnsi" w:hAnsiTheme="majorHAnsi"/>
        </w:rPr>
        <w:t xml:space="preserve">statistically different </w:t>
      </w:r>
      <w:r w:rsidR="00E96D8E" w:rsidRPr="006A04F6">
        <w:rPr>
          <w:rFonts w:asciiTheme="majorHAnsi" w:hAnsiTheme="majorHAnsi"/>
        </w:rPr>
        <w:t>(</w:t>
      </w:r>
      <w:r w:rsidR="00843130" w:rsidRPr="006A04F6">
        <w:rPr>
          <w:rFonts w:asciiTheme="majorHAnsi" w:hAnsiTheme="majorHAnsi"/>
        </w:rPr>
        <w:t>two to six percentage points higher</w:t>
      </w:r>
      <w:r w:rsidR="00E96D8E" w:rsidRPr="006A04F6">
        <w:rPr>
          <w:rFonts w:asciiTheme="majorHAnsi" w:hAnsiTheme="majorHAnsi"/>
        </w:rPr>
        <w:t>)</w:t>
      </w:r>
      <w:r w:rsidR="00843130" w:rsidRPr="006A04F6">
        <w:rPr>
          <w:rFonts w:asciiTheme="majorHAnsi" w:hAnsiTheme="majorHAnsi"/>
        </w:rPr>
        <w:t xml:space="preserve"> </w:t>
      </w:r>
      <w:r w:rsidR="000F3B03" w:rsidRPr="006A04F6">
        <w:rPr>
          <w:rFonts w:asciiTheme="majorHAnsi" w:hAnsiTheme="majorHAnsi"/>
        </w:rPr>
        <w:t xml:space="preserve">to </w:t>
      </w:r>
      <w:r w:rsidR="00843130" w:rsidRPr="006A04F6">
        <w:rPr>
          <w:rFonts w:asciiTheme="majorHAnsi" w:hAnsiTheme="majorHAnsi"/>
        </w:rPr>
        <w:t>the all ages average</w:t>
      </w:r>
      <w:r w:rsidR="006710F7" w:rsidRPr="006A04F6">
        <w:rPr>
          <w:rFonts w:asciiTheme="majorHAnsi" w:hAnsiTheme="majorHAnsi"/>
        </w:rPr>
        <w:t xml:space="preserve"> (Chart 4.</w:t>
      </w:r>
      <w:r w:rsidR="00AA1450" w:rsidRPr="006A04F6">
        <w:rPr>
          <w:rFonts w:asciiTheme="majorHAnsi" w:hAnsiTheme="majorHAnsi"/>
        </w:rPr>
        <w:t>3</w:t>
      </w:r>
      <w:r w:rsidR="006710F7" w:rsidRPr="006A04F6">
        <w:rPr>
          <w:rFonts w:asciiTheme="majorHAnsi" w:hAnsiTheme="majorHAnsi"/>
        </w:rPr>
        <w:t>)</w:t>
      </w:r>
      <w:r w:rsidR="00843130" w:rsidRPr="006A04F6">
        <w:rPr>
          <w:rFonts w:asciiTheme="majorHAnsi" w:hAnsiTheme="majorHAnsi"/>
        </w:rPr>
        <w:t>.</w:t>
      </w:r>
      <w:r w:rsidR="002334CD" w:rsidRPr="00820C89">
        <w:rPr>
          <w:rFonts w:asciiTheme="majorHAnsi" w:hAnsiTheme="majorHAnsi"/>
        </w:rPr>
        <w:t xml:space="preserve"> However, older participants account for only a small </w:t>
      </w:r>
      <w:r w:rsidR="005F0EB9" w:rsidRPr="00820C89">
        <w:rPr>
          <w:rFonts w:asciiTheme="majorHAnsi" w:hAnsiTheme="majorHAnsi"/>
        </w:rPr>
        <w:t>fraction</w:t>
      </w:r>
      <w:r w:rsidR="002334CD" w:rsidRPr="00820C89">
        <w:rPr>
          <w:rFonts w:asciiTheme="majorHAnsi" w:hAnsiTheme="majorHAnsi"/>
        </w:rPr>
        <w:t xml:space="preserve"> of total participants, with a total of </w:t>
      </w:r>
      <w:r w:rsidR="00980F10" w:rsidRPr="00820C89">
        <w:rPr>
          <w:rFonts w:asciiTheme="majorHAnsi" w:hAnsiTheme="majorHAnsi"/>
        </w:rPr>
        <w:t>around</w:t>
      </w:r>
      <w:r w:rsidR="002334CD" w:rsidRPr="00820C89">
        <w:rPr>
          <w:rFonts w:asciiTheme="majorHAnsi" w:hAnsiTheme="majorHAnsi"/>
        </w:rPr>
        <w:t xml:space="preserve"> </w:t>
      </w:r>
      <w:r w:rsidR="00EC4C0B" w:rsidRPr="00820C89">
        <w:rPr>
          <w:rFonts w:asciiTheme="majorHAnsi" w:hAnsiTheme="majorHAnsi"/>
        </w:rPr>
        <w:t>5,200</w:t>
      </w:r>
      <w:r w:rsidR="002334CD" w:rsidRPr="00820C89">
        <w:rPr>
          <w:rFonts w:asciiTheme="majorHAnsi" w:hAnsiTheme="majorHAnsi"/>
        </w:rPr>
        <w:t xml:space="preserve"> employment commencements from participants aged 46 years old plus over the life of the programs. </w:t>
      </w:r>
    </w:p>
    <w:p w14:paraId="5971EB05" w14:textId="77777777" w:rsidR="0040692E" w:rsidRPr="00820C89" w:rsidRDefault="0040692E" w:rsidP="0040692E">
      <w:pPr>
        <w:rPr>
          <w:rFonts w:asciiTheme="majorHAnsi" w:hAnsiTheme="majorHAnsi"/>
        </w:rPr>
      </w:pPr>
      <w:r w:rsidRPr="00820C89">
        <w:rPr>
          <w:rFonts w:asciiTheme="majorHAnsi" w:hAnsiTheme="majorHAnsi"/>
        </w:rPr>
        <w:t xml:space="preserve">Stakeholder consultations with providers suggest that this differential impact by age may reflect the level of financial and ‘life’ commitments that participants have. For example, one provider noted that older participants are more likely to have dependents, and therefore have a stronger need to gain employment to achieve financial security. Conversely, the provider argued that it can be difficult to engage younger participants, as they may be unsure as to whether they wish to pursue specific employment opportunities.  </w:t>
      </w:r>
    </w:p>
    <w:p w14:paraId="0251F73C" w14:textId="77777777" w:rsidR="0040692E" w:rsidRPr="00820C89" w:rsidRDefault="0040692E" w:rsidP="0040692E">
      <w:pPr>
        <w:rPr>
          <w:rFonts w:asciiTheme="majorHAnsi" w:hAnsiTheme="majorHAnsi"/>
        </w:rPr>
      </w:pPr>
      <w:r w:rsidRPr="00820C89">
        <w:rPr>
          <w:rFonts w:asciiTheme="majorHAnsi" w:hAnsiTheme="majorHAnsi"/>
        </w:rPr>
        <w:t xml:space="preserve">However, providers and EPI </w:t>
      </w:r>
      <w:r w:rsidR="001F1912" w:rsidRPr="00820C89">
        <w:rPr>
          <w:rFonts w:asciiTheme="majorHAnsi" w:hAnsiTheme="majorHAnsi"/>
        </w:rPr>
        <w:t>partner</w:t>
      </w:r>
      <w:r w:rsidRPr="00820C89">
        <w:rPr>
          <w:rFonts w:asciiTheme="majorHAnsi" w:hAnsiTheme="majorHAnsi"/>
        </w:rPr>
        <w:t xml:space="preserve">s also note that working with younger participants can have a transformative and lasting </w:t>
      </w:r>
      <w:r w:rsidR="001930BE" w:rsidRPr="00820C89">
        <w:rPr>
          <w:rFonts w:asciiTheme="majorHAnsi" w:hAnsiTheme="majorHAnsi"/>
        </w:rPr>
        <w:t>impact and</w:t>
      </w:r>
      <w:r w:rsidRPr="00820C89">
        <w:rPr>
          <w:rFonts w:asciiTheme="majorHAnsi" w:hAnsiTheme="majorHAnsi"/>
        </w:rPr>
        <w:t xml:space="preserve"> has the capacity to alter the life trajectory of participants. For example, one EPI </w:t>
      </w:r>
      <w:r w:rsidR="001F1912" w:rsidRPr="00820C89">
        <w:rPr>
          <w:rFonts w:asciiTheme="majorHAnsi" w:hAnsiTheme="majorHAnsi"/>
        </w:rPr>
        <w:t>partner</w:t>
      </w:r>
      <w:r w:rsidRPr="00820C89">
        <w:rPr>
          <w:rFonts w:asciiTheme="majorHAnsi" w:hAnsiTheme="majorHAnsi"/>
        </w:rPr>
        <w:t xml:space="preserve"> noted that:</w:t>
      </w:r>
    </w:p>
    <w:p w14:paraId="1D86792A"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“We put a lot of emphasis on creating employment opportunities for young people, even those who still might be at school or studying. We know that Indigenous people are far less likely to be engaged in part-time employment than non-Indigenous Australians when they are young, and this likely means they miss out on obtaining these valuable work skills. If we give employment opportunities to young people, it can set them up for a future of working” (EPI </w:t>
      </w:r>
      <w:r w:rsidR="001F1912" w:rsidRPr="00820C89">
        <w:rPr>
          <w:rFonts w:asciiTheme="majorHAnsi" w:hAnsiTheme="majorHAnsi"/>
          <w:i/>
        </w:rPr>
        <w:t>partner</w:t>
      </w:r>
      <w:r w:rsidR="00982DF7" w:rsidRPr="00820C89">
        <w:rPr>
          <w:rFonts w:asciiTheme="majorHAnsi" w:hAnsiTheme="majorHAnsi"/>
          <w:i/>
        </w:rPr>
        <w:t>.</w:t>
      </w:r>
    </w:p>
    <w:p w14:paraId="4AE2F4DC" w14:textId="77777777" w:rsidR="0040692E" w:rsidRPr="00820C89" w:rsidRDefault="0040692E" w:rsidP="0087141B">
      <w:pPr>
        <w:pStyle w:val="CaptionChart"/>
        <w:rPr>
          <w:rFonts w:asciiTheme="majorHAnsi" w:hAnsiTheme="majorHAnsi"/>
        </w:rPr>
      </w:pPr>
      <w:bookmarkStart w:id="121" w:name="_Ref68679042"/>
      <w:r w:rsidRPr="00820C89">
        <w:rPr>
          <w:rFonts w:asciiTheme="majorHAnsi" w:hAnsiTheme="majorHAnsi"/>
        </w:rPr>
        <w:lastRenderedPageBreak/>
        <w:t>: Average 26-week milestone completion rate, by participant age</w:t>
      </w:r>
      <w:bookmarkEnd w:id="121"/>
    </w:p>
    <w:p w14:paraId="7FD87A07" w14:textId="77777777" w:rsidR="0040692E" w:rsidRPr="00820C89" w:rsidRDefault="00CB7F82" w:rsidP="0040692E">
      <w:pPr>
        <w:rPr>
          <w:rFonts w:asciiTheme="majorHAnsi" w:hAnsiTheme="majorHAnsi"/>
        </w:rPr>
      </w:pPr>
      <w:r w:rsidRPr="00820C89">
        <w:rPr>
          <w:noProof/>
          <w:lang w:eastAsia="en-AU"/>
        </w:rPr>
        <w:drawing>
          <wp:inline distT="0" distB="0" distL="0" distR="0" wp14:anchorId="6595E4BE" wp14:editId="2B0FEBE0">
            <wp:extent cx="4667248" cy="2913077"/>
            <wp:effectExtent l="0" t="0" r="635" b="1905"/>
            <wp:docPr id="459" name="Picture 459" descr=" On balance, older participants appear to have a marginally higher average milestone completion rate than younger participants. Participants aged 46 years old and over have an average 26-week milestone completion rate that is statistically different (two to six percentage points higher) to the all ages average"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44">
                      <a:extLst>
                        <a:ext uri="{28A0092B-C50C-407E-A947-70E740481C1C}">
                          <a14:useLocalDpi xmlns:a14="http://schemas.microsoft.com/office/drawing/2010/main" val="0"/>
                        </a:ext>
                      </a:extLst>
                    </a:blip>
                    <a:stretch>
                      <a:fillRect/>
                    </a:stretch>
                  </pic:blipFill>
                  <pic:spPr>
                    <a:xfrm>
                      <a:off x="0" y="0"/>
                      <a:ext cx="4667248" cy="2913077"/>
                    </a:xfrm>
                    <a:prstGeom prst="rect">
                      <a:avLst/>
                    </a:prstGeom>
                  </pic:spPr>
                </pic:pic>
              </a:graphicData>
            </a:graphic>
          </wp:inline>
        </w:drawing>
      </w:r>
      <w:r w:rsidR="00BC0825" w:rsidRPr="00820C89">
        <w:tab/>
      </w:r>
    </w:p>
    <w:p w14:paraId="2ECE6424" w14:textId="77777777" w:rsidR="0040692E" w:rsidRPr="00820C89" w:rsidRDefault="0040692E" w:rsidP="0040692E">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p>
    <w:p w14:paraId="3EE48DD3" w14:textId="77777777" w:rsidR="0040692E" w:rsidRPr="00820C89" w:rsidRDefault="0040692E" w:rsidP="0040692E">
      <w:pPr>
        <w:rPr>
          <w:rFonts w:asciiTheme="majorHAnsi" w:hAnsiTheme="majorHAnsi"/>
          <w:b/>
          <w:bCs/>
        </w:rPr>
      </w:pPr>
      <w:r w:rsidRPr="006A04F6">
        <w:rPr>
          <w:rFonts w:asciiTheme="majorHAnsi" w:hAnsiTheme="majorHAnsi"/>
        </w:rPr>
        <w:t xml:space="preserve">In general, female participants appear to have a </w:t>
      </w:r>
      <w:r w:rsidR="008C5BE3" w:rsidRPr="006A04F6">
        <w:rPr>
          <w:rFonts w:asciiTheme="majorHAnsi" w:hAnsiTheme="majorHAnsi"/>
        </w:rPr>
        <w:t xml:space="preserve">significantly </w:t>
      </w:r>
      <w:r w:rsidRPr="006A04F6">
        <w:rPr>
          <w:rFonts w:asciiTheme="majorHAnsi" w:hAnsiTheme="majorHAnsi"/>
        </w:rPr>
        <w:t>higher 26-week milestone completion rate than male participants</w:t>
      </w:r>
      <w:r w:rsidR="00A37C25" w:rsidRPr="006A04F6">
        <w:rPr>
          <w:rFonts w:asciiTheme="majorHAnsi" w:hAnsiTheme="majorHAnsi"/>
        </w:rPr>
        <w:t>, with the exception of the EPI program</w:t>
      </w:r>
      <w:r w:rsidR="00C141A4" w:rsidRPr="006A04F6">
        <w:rPr>
          <w:rFonts w:asciiTheme="majorHAnsi" w:hAnsiTheme="majorHAnsi"/>
        </w:rPr>
        <w:t xml:space="preserve"> (Chart 4.4)</w:t>
      </w:r>
      <w:r w:rsidR="00752921" w:rsidRPr="006A04F6">
        <w:rPr>
          <w:rFonts w:asciiTheme="majorHAnsi" w:hAnsiTheme="majorHAnsi"/>
        </w:rPr>
        <w:t xml:space="preserve">. </w:t>
      </w:r>
      <w:r w:rsidR="00482817" w:rsidRPr="006A04F6">
        <w:rPr>
          <w:rFonts w:asciiTheme="majorHAnsi" w:hAnsiTheme="majorHAnsi"/>
        </w:rPr>
        <w:t>However</w:t>
      </w:r>
      <w:r w:rsidR="00482817" w:rsidRPr="00820C89">
        <w:rPr>
          <w:rFonts w:asciiTheme="majorHAnsi" w:hAnsiTheme="majorHAnsi"/>
        </w:rPr>
        <w:t xml:space="preserve">, across the </w:t>
      </w:r>
      <w:r w:rsidR="001A5B0D" w:rsidRPr="00820C89">
        <w:rPr>
          <w:rFonts w:asciiTheme="majorHAnsi" w:hAnsiTheme="majorHAnsi"/>
        </w:rPr>
        <w:t>sub-</w:t>
      </w:r>
      <w:r w:rsidR="00482817" w:rsidRPr="00820C89">
        <w:rPr>
          <w:rFonts w:asciiTheme="majorHAnsi" w:hAnsiTheme="majorHAnsi"/>
        </w:rPr>
        <w:t xml:space="preserve">programs, </w:t>
      </w:r>
      <w:r w:rsidR="001C509F" w:rsidRPr="00820C89">
        <w:rPr>
          <w:rFonts w:asciiTheme="majorHAnsi" w:hAnsiTheme="majorHAnsi"/>
        </w:rPr>
        <w:t>female participants remain the minority – accounting for approximately 45% of employment commencements.</w:t>
      </w:r>
      <w:r w:rsidR="00CC1CFC" w:rsidRPr="00820C89">
        <w:rPr>
          <w:rFonts w:asciiTheme="majorHAnsi" w:hAnsiTheme="majorHAnsi"/>
        </w:rPr>
        <w:t xml:space="preserve"> </w:t>
      </w:r>
      <w:r w:rsidR="003503DA" w:rsidRPr="00820C89">
        <w:rPr>
          <w:rFonts w:asciiTheme="majorHAnsi" w:hAnsiTheme="majorHAnsi"/>
        </w:rPr>
        <w:t xml:space="preserve"> </w:t>
      </w:r>
    </w:p>
    <w:p w14:paraId="61219BD6" w14:textId="77777777" w:rsidR="0040692E" w:rsidRPr="00820C89" w:rsidRDefault="0040692E" w:rsidP="0087141B">
      <w:pPr>
        <w:pStyle w:val="CaptionChart"/>
        <w:rPr>
          <w:rFonts w:asciiTheme="majorHAnsi" w:hAnsiTheme="majorHAnsi"/>
        </w:rPr>
      </w:pPr>
      <w:r w:rsidRPr="00820C89">
        <w:rPr>
          <w:rFonts w:asciiTheme="majorHAnsi" w:hAnsiTheme="majorHAnsi"/>
        </w:rPr>
        <w:t>: Average 26-week milestone completion rate, by participant gender</w:t>
      </w:r>
    </w:p>
    <w:p w14:paraId="616445D2" w14:textId="77777777" w:rsidR="0040692E" w:rsidRPr="00820C89" w:rsidRDefault="007073A3" w:rsidP="0040692E">
      <w:pPr>
        <w:rPr>
          <w:rFonts w:asciiTheme="majorHAnsi" w:hAnsiTheme="majorHAnsi"/>
        </w:rPr>
      </w:pPr>
      <w:r w:rsidRPr="00820C89">
        <w:rPr>
          <w:noProof/>
          <w:lang w:eastAsia="en-AU"/>
        </w:rPr>
        <w:drawing>
          <wp:inline distT="0" distB="0" distL="0" distR="0" wp14:anchorId="291ABC01" wp14:editId="38D3B56B">
            <wp:extent cx="4566285" cy="2639695"/>
            <wp:effectExtent l="0" t="0" r="0" b="0"/>
            <wp:docPr id="460" name="Picture 460"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pic:nvPicPr>
                  <pic:blipFill>
                    <a:blip r:embed="rId45">
                      <a:extLst>
                        <a:ext uri="{28A0092B-C50C-407E-A947-70E740481C1C}">
                          <a14:useLocalDpi xmlns:a14="http://schemas.microsoft.com/office/drawing/2010/main" val="0"/>
                        </a:ext>
                      </a:extLst>
                    </a:blip>
                    <a:stretch>
                      <a:fillRect/>
                    </a:stretch>
                  </pic:blipFill>
                  <pic:spPr>
                    <a:xfrm>
                      <a:off x="0" y="0"/>
                      <a:ext cx="4566285" cy="2639695"/>
                    </a:xfrm>
                    <a:prstGeom prst="rect">
                      <a:avLst/>
                    </a:prstGeom>
                  </pic:spPr>
                </pic:pic>
              </a:graphicData>
            </a:graphic>
          </wp:inline>
        </w:drawing>
      </w:r>
    </w:p>
    <w:p w14:paraId="5ED76466" w14:textId="77777777" w:rsidR="0040692E" w:rsidRPr="00820C89" w:rsidRDefault="0040692E" w:rsidP="0040692E">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r w:rsidR="00980F10" w:rsidRPr="00820C89">
        <w:rPr>
          <w:rFonts w:asciiTheme="majorHAnsi" w:hAnsiTheme="majorHAnsi"/>
          <w:color w:val="75787B" w:themeColor="accent6"/>
          <w:sz w:val="14"/>
        </w:rPr>
        <w:t xml:space="preserve"> Note: the difference </w:t>
      </w:r>
      <w:r w:rsidR="00BC5EDF" w:rsidRPr="00820C89">
        <w:rPr>
          <w:rFonts w:asciiTheme="majorHAnsi" w:hAnsiTheme="majorHAnsi"/>
          <w:color w:val="75787B" w:themeColor="accent6"/>
          <w:sz w:val="14"/>
        </w:rPr>
        <w:t xml:space="preserve">in milestone completion rates between males and females is statistically significant at the 5% level </w:t>
      </w:r>
      <w:r w:rsidR="00AE1B4E" w:rsidRPr="00820C89">
        <w:rPr>
          <w:rFonts w:asciiTheme="majorHAnsi" w:hAnsiTheme="majorHAnsi"/>
          <w:color w:val="75787B" w:themeColor="accent6"/>
          <w:sz w:val="14"/>
        </w:rPr>
        <w:t xml:space="preserve">within </w:t>
      </w:r>
      <w:r w:rsidR="00BC5EDF" w:rsidRPr="00820C89">
        <w:rPr>
          <w:rFonts w:asciiTheme="majorHAnsi" w:hAnsiTheme="majorHAnsi"/>
          <w:color w:val="75787B" w:themeColor="accent6"/>
          <w:sz w:val="14"/>
        </w:rPr>
        <w:t>each of the programs (and overall</w:t>
      </w:r>
      <w:r w:rsidR="00280BE4" w:rsidRPr="00820C89">
        <w:rPr>
          <w:rFonts w:asciiTheme="majorHAnsi" w:hAnsiTheme="majorHAnsi"/>
          <w:color w:val="75787B" w:themeColor="accent6"/>
          <w:sz w:val="14"/>
        </w:rPr>
        <w:t>).</w:t>
      </w:r>
    </w:p>
    <w:p w14:paraId="08339877" w14:textId="77777777" w:rsidR="009361DF" w:rsidRPr="00820C89" w:rsidRDefault="003503DA" w:rsidP="009361DF">
      <w:pPr>
        <w:rPr>
          <w:rFonts w:asciiTheme="majorHAnsi" w:hAnsiTheme="majorHAnsi"/>
          <w:b/>
          <w:bCs/>
        </w:rPr>
      </w:pPr>
      <w:r w:rsidRPr="00820C89">
        <w:rPr>
          <w:rFonts w:asciiTheme="majorHAnsi" w:hAnsiTheme="majorHAnsi"/>
        </w:rPr>
        <w:t>P</w:t>
      </w:r>
      <w:r w:rsidR="0040692E" w:rsidRPr="00820C89">
        <w:rPr>
          <w:rFonts w:asciiTheme="majorHAnsi" w:hAnsiTheme="majorHAnsi"/>
        </w:rPr>
        <w:t>roviders and employers suggest that participants who have been unemployed for a longer period of time generally find it more difficult to achieve employment outcomes.</w:t>
      </w:r>
      <w:r w:rsidR="0040692E" w:rsidRPr="00820C89">
        <w:rPr>
          <w:rFonts w:asciiTheme="majorHAnsi" w:hAnsiTheme="majorHAnsi"/>
          <w:b/>
          <w:bCs/>
        </w:rPr>
        <w:t xml:space="preserve"> </w:t>
      </w:r>
      <w:r w:rsidR="009361DF" w:rsidRPr="00820C89">
        <w:rPr>
          <w:rFonts w:asciiTheme="majorHAnsi" w:hAnsiTheme="majorHAnsi"/>
        </w:rPr>
        <w:t xml:space="preserve">This finding is consistent with </w:t>
      </w:r>
      <w:r w:rsidR="009361DF" w:rsidRPr="00820C89">
        <w:rPr>
          <w:rFonts w:asciiTheme="majorHAnsi" w:hAnsiTheme="majorHAnsi"/>
        </w:rPr>
        <w:lastRenderedPageBreak/>
        <w:t>academic literature on the subject, which suggests that being unemployed for a long</w:t>
      </w:r>
      <w:r w:rsidR="00D33235" w:rsidRPr="00820C89">
        <w:rPr>
          <w:rFonts w:asciiTheme="majorHAnsi" w:hAnsiTheme="majorHAnsi"/>
        </w:rPr>
        <w:t xml:space="preserve"> </w:t>
      </w:r>
      <w:r w:rsidR="009361DF" w:rsidRPr="00820C89">
        <w:rPr>
          <w:rFonts w:asciiTheme="majorHAnsi" w:hAnsiTheme="majorHAnsi"/>
        </w:rPr>
        <w:t>period of time can lead to the loss of job skills as well as a range of negative psychosocial impacts.</w:t>
      </w:r>
      <w:r w:rsidR="009361DF" w:rsidRPr="00820C89">
        <w:rPr>
          <w:rFonts w:asciiTheme="majorHAnsi" w:hAnsiTheme="majorHAnsi"/>
          <w:vertAlign w:val="superscript"/>
        </w:rPr>
        <w:footnoteReference w:id="60"/>
      </w:r>
    </w:p>
    <w:p w14:paraId="3E6CC6ED" w14:textId="77777777" w:rsidR="0040692E" w:rsidRPr="00820C89" w:rsidRDefault="003503DA" w:rsidP="008B5015">
      <w:pPr>
        <w:spacing w:after="0"/>
        <w:rPr>
          <w:rFonts w:asciiTheme="majorHAnsi" w:hAnsiTheme="majorHAnsi"/>
        </w:rPr>
      </w:pPr>
      <w:r w:rsidRPr="00820C89">
        <w:rPr>
          <w:rFonts w:asciiTheme="majorHAnsi" w:hAnsiTheme="majorHAnsi"/>
        </w:rPr>
        <w:t>In stakeholder consultation, p</w:t>
      </w:r>
      <w:r w:rsidR="0040692E" w:rsidRPr="00820C89">
        <w:rPr>
          <w:rFonts w:asciiTheme="majorHAnsi" w:hAnsiTheme="majorHAnsi"/>
        </w:rPr>
        <w:t xml:space="preserve">roviders </w:t>
      </w:r>
      <w:r w:rsidR="007D1613" w:rsidRPr="00820C89">
        <w:rPr>
          <w:rFonts w:asciiTheme="majorHAnsi" w:hAnsiTheme="majorHAnsi"/>
        </w:rPr>
        <w:t>affirmed</w:t>
      </w:r>
      <w:r w:rsidR="0040692E" w:rsidRPr="00820C89">
        <w:rPr>
          <w:rFonts w:asciiTheme="majorHAnsi" w:hAnsiTheme="majorHAnsi"/>
        </w:rPr>
        <w:t xml:space="preserve"> this </w:t>
      </w:r>
      <w:r w:rsidR="007D1613" w:rsidRPr="00820C89">
        <w:rPr>
          <w:rFonts w:asciiTheme="majorHAnsi" w:hAnsiTheme="majorHAnsi"/>
        </w:rPr>
        <w:t>and cited a</w:t>
      </w:r>
      <w:r w:rsidR="0040692E" w:rsidRPr="00820C89">
        <w:rPr>
          <w:rFonts w:asciiTheme="majorHAnsi" w:hAnsiTheme="majorHAnsi"/>
        </w:rPr>
        <w:t xml:space="preserve"> range of factors including that long-term unemployed jobseekers:</w:t>
      </w:r>
    </w:p>
    <w:p w14:paraId="6E1846B0" w14:textId="77777777" w:rsidR="0040692E" w:rsidRPr="00820C89" w:rsidRDefault="00E700C3" w:rsidP="00715F70">
      <w:pPr>
        <w:numPr>
          <w:ilvl w:val="0"/>
          <w:numId w:val="39"/>
        </w:numPr>
        <w:spacing w:before="60" w:after="60"/>
        <w:ind w:left="357" w:hanging="357"/>
        <w:rPr>
          <w:rFonts w:asciiTheme="majorHAnsi" w:hAnsiTheme="majorHAnsi"/>
        </w:rPr>
      </w:pPr>
      <w:r w:rsidRPr="00820C89">
        <w:rPr>
          <w:rFonts w:asciiTheme="majorHAnsi" w:hAnsiTheme="majorHAnsi"/>
        </w:rPr>
        <w:t>l</w:t>
      </w:r>
      <w:r w:rsidR="0040692E" w:rsidRPr="00820C89">
        <w:rPr>
          <w:rFonts w:asciiTheme="majorHAnsi" w:hAnsiTheme="majorHAnsi"/>
        </w:rPr>
        <w:t>ikely face deeper barriers to employment, potentially including health, lifestyle or numeracy and literacy challenges</w:t>
      </w:r>
    </w:p>
    <w:p w14:paraId="345CD0EA" w14:textId="77777777" w:rsidR="0040692E" w:rsidRPr="00820C89" w:rsidRDefault="00E700C3" w:rsidP="00715F70">
      <w:pPr>
        <w:numPr>
          <w:ilvl w:val="0"/>
          <w:numId w:val="39"/>
        </w:numPr>
        <w:spacing w:before="60" w:after="60"/>
        <w:ind w:left="357" w:hanging="357"/>
        <w:rPr>
          <w:rFonts w:asciiTheme="majorHAnsi" w:hAnsiTheme="majorHAnsi"/>
        </w:rPr>
      </w:pPr>
      <w:r w:rsidRPr="00820C89">
        <w:rPr>
          <w:rFonts w:asciiTheme="majorHAnsi" w:hAnsiTheme="majorHAnsi"/>
        </w:rPr>
        <w:t>a</w:t>
      </w:r>
      <w:r w:rsidR="0040692E" w:rsidRPr="00820C89">
        <w:rPr>
          <w:rFonts w:asciiTheme="majorHAnsi" w:hAnsiTheme="majorHAnsi"/>
        </w:rPr>
        <w:t>re less likely to have work experience, or if they do, this is likely to be from several years ago.</w:t>
      </w:r>
    </w:p>
    <w:p w14:paraId="67C767F6" w14:textId="77777777" w:rsidR="0040692E" w:rsidRPr="00820C89" w:rsidRDefault="0040692E" w:rsidP="008B5015">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Provider characteristics</w:t>
      </w:r>
    </w:p>
    <w:p w14:paraId="67EC4918" w14:textId="77777777" w:rsidR="0040692E" w:rsidRPr="006A04F6" w:rsidRDefault="0040692E" w:rsidP="0040692E">
      <w:pPr>
        <w:rPr>
          <w:rFonts w:asciiTheme="majorHAnsi" w:hAnsiTheme="majorHAnsi"/>
        </w:rPr>
      </w:pPr>
      <w:r w:rsidRPr="00820C89">
        <w:rPr>
          <w:rFonts w:asciiTheme="majorHAnsi" w:hAnsiTheme="majorHAnsi"/>
        </w:rPr>
        <w:t xml:space="preserve">This section identifies the key provider characteristics that drive employment outcomes. This analysis </w:t>
      </w:r>
      <w:r w:rsidR="00CC78E2" w:rsidRPr="006A04F6">
        <w:rPr>
          <w:rFonts w:asciiTheme="majorHAnsi" w:hAnsiTheme="majorHAnsi"/>
        </w:rPr>
        <w:t>utilises</w:t>
      </w:r>
      <w:r w:rsidRPr="006A04F6">
        <w:rPr>
          <w:rFonts w:asciiTheme="majorHAnsi" w:hAnsiTheme="majorHAnsi"/>
        </w:rPr>
        <w:t xml:space="preserve"> the program data that is currently available along with stakeholder consultations. </w:t>
      </w:r>
    </w:p>
    <w:p w14:paraId="6EBCF9CE" w14:textId="77777777" w:rsidR="0040692E" w:rsidRPr="006A04F6" w:rsidRDefault="0040692E" w:rsidP="0040692E">
      <w:pPr>
        <w:rPr>
          <w:rFonts w:asciiTheme="majorHAnsi" w:hAnsiTheme="majorHAnsi"/>
          <w:b/>
          <w:bCs/>
        </w:rPr>
      </w:pPr>
      <w:r w:rsidRPr="006A04F6">
        <w:rPr>
          <w:rFonts w:asciiTheme="majorHAnsi" w:hAnsiTheme="majorHAnsi"/>
        </w:rPr>
        <w:t xml:space="preserve">On average, </w:t>
      </w:r>
      <w:r w:rsidR="00100C88" w:rsidRPr="006A04F6">
        <w:rPr>
          <w:rFonts w:asciiTheme="majorHAnsi" w:hAnsiTheme="majorHAnsi"/>
        </w:rPr>
        <w:t>the largest</w:t>
      </w:r>
      <w:r w:rsidRPr="006A04F6">
        <w:rPr>
          <w:rFonts w:asciiTheme="majorHAnsi" w:hAnsiTheme="majorHAnsi"/>
        </w:rPr>
        <w:t xml:space="preserve"> providers </w:t>
      </w:r>
      <w:r w:rsidR="00100C88" w:rsidRPr="006A04F6">
        <w:rPr>
          <w:rFonts w:asciiTheme="majorHAnsi" w:hAnsiTheme="majorHAnsi"/>
        </w:rPr>
        <w:t>(measured by the volume of employment commencements) tend</w:t>
      </w:r>
      <w:r w:rsidRPr="006A04F6">
        <w:rPr>
          <w:rFonts w:asciiTheme="majorHAnsi" w:hAnsiTheme="majorHAnsi"/>
        </w:rPr>
        <w:t xml:space="preserve"> to have </w:t>
      </w:r>
      <w:r w:rsidR="00100C88" w:rsidRPr="006A04F6">
        <w:rPr>
          <w:rFonts w:asciiTheme="majorHAnsi" w:hAnsiTheme="majorHAnsi"/>
        </w:rPr>
        <w:t>the highest average</w:t>
      </w:r>
      <w:r w:rsidRPr="006A04F6">
        <w:rPr>
          <w:rFonts w:asciiTheme="majorHAnsi" w:hAnsiTheme="majorHAnsi"/>
        </w:rPr>
        <w:t xml:space="preserve"> 26-week milestone completion rate </w:t>
      </w:r>
      <w:r w:rsidR="00100C88" w:rsidRPr="006A04F6">
        <w:rPr>
          <w:rFonts w:asciiTheme="majorHAnsi" w:hAnsiTheme="majorHAnsi"/>
        </w:rPr>
        <w:t>(Chart 4.</w:t>
      </w:r>
      <w:r w:rsidR="00A905AA" w:rsidRPr="006A04F6">
        <w:rPr>
          <w:rFonts w:asciiTheme="majorHAnsi" w:hAnsiTheme="majorHAnsi"/>
        </w:rPr>
        <w:t>5</w:t>
      </w:r>
      <w:r w:rsidR="00100C88" w:rsidRPr="006A04F6">
        <w:rPr>
          <w:rFonts w:asciiTheme="majorHAnsi" w:hAnsiTheme="majorHAnsi"/>
        </w:rPr>
        <w:t>)</w:t>
      </w:r>
      <w:r w:rsidRPr="006A04F6">
        <w:rPr>
          <w:rFonts w:asciiTheme="majorHAnsi" w:hAnsiTheme="majorHAnsi"/>
        </w:rPr>
        <w:t>. This could be due to a plurality of reasons, including:</w:t>
      </w:r>
    </w:p>
    <w:p w14:paraId="62C836BD" w14:textId="77777777" w:rsidR="0040692E" w:rsidRPr="006A04F6" w:rsidRDefault="00DB2210" w:rsidP="00715F70">
      <w:pPr>
        <w:numPr>
          <w:ilvl w:val="0"/>
          <w:numId w:val="40"/>
        </w:numPr>
        <w:spacing w:before="60" w:after="60"/>
        <w:ind w:left="357" w:hanging="357"/>
        <w:rPr>
          <w:rFonts w:asciiTheme="majorHAnsi" w:hAnsiTheme="majorHAnsi"/>
        </w:rPr>
      </w:pPr>
      <w:r w:rsidRPr="006A04F6">
        <w:rPr>
          <w:rFonts w:asciiTheme="majorHAnsi" w:hAnsiTheme="majorHAnsi"/>
        </w:rPr>
        <w:t>t</w:t>
      </w:r>
      <w:r w:rsidR="0040692E" w:rsidRPr="006A04F6">
        <w:rPr>
          <w:rFonts w:asciiTheme="majorHAnsi" w:hAnsiTheme="majorHAnsi"/>
        </w:rPr>
        <w:t>hat there are economies of scale meaning that larger providers can more efficiently or effectively deliver services. For example, it may be the case that larger providers are able to invest more in the supporting infrastructure that is required to deliver the IEP</w:t>
      </w:r>
    </w:p>
    <w:p w14:paraId="35E8E7DF" w14:textId="77777777" w:rsidR="0040692E" w:rsidRPr="006A04F6" w:rsidRDefault="00DB2210" w:rsidP="00715F70">
      <w:pPr>
        <w:numPr>
          <w:ilvl w:val="0"/>
          <w:numId w:val="40"/>
        </w:numPr>
        <w:spacing w:before="60" w:after="60"/>
        <w:ind w:left="357" w:hanging="357"/>
        <w:rPr>
          <w:rFonts w:asciiTheme="majorHAnsi" w:hAnsiTheme="majorHAnsi"/>
        </w:rPr>
      </w:pPr>
      <w:r w:rsidRPr="006A04F6">
        <w:rPr>
          <w:rFonts w:asciiTheme="majorHAnsi" w:hAnsiTheme="majorHAnsi"/>
        </w:rPr>
        <w:t>t</w:t>
      </w:r>
      <w:r w:rsidR="0040692E" w:rsidRPr="006A04F6">
        <w:rPr>
          <w:rFonts w:asciiTheme="majorHAnsi" w:hAnsiTheme="majorHAnsi"/>
        </w:rPr>
        <w:t>hat providers who achieve better outcomes receive more funding, and hence grow in size</w:t>
      </w:r>
    </w:p>
    <w:p w14:paraId="786E3083" w14:textId="77777777" w:rsidR="00FE1A42" w:rsidRPr="006A04F6" w:rsidRDefault="008862B7" w:rsidP="00715F70">
      <w:pPr>
        <w:numPr>
          <w:ilvl w:val="0"/>
          <w:numId w:val="40"/>
        </w:numPr>
        <w:spacing w:before="60" w:after="60"/>
        <w:ind w:left="357" w:hanging="357"/>
        <w:rPr>
          <w:rFonts w:asciiTheme="majorHAnsi" w:hAnsiTheme="majorHAnsi"/>
        </w:rPr>
      </w:pPr>
      <w:r w:rsidRPr="006A04F6">
        <w:rPr>
          <w:rFonts w:asciiTheme="majorHAnsi" w:hAnsiTheme="majorHAnsi"/>
        </w:rPr>
        <w:t>t</w:t>
      </w:r>
      <w:r w:rsidR="00FE1A42" w:rsidRPr="006A04F6">
        <w:rPr>
          <w:rFonts w:asciiTheme="majorHAnsi" w:hAnsiTheme="majorHAnsi"/>
        </w:rPr>
        <w:t xml:space="preserve">hat EPI </w:t>
      </w:r>
      <w:r w:rsidR="001F1912" w:rsidRPr="006A04F6">
        <w:rPr>
          <w:rFonts w:asciiTheme="majorHAnsi" w:hAnsiTheme="majorHAnsi"/>
        </w:rPr>
        <w:t>partner</w:t>
      </w:r>
      <w:r w:rsidR="00FE1A42" w:rsidRPr="006A04F6">
        <w:rPr>
          <w:rFonts w:asciiTheme="majorHAnsi" w:hAnsiTheme="majorHAnsi"/>
        </w:rPr>
        <w:t xml:space="preserve">s are generally larger </w:t>
      </w:r>
      <w:r w:rsidR="009E13FE" w:rsidRPr="006A04F6">
        <w:rPr>
          <w:rFonts w:asciiTheme="majorHAnsi" w:hAnsiTheme="majorHAnsi"/>
        </w:rPr>
        <w:t>in size and tend to have higher milestone completion rates.</w:t>
      </w:r>
    </w:p>
    <w:p w14:paraId="3647FF96" w14:textId="77777777" w:rsidR="009F6D53" w:rsidRPr="006A04F6" w:rsidRDefault="009F6D53" w:rsidP="009F6D53">
      <w:pPr>
        <w:spacing w:before="60" w:after="60"/>
        <w:ind w:left="357"/>
        <w:rPr>
          <w:rFonts w:asciiTheme="majorHAnsi" w:hAnsiTheme="majorHAnsi"/>
        </w:rPr>
      </w:pPr>
    </w:p>
    <w:p w14:paraId="0324E9D9" w14:textId="77777777" w:rsidR="0040692E" w:rsidRPr="006A04F6" w:rsidRDefault="0040692E" w:rsidP="0087141B">
      <w:pPr>
        <w:pStyle w:val="CaptionChart"/>
        <w:rPr>
          <w:rFonts w:asciiTheme="majorHAnsi" w:hAnsiTheme="majorHAnsi"/>
        </w:rPr>
      </w:pPr>
      <w:bookmarkStart w:id="122" w:name="_Ref68764110"/>
      <w:r w:rsidRPr="006A04F6">
        <w:rPr>
          <w:rFonts w:asciiTheme="majorHAnsi" w:hAnsiTheme="majorHAnsi"/>
        </w:rPr>
        <w:t>: Average 26-week milestone completion rate, by provider size</w:t>
      </w:r>
      <w:bookmarkEnd w:id="122"/>
      <w:r w:rsidRPr="006A04F6">
        <w:rPr>
          <w:rFonts w:asciiTheme="majorHAnsi" w:hAnsiTheme="majorHAnsi"/>
        </w:rPr>
        <w:t xml:space="preserve"> </w:t>
      </w:r>
    </w:p>
    <w:p w14:paraId="3A2BE0D5" w14:textId="77777777" w:rsidR="0040692E" w:rsidRPr="00820C89" w:rsidRDefault="00B5463F" w:rsidP="0040692E">
      <w:pPr>
        <w:rPr>
          <w:rFonts w:asciiTheme="majorHAnsi" w:hAnsiTheme="majorHAnsi"/>
        </w:rPr>
      </w:pPr>
      <w:r w:rsidRPr="00820C89">
        <w:rPr>
          <w:noProof/>
          <w:lang w:eastAsia="en-AU"/>
        </w:rPr>
        <w:drawing>
          <wp:inline distT="0" distB="0" distL="0" distR="0" wp14:anchorId="1F026D54" wp14:editId="398FA065">
            <wp:extent cx="5718808" cy="2651760"/>
            <wp:effectExtent l="0" t="0" r="0" b="0"/>
            <wp:docPr id="464" name="Picture 464"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pic:nvPicPr>
                  <pic:blipFill>
                    <a:blip r:embed="rId46">
                      <a:extLst>
                        <a:ext uri="{28A0092B-C50C-407E-A947-70E740481C1C}">
                          <a14:useLocalDpi xmlns:a14="http://schemas.microsoft.com/office/drawing/2010/main" val="0"/>
                        </a:ext>
                      </a:extLst>
                    </a:blip>
                    <a:stretch>
                      <a:fillRect/>
                    </a:stretch>
                  </pic:blipFill>
                  <pic:spPr>
                    <a:xfrm>
                      <a:off x="0" y="0"/>
                      <a:ext cx="5718808" cy="2651760"/>
                    </a:xfrm>
                    <a:prstGeom prst="rect">
                      <a:avLst/>
                    </a:prstGeom>
                  </pic:spPr>
                </pic:pic>
              </a:graphicData>
            </a:graphic>
          </wp:inline>
        </w:drawing>
      </w:r>
    </w:p>
    <w:p w14:paraId="405D0B4C" w14:textId="77777777" w:rsidR="0040692E" w:rsidRPr="00820C89" w:rsidRDefault="0040692E" w:rsidP="0040692E">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p>
    <w:p w14:paraId="4C872AC4" w14:textId="77777777" w:rsidR="0040692E" w:rsidRPr="00820C89" w:rsidRDefault="0040692E" w:rsidP="0040692E">
      <w:pPr>
        <w:rPr>
          <w:rFonts w:asciiTheme="majorHAnsi" w:hAnsiTheme="majorHAnsi"/>
          <w:b/>
          <w:bCs/>
        </w:rPr>
      </w:pPr>
      <w:r w:rsidRPr="00820C89">
        <w:rPr>
          <w:rFonts w:asciiTheme="majorHAnsi" w:hAnsiTheme="majorHAnsi"/>
        </w:rPr>
        <w:t>On average,</w:t>
      </w:r>
      <w:r w:rsidR="00BF78DE" w:rsidRPr="00820C89">
        <w:rPr>
          <w:rFonts w:asciiTheme="majorHAnsi" w:hAnsiTheme="majorHAnsi"/>
        </w:rPr>
        <w:t xml:space="preserve"> there does not appear to be a clear relationship between provider tenure (i.e. how long a provider has been operating for) and</w:t>
      </w:r>
      <w:r w:rsidR="00E41FDB" w:rsidRPr="00820C89">
        <w:rPr>
          <w:rFonts w:asciiTheme="majorHAnsi" w:hAnsiTheme="majorHAnsi"/>
        </w:rPr>
        <w:t xml:space="preserve"> their average 26-week milestone completion rate. </w:t>
      </w:r>
      <w:r w:rsidR="00B55C7F" w:rsidRPr="00820C89">
        <w:rPr>
          <w:rFonts w:asciiTheme="majorHAnsi" w:hAnsiTheme="majorHAnsi"/>
        </w:rPr>
        <w:t>However</w:t>
      </w:r>
      <w:r w:rsidR="008B1DD8" w:rsidRPr="00820C89">
        <w:rPr>
          <w:rFonts w:asciiTheme="majorHAnsi" w:hAnsiTheme="majorHAnsi"/>
        </w:rPr>
        <w:t>,</w:t>
      </w:r>
      <w:r w:rsidRPr="00820C89">
        <w:rPr>
          <w:rFonts w:asciiTheme="majorHAnsi" w:hAnsiTheme="majorHAnsi"/>
        </w:rPr>
        <w:t xml:space="preserve"> </w:t>
      </w:r>
      <w:r w:rsidR="00F66BFC" w:rsidRPr="00820C89">
        <w:rPr>
          <w:rFonts w:asciiTheme="majorHAnsi" w:hAnsiTheme="majorHAnsi"/>
        </w:rPr>
        <w:t>s</w:t>
      </w:r>
      <w:r w:rsidRPr="00820C89">
        <w:rPr>
          <w:rFonts w:asciiTheme="majorHAnsi" w:hAnsiTheme="majorHAnsi"/>
        </w:rPr>
        <w:t xml:space="preserve">takeholder consultations suggest that </w:t>
      </w:r>
      <w:r w:rsidR="00B55C7F" w:rsidRPr="00820C89">
        <w:rPr>
          <w:rFonts w:asciiTheme="majorHAnsi" w:hAnsiTheme="majorHAnsi"/>
        </w:rPr>
        <w:t xml:space="preserve">providers who have been operating </w:t>
      </w:r>
      <w:r w:rsidR="003B5C23" w:rsidRPr="00820C89">
        <w:rPr>
          <w:rFonts w:asciiTheme="majorHAnsi" w:hAnsiTheme="majorHAnsi"/>
        </w:rPr>
        <w:t>for a longer</w:t>
      </w:r>
      <w:r w:rsidR="00B55C7F" w:rsidRPr="00820C89">
        <w:rPr>
          <w:rFonts w:asciiTheme="majorHAnsi" w:hAnsiTheme="majorHAnsi"/>
        </w:rPr>
        <w:t xml:space="preserve"> period of time may</w:t>
      </w:r>
      <w:r w:rsidR="00DE34DF" w:rsidRPr="00820C89">
        <w:rPr>
          <w:rFonts w:asciiTheme="majorHAnsi" w:hAnsiTheme="majorHAnsi"/>
        </w:rPr>
        <w:t xml:space="preserve"> be</w:t>
      </w:r>
      <w:r w:rsidR="00B55C7F" w:rsidRPr="00820C89">
        <w:rPr>
          <w:rFonts w:asciiTheme="majorHAnsi" w:hAnsiTheme="majorHAnsi"/>
        </w:rPr>
        <w:t xml:space="preserve"> more effective, as they </w:t>
      </w:r>
      <w:r w:rsidR="00416072" w:rsidRPr="00820C89">
        <w:rPr>
          <w:rFonts w:asciiTheme="majorHAnsi" w:hAnsiTheme="majorHAnsi"/>
        </w:rPr>
        <w:t xml:space="preserve">have </w:t>
      </w:r>
      <w:r w:rsidR="00B55C7F" w:rsidRPr="00820C89">
        <w:rPr>
          <w:rFonts w:asciiTheme="majorHAnsi" w:hAnsiTheme="majorHAnsi"/>
        </w:rPr>
        <w:t>de</w:t>
      </w:r>
      <w:r w:rsidR="003B5C23" w:rsidRPr="00820C89">
        <w:rPr>
          <w:rFonts w:asciiTheme="majorHAnsi" w:hAnsiTheme="majorHAnsi"/>
        </w:rPr>
        <w:t xml:space="preserve">veloped </w:t>
      </w:r>
      <w:r w:rsidR="00B40947" w:rsidRPr="00820C89">
        <w:rPr>
          <w:rFonts w:asciiTheme="majorHAnsi" w:hAnsiTheme="majorHAnsi"/>
        </w:rPr>
        <w:t xml:space="preserve">greater organisational expertise </w:t>
      </w:r>
      <w:r w:rsidR="005E2347" w:rsidRPr="00820C89">
        <w:rPr>
          <w:rFonts w:asciiTheme="majorHAnsi" w:hAnsiTheme="majorHAnsi"/>
        </w:rPr>
        <w:t>and more in-depth local relationships.</w:t>
      </w:r>
      <w:r w:rsidR="0070735C" w:rsidRPr="00820C89">
        <w:rPr>
          <w:rFonts w:asciiTheme="majorHAnsi" w:hAnsiTheme="majorHAnsi"/>
        </w:rPr>
        <w:t xml:space="preserve"> For example, one provider noted that:</w:t>
      </w:r>
    </w:p>
    <w:p w14:paraId="788077F8" w14:textId="77777777" w:rsidR="000F4C8D" w:rsidRPr="00820C89" w:rsidRDefault="000F4C8D" w:rsidP="000F4C8D">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5"/>
        <w:rPr>
          <w:rFonts w:asciiTheme="majorHAnsi" w:hAnsiTheme="majorHAnsi"/>
          <w:i/>
        </w:rPr>
      </w:pPr>
      <w:r w:rsidRPr="00820C89">
        <w:rPr>
          <w:rFonts w:asciiTheme="majorHAnsi" w:hAnsiTheme="majorHAnsi"/>
          <w:i/>
        </w:rPr>
        <w:t xml:space="preserve">“We were slow getting off the mark and we really had to build some organisation capacity and there were some setbacks around the infrastructure and staffing.  And really, we’re coming to the end of the contract now, it’s a three-year funding agreement, we’ve only had </w:t>
      </w:r>
      <w:r w:rsidRPr="00820C89">
        <w:rPr>
          <w:rFonts w:asciiTheme="majorHAnsi" w:hAnsiTheme="majorHAnsi"/>
          <w:i/>
        </w:rPr>
        <w:lastRenderedPageBreak/>
        <w:t xml:space="preserve">two groups of, one group of four and one group of six trainees come through, or workers, I should call them.  ” (TAEG provider). </w:t>
      </w:r>
    </w:p>
    <w:p w14:paraId="73874BF8" w14:textId="77777777" w:rsidR="0059121C" w:rsidRPr="00820C89" w:rsidRDefault="0059121C" w:rsidP="00410B91">
      <w:pPr>
        <w:rPr>
          <w:rFonts w:asciiTheme="majorHAnsi" w:hAnsiTheme="majorHAnsi"/>
        </w:rPr>
      </w:pPr>
      <w:r w:rsidRPr="00820C89">
        <w:rPr>
          <w:rFonts w:asciiTheme="majorHAnsi" w:hAnsiTheme="majorHAnsi"/>
        </w:rPr>
        <w:t xml:space="preserve">This is an important </w:t>
      </w:r>
      <w:r w:rsidR="007B19B8" w:rsidRPr="00820C89">
        <w:rPr>
          <w:rFonts w:asciiTheme="majorHAnsi" w:hAnsiTheme="majorHAnsi"/>
        </w:rPr>
        <w:t>element of feedback as it emphasises the level of investment and commitment that a provider needs to have in</w:t>
      </w:r>
      <w:r w:rsidR="005578E2" w:rsidRPr="00820C89">
        <w:rPr>
          <w:rFonts w:asciiTheme="majorHAnsi" w:hAnsiTheme="majorHAnsi"/>
        </w:rPr>
        <w:t xml:space="preserve"> order to get the best out of the program and the participants. It also speaks to the positive effect of program and contract certainty</w:t>
      </w:r>
      <w:r w:rsidR="00A4013C" w:rsidRPr="00820C89">
        <w:rPr>
          <w:rFonts w:asciiTheme="majorHAnsi" w:hAnsiTheme="majorHAnsi"/>
        </w:rPr>
        <w:t xml:space="preserve">, so that providers </w:t>
      </w:r>
      <w:r w:rsidR="00083912" w:rsidRPr="00820C89">
        <w:rPr>
          <w:rFonts w:asciiTheme="majorHAnsi" w:hAnsiTheme="majorHAnsi"/>
        </w:rPr>
        <w:t xml:space="preserve">need to </w:t>
      </w:r>
      <w:r w:rsidR="00A4013C" w:rsidRPr="00820C89">
        <w:rPr>
          <w:rFonts w:asciiTheme="majorHAnsi" w:hAnsiTheme="majorHAnsi"/>
        </w:rPr>
        <w:t xml:space="preserve">have confidence in the investment they make, which in turn flows through to program and participant outcomes. </w:t>
      </w:r>
    </w:p>
    <w:p w14:paraId="287A5212" w14:textId="0F5B5B27" w:rsidR="00257BA4" w:rsidRPr="00820C89" w:rsidRDefault="0040692E" w:rsidP="00410B91">
      <w:pPr>
        <w:rPr>
          <w:rFonts w:asciiTheme="majorHAnsi" w:hAnsiTheme="majorHAnsi"/>
        </w:rPr>
      </w:pPr>
      <w:r w:rsidRPr="00820C89">
        <w:rPr>
          <w:rFonts w:asciiTheme="majorHAnsi" w:hAnsiTheme="majorHAnsi"/>
        </w:rPr>
        <w:t xml:space="preserve">There does not </w:t>
      </w:r>
      <w:r w:rsidR="001035A3" w:rsidRPr="00820C89">
        <w:rPr>
          <w:rFonts w:asciiTheme="majorHAnsi" w:hAnsiTheme="majorHAnsi"/>
        </w:rPr>
        <w:t>appear</w:t>
      </w:r>
      <w:r w:rsidRPr="00820C89">
        <w:rPr>
          <w:rFonts w:asciiTheme="majorHAnsi" w:hAnsiTheme="majorHAnsi"/>
        </w:rPr>
        <w:t xml:space="preserve"> to be a clear </w:t>
      </w:r>
      <w:r w:rsidR="00EF73B5" w:rsidRPr="00820C89">
        <w:rPr>
          <w:rFonts w:asciiTheme="majorHAnsi" w:hAnsiTheme="majorHAnsi"/>
        </w:rPr>
        <w:t xml:space="preserve">or statistically significant </w:t>
      </w:r>
      <w:r w:rsidRPr="00820C89">
        <w:rPr>
          <w:rFonts w:asciiTheme="majorHAnsi" w:hAnsiTheme="majorHAnsi"/>
        </w:rPr>
        <w:t>relationship between placement remoteness and the average 26-week milestone completion rate.</w:t>
      </w:r>
      <w:r w:rsidR="005B7C46" w:rsidRPr="00820C89">
        <w:rPr>
          <w:rFonts w:asciiTheme="majorHAnsi" w:hAnsiTheme="majorHAnsi"/>
        </w:rPr>
        <w:t xml:space="preserve"> </w:t>
      </w:r>
      <w:r w:rsidR="0081004A" w:rsidRPr="00820C89">
        <w:rPr>
          <w:rFonts w:asciiTheme="majorHAnsi" w:hAnsiTheme="majorHAnsi"/>
        </w:rPr>
        <w:t xml:space="preserve">This suggests that </w:t>
      </w:r>
      <w:r w:rsidR="00F5154D" w:rsidRPr="00820C89">
        <w:rPr>
          <w:rFonts w:asciiTheme="majorHAnsi" w:hAnsiTheme="majorHAnsi"/>
        </w:rPr>
        <w:t xml:space="preserve">once an employment placement has been secured, and an individual has commenced, </w:t>
      </w:r>
      <w:r w:rsidR="0081004A" w:rsidRPr="00820C89">
        <w:rPr>
          <w:rFonts w:asciiTheme="majorHAnsi" w:hAnsiTheme="majorHAnsi"/>
        </w:rPr>
        <w:t xml:space="preserve">remoteness is unlikely to be </w:t>
      </w:r>
      <w:r w:rsidR="00FA61B8" w:rsidRPr="00820C89">
        <w:rPr>
          <w:rFonts w:asciiTheme="majorHAnsi" w:hAnsiTheme="majorHAnsi"/>
        </w:rPr>
        <w:t xml:space="preserve">an influential </w:t>
      </w:r>
      <w:r w:rsidR="00CF37BB" w:rsidRPr="00820C89">
        <w:rPr>
          <w:rFonts w:asciiTheme="majorHAnsi" w:hAnsiTheme="majorHAnsi"/>
        </w:rPr>
        <w:t xml:space="preserve">variable in driving </w:t>
      </w:r>
      <w:r w:rsidR="00F5154D" w:rsidRPr="00820C89">
        <w:rPr>
          <w:rFonts w:asciiTheme="majorHAnsi" w:hAnsiTheme="majorHAnsi"/>
        </w:rPr>
        <w:t>milestone completion rates</w:t>
      </w:r>
      <w:r w:rsidR="00CF37BB" w:rsidRPr="00820C89">
        <w:rPr>
          <w:rFonts w:asciiTheme="majorHAnsi" w:hAnsiTheme="majorHAnsi"/>
        </w:rPr>
        <w:t>.</w:t>
      </w:r>
      <w:r w:rsidR="00FC6887" w:rsidRPr="00820C89">
        <w:rPr>
          <w:rFonts w:asciiTheme="majorHAnsi" w:hAnsiTheme="majorHAnsi"/>
        </w:rPr>
        <w:t xml:space="preserve"> </w:t>
      </w:r>
    </w:p>
    <w:p w14:paraId="77AB4272" w14:textId="77777777" w:rsidR="00257BA4" w:rsidRPr="00820C89" w:rsidRDefault="00257BA4" w:rsidP="00257BA4">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Longer-term employment outcomes</w:t>
      </w:r>
    </w:p>
    <w:p w14:paraId="51DDE415" w14:textId="7A8A85E6" w:rsidR="009848E9" w:rsidRPr="00820C89" w:rsidRDefault="003156B0" w:rsidP="00CF5FF8">
      <w:r w:rsidRPr="00820C89">
        <w:t xml:space="preserve">Data from the Research Evaluation Database (RED) </w:t>
      </w:r>
      <w:r w:rsidR="00DC1684" w:rsidRPr="00820C89">
        <w:t xml:space="preserve">was </w:t>
      </w:r>
      <w:r w:rsidRPr="00820C89">
        <w:t xml:space="preserve">used to estimate the impact that the IEP has on the long-term </w:t>
      </w:r>
      <w:r w:rsidR="005D5592" w:rsidRPr="00820C89">
        <w:t>employment</w:t>
      </w:r>
      <w:r w:rsidR="003F48D8" w:rsidRPr="00820C89">
        <w:t xml:space="preserve"> status</w:t>
      </w:r>
      <w:r w:rsidR="005D5592" w:rsidRPr="00820C89">
        <w:t xml:space="preserve"> of program participants</w:t>
      </w:r>
      <w:r w:rsidR="003F48D8" w:rsidRPr="00820C89">
        <w:t xml:space="preserve"> (i.e. </w:t>
      </w:r>
      <w:r w:rsidR="00D574D0" w:rsidRPr="00820C89">
        <w:t>6</w:t>
      </w:r>
      <w:r w:rsidR="003E0DA1" w:rsidRPr="00820C89">
        <w:t>+ months after program exit</w:t>
      </w:r>
      <w:r w:rsidR="003F48D8" w:rsidRPr="00820C89">
        <w:t>)</w:t>
      </w:r>
      <w:r w:rsidR="00A420E0" w:rsidRPr="00820C89">
        <w:t>.</w:t>
      </w:r>
    </w:p>
    <w:p w14:paraId="0020FB51" w14:textId="59130604" w:rsidR="003156B0" w:rsidRPr="00820C89" w:rsidRDefault="00A420E0" w:rsidP="00CF5FF8">
      <w:r w:rsidRPr="00820C89">
        <w:t xml:space="preserve">The RED database contains information </w:t>
      </w:r>
      <w:r w:rsidR="001A3A64" w:rsidRPr="00820C89">
        <w:t>on the income support status of a sample of IEP participants</w:t>
      </w:r>
      <w:r w:rsidR="00EE351D" w:rsidRPr="00820C89">
        <w:t xml:space="preserve"> (</w:t>
      </w:r>
      <w:r w:rsidR="00BD7EB2" w:rsidRPr="00820C89">
        <w:t xml:space="preserve">see </w:t>
      </w:r>
      <w:r w:rsidR="00EE351D" w:rsidRPr="00820C89">
        <w:t xml:space="preserve">Appendix </w:t>
      </w:r>
      <w:r w:rsidR="00872361" w:rsidRPr="00820C89">
        <w:t>C</w:t>
      </w:r>
      <w:r w:rsidR="00BD7EB2" w:rsidRPr="00820C89">
        <w:t xml:space="preserve"> for further detail </w:t>
      </w:r>
      <w:r w:rsidR="00AE2998" w:rsidRPr="00820C89">
        <w:t>on the dataset and its limitations</w:t>
      </w:r>
      <w:r w:rsidR="000251B5" w:rsidRPr="00820C89">
        <w:t xml:space="preserve">), reporting </w:t>
      </w:r>
      <w:r w:rsidR="001A3A64" w:rsidRPr="00820C89">
        <w:t xml:space="preserve">whether </w:t>
      </w:r>
      <w:r w:rsidR="000251B5" w:rsidRPr="00820C89">
        <w:t xml:space="preserve">they are </w:t>
      </w:r>
      <w:r w:rsidR="001A3A64" w:rsidRPr="00820C89">
        <w:t>receiving income support payments</w:t>
      </w:r>
      <w:r w:rsidR="00B50EA5" w:rsidRPr="00820C89">
        <w:t xml:space="preserve"> a given period of months after they </w:t>
      </w:r>
      <w:r w:rsidR="006663C7" w:rsidRPr="00820C89">
        <w:t>exit</w:t>
      </w:r>
      <w:r w:rsidR="00B50EA5" w:rsidRPr="00820C89">
        <w:t xml:space="preserve"> the IEP (either as a result of achieving their final 26-week employment outcome, or </w:t>
      </w:r>
      <w:r w:rsidR="00674B34" w:rsidRPr="00820C89">
        <w:t>exiting</w:t>
      </w:r>
      <w:r w:rsidR="00B50EA5" w:rsidRPr="00820C89">
        <w:t xml:space="preserve"> before that).</w:t>
      </w:r>
      <w:r w:rsidR="00644D51" w:rsidRPr="00820C89">
        <w:rPr>
          <w:rStyle w:val="FootnoteReference"/>
        </w:rPr>
        <w:footnoteReference w:id="61"/>
      </w:r>
      <w:r w:rsidR="00AF782F" w:rsidRPr="00820C89">
        <w:t xml:space="preserve"> </w:t>
      </w:r>
      <w:r w:rsidR="00B7683C" w:rsidRPr="00820C89">
        <w:t>In doing so, the income support status of a participant is used as the best available proxy for whether they are still engaged in paid employment or not.</w:t>
      </w:r>
      <w:r w:rsidR="00B7683C" w:rsidRPr="00820C89">
        <w:rPr>
          <w:rStyle w:val="FootnoteReference"/>
        </w:rPr>
        <w:footnoteReference w:id="62"/>
      </w:r>
    </w:p>
    <w:p w14:paraId="64A86195" w14:textId="7F112D0C" w:rsidR="005918AE" w:rsidRPr="00820C89" w:rsidRDefault="005918AE" w:rsidP="005918AE">
      <w:r w:rsidRPr="006A04F6">
        <w:t xml:space="preserve">Preliminary analysis suggests that 6+ months following program exit the </w:t>
      </w:r>
      <w:r w:rsidR="006F25F9" w:rsidRPr="006A04F6">
        <w:t xml:space="preserve">relative </w:t>
      </w:r>
      <w:r w:rsidRPr="006A04F6">
        <w:t>effectiveness of the sub-programs in supporting participants to exit income support changes over time (Chart 4.6).</w:t>
      </w:r>
      <w:r w:rsidRPr="00820C89">
        <w:t xml:space="preserve"> That is, in the earlier periods TAEG appears to outperform EPI by six percentage points, but this difference closes to only one percentage point 24 months from program exit.</w:t>
      </w:r>
    </w:p>
    <w:p w14:paraId="2AB47995" w14:textId="7D590612" w:rsidR="005918AE" w:rsidRPr="00820C89" w:rsidRDefault="005918AE" w:rsidP="005918AE">
      <w:r w:rsidRPr="00820C89">
        <w:t xml:space="preserve">Econometric analysis </w:t>
      </w:r>
      <w:r w:rsidR="00E8387F" w:rsidRPr="00820C89">
        <w:t>reveals</w:t>
      </w:r>
      <w:r w:rsidRPr="00820C89">
        <w:t xml:space="preserve"> that 12+ months following program exit the sub-program differences cease to be statistically significant (Appendix C). This finding suggests that while the EPI program appears to outperform the other sub-programs in its 26-week milestone completion rate, the longer-term relative effectiveness of the sub-programs is </w:t>
      </w:r>
      <w:r w:rsidR="00AD75FA" w:rsidRPr="00820C89">
        <w:t>more indistinguishable.</w:t>
      </w:r>
    </w:p>
    <w:p w14:paraId="68A9048B" w14:textId="25D00C33" w:rsidR="005918AE" w:rsidRPr="00820C89" w:rsidRDefault="005918AE" w:rsidP="005918AE">
      <w:r w:rsidRPr="00820C89">
        <w:t xml:space="preserve">Stakeholder consultations provide some initial hypotheses on the possible drivers of this inconclusive longer-term result. In particular, </w:t>
      </w:r>
      <w:r w:rsidR="00584A73" w:rsidRPr="00820C89">
        <w:t>several stakeholders</w:t>
      </w:r>
      <w:r w:rsidRPr="00820C89">
        <w:t xml:space="preserve"> commented that the TAEG and VTEC programs generally work with a more disadvantaged cohort of individuals than EPI and that this may explain the difference in 26-week milestone rates. Further, as noted earlier in this chapter, TAEG and VTEC providers generally deliver more intense, individualised support to program participants than EPI Partners. It is plausible that this type of intensive support that focuses on building foundational skills delivers longer-term benefits to participants, effectively allowing VTEC and TAEG participants to perform similarly to EPI participants</w:t>
      </w:r>
      <w:r w:rsidR="009D0146" w:rsidRPr="00820C89">
        <w:t xml:space="preserve"> in the longer-term</w:t>
      </w:r>
      <w:r w:rsidRPr="00820C89">
        <w:t xml:space="preserve"> despite weaker 26-week milestone rates.</w:t>
      </w:r>
    </w:p>
    <w:p w14:paraId="3CE41C71" w14:textId="72C4150B" w:rsidR="00D82FD2" w:rsidRPr="00820C89" w:rsidRDefault="000E3B13" w:rsidP="00CF5FF8">
      <w:r w:rsidRPr="00820C89">
        <w:t>Ultimately, this result highlights the need for further econometric</w:t>
      </w:r>
      <w:r w:rsidR="007626CB" w:rsidRPr="00820C89">
        <w:t xml:space="preserve"> (and stakeholder)</w:t>
      </w:r>
      <w:r w:rsidRPr="00820C89">
        <w:t xml:space="preserve"> analysis. Ideally, this analysis would analyse </w:t>
      </w:r>
      <w:r w:rsidR="00226C31" w:rsidRPr="00820C89">
        <w:t>a broader set of participant characteristics including variables such as educational attainment</w:t>
      </w:r>
      <w:r w:rsidR="008707E8" w:rsidRPr="00820C89">
        <w:t>, industry of employment and provider characteristics.</w:t>
      </w:r>
      <w:r w:rsidR="003A66EB" w:rsidRPr="00820C89">
        <w:t xml:space="preserve"> </w:t>
      </w:r>
      <w:r w:rsidR="008707E8" w:rsidRPr="00820C89">
        <w:t>Box 1 provides some further ideas on possible areas for future analysis.</w:t>
      </w:r>
      <w:r w:rsidRPr="00820C89">
        <w:t xml:space="preserve"> </w:t>
      </w:r>
    </w:p>
    <w:p w14:paraId="2EC2C3F5" w14:textId="2434AACB" w:rsidR="00F82D71" w:rsidRPr="006A04F6" w:rsidRDefault="00F82D71" w:rsidP="003A6BB8">
      <w:pPr>
        <w:pStyle w:val="CaptionChart"/>
      </w:pPr>
      <w:r w:rsidRPr="006A04F6">
        <w:lastRenderedPageBreak/>
        <w:t xml:space="preserve">: </w:t>
      </w:r>
      <w:r w:rsidR="00C10917" w:rsidRPr="006A04F6">
        <w:t>Share of IEP participants who exit income support</w:t>
      </w:r>
      <w:r w:rsidRPr="006A04F6">
        <w:t>, by sub-program</w:t>
      </w:r>
    </w:p>
    <w:p w14:paraId="1388F921" w14:textId="6AEC15E9" w:rsidR="001C3137" w:rsidRPr="00820C89" w:rsidRDefault="001C3137" w:rsidP="001656D4">
      <w:r w:rsidRPr="00820C89">
        <w:rPr>
          <w:noProof/>
          <w:lang w:eastAsia="en-AU"/>
        </w:rPr>
        <w:drawing>
          <wp:inline distT="0" distB="0" distL="0" distR="0" wp14:anchorId="7E1188B2" wp14:editId="052B77EE">
            <wp:extent cx="5869305" cy="2719070"/>
            <wp:effectExtent l="0" t="0" r="17145" b="5080"/>
            <wp:docPr id="495" name="Chart 495" descr="Preliminary analysis suggests that 6+ months following program exit the relative effectiveness of the sub-programs in supporting participants to exit income support changes over time " title=" .">
              <a:extLst xmlns:a="http://schemas.openxmlformats.org/drawingml/2006/main">
                <a:ext uri="{FF2B5EF4-FFF2-40B4-BE49-F238E27FC236}">
                  <a16:creationId xmlns:a16="http://schemas.microsoft.com/office/drawing/2014/main" id="{5FD01D3F-E851-45D0-A679-F7A2ED32D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0C7B0CF" w14:textId="0FB6FA4A" w:rsidR="00257BA4" w:rsidRPr="00820C89" w:rsidRDefault="005C6669" w:rsidP="005C6669">
      <w:pPr>
        <w:pStyle w:val="Source"/>
      </w:pPr>
      <w:r w:rsidRPr="00820C89">
        <w:t>Source: Research Evaluation Database (</w:t>
      </w:r>
      <w:r w:rsidR="00547D7B" w:rsidRPr="00820C89">
        <w:t>2015-2019).</w:t>
      </w:r>
      <w:r w:rsidR="00197EB0" w:rsidRPr="00820C89">
        <w:t xml:space="preserve"> Note: </w:t>
      </w:r>
      <w:r w:rsidR="00C10917" w:rsidRPr="00820C89">
        <w:t>As an example, 52%</w:t>
      </w:r>
      <w:r w:rsidR="00FD2087" w:rsidRPr="00820C89">
        <w:t xml:space="preserve"> of VTEC participants who were receiving income support payments when they commenced the program </w:t>
      </w:r>
      <w:r w:rsidR="00480806" w:rsidRPr="00820C89">
        <w:t>were not receiving income support payments when they exited the IEP (i.e. at ‘0 months’).</w:t>
      </w:r>
      <w:r w:rsidR="00FD2087" w:rsidRPr="00820C89">
        <w:t xml:space="preserve"> </w:t>
      </w:r>
      <w:r w:rsidR="00AA63CF" w:rsidRPr="00820C89">
        <w:t>Further, t</w:t>
      </w:r>
      <w:r w:rsidR="00D747CB" w:rsidRPr="00820C89">
        <w:t>he</w:t>
      </w:r>
      <w:r w:rsidR="004640A6" w:rsidRPr="00820C89">
        <w:t xml:space="preserve"> cohorts listed above are not strictly comparable (as indicated by the dividing lines)</w:t>
      </w:r>
      <w:r w:rsidR="009E5D69" w:rsidRPr="00820C89">
        <w:t xml:space="preserve"> as the</w:t>
      </w:r>
      <w:r w:rsidR="00D747CB" w:rsidRPr="00820C89">
        <w:t xml:space="preserve"> sample sizes across each of the time periods </w:t>
      </w:r>
      <w:r w:rsidR="005A2CF7" w:rsidRPr="00820C89">
        <w:t>vary</w:t>
      </w:r>
      <w:r w:rsidR="006922BE" w:rsidRPr="00820C89">
        <w:t xml:space="preserve">, reflecting the </w:t>
      </w:r>
      <w:r w:rsidR="00427BD9" w:rsidRPr="00820C89">
        <w:t>fact</w:t>
      </w:r>
      <w:r w:rsidR="00F43F2C" w:rsidRPr="00820C89">
        <w:t xml:space="preserve"> that</w:t>
      </w:r>
      <w:r w:rsidR="000051AD" w:rsidRPr="00820C89">
        <w:t>, for example</w:t>
      </w:r>
      <w:r w:rsidR="00F6524B" w:rsidRPr="00820C89">
        <w:t xml:space="preserve"> the ’36 month’ outcome </w:t>
      </w:r>
      <w:r w:rsidR="00EF5313" w:rsidRPr="00820C89">
        <w:t>only examines those participants who</w:t>
      </w:r>
      <w:r w:rsidR="00126B33" w:rsidRPr="00820C89">
        <w:t xml:space="preserve"> commenced in the program prior to 2016.</w:t>
      </w:r>
      <w:r w:rsidR="009005DF" w:rsidRPr="00820C89">
        <w:t xml:space="preserve"> </w:t>
      </w:r>
      <w:r w:rsidR="002F5BAA" w:rsidRPr="00820C89">
        <w:t xml:space="preserve">The 36-month outcomes </w:t>
      </w:r>
      <w:r w:rsidR="00714554" w:rsidRPr="00820C89">
        <w:t>are shaded differently</w:t>
      </w:r>
      <w:r w:rsidR="00B40B62" w:rsidRPr="00820C89">
        <w:t xml:space="preserve">, </w:t>
      </w:r>
      <w:r w:rsidR="00936BA1" w:rsidRPr="00820C89">
        <w:t xml:space="preserve">highlighting </w:t>
      </w:r>
      <w:r w:rsidR="00CF0D75" w:rsidRPr="00820C89">
        <w:t xml:space="preserve">that these results </w:t>
      </w:r>
      <w:r w:rsidR="00BD460E" w:rsidRPr="00820C89">
        <w:t>appear to be inconsistent with earlier time periods</w:t>
      </w:r>
      <w:r w:rsidR="0099107D" w:rsidRPr="00820C89">
        <w:t xml:space="preserve">. Preliminary analysis has not been able to identify </w:t>
      </w:r>
      <w:r w:rsidR="007C3136" w:rsidRPr="00820C89">
        <w:t>the</w:t>
      </w:r>
      <w:r w:rsidR="00813BA6" w:rsidRPr="00820C89">
        <w:t xml:space="preserve"> drivers of this difference.</w:t>
      </w:r>
    </w:p>
    <w:p w14:paraId="12E1AF60" w14:textId="02207651" w:rsidR="007C2211" w:rsidRPr="006A04F6" w:rsidRDefault="000E5B2D" w:rsidP="00960ED5">
      <w:r w:rsidRPr="006A04F6">
        <w:t xml:space="preserve">There is a </w:t>
      </w:r>
      <w:r w:rsidR="00FB0811" w:rsidRPr="006A04F6">
        <w:t xml:space="preserve">considerable </w:t>
      </w:r>
      <w:r w:rsidR="00D345AC" w:rsidRPr="006A04F6">
        <w:t xml:space="preserve">variation </w:t>
      </w:r>
      <w:r w:rsidR="008E707C" w:rsidRPr="006A04F6">
        <w:t>within these results by participant characteristic (Table 4.2).</w:t>
      </w:r>
      <w:r w:rsidR="006B03A8" w:rsidRPr="006A04F6">
        <w:t xml:space="preserve"> On balance, </w:t>
      </w:r>
      <w:r w:rsidR="008B2B39" w:rsidRPr="006A04F6">
        <w:t xml:space="preserve">younger participants who have been unemployed for less than 52 weeks on program commencement appear to </w:t>
      </w:r>
      <w:r w:rsidR="00D10413" w:rsidRPr="006A04F6">
        <w:t>be more likely to exit income support.</w:t>
      </w:r>
      <w:r w:rsidR="003A1609" w:rsidRPr="006A04F6">
        <w:t xml:space="preserve"> While this finding </w:t>
      </w:r>
      <w:r w:rsidR="00FF7D23" w:rsidRPr="006A04F6">
        <w:t xml:space="preserve">with respect to </w:t>
      </w:r>
      <w:r w:rsidR="00F748CC" w:rsidRPr="006A04F6">
        <w:t xml:space="preserve">the </w:t>
      </w:r>
      <w:r w:rsidR="00FF7D23" w:rsidRPr="006A04F6">
        <w:t xml:space="preserve">longer-term unemployed </w:t>
      </w:r>
      <w:r w:rsidR="00A17754" w:rsidRPr="006A04F6">
        <w:t xml:space="preserve">aligns with the analysis conducted on the 26-week employment milestones, this </w:t>
      </w:r>
      <w:r w:rsidR="00670EF3" w:rsidRPr="006A04F6">
        <w:t>age</w:t>
      </w:r>
      <w:r w:rsidR="00A17754" w:rsidRPr="006A04F6">
        <w:t xml:space="preserve"> finding appears to </w:t>
      </w:r>
      <w:r w:rsidR="00542558" w:rsidRPr="006A04F6">
        <w:t xml:space="preserve">be reversed. </w:t>
      </w:r>
      <w:r w:rsidR="00A9141F" w:rsidRPr="006A04F6">
        <w:t>Further analysis is required to understand whether this is a result of the different cohorts that are being analysed</w:t>
      </w:r>
      <w:r w:rsidR="00F527A0" w:rsidRPr="006A04F6">
        <w:t xml:space="preserve">, the analytical techniques being used or whether the dynamics relating to income support are </w:t>
      </w:r>
      <w:r w:rsidR="00170DD5" w:rsidRPr="006A04F6">
        <w:t>fundamentally</w:t>
      </w:r>
      <w:r w:rsidR="00F527A0" w:rsidRPr="006A04F6">
        <w:t xml:space="preserve"> different</w:t>
      </w:r>
      <w:r w:rsidR="00A4196B" w:rsidRPr="006A04F6">
        <w:t xml:space="preserve"> to that of the milestone completion rates</w:t>
      </w:r>
      <w:r w:rsidR="00F527A0" w:rsidRPr="006A04F6">
        <w:t>.</w:t>
      </w:r>
    </w:p>
    <w:p w14:paraId="17D6E4D9" w14:textId="255F151C" w:rsidR="00960ED5" w:rsidRPr="006A04F6" w:rsidRDefault="00D10413" w:rsidP="00960ED5">
      <w:r w:rsidRPr="006A04F6">
        <w:t xml:space="preserve">Notably, there is also a substantial difference between the likelihood of a participant </w:t>
      </w:r>
      <w:r w:rsidR="008D1862" w:rsidRPr="006A04F6">
        <w:t xml:space="preserve">exiting income support and whether they </w:t>
      </w:r>
      <w:r w:rsidR="0039083A" w:rsidRPr="006A04F6">
        <w:t>achieve</w:t>
      </w:r>
      <w:r w:rsidR="008D1862" w:rsidRPr="006A04F6">
        <w:t xml:space="preserve"> the 26-week employment milestone or not</w:t>
      </w:r>
      <w:r w:rsidR="003841F0" w:rsidRPr="006A04F6">
        <w:t xml:space="preserve"> – with their being an</w:t>
      </w:r>
      <w:r w:rsidR="0039083A" w:rsidRPr="006A04F6">
        <w:t xml:space="preserve"> average difference </w:t>
      </w:r>
      <w:r w:rsidR="004D65EA" w:rsidRPr="006A04F6">
        <w:t>b</w:t>
      </w:r>
      <w:r w:rsidR="005E6D7F" w:rsidRPr="006A04F6">
        <w:t>etween the two of 26 percentage points</w:t>
      </w:r>
      <w:r w:rsidR="008D1862" w:rsidRPr="006A04F6">
        <w:t xml:space="preserve">. </w:t>
      </w:r>
      <w:r w:rsidR="0085013A" w:rsidRPr="006A04F6">
        <w:t>Box 1 below provides further detail on the relationship between the 26-week employment milestone and the income support status of participants.</w:t>
      </w:r>
    </w:p>
    <w:p w14:paraId="2A160A23" w14:textId="4BB98FF1" w:rsidR="000E5B2D" w:rsidRPr="006A04F6" w:rsidRDefault="000E5B2D" w:rsidP="000E5B2D">
      <w:pPr>
        <w:pStyle w:val="CaptionTable"/>
        <w:ind w:left="0"/>
      </w:pPr>
      <w:r w:rsidRPr="006A04F6">
        <w:t xml:space="preserve">: Share of </w:t>
      </w:r>
      <w:r w:rsidR="009140CE" w:rsidRPr="006A04F6">
        <w:t xml:space="preserve">IEP </w:t>
      </w:r>
      <w:r w:rsidRPr="006A04F6">
        <w:t>participants who exit income support, by select characteristics</w:t>
      </w:r>
      <w:r w:rsidR="002A6EAD" w:rsidRPr="006A04F6">
        <w:t xml:space="preserve"> </w:t>
      </w:r>
    </w:p>
    <w:tbl>
      <w:tblPr>
        <w:tblStyle w:val="Deloittetable1"/>
        <w:tblW w:w="9639" w:type="dxa"/>
        <w:tblLayout w:type="fixed"/>
        <w:tblLook w:val="04A0" w:firstRow="1" w:lastRow="0" w:firstColumn="1" w:lastColumn="0" w:noHBand="0" w:noVBand="1"/>
      </w:tblPr>
      <w:tblGrid>
        <w:gridCol w:w="2410"/>
        <w:gridCol w:w="1807"/>
        <w:gridCol w:w="1807"/>
        <w:gridCol w:w="1807"/>
        <w:gridCol w:w="1808"/>
      </w:tblGrid>
      <w:tr w:rsidR="00274D61" w:rsidRPr="00820C89" w14:paraId="174033F4" w14:textId="77777777" w:rsidTr="00087C85">
        <w:trPr>
          <w:cnfStyle w:val="100000000000" w:firstRow="1" w:lastRow="0" w:firstColumn="0" w:lastColumn="0" w:oddVBand="0" w:evenVBand="0" w:oddHBand="0" w:evenHBand="0" w:firstRowFirstColumn="0" w:firstRowLastColumn="0" w:lastRowFirstColumn="0" w:lastRowLastColumn="0"/>
          <w:trHeight w:val="300"/>
          <w:tblHeader/>
        </w:trPr>
        <w:tc>
          <w:tcPr>
            <w:tcW w:w="2410" w:type="dxa"/>
            <w:noWrap/>
            <w:hideMark/>
          </w:tcPr>
          <w:p w14:paraId="46C4782E" w14:textId="77777777" w:rsidR="00274D61" w:rsidRPr="00820C89" w:rsidRDefault="00274D61" w:rsidP="009A04E5">
            <w:pPr>
              <w:spacing w:after="0" w:line="240" w:lineRule="auto"/>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0755EEA0" w14:textId="77777777" w:rsidR="00274D61" w:rsidRPr="00820C89" w:rsidRDefault="00274D61" w:rsidP="009A04E5">
            <w:pPr>
              <w:spacing w:after="0" w:line="240" w:lineRule="auto"/>
              <w:jc w:val="center"/>
              <w:rPr>
                <w:rFonts w:asciiTheme="majorHAnsi" w:eastAsia="Times New Roman" w:hAnsiTheme="majorHAnsi" w:cs="Calibri"/>
                <w:b/>
                <w:sz w:val="16"/>
                <w:szCs w:val="16"/>
                <w:lang w:eastAsia="en-AU"/>
              </w:rPr>
            </w:pPr>
            <w:r w:rsidRPr="00820C89">
              <w:rPr>
                <w:rFonts w:asciiTheme="majorHAnsi" w:eastAsia="Times New Roman" w:hAnsiTheme="majorHAnsi" w:cs="Calibri"/>
                <w:b/>
                <w:sz w:val="16"/>
                <w:szCs w:val="16"/>
                <w:lang w:eastAsia="en-AU"/>
              </w:rPr>
              <w:t>6 months</w:t>
            </w:r>
          </w:p>
        </w:tc>
        <w:tc>
          <w:tcPr>
            <w:tcW w:w="1807" w:type="dxa"/>
            <w:noWrap/>
            <w:hideMark/>
          </w:tcPr>
          <w:p w14:paraId="06B037AF" w14:textId="77777777" w:rsidR="00274D61" w:rsidRPr="00820C89" w:rsidRDefault="00274D61" w:rsidP="009A04E5">
            <w:pPr>
              <w:spacing w:after="0" w:line="240" w:lineRule="auto"/>
              <w:jc w:val="center"/>
              <w:rPr>
                <w:rFonts w:asciiTheme="majorHAnsi" w:eastAsia="Times New Roman" w:hAnsiTheme="majorHAnsi" w:cs="Calibri"/>
                <w:b/>
                <w:sz w:val="16"/>
                <w:szCs w:val="16"/>
                <w:lang w:eastAsia="en-AU"/>
              </w:rPr>
            </w:pPr>
            <w:r w:rsidRPr="00820C89">
              <w:rPr>
                <w:rFonts w:asciiTheme="majorHAnsi" w:eastAsia="Times New Roman" w:hAnsiTheme="majorHAnsi" w:cs="Calibri"/>
                <w:b/>
                <w:sz w:val="16"/>
                <w:szCs w:val="16"/>
                <w:lang w:eastAsia="en-AU"/>
              </w:rPr>
              <w:t>12 months</w:t>
            </w:r>
          </w:p>
        </w:tc>
        <w:tc>
          <w:tcPr>
            <w:tcW w:w="1807" w:type="dxa"/>
            <w:noWrap/>
            <w:hideMark/>
          </w:tcPr>
          <w:p w14:paraId="3154F9F6" w14:textId="77777777" w:rsidR="00274D61" w:rsidRPr="00820C89" w:rsidRDefault="00274D61" w:rsidP="009A04E5">
            <w:pPr>
              <w:spacing w:after="0" w:line="240" w:lineRule="auto"/>
              <w:jc w:val="center"/>
              <w:rPr>
                <w:rFonts w:asciiTheme="majorHAnsi" w:eastAsia="Times New Roman" w:hAnsiTheme="majorHAnsi" w:cs="Calibri"/>
                <w:b/>
                <w:sz w:val="16"/>
                <w:szCs w:val="16"/>
                <w:lang w:eastAsia="en-AU"/>
              </w:rPr>
            </w:pPr>
            <w:r w:rsidRPr="00820C89">
              <w:rPr>
                <w:rFonts w:asciiTheme="majorHAnsi" w:eastAsia="Times New Roman" w:hAnsiTheme="majorHAnsi" w:cs="Calibri"/>
                <w:b/>
                <w:sz w:val="16"/>
                <w:szCs w:val="16"/>
                <w:lang w:eastAsia="en-AU"/>
              </w:rPr>
              <w:t>24 months</w:t>
            </w:r>
          </w:p>
        </w:tc>
        <w:tc>
          <w:tcPr>
            <w:tcW w:w="1808" w:type="dxa"/>
            <w:noWrap/>
            <w:hideMark/>
          </w:tcPr>
          <w:p w14:paraId="24060D7D" w14:textId="77777777" w:rsidR="00274D61" w:rsidRPr="00820C89" w:rsidRDefault="00274D61" w:rsidP="009A04E5">
            <w:pPr>
              <w:spacing w:after="0" w:line="240" w:lineRule="auto"/>
              <w:jc w:val="center"/>
              <w:rPr>
                <w:rFonts w:asciiTheme="majorHAnsi" w:eastAsia="Times New Roman" w:hAnsiTheme="majorHAnsi" w:cs="Calibri"/>
                <w:b/>
                <w:sz w:val="16"/>
                <w:szCs w:val="16"/>
                <w:lang w:eastAsia="en-AU"/>
              </w:rPr>
            </w:pPr>
            <w:r w:rsidRPr="00820C89">
              <w:rPr>
                <w:rFonts w:asciiTheme="majorHAnsi" w:eastAsia="Times New Roman" w:hAnsiTheme="majorHAnsi" w:cs="Calibri"/>
                <w:b/>
                <w:sz w:val="16"/>
                <w:szCs w:val="16"/>
                <w:lang w:eastAsia="en-AU"/>
              </w:rPr>
              <w:t>36 months</w:t>
            </w:r>
          </w:p>
        </w:tc>
      </w:tr>
      <w:tr w:rsidR="00274D61" w:rsidRPr="00820C89" w14:paraId="31B985F5" w14:textId="77777777" w:rsidTr="00274D61">
        <w:trPr>
          <w:trHeight w:val="300"/>
        </w:trPr>
        <w:tc>
          <w:tcPr>
            <w:tcW w:w="2410" w:type="dxa"/>
            <w:noWrap/>
            <w:hideMark/>
          </w:tcPr>
          <w:p w14:paraId="1515CC51" w14:textId="77777777" w:rsidR="00274D61" w:rsidRPr="00820C89" w:rsidRDefault="00274D61" w:rsidP="009A04E5">
            <w:pPr>
              <w:spacing w:after="0" w:line="240" w:lineRule="auto"/>
              <w:rPr>
                <w:rFonts w:asciiTheme="majorHAnsi" w:eastAsia="Times New Roman" w:hAnsiTheme="majorHAnsi" w:cs="Calibri"/>
                <w:b/>
                <w:i/>
                <w:sz w:val="16"/>
                <w:szCs w:val="16"/>
                <w:lang w:eastAsia="en-AU"/>
              </w:rPr>
            </w:pPr>
            <w:r w:rsidRPr="00820C89">
              <w:rPr>
                <w:rFonts w:asciiTheme="majorHAnsi" w:eastAsia="Times New Roman" w:hAnsiTheme="majorHAnsi" w:cs="Calibri"/>
                <w:b/>
                <w:i/>
                <w:sz w:val="16"/>
                <w:szCs w:val="16"/>
                <w:lang w:eastAsia="en-AU"/>
              </w:rPr>
              <w:t>Age</w:t>
            </w:r>
          </w:p>
        </w:tc>
        <w:tc>
          <w:tcPr>
            <w:tcW w:w="1807" w:type="dxa"/>
            <w:noWrap/>
            <w:hideMark/>
          </w:tcPr>
          <w:p w14:paraId="00AECBAF"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4CC8A66E"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48A5B878"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8" w:type="dxa"/>
            <w:noWrap/>
            <w:hideMark/>
          </w:tcPr>
          <w:p w14:paraId="18A29EF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r>
      <w:tr w:rsidR="00274D61" w:rsidRPr="00820C89" w14:paraId="7B83AA24" w14:textId="77777777" w:rsidTr="00274D61">
        <w:trPr>
          <w:trHeight w:val="300"/>
        </w:trPr>
        <w:tc>
          <w:tcPr>
            <w:tcW w:w="2410" w:type="dxa"/>
            <w:noWrap/>
            <w:hideMark/>
          </w:tcPr>
          <w:p w14:paraId="3554D721"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Under 25</w:t>
            </w:r>
          </w:p>
        </w:tc>
        <w:tc>
          <w:tcPr>
            <w:tcW w:w="1807" w:type="dxa"/>
            <w:shd w:val="clear" w:color="auto" w:fill="E7F5CF" w:themeFill="accent1" w:themeFillTint="33"/>
            <w:noWrap/>
            <w:hideMark/>
          </w:tcPr>
          <w:p w14:paraId="7F09311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64%</w:t>
            </w:r>
          </w:p>
        </w:tc>
        <w:tc>
          <w:tcPr>
            <w:tcW w:w="1807" w:type="dxa"/>
            <w:shd w:val="clear" w:color="auto" w:fill="E7F5CF" w:themeFill="accent1" w:themeFillTint="33"/>
            <w:noWrap/>
            <w:hideMark/>
          </w:tcPr>
          <w:p w14:paraId="1EAD97D3"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66%</w:t>
            </w:r>
          </w:p>
        </w:tc>
        <w:tc>
          <w:tcPr>
            <w:tcW w:w="1807" w:type="dxa"/>
            <w:shd w:val="clear" w:color="auto" w:fill="E7F5CF" w:themeFill="accent1" w:themeFillTint="33"/>
            <w:noWrap/>
            <w:hideMark/>
          </w:tcPr>
          <w:p w14:paraId="04A64A5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71%</w:t>
            </w:r>
          </w:p>
        </w:tc>
        <w:tc>
          <w:tcPr>
            <w:tcW w:w="1808" w:type="dxa"/>
            <w:noWrap/>
            <w:hideMark/>
          </w:tcPr>
          <w:p w14:paraId="7A7F2A38"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54%</w:t>
            </w:r>
          </w:p>
        </w:tc>
      </w:tr>
      <w:tr w:rsidR="00274D61" w:rsidRPr="00820C89" w14:paraId="12D3E427" w14:textId="77777777" w:rsidTr="00274D61">
        <w:trPr>
          <w:trHeight w:val="300"/>
        </w:trPr>
        <w:tc>
          <w:tcPr>
            <w:tcW w:w="2410" w:type="dxa"/>
            <w:noWrap/>
            <w:hideMark/>
          </w:tcPr>
          <w:p w14:paraId="05231467"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25-44</w:t>
            </w:r>
          </w:p>
        </w:tc>
        <w:tc>
          <w:tcPr>
            <w:tcW w:w="1807" w:type="dxa"/>
            <w:noWrap/>
            <w:hideMark/>
          </w:tcPr>
          <w:p w14:paraId="7BD92FD3"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54%</w:t>
            </w:r>
          </w:p>
        </w:tc>
        <w:tc>
          <w:tcPr>
            <w:tcW w:w="1807" w:type="dxa"/>
            <w:noWrap/>
            <w:hideMark/>
          </w:tcPr>
          <w:p w14:paraId="560CB6C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58%</w:t>
            </w:r>
          </w:p>
        </w:tc>
        <w:tc>
          <w:tcPr>
            <w:tcW w:w="1807" w:type="dxa"/>
            <w:noWrap/>
            <w:hideMark/>
          </w:tcPr>
          <w:p w14:paraId="40CDA7C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62%</w:t>
            </w:r>
          </w:p>
        </w:tc>
        <w:tc>
          <w:tcPr>
            <w:tcW w:w="1808" w:type="dxa"/>
            <w:noWrap/>
            <w:hideMark/>
          </w:tcPr>
          <w:p w14:paraId="2CAA0D7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48%</w:t>
            </w:r>
          </w:p>
        </w:tc>
      </w:tr>
      <w:tr w:rsidR="00274D61" w:rsidRPr="00820C89" w14:paraId="1ACBDD8B" w14:textId="77777777" w:rsidTr="00274D61">
        <w:trPr>
          <w:trHeight w:val="300"/>
        </w:trPr>
        <w:tc>
          <w:tcPr>
            <w:tcW w:w="2410" w:type="dxa"/>
            <w:noWrap/>
            <w:hideMark/>
          </w:tcPr>
          <w:p w14:paraId="65E4760C"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Over 45</w:t>
            </w:r>
          </w:p>
        </w:tc>
        <w:tc>
          <w:tcPr>
            <w:tcW w:w="1807" w:type="dxa"/>
            <w:shd w:val="clear" w:color="auto" w:fill="E3E3E4" w:themeFill="accent6" w:themeFillTint="33"/>
            <w:noWrap/>
            <w:hideMark/>
          </w:tcPr>
          <w:p w14:paraId="521923B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51%</w:t>
            </w:r>
          </w:p>
        </w:tc>
        <w:tc>
          <w:tcPr>
            <w:tcW w:w="1807" w:type="dxa"/>
            <w:shd w:val="clear" w:color="auto" w:fill="E3E3E4" w:themeFill="accent6" w:themeFillTint="33"/>
            <w:noWrap/>
            <w:hideMark/>
          </w:tcPr>
          <w:p w14:paraId="297CAE74"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54%</w:t>
            </w:r>
          </w:p>
        </w:tc>
        <w:tc>
          <w:tcPr>
            <w:tcW w:w="1807" w:type="dxa"/>
            <w:shd w:val="clear" w:color="auto" w:fill="E3E3E4" w:themeFill="accent6" w:themeFillTint="33"/>
            <w:noWrap/>
            <w:hideMark/>
          </w:tcPr>
          <w:p w14:paraId="2F3D52BC"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60%</w:t>
            </w:r>
          </w:p>
        </w:tc>
        <w:tc>
          <w:tcPr>
            <w:tcW w:w="1808" w:type="dxa"/>
            <w:shd w:val="clear" w:color="auto" w:fill="E3E3E4" w:themeFill="accent6" w:themeFillTint="33"/>
            <w:noWrap/>
            <w:hideMark/>
          </w:tcPr>
          <w:p w14:paraId="5E9BD1C8"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43%</w:t>
            </w:r>
          </w:p>
        </w:tc>
      </w:tr>
      <w:tr w:rsidR="00274D61" w:rsidRPr="00820C89" w14:paraId="16CFD1DD" w14:textId="77777777" w:rsidTr="00274D61">
        <w:trPr>
          <w:trHeight w:val="300"/>
        </w:trPr>
        <w:tc>
          <w:tcPr>
            <w:tcW w:w="2410" w:type="dxa"/>
            <w:noWrap/>
            <w:hideMark/>
          </w:tcPr>
          <w:p w14:paraId="19FEE8F4" w14:textId="77777777" w:rsidR="00274D61" w:rsidRPr="00820C89" w:rsidRDefault="00274D61" w:rsidP="009A04E5">
            <w:pPr>
              <w:spacing w:after="0" w:line="240" w:lineRule="auto"/>
              <w:rPr>
                <w:rFonts w:asciiTheme="majorHAnsi" w:eastAsia="Times New Roman" w:hAnsiTheme="majorHAnsi" w:cs="Calibri"/>
                <w:b/>
                <w:i/>
                <w:sz w:val="16"/>
                <w:szCs w:val="16"/>
                <w:lang w:eastAsia="en-AU"/>
              </w:rPr>
            </w:pPr>
            <w:r w:rsidRPr="00820C89">
              <w:rPr>
                <w:rFonts w:asciiTheme="majorHAnsi" w:eastAsia="Times New Roman" w:hAnsiTheme="majorHAnsi" w:cs="Calibri"/>
                <w:b/>
                <w:i/>
                <w:sz w:val="16"/>
                <w:szCs w:val="16"/>
                <w:lang w:eastAsia="en-AU"/>
              </w:rPr>
              <w:t>Gender</w:t>
            </w:r>
          </w:p>
        </w:tc>
        <w:tc>
          <w:tcPr>
            <w:tcW w:w="1807" w:type="dxa"/>
            <w:noWrap/>
            <w:hideMark/>
          </w:tcPr>
          <w:p w14:paraId="7DF9D263"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7409195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1C1E4F10"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8" w:type="dxa"/>
            <w:noWrap/>
            <w:hideMark/>
          </w:tcPr>
          <w:p w14:paraId="51CBE9A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r>
      <w:tr w:rsidR="00274D61" w:rsidRPr="00820C89" w14:paraId="1D8E8FB7" w14:textId="77777777" w:rsidTr="00274D61">
        <w:trPr>
          <w:trHeight w:val="300"/>
        </w:trPr>
        <w:tc>
          <w:tcPr>
            <w:tcW w:w="2410" w:type="dxa"/>
            <w:noWrap/>
            <w:hideMark/>
          </w:tcPr>
          <w:p w14:paraId="3DB2BA1E"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lastRenderedPageBreak/>
              <w:t>Male</w:t>
            </w:r>
          </w:p>
        </w:tc>
        <w:tc>
          <w:tcPr>
            <w:tcW w:w="1807" w:type="dxa"/>
            <w:noWrap/>
            <w:hideMark/>
          </w:tcPr>
          <w:p w14:paraId="2B71A5C2"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59%</w:t>
            </w:r>
          </w:p>
        </w:tc>
        <w:tc>
          <w:tcPr>
            <w:tcW w:w="1807" w:type="dxa"/>
            <w:noWrap/>
            <w:hideMark/>
          </w:tcPr>
          <w:p w14:paraId="41F0E0D6"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61%</w:t>
            </w:r>
          </w:p>
        </w:tc>
        <w:tc>
          <w:tcPr>
            <w:tcW w:w="1807" w:type="dxa"/>
            <w:noWrap/>
            <w:hideMark/>
          </w:tcPr>
          <w:p w14:paraId="50EE580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65%</w:t>
            </w:r>
          </w:p>
        </w:tc>
        <w:tc>
          <w:tcPr>
            <w:tcW w:w="1808" w:type="dxa"/>
            <w:noWrap/>
            <w:hideMark/>
          </w:tcPr>
          <w:p w14:paraId="62B38F5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48%</w:t>
            </w:r>
          </w:p>
        </w:tc>
      </w:tr>
      <w:tr w:rsidR="00274D61" w:rsidRPr="00820C89" w14:paraId="6BB30FB1" w14:textId="77777777" w:rsidTr="00274D61">
        <w:trPr>
          <w:trHeight w:val="300"/>
        </w:trPr>
        <w:tc>
          <w:tcPr>
            <w:tcW w:w="2410" w:type="dxa"/>
            <w:noWrap/>
            <w:hideMark/>
          </w:tcPr>
          <w:p w14:paraId="012C1F2C"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Female</w:t>
            </w:r>
          </w:p>
        </w:tc>
        <w:tc>
          <w:tcPr>
            <w:tcW w:w="1807" w:type="dxa"/>
            <w:noWrap/>
            <w:hideMark/>
          </w:tcPr>
          <w:p w14:paraId="700EBC6A"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56%</w:t>
            </w:r>
          </w:p>
        </w:tc>
        <w:tc>
          <w:tcPr>
            <w:tcW w:w="1807" w:type="dxa"/>
            <w:noWrap/>
            <w:hideMark/>
          </w:tcPr>
          <w:p w14:paraId="005F1EF1"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60%</w:t>
            </w:r>
          </w:p>
        </w:tc>
        <w:tc>
          <w:tcPr>
            <w:tcW w:w="1807" w:type="dxa"/>
            <w:noWrap/>
            <w:hideMark/>
          </w:tcPr>
          <w:p w14:paraId="5C32B920"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66%</w:t>
            </w:r>
          </w:p>
        </w:tc>
        <w:tc>
          <w:tcPr>
            <w:tcW w:w="1808" w:type="dxa"/>
            <w:noWrap/>
            <w:hideMark/>
          </w:tcPr>
          <w:p w14:paraId="20F4D59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52%</w:t>
            </w:r>
          </w:p>
        </w:tc>
      </w:tr>
      <w:tr w:rsidR="00274D61" w:rsidRPr="00820C89" w14:paraId="38E6E9A4" w14:textId="77777777" w:rsidTr="00274D61">
        <w:trPr>
          <w:trHeight w:val="300"/>
        </w:trPr>
        <w:tc>
          <w:tcPr>
            <w:tcW w:w="2410" w:type="dxa"/>
            <w:noWrap/>
            <w:hideMark/>
          </w:tcPr>
          <w:p w14:paraId="4F6DF395" w14:textId="77777777" w:rsidR="00274D61" w:rsidRPr="00820C89" w:rsidRDefault="00274D61" w:rsidP="009A04E5">
            <w:pPr>
              <w:spacing w:after="0" w:line="240" w:lineRule="auto"/>
              <w:rPr>
                <w:rFonts w:asciiTheme="majorHAnsi" w:eastAsia="Times New Roman" w:hAnsiTheme="majorHAnsi" w:cs="Calibri"/>
                <w:b/>
                <w:i/>
                <w:sz w:val="16"/>
                <w:szCs w:val="16"/>
                <w:lang w:eastAsia="en-AU"/>
              </w:rPr>
            </w:pPr>
            <w:r w:rsidRPr="00820C89">
              <w:rPr>
                <w:rFonts w:asciiTheme="majorHAnsi" w:eastAsia="Times New Roman" w:hAnsiTheme="majorHAnsi" w:cs="Calibri"/>
                <w:b/>
                <w:i/>
                <w:sz w:val="16"/>
                <w:szCs w:val="16"/>
                <w:lang w:eastAsia="en-AU"/>
              </w:rPr>
              <w:t>Region</w:t>
            </w:r>
          </w:p>
        </w:tc>
        <w:tc>
          <w:tcPr>
            <w:tcW w:w="1807" w:type="dxa"/>
            <w:noWrap/>
            <w:hideMark/>
          </w:tcPr>
          <w:p w14:paraId="08E602C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7B06231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357D71D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8" w:type="dxa"/>
            <w:noWrap/>
            <w:hideMark/>
          </w:tcPr>
          <w:p w14:paraId="288607D3"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r>
      <w:tr w:rsidR="00274D61" w:rsidRPr="00820C89" w14:paraId="13D74E46" w14:textId="77777777" w:rsidTr="00274D61">
        <w:trPr>
          <w:trHeight w:val="300"/>
        </w:trPr>
        <w:tc>
          <w:tcPr>
            <w:tcW w:w="2410" w:type="dxa"/>
            <w:noWrap/>
            <w:hideMark/>
          </w:tcPr>
          <w:p w14:paraId="0D9E1711"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Major Cities of Australia</w:t>
            </w:r>
          </w:p>
        </w:tc>
        <w:tc>
          <w:tcPr>
            <w:tcW w:w="1807" w:type="dxa"/>
            <w:noWrap/>
            <w:hideMark/>
          </w:tcPr>
          <w:p w14:paraId="446CA71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58%</w:t>
            </w:r>
          </w:p>
        </w:tc>
        <w:tc>
          <w:tcPr>
            <w:tcW w:w="1807" w:type="dxa"/>
            <w:noWrap/>
            <w:hideMark/>
          </w:tcPr>
          <w:p w14:paraId="17539C44"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61%</w:t>
            </w:r>
          </w:p>
        </w:tc>
        <w:tc>
          <w:tcPr>
            <w:tcW w:w="1807" w:type="dxa"/>
            <w:noWrap/>
            <w:hideMark/>
          </w:tcPr>
          <w:p w14:paraId="7D9E8DE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67%</w:t>
            </w:r>
          </w:p>
        </w:tc>
        <w:tc>
          <w:tcPr>
            <w:tcW w:w="1808" w:type="dxa"/>
            <w:noWrap/>
            <w:hideMark/>
          </w:tcPr>
          <w:p w14:paraId="46B7CA43"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53%</w:t>
            </w:r>
          </w:p>
        </w:tc>
      </w:tr>
      <w:tr w:rsidR="00274D61" w:rsidRPr="00820C89" w14:paraId="08DE14E1" w14:textId="77777777" w:rsidTr="00274D61">
        <w:trPr>
          <w:trHeight w:val="300"/>
        </w:trPr>
        <w:tc>
          <w:tcPr>
            <w:tcW w:w="2410" w:type="dxa"/>
            <w:noWrap/>
            <w:hideMark/>
          </w:tcPr>
          <w:p w14:paraId="45E2966A"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Inner Regional Australia</w:t>
            </w:r>
          </w:p>
        </w:tc>
        <w:tc>
          <w:tcPr>
            <w:tcW w:w="1807" w:type="dxa"/>
            <w:shd w:val="clear" w:color="auto" w:fill="E3E3E4" w:themeFill="accent6" w:themeFillTint="33"/>
            <w:noWrap/>
            <w:hideMark/>
          </w:tcPr>
          <w:p w14:paraId="4C516066"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52%</w:t>
            </w:r>
          </w:p>
        </w:tc>
        <w:tc>
          <w:tcPr>
            <w:tcW w:w="1807" w:type="dxa"/>
            <w:noWrap/>
            <w:hideMark/>
          </w:tcPr>
          <w:p w14:paraId="68EBF81A"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57%</w:t>
            </w:r>
          </w:p>
        </w:tc>
        <w:tc>
          <w:tcPr>
            <w:tcW w:w="1807" w:type="dxa"/>
            <w:noWrap/>
            <w:hideMark/>
          </w:tcPr>
          <w:p w14:paraId="3F99EF7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62%</w:t>
            </w:r>
          </w:p>
        </w:tc>
        <w:tc>
          <w:tcPr>
            <w:tcW w:w="1808" w:type="dxa"/>
            <w:noWrap/>
            <w:hideMark/>
          </w:tcPr>
          <w:p w14:paraId="0F85536C"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48%</w:t>
            </w:r>
          </w:p>
        </w:tc>
      </w:tr>
      <w:tr w:rsidR="00274D61" w:rsidRPr="00820C89" w14:paraId="4A45C8E1" w14:textId="77777777" w:rsidTr="00274D61">
        <w:trPr>
          <w:trHeight w:val="300"/>
        </w:trPr>
        <w:tc>
          <w:tcPr>
            <w:tcW w:w="2410" w:type="dxa"/>
            <w:noWrap/>
            <w:hideMark/>
          </w:tcPr>
          <w:p w14:paraId="4AD3A985" w14:textId="7B3E5BB4"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Outer Regional    Australia</w:t>
            </w:r>
          </w:p>
        </w:tc>
        <w:tc>
          <w:tcPr>
            <w:tcW w:w="1807" w:type="dxa"/>
            <w:noWrap/>
            <w:hideMark/>
          </w:tcPr>
          <w:p w14:paraId="6E864A5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59%</w:t>
            </w:r>
          </w:p>
        </w:tc>
        <w:tc>
          <w:tcPr>
            <w:tcW w:w="1807" w:type="dxa"/>
            <w:noWrap/>
            <w:hideMark/>
          </w:tcPr>
          <w:p w14:paraId="30DFD044"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61%</w:t>
            </w:r>
          </w:p>
        </w:tc>
        <w:tc>
          <w:tcPr>
            <w:tcW w:w="1807" w:type="dxa"/>
            <w:noWrap/>
            <w:hideMark/>
          </w:tcPr>
          <w:p w14:paraId="15458B8F"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62%</w:t>
            </w:r>
          </w:p>
        </w:tc>
        <w:tc>
          <w:tcPr>
            <w:tcW w:w="1808" w:type="dxa"/>
            <w:noWrap/>
            <w:hideMark/>
          </w:tcPr>
          <w:p w14:paraId="2807B20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45%</w:t>
            </w:r>
          </w:p>
        </w:tc>
      </w:tr>
      <w:tr w:rsidR="00274D61" w:rsidRPr="00820C89" w14:paraId="589224ED" w14:textId="77777777" w:rsidTr="00274D61">
        <w:trPr>
          <w:trHeight w:val="300"/>
        </w:trPr>
        <w:tc>
          <w:tcPr>
            <w:tcW w:w="2410" w:type="dxa"/>
            <w:noWrap/>
            <w:hideMark/>
          </w:tcPr>
          <w:p w14:paraId="72382FC2"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Remote and Very Remote Australia</w:t>
            </w:r>
          </w:p>
        </w:tc>
        <w:tc>
          <w:tcPr>
            <w:tcW w:w="1807" w:type="dxa"/>
            <w:noWrap/>
            <w:hideMark/>
          </w:tcPr>
          <w:p w14:paraId="71DFD67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61%</w:t>
            </w:r>
          </w:p>
        </w:tc>
        <w:tc>
          <w:tcPr>
            <w:tcW w:w="1807" w:type="dxa"/>
            <w:noWrap/>
            <w:hideMark/>
          </w:tcPr>
          <w:p w14:paraId="3333D0E0"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62%</w:t>
            </w:r>
          </w:p>
        </w:tc>
        <w:tc>
          <w:tcPr>
            <w:tcW w:w="1807" w:type="dxa"/>
            <w:noWrap/>
            <w:hideMark/>
          </w:tcPr>
          <w:p w14:paraId="65E0F106"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66%</w:t>
            </w:r>
          </w:p>
        </w:tc>
        <w:tc>
          <w:tcPr>
            <w:tcW w:w="1808" w:type="dxa"/>
            <w:noWrap/>
            <w:hideMark/>
          </w:tcPr>
          <w:p w14:paraId="018B503F"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47%</w:t>
            </w:r>
          </w:p>
        </w:tc>
      </w:tr>
      <w:tr w:rsidR="00274D61" w:rsidRPr="00820C89" w14:paraId="316452C4" w14:textId="77777777" w:rsidTr="00274D61">
        <w:trPr>
          <w:trHeight w:val="306"/>
        </w:trPr>
        <w:tc>
          <w:tcPr>
            <w:tcW w:w="2410" w:type="dxa"/>
            <w:noWrap/>
            <w:hideMark/>
          </w:tcPr>
          <w:p w14:paraId="799F8019" w14:textId="77777777" w:rsidR="00274D61" w:rsidRPr="00820C89" w:rsidRDefault="00274D61" w:rsidP="009A04E5">
            <w:pPr>
              <w:spacing w:after="0" w:line="240" w:lineRule="auto"/>
              <w:rPr>
                <w:rFonts w:asciiTheme="majorHAnsi" w:eastAsia="Times New Roman" w:hAnsiTheme="majorHAnsi" w:cs="Calibri"/>
                <w:b/>
                <w:i/>
                <w:sz w:val="16"/>
                <w:szCs w:val="16"/>
                <w:lang w:eastAsia="en-AU"/>
              </w:rPr>
            </w:pPr>
            <w:r w:rsidRPr="00820C89">
              <w:rPr>
                <w:rFonts w:asciiTheme="majorHAnsi" w:eastAsia="Times New Roman" w:hAnsiTheme="majorHAnsi" w:cs="Calibri"/>
                <w:b/>
                <w:i/>
                <w:sz w:val="16"/>
                <w:szCs w:val="16"/>
                <w:lang w:eastAsia="en-AU"/>
              </w:rPr>
              <w:t>Achieved 26 Week outcomes</w:t>
            </w:r>
          </w:p>
        </w:tc>
        <w:tc>
          <w:tcPr>
            <w:tcW w:w="1807" w:type="dxa"/>
            <w:noWrap/>
            <w:hideMark/>
          </w:tcPr>
          <w:p w14:paraId="28E72BD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478A74F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25B5B34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8" w:type="dxa"/>
            <w:noWrap/>
            <w:hideMark/>
          </w:tcPr>
          <w:p w14:paraId="46AB36D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r>
      <w:tr w:rsidR="00274D61" w:rsidRPr="00820C89" w14:paraId="16BCAAC6" w14:textId="77777777" w:rsidTr="00274D61">
        <w:trPr>
          <w:trHeight w:val="300"/>
        </w:trPr>
        <w:tc>
          <w:tcPr>
            <w:tcW w:w="2410" w:type="dxa"/>
            <w:noWrap/>
            <w:hideMark/>
          </w:tcPr>
          <w:p w14:paraId="70C7EF8F"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YES</w:t>
            </w:r>
          </w:p>
        </w:tc>
        <w:tc>
          <w:tcPr>
            <w:tcW w:w="1807" w:type="dxa"/>
            <w:shd w:val="clear" w:color="auto" w:fill="E7F5CF" w:themeFill="accent1" w:themeFillTint="33"/>
            <w:noWrap/>
            <w:hideMark/>
          </w:tcPr>
          <w:p w14:paraId="09CF8417"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68%</w:t>
            </w:r>
          </w:p>
        </w:tc>
        <w:tc>
          <w:tcPr>
            <w:tcW w:w="1807" w:type="dxa"/>
            <w:shd w:val="clear" w:color="auto" w:fill="E7F5CF" w:themeFill="accent1" w:themeFillTint="33"/>
            <w:noWrap/>
            <w:hideMark/>
          </w:tcPr>
          <w:p w14:paraId="790B2DD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68%</w:t>
            </w:r>
          </w:p>
        </w:tc>
        <w:tc>
          <w:tcPr>
            <w:tcW w:w="1807" w:type="dxa"/>
            <w:shd w:val="clear" w:color="auto" w:fill="E7F5CF" w:themeFill="accent1" w:themeFillTint="33"/>
            <w:noWrap/>
            <w:hideMark/>
          </w:tcPr>
          <w:p w14:paraId="3CEA4F8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72%</w:t>
            </w:r>
          </w:p>
        </w:tc>
        <w:tc>
          <w:tcPr>
            <w:tcW w:w="1808" w:type="dxa"/>
            <w:shd w:val="clear" w:color="auto" w:fill="E7F5CF" w:themeFill="accent1" w:themeFillTint="33"/>
            <w:noWrap/>
            <w:hideMark/>
          </w:tcPr>
          <w:p w14:paraId="03F98700"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57%</w:t>
            </w:r>
          </w:p>
        </w:tc>
      </w:tr>
      <w:tr w:rsidR="00274D61" w:rsidRPr="00820C89" w14:paraId="2018CCA4" w14:textId="77777777" w:rsidTr="00274D61">
        <w:trPr>
          <w:trHeight w:val="300"/>
        </w:trPr>
        <w:tc>
          <w:tcPr>
            <w:tcW w:w="2410" w:type="dxa"/>
            <w:noWrap/>
            <w:hideMark/>
          </w:tcPr>
          <w:p w14:paraId="5EF02201"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NO</w:t>
            </w:r>
          </w:p>
        </w:tc>
        <w:tc>
          <w:tcPr>
            <w:tcW w:w="1807" w:type="dxa"/>
            <w:shd w:val="clear" w:color="auto" w:fill="E3E3E4" w:themeFill="accent6" w:themeFillTint="33"/>
            <w:noWrap/>
            <w:hideMark/>
          </w:tcPr>
          <w:p w14:paraId="0FD3DEA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40%</w:t>
            </w:r>
          </w:p>
        </w:tc>
        <w:tc>
          <w:tcPr>
            <w:tcW w:w="1807" w:type="dxa"/>
            <w:shd w:val="clear" w:color="auto" w:fill="E3E3E4" w:themeFill="accent6" w:themeFillTint="33"/>
            <w:noWrap/>
            <w:hideMark/>
          </w:tcPr>
          <w:p w14:paraId="4E11A441"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47%</w:t>
            </w:r>
          </w:p>
        </w:tc>
        <w:tc>
          <w:tcPr>
            <w:tcW w:w="1807" w:type="dxa"/>
            <w:shd w:val="clear" w:color="auto" w:fill="E3E3E4" w:themeFill="accent6" w:themeFillTint="33"/>
            <w:noWrap/>
            <w:hideMark/>
          </w:tcPr>
          <w:p w14:paraId="15D7278F"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54%</w:t>
            </w:r>
          </w:p>
        </w:tc>
        <w:tc>
          <w:tcPr>
            <w:tcW w:w="1808" w:type="dxa"/>
            <w:shd w:val="clear" w:color="auto" w:fill="E3E3E4" w:themeFill="accent6" w:themeFillTint="33"/>
            <w:noWrap/>
            <w:hideMark/>
          </w:tcPr>
          <w:p w14:paraId="7A15598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37%</w:t>
            </w:r>
          </w:p>
        </w:tc>
      </w:tr>
      <w:tr w:rsidR="00274D61" w:rsidRPr="00820C89" w14:paraId="1566A3C1" w14:textId="77777777" w:rsidTr="00274D61">
        <w:trPr>
          <w:trHeight w:val="300"/>
        </w:trPr>
        <w:tc>
          <w:tcPr>
            <w:tcW w:w="2410" w:type="dxa"/>
            <w:noWrap/>
            <w:hideMark/>
          </w:tcPr>
          <w:p w14:paraId="726F6A65" w14:textId="77777777" w:rsidR="00274D61" w:rsidRPr="00820C89" w:rsidRDefault="00274D61" w:rsidP="009A04E5">
            <w:pPr>
              <w:spacing w:after="0" w:line="240" w:lineRule="auto"/>
              <w:rPr>
                <w:rFonts w:asciiTheme="majorHAnsi" w:eastAsia="Times New Roman" w:hAnsiTheme="majorHAnsi" w:cs="Calibri"/>
                <w:b/>
                <w:i/>
                <w:sz w:val="16"/>
                <w:szCs w:val="16"/>
                <w:lang w:eastAsia="en-AU"/>
              </w:rPr>
            </w:pPr>
            <w:r w:rsidRPr="00820C89">
              <w:rPr>
                <w:rFonts w:asciiTheme="majorHAnsi" w:eastAsia="Times New Roman" w:hAnsiTheme="majorHAnsi" w:cs="Calibri"/>
                <w:b/>
                <w:i/>
                <w:sz w:val="16"/>
                <w:szCs w:val="16"/>
                <w:lang w:eastAsia="en-AU"/>
              </w:rPr>
              <w:t>Length of on income support (on commencement)</w:t>
            </w:r>
          </w:p>
        </w:tc>
        <w:tc>
          <w:tcPr>
            <w:tcW w:w="1807" w:type="dxa"/>
            <w:noWrap/>
            <w:hideMark/>
          </w:tcPr>
          <w:p w14:paraId="4FD13226"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277DCEBF"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2071414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8" w:type="dxa"/>
            <w:noWrap/>
            <w:hideMark/>
          </w:tcPr>
          <w:p w14:paraId="33E28DCC"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r>
      <w:tr w:rsidR="00274D61" w:rsidRPr="00820C89" w14:paraId="7BC7E391" w14:textId="77777777" w:rsidTr="00274D61">
        <w:trPr>
          <w:trHeight w:val="300"/>
        </w:trPr>
        <w:tc>
          <w:tcPr>
            <w:tcW w:w="2410" w:type="dxa"/>
            <w:noWrap/>
            <w:hideMark/>
          </w:tcPr>
          <w:p w14:paraId="1DA4D205"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&lt;52 weeks</w:t>
            </w:r>
          </w:p>
        </w:tc>
        <w:tc>
          <w:tcPr>
            <w:tcW w:w="1807" w:type="dxa"/>
            <w:shd w:val="clear" w:color="auto" w:fill="E7F5CF" w:themeFill="accent1" w:themeFillTint="33"/>
            <w:noWrap/>
            <w:hideMark/>
          </w:tcPr>
          <w:p w14:paraId="1590491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66%</w:t>
            </w:r>
          </w:p>
        </w:tc>
        <w:tc>
          <w:tcPr>
            <w:tcW w:w="1807" w:type="dxa"/>
            <w:shd w:val="clear" w:color="auto" w:fill="E7F5CF" w:themeFill="accent1" w:themeFillTint="33"/>
            <w:noWrap/>
            <w:hideMark/>
          </w:tcPr>
          <w:p w14:paraId="5B51482E"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69%</w:t>
            </w:r>
          </w:p>
        </w:tc>
        <w:tc>
          <w:tcPr>
            <w:tcW w:w="1807" w:type="dxa"/>
            <w:shd w:val="clear" w:color="auto" w:fill="E7F5CF" w:themeFill="accent1" w:themeFillTint="33"/>
            <w:noWrap/>
            <w:hideMark/>
          </w:tcPr>
          <w:p w14:paraId="584AEF77"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72%</w:t>
            </w:r>
          </w:p>
        </w:tc>
        <w:tc>
          <w:tcPr>
            <w:tcW w:w="1808" w:type="dxa"/>
            <w:shd w:val="clear" w:color="auto" w:fill="E7F5CF" w:themeFill="accent1" w:themeFillTint="33"/>
            <w:noWrap/>
            <w:hideMark/>
          </w:tcPr>
          <w:p w14:paraId="4DD19181"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56%</w:t>
            </w:r>
          </w:p>
        </w:tc>
      </w:tr>
      <w:tr w:rsidR="00274D61" w:rsidRPr="00820C89" w14:paraId="6DF5EF14" w14:textId="77777777" w:rsidTr="00274D61">
        <w:trPr>
          <w:trHeight w:val="300"/>
        </w:trPr>
        <w:tc>
          <w:tcPr>
            <w:tcW w:w="2410" w:type="dxa"/>
            <w:noWrap/>
            <w:hideMark/>
          </w:tcPr>
          <w:p w14:paraId="3E722C7C"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&gt;=52 weeks</w:t>
            </w:r>
          </w:p>
        </w:tc>
        <w:tc>
          <w:tcPr>
            <w:tcW w:w="1807" w:type="dxa"/>
            <w:shd w:val="clear" w:color="auto" w:fill="E3E3E4" w:themeFill="accent6" w:themeFillTint="33"/>
            <w:noWrap/>
            <w:hideMark/>
          </w:tcPr>
          <w:p w14:paraId="4464EB47"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49%</w:t>
            </w:r>
          </w:p>
        </w:tc>
        <w:tc>
          <w:tcPr>
            <w:tcW w:w="1807" w:type="dxa"/>
            <w:shd w:val="clear" w:color="auto" w:fill="E3E3E4" w:themeFill="accent6" w:themeFillTint="33"/>
            <w:noWrap/>
            <w:hideMark/>
          </w:tcPr>
          <w:p w14:paraId="6EA2D84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52%</w:t>
            </w:r>
          </w:p>
        </w:tc>
        <w:tc>
          <w:tcPr>
            <w:tcW w:w="1807" w:type="dxa"/>
            <w:shd w:val="clear" w:color="auto" w:fill="E3E3E4" w:themeFill="accent6" w:themeFillTint="33"/>
            <w:noWrap/>
            <w:hideMark/>
          </w:tcPr>
          <w:p w14:paraId="78504C0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58%</w:t>
            </w:r>
          </w:p>
        </w:tc>
        <w:tc>
          <w:tcPr>
            <w:tcW w:w="1808" w:type="dxa"/>
            <w:shd w:val="clear" w:color="auto" w:fill="E3E3E4" w:themeFill="accent6" w:themeFillTint="33"/>
            <w:noWrap/>
            <w:hideMark/>
          </w:tcPr>
          <w:p w14:paraId="3B81646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43%</w:t>
            </w:r>
          </w:p>
        </w:tc>
      </w:tr>
    </w:tbl>
    <w:p w14:paraId="64318B12" w14:textId="1CA96F1D" w:rsidR="00960ED5" w:rsidRPr="00820C89" w:rsidRDefault="008805BB" w:rsidP="00AB2E36">
      <w:pPr>
        <w:pStyle w:val="Source"/>
        <w:rPr>
          <w:iCs w:val="0"/>
          <w:color w:val="auto"/>
          <w:sz w:val="18"/>
        </w:rPr>
      </w:pPr>
      <w:r w:rsidRPr="00820C89">
        <w:t xml:space="preserve">Source: Research Evaluation Database (2015-2019). Note: Cells shaded in </w:t>
      </w:r>
      <w:r w:rsidRPr="00820C89">
        <w:rPr>
          <w:b/>
          <w:bCs/>
          <w:color w:val="86BC25" w:themeColor="accent1"/>
          <w:shd w:val="clear" w:color="auto" w:fill="FFFFFF" w:themeFill="background1"/>
        </w:rPr>
        <w:t>green</w:t>
      </w:r>
      <w:r w:rsidRPr="00820C89">
        <w:rPr>
          <w:color w:val="86BC25" w:themeColor="accent1"/>
        </w:rPr>
        <w:t xml:space="preserve"> </w:t>
      </w:r>
      <w:r w:rsidRPr="00820C89">
        <w:t xml:space="preserve">indicate that the value is 5 percentage points above the overall average in that time period, while cells shaded in </w:t>
      </w:r>
      <w:r w:rsidR="009A04E5" w:rsidRPr="00820C89">
        <w:rPr>
          <w:b/>
          <w:bCs/>
        </w:rPr>
        <w:t>grey</w:t>
      </w:r>
      <w:r w:rsidRPr="00820C89">
        <w:t xml:space="preserve"> </w:t>
      </w:r>
      <w:r w:rsidR="007F278B" w:rsidRPr="00820C89">
        <w:t>represent a result 5 percentage points below</w:t>
      </w:r>
      <w:r w:rsidR="00FB0811" w:rsidRPr="00820C89">
        <w:t xml:space="preserve"> average</w:t>
      </w:r>
      <w:r w:rsidR="007F278B" w:rsidRPr="00820C89">
        <w:t xml:space="preserve">. </w:t>
      </w:r>
      <w:r w:rsidRPr="00820C89">
        <w:t>Percent values can be interpreted in the same manner as in Chart 4.6 above.</w:t>
      </w:r>
    </w:p>
    <w:p w14:paraId="5BB11B43" w14:textId="77777777" w:rsidR="00FA6871" w:rsidRPr="00820C89" w:rsidRDefault="00250996" w:rsidP="002C42BE">
      <w:r w:rsidRPr="00820C89">
        <w:t>In addition</w:t>
      </w:r>
      <w:r w:rsidR="006F5119" w:rsidRPr="00820C89">
        <w:t xml:space="preserve"> to</w:t>
      </w:r>
      <w:r w:rsidR="00DC170F" w:rsidRPr="00820C89">
        <w:t xml:space="preserve"> </w:t>
      </w:r>
      <w:r w:rsidR="006F5119" w:rsidRPr="00820C89">
        <w:t xml:space="preserve">the RED, a high-level extract of </w:t>
      </w:r>
      <w:r w:rsidR="006337FC" w:rsidRPr="00820C89">
        <w:t xml:space="preserve">data on IEP participants in the </w:t>
      </w:r>
      <w:r w:rsidR="00266EB3" w:rsidRPr="00820C89">
        <w:t>Community Development Program (CDP)</w:t>
      </w:r>
      <w:r w:rsidR="00A50477" w:rsidRPr="00820C89">
        <w:t xml:space="preserve"> was obtained as part of the evaluation. </w:t>
      </w:r>
      <w:r w:rsidR="00BB19F0" w:rsidRPr="00820C89">
        <w:t>The CDP is the Australian Government</w:t>
      </w:r>
      <w:r w:rsidR="00F32D01" w:rsidRPr="00820C89">
        <w:t>’</w:t>
      </w:r>
      <w:r w:rsidR="00BB19F0" w:rsidRPr="00820C89">
        <w:t>s remote community employment and development service.</w:t>
      </w:r>
      <w:r w:rsidR="00797BAC" w:rsidRPr="00820C89">
        <w:t xml:space="preserve"> Analysis from this dataset provides </w:t>
      </w:r>
      <w:r w:rsidR="00273C0A" w:rsidRPr="00820C89">
        <w:t xml:space="preserve">an alternative </w:t>
      </w:r>
      <w:r w:rsidR="00797BAC" w:rsidRPr="00820C89">
        <w:t xml:space="preserve">perspective on how effective the sub-programs are at encouraging </w:t>
      </w:r>
      <w:r w:rsidR="00C36F6E" w:rsidRPr="00820C89">
        <w:t>participants to exit the income support system and gain mainstream employment.</w:t>
      </w:r>
    </w:p>
    <w:p w14:paraId="346FBE7E" w14:textId="77777777" w:rsidR="00786095" w:rsidRPr="00820C89" w:rsidRDefault="00E26735" w:rsidP="002C42BE">
      <w:r w:rsidRPr="00820C89">
        <w:t xml:space="preserve">Preliminary analysis suggests that the VTEC program is most successful </w:t>
      </w:r>
      <w:r w:rsidR="00587E92" w:rsidRPr="00820C89">
        <w:t xml:space="preserve">at supporting participants to exit the CDP </w:t>
      </w:r>
      <w:r w:rsidR="00BB7B5A" w:rsidRPr="00820C89">
        <w:t>program (i.e. a proxy for gaining paid employment)</w:t>
      </w:r>
      <w:r w:rsidR="004C03FF" w:rsidRPr="00820C89">
        <w:t>, while the TAEG and EPI programs have similar outcomes</w:t>
      </w:r>
      <w:r w:rsidR="001F2B94" w:rsidRPr="00820C89">
        <w:t xml:space="preserve"> (Chart 4.7)</w:t>
      </w:r>
      <w:r w:rsidR="004C03FF" w:rsidRPr="00820C89">
        <w:t>.</w:t>
      </w:r>
      <w:r w:rsidR="00143294" w:rsidRPr="00820C89">
        <w:t xml:space="preserve"> </w:t>
      </w:r>
      <w:r w:rsidR="004C3716" w:rsidRPr="00820C89">
        <w:t>For the purpose of this analysis, it is acknowledge</w:t>
      </w:r>
      <w:r w:rsidR="0071689A" w:rsidRPr="00820C89">
        <w:t>d</w:t>
      </w:r>
      <w:r w:rsidR="004C3716" w:rsidRPr="00820C89">
        <w:t xml:space="preserve"> that the initial share of IEP participants receiving CDP support is likely overstated (given that </w:t>
      </w:r>
      <w:r w:rsidR="00262E2F" w:rsidRPr="00820C89">
        <w:t xml:space="preserve">the dataset only contains information on participants </w:t>
      </w:r>
      <w:r w:rsidR="00FE6AD2" w:rsidRPr="00820C89">
        <w:t>wh</w:t>
      </w:r>
      <w:r w:rsidR="00262E2F" w:rsidRPr="00820C89">
        <w:t>o have received CDP support at some stage)</w:t>
      </w:r>
      <w:r w:rsidR="008C34A4" w:rsidRPr="00820C89">
        <w:t xml:space="preserve">; however, the difference between the share receiving support on commencement and after </w:t>
      </w:r>
      <w:r w:rsidR="00F62C4D" w:rsidRPr="00820C89">
        <w:t xml:space="preserve">six </w:t>
      </w:r>
      <w:r w:rsidR="008C34A4" w:rsidRPr="00820C89">
        <w:t>months still provides a meaningful measure of how the programs may impact employment rates.</w:t>
      </w:r>
    </w:p>
    <w:p w14:paraId="3DEBC9DB" w14:textId="77777777" w:rsidR="00FF1DAD" w:rsidRPr="00820C89" w:rsidRDefault="00097CC0" w:rsidP="002C42BE">
      <w:r w:rsidRPr="00820C89">
        <w:t xml:space="preserve">Further, while these results to do not necessarily mirror those found from the RED analysis, this is likely a reflection </w:t>
      </w:r>
      <w:r w:rsidR="002F7A2D" w:rsidRPr="00820C89">
        <w:t xml:space="preserve">of compositional differences in the cohorts for each of the programs (and which participants receive </w:t>
      </w:r>
      <w:r w:rsidR="00C85CC9" w:rsidRPr="00820C89">
        <w:t>j</w:t>
      </w:r>
      <w:r w:rsidR="002F7A2D" w:rsidRPr="00820C89">
        <w:t>obactive or CDP support).</w:t>
      </w:r>
      <w:r w:rsidR="00E435E8" w:rsidRPr="00820C89">
        <w:t xml:space="preserve"> Further, it suggests that there is not necessarily a sub-program that is universally more effective, although the EPI program appears to be comparatively less effective at supporting participants to exit income support.</w:t>
      </w:r>
    </w:p>
    <w:p w14:paraId="19ABA77C" w14:textId="77777777" w:rsidR="00786095" w:rsidRPr="006A04F6" w:rsidRDefault="003A4ABF" w:rsidP="007D3DEA">
      <w:pPr>
        <w:pStyle w:val="CaptionChart"/>
      </w:pPr>
      <w:r w:rsidRPr="006A04F6">
        <w:lastRenderedPageBreak/>
        <w:t>: Share of IEP participants receiving CDP support</w:t>
      </w:r>
      <w:r w:rsidR="008F46E2" w:rsidRPr="006A04F6">
        <w:t xml:space="preserve"> at placement and +6 months after program exit</w:t>
      </w:r>
      <w:r w:rsidRPr="006A04F6">
        <w:t>, by sub-program</w:t>
      </w:r>
    </w:p>
    <w:p w14:paraId="6944FA1D" w14:textId="77777777" w:rsidR="002C42BE" w:rsidRPr="00820C89" w:rsidRDefault="00786095" w:rsidP="002C42BE">
      <w:r w:rsidRPr="00820C89">
        <w:rPr>
          <w:noProof/>
          <w:lang w:eastAsia="en-AU"/>
        </w:rPr>
        <w:drawing>
          <wp:inline distT="0" distB="0" distL="0" distR="0" wp14:anchorId="19682754" wp14:editId="4998870A">
            <wp:extent cx="4152374" cy="2729230"/>
            <wp:effectExtent l="0" t="0" r="635" b="0"/>
            <wp:docPr id="36" name="Picture 36" descr="The chart depicts the difference of IEP participants receiving CDP at placement and 6 or more months after sub-program placement.&#10;&#10;TAEG reported a 20 per centage point drop;&#10;&#10;VTEC reported a 39 per centage point drop; and&#10;&#10;EPI reported a 19 per centage point drop."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8">
                      <a:extLst>
                        <a:ext uri="{28A0092B-C50C-407E-A947-70E740481C1C}">
                          <a14:useLocalDpi xmlns:a14="http://schemas.microsoft.com/office/drawing/2010/main" val="0"/>
                        </a:ext>
                      </a:extLst>
                    </a:blip>
                    <a:stretch>
                      <a:fillRect/>
                    </a:stretch>
                  </pic:blipFill>
                  <pic:spPr>
                    <a:xfrm>
                      <a:off x="0" y="0"/>
                      <a:ext cx="4152374" cy="2729230"/>
                    </a:xfrm>
                    <a:prstGeom prst="rect">
                      <a:avLst/>
                    </a:prstGeom>
                  </pic:spPr>
                </pic:pic>
              </a:graphicData>
            </a:graphic>
          </wp:inline>
        </w:drawing>
      </w:r>
    </w:p>
    <w:p w14:paraId="163C21F9" w14:textId="76697C6E" w:rsidR="00B339EA" w:rsidRPr="00820C89" w:rsidRDefault="00B339EA" w:rsidP="00B339EA">
      <w:pPr>
        <w:pStyle w:val="Source"/>
      </w:pPr>
      <w:r w:rsidRPr="00820C89">
        <w:t>Source: Community Development Program</w:t>
      </w:r>
      <w:r w:rsidR="00322EC6" w:rsidRPr="00820C89">
        <w:t xml:space="preserve"> </w:t>
      </w:r>
      <w:r w:rsidR="00CE3E7E" w:rsidRPr="00820C89">
        <w:t>(2021)</w:t>
      </w:r>
      <w:r w:rsidRPr="00820C89">
        <w:t xml:space="preserve">. Note: this dataset includes all jobseekers who commenced </w:t>
      </w:r>
      <w:r w:rsidR="00A859F5" w:rsidRPr="00820C89">
        <w:t>in the IEP prior to the 31</w:t>
      </w:r>
      <w:r w:rsidR="00A859F5" w:rsidRPr="00820C89">
        <w:rPr>
          <w:vertAlign w:val="superscript"/>
        </w:rPr>
        <w:t>st</w:t>
      </w:r>
      <w:r w:rsidR="00A859F5" w:rsidRPr="00820C89">
        <w:t xml:space="preserve"> December 2018 and are present in the CDP database (i.e. they have received CDP support at some point). </w:t>
      </w:r>
      <w:r w:rsidR="00720522" w:rsidRPr="00820C89">
        <w:t xml:space="preserve">For example, 32% of </w:t>
      </w:r>
      <w:r w:rsidR="008F3489" w:rsidRPr="00820C89">
        <w:t>TAEG participants in the CDP system were receiving CDP support when they commenced in the program.</w:t>
      </w:r>
    </w:p>
    <w:p w14:paraId="1F7E1AEE" w14:textId="77777777" w:rsidR="00297EBC" w:rsidRPr="001656D4" w:rsidRDefault="00297EBC" w:rsidP="00297EBC">
      <w:pPr>
        <w:shd w:val="clear" w:color="auto" w:fill="E3E3E4" w:themeFill="accent6" w:themeFillTint="33"/>
        <w:rPr>
          <w:b/>
          <w:bCs/>
        </w:rPr>
      </w:pPr>
      <w:r w:rsidRPr="001656D4">
        <w:rPr>
          <w:b/>
          <w:bCs/>
        </w:rPr>
        <w:t xml:space="preserve">Box 1: </w:t>
      </w:r>
      <w:r w:rsidRPr="00820C89">
        <w:rPr>
          <w:b/>
          <w:bCs/>
        </w:rPr>
        <w:t>The relationship between the 26-week employment milestone and income support status</w:t>
      </w:r>
    </w:p>
    <w:p w14:paraId="43DBEFC8" w14:textId="77777777" w:rsidR="00297EBC" w:rsidRPr="00820C89" w:rsidRDefault="00297EBC" w:rsidP="00297EBC">
      <w:pPr>
        <w:shd w:val="clear" w:color="auto" w:fill="E3E3E4" w:themeFill="accent6" w:themeFillTint="33"/>
      </w:pPr>
      <w:r w:rsidRPr="00820C89">
        <w:t xml:space="preserve">Econometric analysis suggests that the 26-week employment outcome is associated with being less likely to receive income support in both the short and long-term, and that these effects are statistically significant. </w:t>
      </w:r>
    </w:p>
    <w:p w14:paraId="678AA4E5" w14:textId="77777777" w:rsidR="00297EBC" w:rsidRPr="00820C89" w:rsidRDefault="00297EBC" w:rsidP="00297EBC">
      <w:pPr>
        <w:shd w:val="clear" w:color="auto" w:fill="E3E3E4" w:themeFill="accent6" w:themeFillTint="33"/>
      </w:pPr>
      <w:r w:rsidRPr="00820C89">
        <w:t>However, it should be noted that these effect sizes become smaller over time. Specifically, as presented in Tables A.4 to A.7 in Appendix C, the 26-week employment outcome status of a participant is associated with a 36 percentage point decrease in the likelihood of not being on income support upon program exit. This decreases to 21 percentage points after 36 months.</w:t>
      </w:r>
    </w:p>
    <w:p w14:paraId="4CE4CBD8" w14:textId="77777777" w:rsidR="00297EBC" w:rsidRPr="00820C89" w:rsidRDefault="00297EBC" w:rsidP="00297EBC">
      <w:pPr>
        <w:shd w:val="clear" w:color="auto" w:fill="E3E3E4" w:themeFill="accent6" w:themeFillTint="33"/>
      </w:pPr>
      <w:r w:rsidRPr="00820C89">
        <w:t>In the longer term, a range of other factors also increasingly influence the income support status of IEP participants, with the preferred model specification explaining only (approximately) 8% of the variation seen in participants’ income support status after 36 months.</w:t>
      </w:r>
      <w:r w:rsidRPr="00820C89">
        <w:rPr>
          <w:rStyle w:val="FootnoteReference"/>
        </w:rPr>
        <w:t xml:space="preserve"> </w:t>
      </w:r>
      <w:r w:rsidRPr="00820C89">
        <w:rPr>
          <w:rStyle w:val="FootnoteReference"/>
        </w:rPr>
        <w:footnoteReference w:customMarkFollows="1" w:id="63"/>
        <w:t>[1]</w:t>
      </w:r>
      <w:r w:rsidRPr="00820C89">
        <w:t xml:space="preserve">  This includes factors such as participants’ income support status at 12 and 24 months, which were found to have moderate to strong correlation with income support status at 36 months. These factors were not included in the preferred model so that the full impacts of the IEP in mediating future improvements to participants’ labour market outcomes could be observed. That is, achieving a 26-week outcome in the IEP program could increase the likelihood of individuals being off income support at 12 and 24 months, which is associated with a lower likelihood of being on income support at 36 months.  </w:t>
      </w:r>
    </w:p>
    <w:p w14:paraId="006CF178" w14:textId="77777777" w:rsidR="00297EBC" w:rsidRPr="00820C89" w:rsidRDefault="00297EBC" w:rsidP="00297EBC">
      <w:pPr>
        <w:shd w:val="clear" w:color="auto" w:fill="E3E3E4" w:themeFill="accent6" w:themeFillTint="33"/>
      </w:pPr>
      <w:r w:rsidRPr="00820C89">
        <w:t xml:space="preserve">Overall, the findings suggest that there is a statistically significant associative relationship between 26-week outcomes and long-term employment outcomes, and it is an indicator of long-term employment outcomes. Additional analysis should be undertaken to understand the extent to which a 26-week outcome mediates future employment outcomes, and the strength of those relationships over time. Further analysis would also be required to identify whether extending the employment milestones used (e.g. introducing a 52-week outcome across all programs) would lead to more sustainable employment outcomes for participants. </w:t>
      </w:r>
    </w:p>
    <w:p w14:paraId="6FB7B026" w14:textId="6E782D75" w:rsidR="00250EA3" w:rsidRPr="00820C89" w:rsidRDefault="00297EBC" w:rsidP="00297EBC">
      <w:pPr>
        <w:shd w:val="clear" w:color="auto" w:fill="E3E3E4" w:themeFill="accent6" w:themeFillTint="33"/>
        <w:rPr>
          <w:b/>
          <w:bCs/>
        </w:rPr>
      </w:pPr>
      <w:r w:rsidRPr="00820C89">
        <w:lastRenderedPageBreak/>
        <w:t>Further, the analysis suggests that the included explanatory variables are limited in their ability to explain variation in participant outcomes, and that there may be other factors that may be important for considering. Further analysis aimed at understanding those potential factors, and the extent to which those conditions can be enabled through the IEP program could further support the program in achieving the sustainable, long-term employment outcomes that the program aspires to achieve.</w:t>
      </w:r>
    </w:p>
    <w:p w14:paraId="1BF01577" w14:textId="77777777" w:rsidR="0040692E" w:rsidRPr="00820C89" w:rsidRDefault="0040692E" w:rsidP="00715F70">
      <w:pPr>
        <w:keepNext/>
        <w:keepLines/>
        <w:numPr>
          <w:ilvl w:val="2"/>
          <w:numId w:val="12"/>
        </w:numPr>
        <w:spacing w:before="170" w:after="0"/>
        <w:outlineLvl w:val="2"/>
        <w:rPr>
          <w:rFonts w:asciiTheme="majorHAnsi" w:eastAsiaTheme="majorEastAsia" w:hAnsiTheme="majorHAnsi" w:cstheme="majorBidi"/>
          <w:b/>
        </w:rPr>
      </w:pPr>
      <w:bookmarkStart w:id="123" w:name="_Ref56745424"/>
      <w:r w:rsidRPr="00820C89">
        <w:rPr>
          <w:rFonts w:asciiTheme="majorHAnsi" w:eastAsiaTheme="majorEastAsia" w:hAnsiTheme="majorHAnsi" w:cstheme="majorBidi"/>
          <w:b/>
        </w:rPr>
        <w:t>Employers embed new Indigenous employment strategies</w:t>
      </w:r>
      <w:bookmarkEnd w:id="123"/>
    </w:p>
    <w:p w14:paraId="64743F0F" w14:textId="77777777" w:rsidR="0040692E" w:rsidRPr="00820C89" w:rsidRDefault="0040692E" w:rsidP="0040692E">
      <w:pPr>
        <w:rPr>
          <w:rFonts w:asciiTheme="majorHAnsi" w:hAnsiTheme="majorHAnsi"/>
        </w:rPr>
      </w:pPr>
      <w:r w:rsidRPr="00820C89">
        <w:rPr>
          <w:rFonts w:asciiTheme="majorHAnsi" w:hAnsiTheme="majorHAnsi"/>
        </w:rPr>
        <w:t xml:space="preserve">While the short-term outcomes focus on overcoming barriers to employing Indigenous jobseekers, longer-term outcomes for employers focus on ensuring that employers have improved and embedded new Indigenous employment practices into their normal ways of working. </w:t>
      </w:r>
    </w:p>
    <w:p w14:paraId="5AA41191" w14:textId="77777777" w:rsidR="0040692E" w:rsidRPr="00820C89" w:rsidRDefault="0040692E" w:rsidP="0040692E">
      <w:pPr>
        <w:rPr>
          <w:rFonts w:asciiTheme="majorHAnsi" w:hAnsiTheme="majorHAnsi"/>
        </w:rPr>
      </w:pPr>
      <w:r w:rsidRPr="00820C89">
        <w:rPr>
          <w:rFonts w:asciiTheme="majorHAnsi" w:hAnsiTheme="majorHAnsi"/>
        </w:rPr>
        <w:t xml:space="preserve">This change is necessary on the employer side, to ensure that the </w:t>
      </w:r>
      <w:r w:rsidR="006D1875" w:rsidRPr="00820C89">
        <w:rPr>
          <w:rFonts w:asciiTheme="majorHAnsi" w:hAnsiTheme="majorHAnsi"/>
        </w:rPr>
        <w:t>sub-program</w:t>
      </w:r>
      <w:r w:rsidRPr="00820C89">
        <w:rPr>
          <w:rFonts w:asciiTheme="majorHAnsi" w:hAnsiTheme="majorHAnsi"/>
        </w:rPr>
        <w:t>s are able to have an impact beyond the time that participants are involved in the programs and for Indigenous jobseekers outside of the program. With increased employer competency in training, recruiting and supporting Indigenous employees, employers will then be able to continue to grow their workforce and this will step towards the greater program aims of improved employment outcomes for Indigenous Australians.</w:t>
      </w:r>
    </w:p>
    <w:p w14:paraId="6342CFD3" w14:textId="77777777" w:rsidR="0040692E" w:rsidRPr="00820C89" w:rsidRDefault="0040692E" w:rsidP="0040692E">
      <w:pPr>
        <w:rPr>
          <w:rFonts w:asciiTheme="majorHAnsi" w:hAnsiTheme="majorHAnsi"/>
        </w:rPr>
      </w:pPr>
      <w:r w:rsidRPr="00820C89">
        <w:rPr>
          <w:rFonts w:asciiTheme="majorHAnsi" w:hAnsiTheme="majorHAnsi"/>
        </w:rPr>
        <w:t>The types of employment practices that employers can best implement in their business differ and will depend on the context. Some employment practices may include:</w:t>
      </w:r>
    </w:p>
    <w:p w14:paraId="152BBDED" w14:textId="77777777" w:rsidR="0040692E" w:rsidRPr="00820C89" w:rsidRDefault="008862B7" w:rsidP="00715F70">
      <w:pPr>
        <w:numPr>
          <w:ilvl w:val="0"/>
          <w:numId w:val="24"/>
        </w:numPr>
        <w:spacing w:before="60" w:after="60"/>
        <w:ind w:left="357" w:hanging="357"/>
        <w:rPr>
          <w:rFonts w:asciiTheme="majorHAnsi" w:hAnsiTheme="majorHAnsi"/>
        </w:rPr>
      </w:pPr>
      <w:r w:rsidRPr="00820C89">
        <w:rPr>
          <w:rFonts w:asciiTheme="majorHAnsi" w:hAnsiTheme="majorHAnsi"/>
        </w:rPr>
        <w:t>p</w:t>
      </w:r>
      <w:r w:rsidR="0040692E" w:rsidRPr="00820C89">
        <w:rPr>
          <w:rFonts w:asciiTheme="majorHAnsi" w:hAnsiTheme="majorHAnsi"/>
        </w:rPr>
        <w:t>rioritising applications from Indigenous jobseekers</w:t>
      </w:r>
    </w:p>
    <w:p w14:paraId="4A21F2A1" w14:textId="77777777" w:rsidR="0040692E" w:rsidRPr="00820C89" w:rsidRDefault="008862B7" w:rsidP="00715F70">
      <w:pPr>
        <w:numPr>
          <w:ilvl w:val="0"/>
          <w:numId w:val="24"/>
        </w:numPr>
        <w:spacing w:before="60" w:after="60"/>
        <w:ind w:left="357" w:hanging="357"/>
        <w:rPr>
          <w:rFonts w:asciiTheme="majorHAnsi" w:hAnsiTheme="majorHAnsi"/>
        </w:rPr>
      </w:pPr>
      <w:r w:rsidRPr="00820C89">
        <w:rPr>
          <w:rFonts w:asciiTheme="majorHAnsi" w:hAnsiTheme="majorHAnsi"/>
        </w:rPr>
        <w:t>a</w:t>
      </w:r>
      <w:r w:rsidR="0040692E" w:rsidRPr="00820C89">
        <w:rPr>
          <w:rFonts w:asciiTheme="majorHAnsi" w:hAnsiTheme="majorHAnsi"/>
        </w:rPr>
        <w:t>mending recruitment and hiring processes to make them more accessible to Indigenous jobseekers</w:t>
      </w:r>
    </w:p>
    <w:p w14:paraId="1365F9E9" w14:textId="77777777" w:rsidR="0040692E" w:rsidRPr="00820C89" w:rsidRDefault="008862B7" w:rsidP="00715F70">
      <w:pPr>
        <w:numPr>
          <w:ilvl w:val="0"/>
          <w:numId w:val="24"/>
        </w:numPr>
        <w:spacing w:before="60" w:after="60"/>
        <w:ind w:left="357" w:hanging="357"/>
        <w:rPr>
          <w:rFonts w:asciiTheme="majorHAnsi" w:hAnsiTheme="majorHAnsi"/>
        </w:rPr>
      </w:pPr>
      <w:r w:rsidRPr="00820C89">
        <w:rPr>
          <w:rFonts w:asciiTheme="majorHAnsi" w:hAnsiTheme="majorHAnsi"/>
        </w:rPr>
        <w:t>p</w:t>
      </w:r>
      <w:r w:rsidR="0040692E" w:rsidRPr="00820C89">
        <w:rPr>
          <w:rFonts w:asciiTheme="majorHAnsi" w:hAnsiTheme="majorHAnsi"/>
        </w:rPr>
        <w:t>roviding ongoing support programs to Indigenous employees, to encourage their retention and career development</w:t>
      </w:r>
    </w:p>
    <w:p w14:paraId="4A3116F1" w14:textId="77777777" w:rsidR="0040692E" w:rsidRPr="00820C89" w:rsidRDefault="008862B7" w:rsidP="00715F70">
      <w:pPr>
        <w:numPr>
          <w:ilvl w:val="0"/>
          <w:numId w:val="24"/>
        </w:numPr>
        <w:spacing w:before="60" w:after="60"/>
        <w:ind w:left="357" w:hanging="357"/>
        <w:rPr>
          <w:rFonts w:asciiTheme="majorHAnsi" w:hAnsiTheme="majorHAnsi"/>
        </w:rPr>
      </w:pPr>
      <w:r w:rsidRPr="00820C89">
        <w:rPr>
          <w:rFonts w:asciiTheme="majorHAnsi" w:hAnsiTheme="majorHAnsi"/>
        </w:rPr>
        <w:t>d</w:t>
      </w:r>
      <w:r w:rsidR="0040692E" w:rsidRPr="00820C89">
        <w:rPr>
          <w:rFonts w:asciiTheme="majorHAnsi" w:hAnsiTheme="majorHAnsi"/>
        </w:rPr>
        <w:t>elivering cultural awareness training to staff members.</w:t>
      </w:r>
    </w:p>
    <w:p w14:paraId="5849F756" w14:textId="77777777" w:rsidR="0040692E" w:rsidRPr="00820C89" w:rsidRDefault="0040692E" w:rsidP="00C2339E">
      <w:pPr>
        <w:spacing w:before="170"/>
        <w:rPr>
          <w:rFonts w:asciiTheme="majorHAnsi" w:hAnsiTheme="majorHAnsi"/>
        </w:rPr>
      </w:pPr>
      <w:r w:rsidRPr="00820C89">
        <w:rPr>
          <w:rFonts w:asciiTheme="majorHAnsi" w:hAnsiTheme="majorHAnsi"/>
        </w:rPr>
        <w:t xml:space="preserve">This outcome is articulated similarly across both VTEC and TAEG but is considered quite differently within </w:t>
      </w:r>
      <w:r w:rsidR="00C755D2" w:rsidRPr="00820C89">
        <w:rPr>
          <w:rFonts w:asciiTheme="majorHAnsi" w:hAnsiTheme="majorHAnsi"/>
        </w:rPr>
        <w:t xml:space="preserve">the </w:t>
      </w:r>
      <w:r w:rsidRPr="00820C89">
        <w:rPr>
          <w:rFonts w:asciiTheme="majorHAnsi" w:hAnsiTheme="majorHAnsi"/>
        </w:rPr>
        <w:t xml:space="preserve">EPI. For VTEC and TAEG, employers are expected to improve their Indigenous employment practices by developing more culturally appropriate employment practices and then increasing their employment of Indigenous jobseekers. </w:t>
      </w:r>
    </w:p>
    <w:p w14:paraId="28A28BA4" w14:textId="77777777" w:rsidR="0040692E" w:rsidRPr="00820C89" w:rsidRDefault="0040692E" w:rsidP="0040692E">
      <w:pPr>
        <w:rPr>
          <w:rFonts w:asciiTheme="majorHAnsi" w:hAnsiTheme="majorHAnsi"/>
        </w:rPr>
      </w:pPr>
      <w:r w:rsidRPr="00820C89">
        <w:rPr>
          <w:rFonts w:asciiTheme="majorHAnsi" w:hAnsiTheme="majorHAnsi"/>
        </w:rPr>
        <w:t>For EPI, however, there is greater focus on embedding Indigenous employment practices into the everyday functioning of the business and that EPI partners will play a leadership role in motivating other businesses to follow their lead in developing their own Indigenous workforces. For EPI, these expected outcomes</w:t>
      </w:r>
      <w:r w:rsidR="002344A8" w:rsidRPr="00820C89">
        <w:rPr>
          <w:rFonts w:asciiTheme="majorHAnsi" w:hAnsiTheme="majorHAnsi"/>
        </w:rPr>
        <w:t>, as detailed by the program logics,</w:t>
      </w:r>
      <w:r w:rsidRPr="00820C89">
        <w:rPr>
          <w:rFonts w:asciiTheme="majorHAnsi" w:hAnsiTheme="majorHAnsi"/>
        </w:rPr>
        <w:t xml:space="preserve"> include:</w:t>
      </w:r>
    </w:p>
    <w:p w14:paraId="7ED3CD8B"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embedding Indigenous jobseekers recruitment practices into their business practices</w:t>
      </w:r>
    </w:p>
    <w:p w14:paraId="1E814BD4"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EPI partners retain their Indigenous employees</w:t>
      </w:r>
    </w:p>
    <w:p w14:paraId="6146C115"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EPI partners are more likely to promote Indigenous employees through their workforce</w:t>
      </w:r>
    </w:p>
    <w:p w14:paraId="726A1DE4"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EPI partners have enhanced reputation and workforce outcomes</w:t>
      </w:r>
    </w:p>
    <w:p w14:paraId="6C0996CE"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EPI partners become less dependent on EPI funding over time</w:t>
      </w:r>
    </w:p>
    <w:p w14:paraId="46EB5B17" w14:textId="77777777" w:rsidR="0040692E" w:rsidRPr="00820C89" w:rsidRDefault="0040692E" w:rsidP="00715F70">
      <w:pPr>
        <w:numPr>
          <w:ilvl w:val="0"/>
          <w:numId w:val="24"/>
        </w:numPr>
        <w:spacing w:before="60"/>
        <w:ind w:left="357" w:hanging="357"/>
        <w:rPr>
          <w:rFonts w:asciiTheme="majorHAnsi" w:hAnsiTheme="majorHAnsi"/>
        </w:rPr>
      </w:pPr>
      <w:r w:rsidRPr="00820C89">
        <w:rPr>
          <w:rFonts w:asciiTheme="majorHAnsi" w:hAnsiTheme="majorHAnsi"/>
        </w:rPr>
        <w:t>other major companies are motivated to develop new Indigenous employment strategies and/or express interest in EPI.</w:t>
      </w:r>
    </w:p>
    <w:p w14:paraId="4E125DBE" w14:textId="77777777" w:rsidR="001E6A78" w:rsidRPr="00820C89" w:rsidRDefault="001E6A78" w:rsidP="00412310">
      <w:pPr>
        <w:spacing w:before="170"/>
        <w:rPr>
          <w:rFonts w:asciiTheme="majorHAnsi" w:hAnsiTheme="majorHAnsi"/>
        </w:rPr>
      </w:pPr>
      <w:r w:rsidRPr="00820C89">
        <w:rPr>
          <w:rFonts w:asciiTheme="majorHAnsi" w:hAnsiTheme="majorHAnsi"/>
        </w:rPr>
        <w:t xml:space="preserve">Beyond these outcomes, there are also other </w:t>
      </w:r>
      <w:r w:rsidR="003C5C1A" w:rsidRPr="00820C89">
        <w:rPr>
          <w:rFonts w:asciiTheme="majorHAnsi" w:hAnsiTheme="majorHAnsi"/>
        </w:rPr>
        <w:t>economic and cultural benefits for employers, such as improved workplace culture and community connection</w:t>
      </w:r>
      <w:r w:rsidR="0084409A" w:rsidRPr="00820C89">
        <w:rPr>
          <w:rFonts w:asciiTheme="majorHAnsi" w:hAnsiTheme="majorHAnsi"/>
        </w:rPr>
        <w:t>.</w:t>
      </w:r>
    </w:p>
    <w:p w14:paraId="31A31A71" w14:textId="77777777" w:rsidR="0040692E" w:rsidRPr="00820C89" w:rsidRDefault="0040692E" w:rsidP="00412310">
      <w:pPr>
        <w:spacing w:before="170"/>
        <w:rPr>
          <w:rFonts w:asciiTheme="majorHAnsi" w:hAnsiTheme="majorHAnsi"/>
        </w:rPr>
      </w:pPr>
      <w:r w:rsidRPr="00820C89">
        <w:rPr>
          <w:rFonts w:asciiTheme="majorHAnsi" w:hAnsiTheme="majorHAnsi"/>
        </w:rPr>
        <w:t>To assess whether this outcome has been met, evidence needs to establish:</w:t>
      </w:r>
    </w:p>
    <w:p w14:paraId="593A216A"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 xml:space="preserve">the extent to which EPI </w:t>
      </w:r>
      <w:r w:rsidR="001F1912" w:rsidRPr="00820C89">
        <w:rPr>
          <w:rFonts w:asciiTheme="majorHAnsi" w:hAnsiTheme="majorHAnsi"/>
        </w:rPr>
        <w:t>partner</w:t>
      </w:r>
      <w:r w:rsidRPr="00820C89">
        <w:rPr>
          <w:rFonts w:asciiTheme="majorHAnsi" w:hAnsiTheme="majorHAnsi"/>
        </w:rPr>
        <w:t>s have embedded improvements in their Indigenous employment practices into their business, and whether EPI funding is expected to be relied upon into the future</w:t>
      </w:r>
    </w:p>
    <w:p w14:paraId="2620BA79" w14:textId="77777777" w:rsidR="0040692E" w:rsidRPr="00820C89" w:rsidRDefault="0040692E" w:rsidP="00715F70">
      <w:pPr>
        <w:numPr>
          <w:ilvl w:val="0"/>
          <w:numId w:val="24"/>
        </w:numPr>
        <w:spacing w:before="60" w:after="60"/>
        <w:ind w:left="357" w:hanging="357"/>
        <w:rPr>
          <w:rFonts w:asciiTheme="majorHAnsi" w:hAnsiTheme="majorHAnsi"/>
        </w:rPr>
      </w:pPr>
      <w:r w:rsidRPr="00820C89">
        <w:rPr>
          <w:rFonts w:asciiTheme="majorHAnsi" w:hAnsiTheme="majorHAnsi"/>
        </w:rPr>
        <w:t>the extent to which EPI partners view that they have an enhanced reputation and can influence and motivate other organisations</w:t>
      </w:r>
    </w:p>
    <w:p w14:paraId="509E7B10" w14:textId="77777777" w:rsidR="0040692E" w:rsidRPr="00820C89" w:rsidRDefault="008862B7" w:rsidP="00715F70">
      <w:pPr>
        <w:numPr>
          <w:ilvl w:val="0"/>
          <w:numId w:val="24"/>
        </w:numPr>
        <w:spacing w:before="60" w:after="60"/>
        <w:ind w:left="357" w:hanging="357"/>
        <w:rPr>
          <w:rFonts w:asciiTheme="majorHAnsi" w:hAnsiTheme="majorHAnsi"/>
        </w:rPr>
      </w:pPr>
      <w:r w:rsidRPr="00820C89">
        <w:rPr>
          <w:rFonts w:asciiTheme="majorHAnsi" w:hAnsiTheme="majorHAnsi"/>
        </w:rPr>
        <w:lastRenderedPageBreak/>
        <w:t>t</w:t>
      </w:r>
      <w:r w:rsidR="0040692E" w:rsidRPr="00820C89">
        <w:rPr>
          <w:rFonts w:asciiTheme="majorHAnsi" w:hAnsiTheme="majorHAnsi"/>
        </w:rPr>
        <w:t>he extent to which TAEG and VTEC employers have developed more culturally appropriate employment practices and then increased their employment of Indigenous jobseekers</w:t>
      </w:r>
    </w:p>
    <w:p w14:paraId="6AE3FD1C" w14:textId="77777777" w:rsidR="0040692E" w:rsidRPr="00820C89" w:rsidRDefault="008862B7" w:rsidP="00715F70">
      <w:pPr>
        <w:numPr>
          <w:ilvl w:val="0"/>
          <w:numId w:val="24"/>
        </w:numPr>
        <w:spacing w:before="60" w:after="60"/>
        <w:ind w:left="357" w:hanging="357"/>
        <w:rPr>
          <w:rFonts w:asciiTheme="majorHAnsi" w:hAnsiTheme="majorHAnsi"/>
        </w:rPr>
      </w:pPr>
      <w:r w:rsidRPr="00820C89">
        <w:rPr>
          <w:rFonts w:asciiTheme="majorHAnsi" w:hAnsiTheme="majorHAnsi"/>
        </w:rPr>
        <w:t>t</w:t>
      </w:r>
      <w:r w:rsidR="0040692E" w:rsidRPr="00820C89">
        <w:rPr>
          <w:rFonts w:asciiTheme="majorHAnsi" w:hAnsiTheme="majorHAnsi"/>
        </w:rPr>
        <w:t>he extent to which IEP providers and partners have an enhanced appreciation of the benefits of Indigenous employment.</w:t>
      </w:r>
    </w:p>
    <w:p w14:paraId="47721561" w14:textId="77777777" w:rsidR="0040692E" w:rsidRPr="00820C89" w:rsidRDefault="0040692E" w:rsidP="00412310">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this outcome</w:t>
      </w:r>
    </w:p>
    <w:p w14:paraId="7B507DBE" w14:textId="77777777" w:rsidR="00BC2C2E" w:rsidRPr="001656D4" w:rsidRDefault="00BC2C2E" w:rsidP="001656D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heme="majorHAnsi" w:hAnsiTheme="majorHAnsi"/>
        </w:rPr>
      </w:pPr>
      <w:r w:rsidRPr="001656D4">
        <w:rPr>
          <w:rFonts w:asciiTheme="majorHAnsi" w:hAnsiTheme="majorHAnsi"/>
        </w:rPr>
        <w:t>EPI partners report that they have begun to embed a range of new Indigenous employment practices into their businesses. For example, EPI partners report that they have introduced a wide variety of new practices, including:</w:t>
      </w:r>
    </w:p>
    <w:p w14:paraId="0343B3DF" w14:textId="77777777" w:rsidR="0040692E" w:rsidRPr="00820C89" w:rsidRDefault="008862B7" w:rsidP="00715F70">
      <w:pPr>
        <w:numPr>
          <w:ilvl w:val="0"/>
          <w:numId w:val="38"/>
        </w:numPr>
        <w:spacing w:before="60" w:after="60"/>
        <w:ind w:left="357" w:hanging="357"/>
        <w:rPr>
          <w:rFonts w:asciiTheme="majorHAnsi" w:hAnsiTheme="majorHAnsi"/>
        </w:rPr>
      </w:pPr>
      <w:r w:rsidRPr="00820C89">
        <w:rPr>
          <w:rFonts w:asciiTheme="majorHAnsi" w:hAnsiTheme="majorHAnsi"/>
        </w:rPr>
        <w:t>a</w:t>
      </w:r>
      <w:r w:rsidR="0040692E" w:rsidRPr="00820C89">
        <w:rPr>
          <w:rFonts w:asciiTheme="majorHAnsi" w:hAnsiTheme="majorHAnsi"/>
        </w:rPr>
        <w:t>mending their recruitment processes so that HR teams prioritise reviewing applications from Indigenous jobseekers</w:t>
      </w:r>
    </w:p>
    <w:p w14:paraId="57581E4B" w14:textId="77777777" w:rsidR="0040692E" w:rsidRPr="00820C89" w:rsidRDefault="008862B7" w:rsidP="00715F70">
      <w:pPr>
        <w:numPr>
          <w:ilvl w:val="0"/>
          <w:numId w:val="38"/>
        </w:numPr>
        <w:spacing w:before="60" w:after="60"/>
        <w:ind w:left="357" w:hanging="357"/>
        <w:rPr>
          <w:rFonts w:asciiTheme="majorHAnsi" w:hAnsiTheme="majorHAnsi"/>
        </w:rPr>
      </w:pPr>
      <w:r w:rsidRPr="00820C89">
        <w:rPr>
          <w:rFonts w:asciiTheme="majorHAnsi" w:hAnsiTheme="majorHAnsi"/>
        </w:rPr>
        <w:t>i</w:t>
      </w:r>
      <w:r w:rsidR="0040692E" w:rsidRPr="00820C89">
        <w:rPr>
          <w:rFonts w:asciiTheme="majorHAnsi" w:hAnsiTheme="majorHAnsi"/>
        </w:rPr>
        <w:t xml:space="preserve">ncreasing their collaboration with the employment services sector (such as </w:t>
      </w:r>
      <w:r w:rsidR="00C85CC9" w:rsidRPr="00820C89">
        <w:rPr>
          <w:rFonts w:asciiTheme="majorHAnsi" w:hAnsiTheme="majorHAnsi"/>
        </w:rPr>
        <w:t>j</w:t>
      </w:r>
      <w:r w:rsidR="0040692E" w:rsidRPr="00820C89">
        <w:rPr>
          <w:rFonts w:asciiTheme="majorHAnsi" w:hAnsiTheme="majorHAnsi"/>
        </w:rPr>
        <w:t xml:space="preserve">obactive providers) to try and proactively identify </w:t>
      </w:r>
      <w:r w:rsidR="00F020AA" w:rsidRPr="00820C89">
        <w:rPr>
          <w:rFonts w:asciiTheme="majorHAnsi" w:hAnsiTheme="majorHAnsi"/>
        </w:rPr>
        <w:t>Indig</w:t>
      </w:r>
      <w:r w:rsidR="0040692E" w:rsidRPr="00820C89">
        <w:rPr>
          <w:rFonts w:asciiTheme="majorHAnsi" w:hAnsiTheme="majorHAnsi"/>
        </w:rPr>
        <w:t>e</w:t>
      </w:r>
      <w:r w:rsidR="00F020AA" w:rsidRPr="00820C89">
        <w:rPr>
          <w:rFonts w:asciiTheme="majorHAnsi" w:hAnsiTheme="majorHAnsi"/>
        </w:rPr>
        <w:t>n</w:t>
      </w:r>
      <w:r w:rsidR="0040692E" w:rsidRPr="00820C89">
        <w:rPr>
          <w:rFonts w:asciiTheme="majorHAnsi" w:hAnsiTheme="majorHAnsi"/>
        </w:rPr>
        <w:t xml:space="preserve">ous jobseekers </w:t>
      </w:r>
    </w:p>
    <w:p w14:paraId="6A8F0A7F" w14:textId="77777777" w:rsidR="0040692E" w:rsidRPr="00820C89" w:rsidRDefault="008862B7" w:rsidP="00715F70">
      <w:pPr>
        <w:numPr>
          <w:ilvl w:val="0"/>
          <w:numId w:val="38"/>
        </w:numPr>
        <w:spacing w:before="60" w:after="60"/>
        <w:ind w:left="357" w:hanging="357"/>
        <w:rPr>
          <w:rFonts w:asciiTheme="majorHAnsi" w:hAnsiTheme="majorHAnsi"/>
          <w:b/>
        </w:rPr>
      </w:pPr>
      <w:r w:rsidRPr="00820C89">
        <w:rPr>
          <w:rFonts w:asciiTheme="majorHAnsi" w:hAnsiTheme="majorHAnsi"/>
        </w:rPr>
        <w:t>d</w:t>
      </w:r>
      <w:r w:rsidR="0040692E" w:rsidRPr="00820C89">
        <w:rPr>
          <w:rFonts w:asciiTheme="majorHAnsi" w:hAnsiTheme="majorHAnsi"/>
        </w:rPr>
        <w:t xml:space="preserve">elivering intensive </w:t>
      </w:r>
      <w:r w:rsidR="00EE273B" w:rsidRPr="00820C89">
        <w:rPr>
          <w:rFonts w:asciiTheme="majorHAnsi" w:hAnsiTheme="majorHAnsi"/>
        </w:rPr>
        <w:t>on boarding</w:t>
      </w:r>
      <w:r w:rsidR="0040692E" w:rsidRPr="00820C89">
        <w:rPr>
          <w:rFonts w:asciiTheme="majorHAnsi" w:hAnsiTheme="majorHAnsi"/>
        </w:rPr>
        <w:t xml:space="preserve"> processes for new </w:t>
      </w:r>
      <w:r w:rsidR="00F020AA" w:rsidRPr="00820C89">
        <w:rPr>
          <w:rFonts w:asciiTheme="majorHAnsi" w:hAnsiTheme="majorHAnsi"/>
        </w:rPr>
        <w:t>Indigenous</w:t>
      </w:r>
      <w:r w:rsidR="0040692E" w:rsidRPr="00820C89">
        <w:rPr>
          <w:rFonts w:asciiTheme="majorHAnsi" w:hAnsiTheme="majorHAnsi"/>
        </w:rPr>
        <w:t xml:space="preserve"> staff members that aims to highlight the workplace expectations and support measures that are in place.</w:t>
      </w:r>
    </w:p>
    <w:p w14:paraId="0C92A685" w14:textId="77777777" w:rsidR="0040692E" w:rsidRPr="00820C89" w:rsidRDefault="008862B7" w:rsidP="00715F70">
      <w:pPr>
        <w:numPr>
          <w:ilvl w:val="0"/>
          <w:numId w:val="38"/>
        </w:numPr>
        <w:spacing w:before="60" w:after="60"/>
        <w:ind w:left="357" w:hanging="357"/>
        <w:rPr>
          <w:rFonts w:asciiTheme="majorHAnsi" w:hAnsiTheme="majorHAnsi"/>
          <w:b/>
        </w:rPr>
      </w:pPr>
      <w:r w:rsidRPr="00820C89">
        <w:rPr>
          <w:rFonts w:asciiTheme="majorHAnsi" w:hAnsiTheme="majorHAnsi"/>
        </w:rPr>
        <w:t>d</w:t>
      </w:r>
      <w:r w:rsidR="0040692E" w:rsidRPr="00820C89">
        <w:rPr>
          <w:rFonts w:asciiTheme="majorHAnsi" w:hAnsiTheme="majorHAnsi"/>
        </w:rPr>
        <w:t xml:space="preserve">elivering ongoing leadership development programs that aim to support </w:t>
      </w:r>
      <w:r w:rsidR="00F020AA" w:rsidRPr="00820C89">
        <w:rPr>
          <w:rFonts w:asciiTheme="majorHAnsi" w:hAnsiTheme="majorHAnsi"/>
        </w:rPr>
        <w:t>Indig</w:t>
      </w:r>
      <w:r w:rsidR="0040692E" w:rsidRPr="00820C89">
        <w:rPr>
          <w:rFonts w:asciiTheme="majorHAnsi" w:hAnsiTheme="majorHAnsi"/>
        </w:rPr>
        <w:t>e</w:t>
      </w:r>
      <w:r w:rsidR="00F020AA" w:rsidRPr="00820C89">
        <w:rPr>
          <w:rFonts w:asciiTheme="majorHAnsi" w:hAnsiTheme="majorHAnsi"/>
        </w:rPr>
        <w:t>n</w:t>
      </w:r>
      <w:r w:rsidR="0040692E" w:rsidRPr="00820C89">
        <w:rPr>
          <w:rFonts w:asciiTheme="majorHAnsi" w:hAnsiTheme="majorHAnsi"/>
        </w:rPr>
        <w:t>ous staff members to advance within their organisation</w:t>
      </w:r>
    </w:p>
    <w:p w14:paraId="710B03DF" w14:textId="77777777" w:rsidR="0040692E" w:rsidRPr="00820C89" w:rsidRDefault="008862B7" w:rsidP="00715F70">
      <w:pPr>
        <w:numPr>
          <w:ilvl w:val="0"/>
          <w:numId w:val="38"/>
        </w:numPr>
        <w:spacing w:before="60" w:after="60"/>
        <w:ind w:left="357" w:hanging="357"/>
        <w:rPr>
          <w:rFonts w:asciiTheme="majorHAnsi" w:hAnsiTheme="majorHAnsi"/>
        </w:rPr>
      </w:pPr>
      <w:r w:rsidRPr="00820C89">
        <w:rPr>
          <w:rFonts w:asciiTheme="majorHAnsi" w:hAnsiTheme="majorHAnsi"/>
        </w:rPr>
        <w:t>d</w:t>
      </w:r>
      <w:r w:rsidR="0040692E" w:rsidRPr="00820C89">
        <w:rPr>
          <w:rFonts w:asciiTheme="majorHAnsi" w:hAnsiTheme="majorHAnsi"/>
        </w:rPr>
        <w:t>elivering cultural awareness programs to all staff members, to try and ensure that workplace culture is supportive and culturally safe.</w:t>
      </w:r>
    </w:p>
    <w:p w14:paraId="4EA06DC2" w14:textId="77777777" w:rsidR="00C002C5" w:rsidRPr="00820C89" w:rsidRDefault="0040692E" w:rsidP="00B74043">
      <w:pPr>
        <w:spacing w:before="170"/>
        <w:rPr>
          <w:rFonts w:asciiTheme="majorHAnsi" w:hAnsiTheme="majorHAnsi"/>
        </w:rPr>
      </w:pPr>
      <w:r w:rsidRPr="00820C89">
        <w:rPr>
          <w:rFonts w:asciiTheme="majorHAnsi" w:hAnsiTheme="majorHAnsi"/>
        </w:rPr>
        <w:t xml:space="preserve">However, it is unclear to what extent these changes are truly sustainable and would continue in the absence of EPI funding. EPI </w:t>
      </w:r>
      <w:r w:rsidR="001F1912" w:rsidRPr="00820C89">
        <w:rPr>
          <w:rFonts w:asciiTheme="majorHAnsi" w:hAnsiTheme="majorHAnsi"/>
        </w:rPr>
        <w:t>partner</w:t>
      </w:r>
      <w:r w:rsidRPr="00820C89">
        <w:rPr>
          <w:rFonts w:asciiTheme="majorHAnsi" w:hAnsiTheme="majorHAnsi"/>
        </w:rPr>
        <w:t xml:space="preserve">s </w:t>
      </w:r>
      <w:r w:rsidR="007B2817" w:rsidRPr="00820C89">
        <w:rPr>
          <w:rFonts w:asciiTheme="majorHAnsi" w:hAnsiTheme="majorHAnsi"/>
        </w:rPr>
        <w:t>expressed mixed perspectives on the extent to which practices would continue in the absence of funding</w:t>
      </w:r>
      <w:r w:rsidRPr="00820C89">
        <w:rPr>
          <w:rFonts w:asciiTheme="majorHAnsi" w:hAnsiTheme="majorHAnsi"/>
        </w:rPr>
        <w:t>:</w:t>
      </w:r>
    </w:p>
    <w:p w14:paraId="7B9F8D1B" w14:textId="77777777" w:rsidR="00C002C5" w:rsidRPr="00820C89" w:rsidRDefault="00C002C5" w:rsidP="00C002C5">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709"/>
        <w:rPr>
          <w:rFonts w:asciiTheme="majorHAnsi" w:hAnsiTheme="majorHAnsi"/>
          <w:i/>
        </w:rPr>
      </w:pPr>
      <w:r w:rsidRPr="00820C89">
        <w:rPr>
          <w:rFonts w:asciiTheme="majorHAnsi" w:hAnsiTheme="majorHAnsi"/>
        </w:rPr>
        <w:tab/>
      </w:r>
      <w:r w:rsidRPr="00820C89">
        <w:rPr>
          <w:rFonts w:asciiTheme="majorHAnsi" w:hAnsiTheme="majorHAnsi"/>
          <w:i/>
        </w:rPr>
        <w:t>“We’ve always been really clear with the visions that we expect these roles to be ongoing and after completion of the programme, like they need to be thinking now, after the completion of the programme, how they’re going to keep them sustainable and what they’re going to do.</w:t>
      </w:r>
      <w:r w:rsidR="00E30CD9" w:rsidRPr="00820C89">
        <w:rPr>
          <w:rFonts w:asciiTheme="majorHAnsi" w:hAnsiTheme="majorHAnsi"/>
          <w:i/>
        </w:rPr>
        <w:t>”</w:t>
      </w:r>
      <w:r w:rsidRPr="00820C89">
        <w:rPr>
          <w:rFonts w:asciiTheme="majorHAnsi" w:hAnsiTheme="majorHAnsi"/>
          <w:i/>
        </w:rPr>
        <w:t xml:space="preserve"> (EPI partner). </w:t>
      </w:r>
    </w:p>
    <w:p w14:paraId="32F538A6" w14:textId="4505B8F1" w:rsidR="00F020AA" w:rsidRPr="00820C89" w:rsidRDefault="00F020AA" w:rsidP="00F020A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709" w:hanging="709"/>
        <w:rPr>
          <w:rFonts w:asciiTheme="majorHAnsi" w:hAnsiTheme="majorHAnsi" w:cs="Times New Roman"/>
          <w:i/>
          <w:color w:val="000000"/>
        </w:rPr>
      </w:pPr>
      <w:r w:rsidRPr="00820C89">
        <w:rPr>
          <w:rFonts w:asciiTheme="majorHAnsi" w:hAnsiTheme="majorHAnsi"/>
          <w:i/>
        </w:rPr>
        <w:tab/>
        <w:t>“</w:t>
      </w:r>
      <w:r w:rsidRPr="00820C89">
        <w:rPr>
          <w:rFonts w:asciiTheme="majorHAnsi" w:hAnsiTheme="majorHAnsi" w:cs="Times New Roman"/>
          <w:i/>
          <w:color w:val="000000"/>
        </w:rPr>
        <w:t>I think that we’re lucky that, there was one period there where the funding stopped for a year. But because we could self</w:t>
      </w:r>
      <w:r w:rsidR="007909C9" w:rsidRPr="00820C89">
        <w:rPr>
          <w:rFonts w:asciiTheme="majorHAnsi" w:hAnsiTheme="majorHAnsi" w:cs="Times New Roman"/>
          <w:i/>
          <w:color w:val="000000"/>
        </w:rPr>
        <w:t>-fund</w:t>
      </w:r>
      <w:r w:rsidRPr="00820C89">
        <w:rPr>
          <w:rFonts w:asciiTheme="majorHAnsi" w:hAnsiTheme="majorHAnsi" w:cs="Times New Roman"/>
          <w:i/>
          <w:color w:val="000000"/>
        </w:rPr>
        <w:t xml:space="preserve">, we weren’t reliant on the funding cycles” </w:t>
      </w:r>
      <w:r w:rsidR="006810B9" w:rsidRPr="00820C89">
        <w:rPr>
          <w:rFonts w:asciiTheme="majorHAnsi" w:hAnsiTheme="majorHAnsi" w:cs="Times New Roman"/>
          <w:i/>
          <w:color w:val="000000"/>
        </w:rPr>
        <w:t xml:space="preserve">(EPI partner). </w:t>
      </w:r>
    </w:p>
    <w:p w14:paraId="048B0B41" w14:textId="77777777" w:rsidR="0040692E" w:rsidRPr="00820C89" w:rsidRDefault="00E67405" w:rsidP="0040692E">
      <w:pPr>
        <w:rPr>
          <w:rFonts w:asciiTheme="majorHAnsi" w:hAnsiTheme="majorHAnsi"/>
          <w:b/>
          <w:bCs/>
        </w:rPr>
      </w:pPr>
      <w:r w:rsidRPr="00820C89">
        <w:rPr>
          <w:rFonts w:asciiTheme="majorHAnsi" w:hAnsiTheme="majorHAnsi"/>
        </w:rPr>
        <w:t>Consultations</w:t>
      </w:r>
      <w:r w:rsidR="0040692E" w:rsidRPr="00820C89">
        <w:rPr>
          <w:rFonts w:asciiTheme="majorHAnsi" w:hAnsiTheme="majorHAnsi"/>
        </w:rPr>
        <w:t xml:space="preserve"> suggest </w:t>
      </w:r>
      <w:r w:rsidR="003A3085" w:rsidRPr="00820C89">
        <w:rPr>
          <w:rFonts w:asciiTheme="majorHAnsi" w:hAnsiTheme="majorHAnsi"/>
        </w:rPr>
        <w:t xml:space="preserve">that the employers </w:t>
      </w:r>
      <w:r w:rsidR="002D05DB" w:rsidRPr="00820C89">
        <w:rPr>
          <w:rFonts w:asciiTheme="majorHAnsi" w:hAnsiTheme="majorHAnsi"/>
        </w:rPr>
        <w:t>of</w:t>
      </w:r>
      <w:r w:rsidR="003A3085" w:rsidRPr="00820C89">
        <w:rPr>
          <w:rFonts w:asciiTheme="majorHAnsi" w:hAnsiTheme="majorHAnsi"/>
        </w:rPr>
        <w:t xml:space="preserve"> VTEC and TAEG participants seldom implement</w:t>
      </w:r>
      <w:r w:rsidR="0040692E" w:rsidRPr="00820C89">
        <w:rPr>
          <w:rFonts w:asciiTheme="majorHAnsi" w:hAnsiTheme="majorHAnsi"/>
        </w:rPr>
        <w:t xml:space="preserve"> significant new Indigenous employment practices into their businesses.</w:t>
      </w:r>
      <w:r w:rsidR="00450AEB" w:rsidRPr="00820C89">
        <w:rPr>
          <w:rFonts w:asciiTheme="majorHAnsi" w:hAnsiTheme="majorHAnsi"/>
          <w:b/>
          <w:bCs/>
        </w:rPr>
        <w:t xml:space="preserve"> </w:t>
      </w:r>
      <w:r w:rsidR="0040692E" w:rsidRPr="00820C89">
        <w:rPr>
          <w:rFonts w:asciiTheme="majorHAnsi" w:hAnsiTheme="majorHAnsi"/>
        </w:rPr>
        <w:t xml:space="preserve">As discussed in section 3.2.2 and 3.2.3, VTEC and TAEG employers generally receive cultural awareness and sensitivity training from </w:t>
      </w:r>
      <w:r w:rsidR="001930BE" w:rsidRPr="00820C89">
        <w:rPr>
          <w:rFonts w:asciiTheme="majorHAnsi" w:hAnsiTheme="majorHAnsi"/>
        </w:rPr>
        <w:t>providers but</w:t>
      </w:r>
      <w:r w:rsidR="0040692E" w:rsidRPr="00820C89">
        <w:rPr>
          <w:rFonts w:asciiTheme="majorHAnsi" w:hAnsiTheme="majorHAnsi"/>
        </w:rPr>
        <w:t xml:space="preserve"> </w:t>
      </w:r>
      <w:r w:rsidR="00A21E91" w:rsidRPr="00820C89">
        <w:rPr>
          <w:rFonts w:asciiTheme="majorHAnsi" w:hAnsiTheme="majorHAnsi"/>
        </w:rPr>
        <w:t>were</w:t>
      </w:r>
      <w:r w:rsidR="0040692E" w:rsidRPr="00820C89">
        <w:rPr>
          <w:rFonts w:asciiTheme="majorHAnsi" w:hAnsiTheme="majorHAnsi"/>
        </w:rPr>
        <w:t xml:space="preserve"> not </w:t>
      </w:r>
      <w:r w:rsidR="00A21E91" w:rsidRPr="00820C89">
        <w:rPr>
          <w:rFonts w:asciiTheme="majorHAnsi" w:hAnsiTheme="majorHAnsi"/>
        </w:rPr>
        <w:t>observed to</w:t>
      </w:r>
      <w:r w:rsidR="0040692E" w:rsidRPr="00820C89">
        <w:rPr>
          <w:rFonts w:asciiTheme="majorHAnsi" w:hAnsiTheme="majorHAnsi"/>
        </w:rPr>
        <w:t xml:space="preserve"> implement the broader employment practice changes that EPI </w:t>
      </w:r>
      <w:r w:rsidR="001F1912" w:rsidRPr="00820C89">
        <w:rPr>
          <w:rFonts w:asciiTheme="majorHAnsi" w:hAnsiTheme="majorHAnsi"/>
        </w:rPr>
        <w:t>partner</w:t>
      </w:r>
      <w:r w:rsidR="0040692E" w:rsidRPr="00820C89">
        <w:rPr>
          <w:rFonts w:asciiTheme="majorHAnsi" w:hAnsiTheme="majorHAnsi"/>
        </w:rPr>
        <w:t>s do. This is likely a reflection of the different nature of the program design, with VTEC and TAEG employers not receiving direct funding to implement these changes, and instead relying on the expertise of the providers they work with.</w:t>
      </w:r>
    </w:p>
    <w:p w14:paraId="653B7302" w14:textId="77777777" w:rsidR="0040692E" w:rsidRPr="00820C89" w:rsidRDefault="0040692E" w:rsidP="0040692E">
      <w:pPr>
        <w:rPr>
          <w:rFonts w:asciiTheme="majorHAnsi" w:hAnsiTheme="majorHAnsi"/>
        </w:rPr>
      </w:pPr>
      <w:r w:rsidRPr="00820C89">
        <w:rPr>
          <w:rFonts w:asciiTheme="majorHAnsi" w:hAnsiTheme="majorHAnsi"/>
        </w:rPr>
        <w:t>Employers across the IEP</w:t>
      </w:r>
      <w:r w:rsidR="006D1875" w:rsidRPr="00820C89">
        <w:rPr>
          <w:rFonts w:asciiTheme="majorHAnsi" w:hAnsiTheme="majorHAnsi"/>
        </w:rPr>
        <w:t xml:space="preserve"> </w:t>
      </w:r>
      <w:r w:rsidRPr="00820C89">
        <w:rPr>
          <w:rFonts w:asciiTheme="majorHAnsi" w:hAnsiTheme="majorHAnsi"/>
        </w:rPr>
        <w:t>appear to be most likely to embed new Indigenous employment practices when it is in alignment with their social and commercial interests, and there is strong senior leadership for the changes.</w:t>
      </w:r>
      <w:r w:rsidR="00A83008" w:rsidRPr="00820C89">
        <w:rPr>
          <w:rFonts w:asciiTheme="majorHAnsi" w:hAnsiTheme="majorHAnsi"/>
        </w:rPr>
        <w:t xml:space="preserve"> </w:t>
      </w:r>
      <w:r w:rsidRPr="00820C89">
        <w:rPr>
          <w:rFonts w:asciiTheme="majorHAnsi" w:hAnsiTheme="majorHAnsi"/>
        </w:rPr>
        <w:t>Stakeholder consultations suggest that employers across the IEP are most likely to embed improvements in their Indigenous employment practices when their business’ commercial interests directly align with their social goals.</w:t>
      </w:r>
      <w:r w:rsidRPr="00820C89">
        <w:rPr>
          <w:rFonts w:asciiTheme="majorHAnsi" w:hAnsiTheme="majorHAnsi"/>
          <w:b/>
        </w:rPr>
        <w:t xml:space="preserve"> </w:t>
      </w:r>
      <w:r w:rsidRPr="00820C89">
        <w:rPr>
          <w:rFonts w:asciiTheme="majorHAnsi" w:hAnsiTheme="majorHAnsi"/>
        </w:rPr>
        <w:t>While employers commonly report that their social goal is to close the gap between Indigenous and non-Indigenous employment outcomes, their commercial goals are far more divergent, for example:</w:t>
      </w:r>
    </w:p>
    <w:p w14:paraId="34B80EFC" w14:textId="77777777" w:rsidR="0040692E" w:rsidRPr="00820C89" w:rsidRDefault="0040692E" w:rsidP="00715F70">
      <w:pPr>
        <w:numPr>
          <w:ilvl w:val="0"/>
          <w:numId w:val="31"/>
        </w:numPr>
        <w:spacing w:before="60" w:after="60"/>
        <w:ind w:left="357" w:hanging="357"/>
        <w:rPr>
          <w:rFonts w:asciiTheme="majorHAnsi" w:hAnsiTheme="majorHAnsi"/>
        </w:rPr>
      </w:pPr>
      <w:r w:rsidRPr="00820C89">
        <w:rPr>
          <w:rFonts w:asciiTheme="majorHAnsi" w:hAnsiTheme="majorHAnsi"/>
        </w:rPr>
        <w:t>one VTEC employer noted that their company had a large base of Indigenous customers, and that expanding their Indigenous workforce would allow them to better interact with and meet the needs of these consumers</w:t>
      </w:r>
    </w:p>
    <w:p w14:paraId="1423ABAC" w14:textId="77777777" w:rsidR="0040692E" w:rsidRPr="00820C89" w:rsidRDefault="0040692E" w:rsidP="00715F70">
      <w:pPr>
        <w:numPr>
          <w:ilvl w:val="0"/>
          <w:numId w:val="31"/>
        </w:numPr>
        <w:spacing w:before="60" w:after="60"/>
        <w:ind w:left="357" w:hanging="357"/>
        <w:rPr>
          <w:rFonts w:asciiTheme="majorHAnsi" w:hAnsiTheme="majorHAnsi"/>
        </w:rPr>
      </w:pPr>
      <w:r w:rsidRPr="00820C89">
        <w:rPr>
          <w:rFonts w:asciiTheme="majorHAnsi" w:hAnsiTheme="majorHAnsi"/>
        </w:rPr>
        <w:t>one EPI partner noted that expanding their Indigenous workforce would likely enhance their competitiveness in bidding for large government procurement contracts.</w:t>
      </w:r>
    </w:p>
    <w:p w14:paraId="377D9BF5" w14:textId="77777777" w:rsidR="0040692E" w:rsidRPr="00820C89" w:rsidRDefault="0040692E" w:rsidP="00715F70">
      <w:pPr>
        <w:numPr>
          <w:ilvl w:val="0"/>
          <w:numId w:val="31"/>
        </w:numPr>
        <w:spacing w:before="60" w:after="60"/>
        <w:ind w:left="357" w:hanging="357"/>
        <w:rPr>
          <w:rFonts w:asciiTheme="majorHAnsi" w:hAnsiTheme="majorHAnsi"/>
        </w:rPr>
      </w:pPr>
      <w:r w:rsidRPr="00820C89">
        <w:rPr>
          <w:rFonts w:asciiTheme="majorHAnsi" w:hAnsiTheme="majorHAnsi"/>
        </w:rPr>
        <w:t>another EPI provider in the mining industry noted that expanding their Indigenous workforce would help them meet the traditional owner agreements that are in place for particular mine sites.</w:t>
      </w:r>
    </w:p>
    <w:p w14:paraId="68D4E1DD" w14:textId="77777777" w:rsidR="0040692E" w:rsidRPr="00820C89" w:rsidRDefault="0040692E" w:rsidP="005367E3">
      <w:pPr>
        <w:spacing w:before="170"/>
        <w:rPr>
          <w:rFonts w:asciiTheme="majorHAnsi" w:hAnsiTheme="majorHAnsi"/>
        </w:rPr>
      </w:pPr>
      <w:r w:rsidRPr="00820C89">
        <w:rPr>
          <w:rFonts w:asciiTheme="majorHAnsi" w:hAnsiTheme="majorHAnsi"/>
        </w:rPr>
        <w:lastRenderedPageBreak/>
        <w:t>Employers also report that they are more likely to embed these practices when there is a strong commitment from the senior leadership of an organisation to pursue employment parity. These stakeholders note that line managers, recruitment and operational staff face a wide range of competing priorities and will generally de-prioritise tasks that they deem as unessential to business operations. Consequently, it is only when the senior leadership of an organisation commit to the goal of reaching Indigenous employment parity that HR and management teams will dedicate the effort that is required to achieve this target. Further, these teams will likely face accountability measures that require them to update senior management on the progress that has been made towards the target.</w:t>
      </w:r>
    </w:p>
    <w:p w14:paraId="49E9CFA6" w14:textId="77777777" w:rsidR="0040692E" w:rsidRPr="00820C89" w:rsidRDefault="0040692E" w:rsidP="00084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70"/>
        <w:rPr>
          <w:rFonts w:asciiTheme="majorHAnsi" w:hAnsiTheme="majorHAnsi"/>
          <w:b/>
          <w:bCs/>
        </w:rPr>
      </w:pPr>
      <w:r w:rsidRPr="00820C89">
        <w:rPr>
          <w:rFonts w:asciiTheme="majorHAnsi" w:hAnsiTheme="majorHAnsi"/>
        </w:rPr>
        <w:t>There are mixed perspectives about the effectiveness of the TAEG and VTEC programs in enhancing employers’ appreciation of the benefits of Indigenous employment. These varied perspectives are likely driven by a range of factors, including an organisations’ culture, the level of exposure that the company has had to Indigenous culture and people</w:t>
      </w:r>
      <w:r w:rsidR="001412C0" w:rsidRPr="00820C89">
        <w:rPr>
          <w:rFonts w:asciiTheme="majorHAnsi" w:hAnsiTheme="majorHAnsi"/>
        </w:rPr>
        <w:t>,</w:t>
      </w:r>
      <w:r w:rsidRPr="00820C89">
        <w:rPr>
          <w:rFonts w:asciiTheme="majorHAnsi" w:hAnsiTheme="majorHAnsi"/>
        </w:rPr>
        <w:t xml:space="preserve"> and the company’s recent experiences working with Indigenous staff. Initial consultations suggest that:</w:t>
      </w:r>
    </w:p>
    <w:p w14:paraId="29CFF084" w14:textId="77777777" w:rsidR="0040692E" w:rsidRPr="00820C89" w:rsidRDefault="0040692E" w:rsidP="00715F70">
      <w:pPr>
        <w:numPr>
          <w:ilvl w:val="0"/>
          <w:numId w:val="13"/>
        </w:numPr>
        <w:spacing w:before="60" w:after="60"/>
        <w:ind w:left="357" w:hanging="357"/>
        <w:rPr>
          <w:rFonts w:asciiTheme="majorHAnsi" w:hAnsiTheme="majorHAnsi"/>
        </w:rPr>
      </w:pPr>
      <w:r w:rsidRPr="00820C89">
        <w:rPr>
          <w:rFonts w:asciiTheme="majorHAnsi" w:hAnsiTheme="majorHAnsi"/>
        </w:rPr>
        <w:t xml:space="preserve">most employers do not report that the program enhanced their overall appreciation of the benefits of Indigenous employment. This is likely because employers had some level of appreciation for the benefits of Indigenous employment before they started the program, and that this is what motivated them to work with Indigenous jobseekers and IEP providers. </w:t>
      </w:r>
    </w:p>
    <w:p w14:paraId="294AD04C" w14:textId="77777777" w:rsidR="00501011" w:rsidRPr="00820C89" w:rsidRDefault="0040692E" w:rsidP="00715F70">
      <w:pPr>
        <w:numPr>
          <w:ilvl w:val="0"/>
          <w:numId w:val="13"/>
        </w:numPr>
        <w:spacing w:before="60"/>
        <w:ind w:left="357" w:hanging="357"/>
        <w:rPr>
          <w:rFonts w:asciiTheme="majorHAnsi" w:hAnsiTheme="majorHAnsi"/>
        </w:rPr>
      </w:pPr>
      <w:r w:rsidRPr="00820C89">
        <w:rPr>
          <w:rFonts w:asciiTheme="majorHAnsi" w:hAnsiTheme="majorHAnsi"/>
        </w:rPr>
        <w:t xml:space="preserve">however, at least one provider noted that they had observed a positive shift in employers’ attitudes towards Indigenous employment as a result of program participation. Specifically, the provider noted that they had worked with an employer in the mining industry who had previously had very little experience working with Indigenous staff, and that participation in the program had given them a newfound appreciation of the benefits of Indigenous </w:t>
      </w:r>
      <w:r w:rsidR="00FF2FB8" w:rsidRPr="00820C89">
        <w:rPr>
          <w:rFonts w:asciiTheme="majorHAnsi" w:hAnsiTheme="majorHAnsi"/>
        </w:rPr>
        <w:t>employment.</w:t>
      </w:r>
    </w:p>
    <w:p w14:paraId="3625AD01" w14:textId="36D9A3F4" w:rsidR="00CB6710" w:rsidRPr="00820C89" w:rsidRDefault="00D022D6" w:rsidP="0041777D">
      <w:pPr>
        <w:pStyle w:val="Heading2"/>
        <w:spacing w:after="60"/>
      </w:pPr>
      <w:bookmarkStart w:id="124" w:name="_Toc82710783"/>
      <w:bookmarkStart w:id="125" w:name="_Toc101343302"/>
      <w:r w:rsidRPr="00820C89">
        <w:t>Effective investment</w:t>
      </w:r>
      <w:bookmarkEnd w:id="124"/>
      <w:bookmarkEnd w:id="125"/>
    </w:p>
    <w:p w14:paraId="6C028ED1" w14:textId="77777777" w:rsidR="006A04F6" w:rsidRPr="00BC7EC7" w:rsidRDefault="006A04F6" w:rsidP="006A04F6">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w:t>
      </w:r>
    </w:p>
    <w:p w14:paraId="2F911E5C" w14:textId="44250936" w:rsidR="006A04F6" w:rsidRPr="006A04F6" w:rsidRDefault="006A04F6" w:rsidP="00715F70">
      <w:pPr>
        <w:pStyle w:val="ListParagraph"/>
        <w:numPr>
          <w:ilvl w:val="0"/>
          <w:numId w:val="81"/>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i/>
          <w:color w:val="62B5E5" w:themeColor="accent3"/>
        </w:rPr>
      </w:pPr>
      <w:r w:rsidRPr="00DA432A">
        <w:rPr>
          <w:b/>
          <w:bCs/>
          <w:i/>
          <w:iCs/>
          <w:color w:val="62B5E5" w:themeColor="accent3"/>
        </w:rPr>
        <w:t xml:space="preserve">There is a substantial degree of variation in the </w:t>
      </w:r>
      <w:r w:rsidRPr="001656D4">
        <w:rPr>
          <w:b/>
          <w:bCs/>
          <w:i/>
          <w:iCs/>
          <w:color w:val="62B5E5" w:themeColor="accent3"/>
        </w:rPr>
        <w:t>average unit cost (to the NIAA) per activity</w:t>
      </w:r>
      <w:r w:rsidRPr="00860D78">
        <w:rPr>
          <w:b/>
          <w:bCs/>
          <w:i/>
          <w:iCs/>
          <w:color w:val="62B5E5" w:themeColor="accent3"/>
        </w:rPr>
        <w:t>. While this appears to be driven by clear program-specific guidelines for the VTEC and TAEG programs, this variation is less deliberate and systematic for the EPI program, raising</w:t>
      </w:r>
      <w:r>
        <w:rPr>
          <w:b/>
          <w:bCs/>
          <w:i/>
          <w:iCs/>
          <w:color w:val="62B5E5" w:themeColor="accent3"/>
        </w:rPr>
        <w:t xml:space="preserve"> questions about the effectiveness of this investment. </w:t>
      </w:r>
      <w:r>
        <w:rPr>
          <w:b/>
          <w:bCs/>
          <w:i/>
          <w:iCs/>
          <w:color w:val="62B5E5" w:themeColor="accent3"/>
        </w:rPr>
        <w:br/>
      </w:r>
    </w:p>
    <w:p w14:paraId="43F8D8F0" w14:textId="678A6A85" w:rsidR="006A04F6" w:rsidRPr="006A04F6" w:rsidRDefault="006A04F6" w:rsidP="00715F70">
      <w:pPr>
        <w:pStyle w:val="ListParagraph"/>
        <w:numPr>
          <w:ilvl w:val="0"/>
          <w:numId w:val="81"/>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i/>
          <w:color w:val="62B5E5" w:themeColor="accent3"/>
        </w:rPr>
      </w:pPr>
      <w:r>
        <w:rPr>
          <w:b/>
          <w:bCs/>
          <w:i/>
          <w:iCs/>
          <w:color w:val="62B5E5" w:themeColor="accent3"/>
        </w:rPr>
        <w:t xml:space="preserve">Stakeholder consultations reveal that the IEP sub-programs do not always effectively work together, noting instances of TAEG/VTEC providers struggling to </w:t>
      </w:r>
      <w:r w:rsidRPr="004571D9">
        <w:rPr>
          <w:b/>
          <w:bCs/>
          <w:i/>
          <w:iCs/>
          <w:color w:val="62B5E5" w:themeColor="accent3"/>
        </w:rPr>
        <w:t>cooperate with EPIs and, more broadly, limited knowledge sharing across the provider system.</w:t>
      </w:r>
      <w:r>
        <w:rPr>
          <w:b/>
          <w:bCs/>
          <w:i/>
          <w:iCs/>
          <w:color w:val="62B5E5" w:themeColor="accent3"/>
        </w:rPr>
        <w:t xml:space="preserve">  </w:t>
      </w:r>
      <w:r>
        <w:rPr>
          <w:b/>
          <w:bCs/>
          <w:i/>
          <w:iCs/>
          <w:color w:val="62B5E5" w:themeColor="accent3"/>
        </w:rPr>
        <w:br/>
      </w:r>
    </w:p>
    <w:p w14:paraId="77E02C44" w14:textId="4F953263" w:rsidR="006A04F6" w:rsidRPr="006A04F6" w:rsidRDefault="006A04F6" w:rsidP="00715F70">
      <w:pPr>
        <w:pStyle w:val="ListParagraph"/>
        <w:numPr>
          <w:ilvl w:val="0"/>
          <w:numId w:val="81"/>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sidRPr="00262393">
        <w:rPr>
          <w:b/>
          <w:bCs/>
          <w:i/>
          <w:iCs/>
          <w:color w:val="62B5E5" w:themeColor="accent3"/>
        </w:rPr>
        <w:t xml:space="preserve">Given the absence or flexible nature of </w:t>
      </w:r>
      <w:r>
        <w:rPr>
          <w:b/>
          <w:bCs/>
          <w:i/>
          <w:iCs/>
          <w:color w:val="62B5E5" w:themeColor="accent3"/>
        </w:rPr>
        <w:t>the</w:t>
      </w:r>
      <w:r w:rsidRPr="00262393">
        <w:rPr>
          <w:b/>
          <w:bCs/>
          <w:i/>
          <w:iCs/>
          <w:color w:val="62B5E5" w:themeColor="accent3"/>
        </w:rPr>
        <w:t xml:space="preserve"> program guidelines defining how the IEP </w:t>
      </w:r>
      <w:r>
        <w:rPr>
          <w:b/>
          <w:bCs/>
          <w:i/>
          <w:iCs/>
          <w:color w:val="62B5E5" w:themeColor="accent3"/>
        </w:rPr>
        <w:t>is</w:t>
      </w:r>
      <w:r w:rsidRPr="00262393">
        <w:rPr>
          <w:b/>
          <w:bCs/>
          <w:i/>
          <w:iCs/>
          <w:color w:val="62B5E5" w:themeColor="accent3"/>
        </w:rPr>
        <w:t xml:space="preserve"> intended to work with mainstream programs, the relationships between IEP and mainstream providers appear to be </w:t>
      </w:r>
      <w:r>
        <w:rPr>
          <w:b/>
          <w:bCs/>
          <w:i/>
          <w:iCs/>
          <w:color w:val="62B5E5" w:themeColor="accent3"/>
        </w:rPr>
        <w:t xml:space="preserve">highly variable and </w:t>
      </w:r>
      <w:r w:rsidRPr="004571D9">
        <w:rPr>
          <w:b/>
          <w:bCs/>
          <w:i/>
          <w:iCs/>
          <w:color w:val="62B5E5" w:themeColor="accent3"/>
        </w:rPr>
        <w:t>primarily driven by the intent and capability of individual organisations.</w:t>
      </w:r>
      <w:r>
        <w:rPr>
          <w:b/>
          <w:bCs/>
          <w:i/>
          <w:iCs/>
          <w:color w:val="62B5E5" w:themeColor="accent3"/>
        </w:rPr>
        <w:br/>
      </w:r>
    </w:p>
    <w:p w14:paraId="5E6ADE72" w14:textId="24649D67" w:rsidR="008F6D51" w:rsidRPr="006A04F6" w:rsidRDefault="006A04F6" w:rsidP="00715F70">
      <w:pPr>
        <w:pStyle w:val="ListParagraph"/>
        <w:numPr>
          <w:ilvl w:val="0"/>
          <w:numId w:val="81"/>
        </w:num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i/>
          <w:iCs/>
          <w:color w:val="62B5E5" w:themeColor="accent3"/>
        </w:rPr>
      </w:pPr>
      <w:r w:rsidRPr="004571D9">
        <w:rPr>
          <w:b/>
          <w:bCs/>
          <w:i/>
          <w:iCs/>
          <w:color w:val="62B5E5" w:themeColor="accent3"/>
        </w:rPr>
        <w:t xml:space="preserve">The current system of provider funding is largely reactive, in that the NIAA must invite currently operating providers to participate in the program. This </w:t>
      </w:r>
      <w:r w:rsidRPr="00803778">
        <w:rPr>
          <w:b/>
          <w:bCs/>
          <w:i/>
          <w:iCs/>
          <w:color w:val="62B5E5" w:themeColor="accent3"/>
        </w:rPr>
        <w:t>requirement of ‘currently operating’</w:t>
      </w:r>
      <w:r w:rsidRPr="004571D9">
        <w:rPr>
          <w:b/>
          <w:bCs/>
          <w:i/>
          <w:iCs/>
          <w:color w:val="62B5E5" w:themeColor="accent3"/>
        </w:rPr>
        <w:t xml:space="preserve"> creates a risk that the programs are not best targeting areas of ‘need’ or maximising their potential impact</w:t>
      </w:r>
    </w:p>
    <w:p w14:paraId="44E4A882" w14:textId="77777777" w:rsidR="00CB6710" w:rsidRPr="00820C89" w:rsidRDefault="00197231" w:rsidP="008261D2">
      <w:pPr>
        <w:spacing w:after="0"/>
        <w:rPr>
          <w:rFonts w:asciiTheme="majorHAnsi" w:hAnsiTheme="majorHAnsi"/>
        </w:rPr>
      </w:pPr>
      <w:r w:rsidRPr="00820C89">
        <w:rPr>
          <w:rFonts w:asciiTheme="majorHAnsi" w:hAnsiTheme="majorHAnsi"/>
        </w:rPr>
        <w:t>This s</w:t>
      </w:r>
      <w:r w:rsidR="00C91EB2" w:rsidRPr="00820C89">
        <w:rPr>
          <w:rFonts w:asciiTheme="majorHAnsi" w:hAnsiTheme="majorHAnsi"/>
        </w:rPr>
        <w:t xml:space="preserve">ection examines </w:t>
      </w:r>
      <w:r w:rsidR="00CB6710" w:rsidRPr="00820C89">
        <w:rPr>
          <w:rFonts w:asciiTheme="majorHAnsi" w:hAnsiTheme="majorHAnsi"/>
        </w:rPr>
        <w:t xml:space="preserve">the following evaluation questions: </w:t>
      </w:r>
    </w:p>
    <w:p w14:paraId="13216F0D" w14:textId="77777777" w:rsidR="00CB6710" w:rsidRPr="00820C89" w:rsidRDefault="00CB6710" w:rsidP="00715F70">
      <w:pPr>
        <w:pStyle w:val="ListBullet"/>
        <w:numPr>
          <w:ilvl w:val="0"/>
          <w:numId w:val="56"/>
        </w:numPr>
        <w:ind w:left="714" w:hanging="357"/>
        <w:contextualSpacing w:val="0"/>
        <w:rPr>
          <w:rFonts w:asciiTheme="majorHAnsi" w:hAnsiTheme="majorHAnsi"/>
          <w:i/>
        </w:rPr>
      </w:pPr>
      <w:r w:rsidRPr="00820C89">
        <w:rPr>
          <w:rFonts w:asciiTheme="majorHAnsi" w:hAnsiTheme="majorHAnsi"/>
          <w:i/>
        </w:rPr>
        <w:t>What do program outcomes tell us about effective and ineffective investment?</w:t>
      </w:r>
    </w:p>
    <w:p w14:paraId="04AE07D0" w14:textId="77777777" w:rsidR="00CB6710" w:rsidRPr="00820C89" w:rsidRDefault="00CB6710" w:rsidP="00715F70">
      <w:pPr>
        <w:pStyle w:val="ListBullet"/>
        <w:numPr>
          <w:ilvl w:val="0"/>
          <w:numId w:val="56"/>
        </w:numPr>
        <w:ind w:left="714" w:hanging="357"/>
        <w:contextualSpacing w:val="0"/>
        <w:rPr>
          <w:rFonts w:asciiTheme="majorHAnsi" w:hAnsiTheme="majorHAnsi"/>
          <w:i/>
        </w:rPr>
      </w:pPr>
      <w:r w:rsidRPr="00820C89">
        <w:rPr>
          <w:rFonts w:asciiTheme="majorHAnsi" w:hAnsiTheme="majorHAnsi"/>
          <w:i/>
        </w:rPr>
        <w:t>How can the value of each program be optimised within the broader IEP and other employment assistance programs?</w:t>
      </w:r>
    </w:p>
    <w:p w14:paraId="236E71FC" w14:textId="77777777" w:rsidR="00804E12" w:rsidRPr="00820C89" w:rsidRDefault="00804E12" w:rsidP="007D3DEA">
      <w:pPr>
        <w:pStyle w:val="ListBullet"/>
        <w:numPr>
          <w:ilvl w:val="0"/>
          <w:numId w:val="0"/>
        </w:numPr>
        <w:contextualSpacing w:val="0"/>
        <w:rPr>
          <w:rFonts w:asciiTheme="majorHAnsi" w:hAnsiTheme="majorHAnsi"/>
          <w:i/>
        </w:rPr>
      </w:pPr>
    </w:p>
    <w:p w14:paraId="5F178598" w14:textId="12B5C949" w:rsidR="00952AC0" w:rsidRPr="00820C89" w:rsidRDefault="005358C2" w:rsidP="00687875">
      <w:pPr>
        <w:pStyle w:val="ListBullet"/>
        <w:numPr>
          <w:ilvl w:val="0"/>
          <w:numId w:val="0"/>
        </w:numPr>
        <w:contextualSpacing w:val="0"/>
        <w:rPr>
          <w:rFonts w:asciiTheme="majorHAnsi" w:hAnsiTheme="majorHAnsi"/>
          <w:iCs/>
        </w:rPr>
      </w:pPr>
      <w:r w:rsidRPr="00820C89">
        <w:rPr>
          <w:rFonts w:asciiTheme="majorHAnsi" w:hAnsiTheme="majorHAnsi"/>
          <w:iCs/>
        </w:rPr>
        <w:t xml:space="preserve">In addressing </w:t>
      </w:r>
      <w:r w:rsidR="00C77F3B" w:rsidRPr="00820C89">
        <w:rPr>
          <w:rFonts w:asciiTheme="majorHAnsi" w:hAnsiTheme="majorHAnsi"/>
          <w:iCs/>
        </w:rPr>
        <w:t>these</w:t>
      </w:r>
      <w:r w:rsidRPr="00820C89">
        <w:rPr>
          <w:rFonts w:asciiTheme="majorHAnsi" w:hAnsiTheme="majorHAnsi"/>
          <w:iCs/>
        </w:rPr>
        <w:t xml:space="preserve"> questions, this section </w:t>
      </w:r>
      <w:r w:rsidR="007C37F8" w:rsidRPr="00820C89">
        <w:rPr>
          <w:rFonts w:asciiTheme="majorHAnsi" w:hAnsiTheme="majorHAnsi"/>
          <w:iCs/>
        </w:rPr>
        <w:t xml:space="preserve">first </w:t>
      </w:r>
      <w:r w:rsidRPr="00820C89">
        <w:rPr>
          <w:rFonts w:asciiTheme="majorHAnsi" w:hAnsiTheme="majorHAnsi"/>
          <w:iCs/>
        </w:rPr>
        <w:t xml:space="preserve">examines the average </w:t>
      </w:r>
      <w:r w:rsidR="000E0349" w:rsidRPr="00820C89">
        <w:rPr>
          <w:rFonts w:asciiTheme="majorHAnsi" w:hAnsiTheme="majorHAnsi"/>
          <w:iCs/>
        </w:rPr>
        <w:t>government</w:t>
      </w:r>
      <w:r w:rsidR="004E6F04" w:rsidRPr="00820C89">
        <w:rPr>
          <w:rFonts w:asciiTheme="majorHAnsi" w:hAnsiTheme="majorHAnsi"/>
          <w:iCs/>
        </w:rPr>
        <w:t xml:space="preserve"> (NIAA)</w:t>
      </w:r>
      <w:r w:rsidR="000E0349" w:rsidRPr="00820C89">
        <w:rPr>
          <w:rFonts w:asciiTheme="majorHAnsi" w:hAnsiTheme="majorHAnsi"/>
          <w:iCs/>
        </w:rPr>
        <w:t xml:space="preserve"> expenditure-per-</w:t>
      </w:r>
      <w:r w:rsidR="00863FA7" w:rsidRPr="00820C89">
        <w:rPr>
          <w:rFonts w:asciiTheme="majorHAnsi" w:hAnsiTheme="majorHAnsi"/>
          <w:iCs/>
        </w:rPr>
        <w:t>outcome</w:t>
      </w:r>
      <w:r w:rsidR="000E0349" w:rsidRPr="00820C89">
        <w:rPr>
          <w:rFonts w:asciiTheme="majorHAnsi" w:hAnsiTheme="majorHAnsi"/>
          <w:iCs/>
        </w:rPr>
        <w:t xml:space="preserve"> </w:t>
      </w:r>
      <w:r w:rsidRPr="00820C89">
        <w:rPr>
          <w:rFonts w:asciiTheme="majorHAnsi" w:hAnsiTheme="majorHAnsi"/>
          <w:iCs/>
        </w:rPr>
        <w:t>associated with each of the sub-programs</w:t>
      </w:r>
      <w:r w:rsidR="007C37F8" w:rsidRPr="00820C89">
        <w:rPr>
          <w:rFonts w:asciiTheme="majorHAnsi" w:hAnsiTheme="majorHAnsi"/>
          <w:iCs/>
        </w:rPr>
        <w:t xml:space="preserve">. This </w:t>
      </w:r>
      <w:r w:rsidR="00F21A88" w:rsidRPr="00820C89">
        <w:rPr>
          <w:rFonts w:asciiTheme="majorHAnsi" w:hAnsiTheme="majorHAnsi"/>
          <w:iCs/>
        </w:rPr>
        <w:t xml:space="preserve">is not intended to be </w:t>
      </w:r>
      <w:r w:rsidR="00176E28" w:rsidRPr="00820C89">
        <w:rPr>
          <w:rFonts w:asciiTheme="majorHAnsi" w:hAnsiTheme="majorHAnsi"/>
          <w:iCs/>
        </w:rPr>
        <w:t>a</w:t>
      </w:r>
      <w:r w:rsidR="006E0BE5" w:rsidRPr="00820C89">
        <w:rPr>
          <w:rFonts w:asciiTheme="majorHAnsi" w:hAnsiTheme="majorHAnsi"/>
          <w:iCs/>
        </w:rPr>
        <w:t xml:space="preserve"> substitute for a</w:t>
      </w:r>
      <w:r w:rsidR="00BD1B51" w:rsidRPr="00820C89">
        <w:rPr>
          <w:rFonts w:asciiTheme="majorHAnsi" w:hAnsiTheme="majorHAnsi"/>
          <w:iCs/>
        </w:rPr>
        <w:t xml:space="preserve"> </w:t>
      </w:r>
      <w:r w:rsidR="00512C91" w:rsidRPr="00820C89">
        <w:rPr>
          <w:rFonts w:asciiTheme="majorHAnsi" w:hAnsiTheme="majorHAnsi"/>
          <w:iCs/>
        </w:rPr>
        <w:t>comprehensive cost-effective</w:t>
      </w:r>
      <w:r w:rsidR="009C0D88" w:rsidRPr="00820C89">
        <w:rPr>
          <w:rFonts w:asciiTheme="majorHAnsi" w:hAnsiTheme="majorHAnsi"/>
          <w:iCs/>
        </w:rPr>
        <w:t>ness</w:t>
      </w:r>
      <w:r w:rsidR="00512C91" w:rsidRPr="00820C89">
        <w:rPr>
          <w:rFonts w:asciiTheme="majorHAnsi" w:hAnsiTheme="majorHAnsi"/>
          <w:iCs/>
        </w:rPr>
        <w:t xml:space="preserve"> or cost-benefit analysis, instead, it is intended to </w:t>
      </w:r>
      <w:r w:rsidR="00512C91" w:rsidRPr="00820C89">
        <w:rPr>
          <w:rFonts w:asciiTheme="majorHAnsi" w:hAnsiTheme="majorHAnsi"/>
          <w:iCs/>
        </w:rPr>
        <w:lastRenderedPageBreak/>
        <w:t xml:space="preserve">provide an overview of the anticipated cost of </w:t>
      </w:r>
      <w:r w:rsidR="001A39B6" w:rsidRPr="00820C89">
        <w:rPr>
          <w:rFonts w:asciiTheme="majorHAnsi" w:hAnsiTheme="majorHAnsi"/>
          <w:iCs/>
        </w:rPr>
        <w:t>achieving certain outcomes within each of the programs.</w:t>
      </w:r>
      <w:r w:rsidR="00A842DC" w:rsidRPr="00820C89">
        <w:rPr>
          <w:rFonts w:asciiTheme="majorHAnsi" w:hAnsiTheme="majorHAnsi"/>
          <w:iCs/>
        </w:rPr>
        <w:t xml:space="preserve"> Further, these cost measures are not benchmarked against other programs, </w:t>
      </w:r>
      <w:r w:rsidR="001B111D" w:rsidRPr="00820C89">
        <w:rPr>
          <w:rFonts w:asciiTheme="majorHAnsi" w:hAnsiTheme="majorHAnsi"/>
          <w:iCs/>
        </w:rPr>
        <w:t>as the necessary data from a suitable counterfactual is not available.</w:t>
      </w:r>
    </w:p>
    <w:p w14:paraId="246D0923" w14:textId="77777777" w:rsidR="00952AC0" w:rsidRPr="00820C89" w:rsidRDefault="00952AC0" w:rsidP="00687875">
      <w:pPr>
        <w:pStyle w:val="ListBullet"/>
        <w:numPr>
          <w:ilvl w:val="0"/>
          <w:numId w:val="0"/>
        </w:numPr>
        <w:contextualSpacing w:val="0"/>
        <w:rPr>
          <w:rFonts w:asciiTheme="majorHAnsi" w:hAnsiTheme="majorHAnsi"/>
          <w:iCs/>
        </w:rPr>
      </w:pPr>
    </w:p>
    <w:p w14:paraId="0604534B" w14:textId="48E00ACE" w:rsidR="00952AC0" w:rsidRPr="00820C89" w:rsidRDefault="00952AC0" w:rsidP="00952AC0">
      <w:pPr>
        <w:rPr>
          <w:rFonts w:asciiTheme="majorHAnsi" w:hAnsiTheme="majorHAnsi"/>
        </w:rPr>
      </w:pPr>
      <w:r w:rsidRPr="00820C89">
        <w:rPr>
          <w:rFonts w:asciiTheme="majorHAnsi" w:hAnsiTheme="majorHAnsi"/>
        </w:rPr>
        <w:t xml:space="preserve">In addition, this section examines how the </w:t>
      </w:r>
      <w:r w:rsidR="0045184C" w:rsidRPr="00820C89">
        <w:rPr>
          <w:rFonts w:asciiTheme="majorHAnsi" w:hAnsiTheme="majorHAnsi"/>
        </w:rPr>
        <w:t>sub-programs</w:t>
      </w:r>
      <w:r w:rsidRPr="00820C89">
        <w:rPr>
          <w:rFonts w:asciiTheme="majorHAnsi" w:hAnsiTheme="majorHAnsi"/>
        </w:rPr>
        <w:t xml:space="preserve"> interact with one another and the broader Indigenous employment policy landscape to deliver outcomes. This analysis is included in this discussion of </w:t>
      </w:r>
      <w:r w:rsidR="000B05CD" w:rsidRPr="00820C89">
        <w:rPr>
          <w:rFonts w:asciiTheme="majorHAnsi" w:hAnsiTheme="majorHAnsi"/>
        </w:rPr>
        <w:t>effective investment</w:t>
      </w:r>
      <w:r w:rsidRPr="00820C89">
        <w:rPr>
          <w:rFonts w:asciiTheme="majorHAnsi" w:hAnsiTheme="majorHAnsi"/>
        </w:rPr>
        <w:t xml:space="preserve"> as the extent to which the </w:t>
      </w:r>
      <w:r w:rsidR="00274508" w:rsidRPr="00820C89">
        <w:rPr>
          <w:rFonts w:asciiTheme="majorHAnsi" w:hAnsiTheme="majorHAnsi"/>
        </w:rPr>
        <w:t>sub-programs</w:t>
      </w:r>
      <w:r w:rsidRPr="00820C89">
        <w:rPr>
          <w:rFonts w:asciiTheme="majorHAnsi" w:hAnsiTheme="majorHAnsi"/>
        </w:rPr>
        <w:t xml:space="preserve"> effectively operate together, and with other Indigenous employment programs, is central to understanding the effectiveness of the investment that is being made in these programs. Further, this analysis will help determine how the value of each IEP can be optimised within the broader policy landscape, by identifying points of potential duplication or gaps in the current service delivery system.</w:t>
      </w:r>
    </w:p>
    <w:p w14:paraId="6EFC13F9" w14:textId="77777777" w:rsidR="005358C2" w:rsidRPr="00820C89" w:rsidRDefault="00854FF3" w:rsidP="007A380F">
      <w:pPr>
        <w:rPr>
          <w:rFonts w:asciiTheme="majorHAnsi" w:hAnsiTheme="majorHAnsi"/>
        </w:rPr>
      </w:pPr>
      <w:r w:rsidRPr="00820C89">
        <w:rPr>
          <w:rFonts w:asciiTheme="majorHAnsi" w:hAnsiTheme="majorHAnsi"/>
        </w:rPr>
        <w:t xml:space="preserve">Finally, this section </w:t>
      </w:r>
      <w:r w:rsidR="00AD50DC" w:rsidRPr="00820C89">
        <w:rPr>
          <w:rFonts w:asciiTheme="majorHAnsi" w:hAnsiTheme="majorHAnsi"/>
        </w:rPr>
        <w:t xml:space="preserve">assesses </w:t>
      </w:r>
      <w:r w:rsidR="00660C0E" w:rsidRPr="00820C89">
        <w:rPr>
          <w:rFonts w:asciiTheme="majorHAnsi" w:hAnsiTheme="majorHAnsi"/>
        </w:rPr>
        <w:t xml:space="preserve">the </w:t>
      </w:r>
      <w:r w:rsidR="00BB570B" w:rsidRPr="00820C89">
        <w:rPr>
          <w:rFonts w:asciiTheme="majorHAnsi" w:hAnsiTheme="majorHAnsi"/>
        </w:rPr>
        <w:t xml:space="preserve">processes through which providers </w:t>
      </w:r>
      <w:r w:rsidR="00C34C41" w:rsidRPr="00820C89">
        <w:rPr>
          <w:rFonts w:asciiTheme="majorHAnsi" w:hAnsiTheme="majorHAnsi"/>
        </w:rPr>
        <w:t>are selected or invited to participate in the program</w:t>
      </w:r>
      <w:r w:rsidR="009E20E7" w:rsidRPr="00820C89">
        <w:rPr>
          <w:rFonts w:asciiTheme="majorHAnsi" w:hAnsiTheme="majorHAnsi"/>
        </w:rPr>
        <w:t xml:space="preserve">, and the implications that this is </w:t>
      </w:r>
      <w:r w:rsidR="00D54529" w:rsidRPr="00820C89">
        <w:rPr>
          <w:rFonts w:asciiTheme="majorHAnsi" w:hAnsiTheme="majorHAnsi"/>
        </w:rPr>
        <w:t>has</w:t>
      </w:r>
      <w:r w:rsidR="009E20E7" w:rsidRPr="00820C89">
        <w:rPr>
          <w:rFonts w:asciiTheme="majorHAnsi" w:hAnsiTheme="majorHAnsi"/>
        </w:rPr>
        <w:t xml:space="preserve"> for the effectiveness of the investment that is being made.</w:t>
      </w:r>
    </w:p>
    <w:p w14:paraId="513CBD57" w14:textId="205CFFF9" w:rsidR="00FC6C3A" w:rsidRPr="00820C89" w:rsidRDefault="003C10B4" w:rsidP="007A380F">
      <w:pPr>
        <w:rPr>
          <w:rFonts w:asciiTheme="majorHAnsi" w:hAnsiTheme="majorHAnsi"/>
        </w:rPr>
      </w:pPr>
      <w:r w:rsidRPr="00820C89">
        <w:rPr>
          <w:rFonts w:asciiTheme="majorHAnsi" w:hAnsiTheme="majorHAnsi"/>
        </w:rPr>
        <w:t xml:space="preserve">Taken together, this section provides only a preliminary understanding of </w:t>
      </w:r>
      <w:r w:rsidR="004043A1" w:rsidRPr="00820C89">
        <w:rPr>
          <w:rFonts w:asciiTheme="majorHAnsi" w:hAnsiTheme="majorHAnsi"/>
        </w:rPr>
        <w:t>the</w:t>
      </w:r>
      <w:r w:rsidRPr="00820C89">
        <w:rPr>
          <w:rFonts w:asciiTheme="majorHAnsi" w:hAnsiTheme="majorHAnsi"/>
        </w:rPr>
        <w:t xml:space="preserve"> effectiveness of the existing </w:t>
      </w:r>
      <w:r w:rsidR="00532C12" w:rsidRPr="00820C89">
        <w:rPr>
          <w:rFonts w:asciiTheme="majorHAnsi" w:hAnsiTheme="majorHAnsi"/>
        </w:rPr>
        <w:t>investment</w:t>
      </w:r>
      <w:r w:rsidRPr="00820C89">
        <w:rPr>
          <w:rFonts w:asciiTheme="majorHAnsi" w:hAnsiTheme="majorHAnsi"/>
        </w:rPr>
        <w:t xml:space="preserve">. </w:t>
      </w:r>
      <w:r w:rsidR="004043A1" w:rsidRPr="00820C89">
        <w:rPr>
          <w:rFonts w:asciiTheme="majorHAnsi" w:hAnsiTheme="majorHAnsi"/>
        </w:rPr>
        <w:t xml:space="preserve">Given data limitations, </w:t>
      </w:r>
      <w:r w:rsidR="00EF6D4A" w:rsidRPr="00820C89">
        <w:rPr>
          <w:rFonts w:asciiTheme="majorHAnsi" w:hAnsiTheme="majorHAnsi"/>
        </w:rPr>
        <w:t>this topic requires further investigation in a future co-design process.</w:t>
      </w:r>
      <w:r w:rsidRPr="00820C89">
        <w:rPr>
          <w:rFonts w:asciiTheme="majorHAnsi" w:hAnsiTheme="majorHAnsi"/>
        </w:rPr>
        <w:t xml:space="preserve"> </w:t>
      </w:r>
    </w:p>
    <w:p w14:paraId="5867FCFB" w14:textId="09597C35" w:rsidR="00F35EDE" w:rsidRPr="00820C89" w:rsidRDefault="00F35EDE" w:rsidP="00715F70">
      <w:pPr>
        <w:pStyle w:val="Heading3"/>
        <w:numPr>
          <w:ilvl w:val="2"/>
          <w:numId w:val="12"/>
        </w:numPr>
      </w:pPr>
      <w:r w:rsidRPr="00820C89">
        <w:t>Government</w:t>
      </w:r>
      <w:r w:rsidR="00FF3DD2" w:rsidRPr="00820C89">
        <w:t xml:space="preserve"> (NIAA)</w:t>
      </w:r>
      <w:r w:rsidRPr="00820C89">
        <w:t xml:space="preserve"> expenditure-per-outcome analysis</w:t>
      </w:r>
    </w:p>
    <w:p w14:paraId="5D8D1398" w14:textId="3CDBEF6A" w:rsidR="00ED7CA5" w:rsidRPr="00820C89" w:rsidRDefault="00ED7CA5" w:rsidP="00ED7CA5">
      <w:r w:rsidRPr="00847A58">
        <w:t>The median unit cost</w:t>
      </w:r>
      <w:r w:rsidR="00606AC8" w:rsidRPr="00847A58">
        <w:t xml:space="preserve"> for each of the sub</w:t>
      </w:r>
      <w:r w:rsidR="00600B38" w:rsidRPr="00847A58">
        <w:t>-</w:t>
      </w:r>
      <w:r w:rsidR="00606AC8" w:rsidRPr="00847A58">
        <w:t>programs is broadly similar, ranging from between approximately $10,000 to $12,500 (Table 4.</w:t>
      </w:r>
      <w:r w:rsidR="00236F51" w:rsidRPr="00847A58">
        <w:t>3</w:t>
      </w:r>
      <w:r w:rsidR="00606AC8" w:rsidRPr="00847A58">
        <w:t>).</w:t>
      </w:r>
      <w:r w:rsidR="00606AC8" w:rsidRPr="00820C89">
        <w:t xml:space="preserve"> </w:t>
      </w:r>
      <w:r w:rsidR="00A301C9" w:rsidRPr="00820C89">
        <w:t xml:space="preserve">In alignment with NIAA reporting, this metric is defined as the </w:t>
      </w:r>
      <w:r w:rsidR="00FB47D9" w:rsidRPr="00820C89">
        <w:t xml:space="preserve">total </w:t>
      </w:r>
      <w:r w:rsidR="00417B87" w:rsidRPr="00820C89">
        <w:t xml:space="preserve">approved cost divided by the maximum number of </w:t>
      </w:r>
      <w:r w:rsidR="00CD6B2B" w:rsidRPr="00820C89">
        <w:t>employment places for each activity.</w:t>
      </w:r>
      <w:r w:rsidR="00417B87" w:rsidRPr="00820C89">
        <w:t xml:space="preserve"> </w:t>
      </w:r>
      <w:r w:rsidR="00EF7E2A" w:rsidRPr="00820C89">
        <w:t xml:space="preserve">In doing so, this measure </w:t>
      </w:r>
      <w:r w:rsidR="00A52A01" w:rsidRPr="00820C89">
        <w:t xml:space="preserve">provides an indication </w:t>
      </w:r>
      <w:r w:rsidR="00404F4F" w:rsidRPr="00820C89">
        <w:t xml:space="preserve">of the average cost to the agency </w:t>
      </w:r>
      <w:r w:rsidR="00C107E1" w:rsidRPr="00820C89">
        <w:t xml:space="preserve">of a </w:t>
      </w:r>
      <w:r w:rsidR="004B6E4A" w:rsidRPr="00820C89">
        <w:t xml:space="preserve">single </w:t>
      </w:r>
      <w:r w:rsidR="00C107E1" w:rsidRPr="00820C89">
        <w:t xml:space="preserve">participant </w:t>
      </w:r>
      <w:r w:rsidR="004B6E4A" w:rsidRPr="00820C89">
        <w:t xml:space="preserve">achieving </w:t>
      </w:r>
      <w:r w:rsidR="00A62237" w:rsidRPr="00820C89">
        <w:t>all</w:t>
      </w:r>
      <w:r w:rsidR="004B6E4A" w:rsidRPr="00820C89">
        <w:t xml:space="preserve"> their employment milestones.</w:t>
      </w:r>
      <w:r w:rsidR="0022038F" w:rsidRPr="00820C89">
        <w:t xml:space="preserve"> </w:t>
      </w:r>
      <w:r w:rsidR="003F4330" w:rsidRPr="00820C89">
        <w:t>Further, t</w:t>
      </w:r>
      <w:r w:rsidR="0022038F" w:rsidRPr="00820C89">
        <w:t xml:space="preserve">here is a substantial degree of variation in the average unit cost within each of the </w:t>
      </w:r>
      <w:r w:rsidR="00044E35" w:rsidRPr="00820C89">
        <w:t>subprograms</w:t>
      </w:r>
      <w:r w:rsidR="00A65AE9" w:rsidRPr="00820C89">
        <w:t xml:space="preserve"> – particularly for TAEG and EP</w:t>
      </w:r>
      <w:r w:rsidR="00F34E96" w:rsidRPr="00820C89">
        <w:t>I (Chart 4.</w:t>
      </w:r>
      <w:r w:rsidR="00E34F3B" w:rsidRPr="00820C89">
        <w:t>8</w:t>
      </w:r>
      <w:r w:rsidR="00F34E96" w:rsidRPr="00820C89">
        <w:t>).</w:t>
      </w:r>
    </w:p>
    <w:p w14:paraId="08359014" w14:textId="77777777" w:rsidR="003816DF" w:rsidRPr="00820C89" w:rsidRDefault="009E789A" w:rsidP="008E2B73">
      <w:pPr>
        <w:spacing w:after="0"/>
      </w:pPr>
      <w:r w:rsidRPr="00820C89">
        <w:t>Analysis of NIAA guidelines suggests that this variation in unit</w:t>
      </w:r>
      <w:r w:rsidR="00571B5A" w:rsidRPr="00820C89">
        <w:t xml:space="preserve"> </w:t>
      </w:r>
      <w:r w:rsidRPr="00820C89">
        <w:t>costs is driven by several program-specific features, including:</w:t>
      </w:r>
    </w:p>
    <w:p w14:paraId="38EAA9B4" w14:textId="4FF9BF07" w:rsidR="00D15900" w:rsidRPr="00820C89" w:rsidRDefault="0012383F" w:rsidP="00715F70">
      <w:pPr>
        <w:pStyle w:val="ListParagraph"/>
        <w:numPr>
          <w:ilvl w:val="0"/>
          <w:numId w:val="82"/>
        </w:numPr>
        <w:spacing w:after="0"/>
      </w:pPr>
      <w:r w:rsidRPr="00820C89">
        <w:t>TAEG unit costs are guided by the TAEG Unit Cost Guidelines, which advise the standard maximum unit cost per participant for the various activity types.</w:t>
      </w:r>
      <w:r w:rsidR="000A7F7B" w:rsidRPr="00820C89">
        <w:t xml:space="preserve"> </w:t>
      </w:r>
    </w:p>
    <w:p w14:paraId="32EEB5F4" w14:textId="77777777" w:rsidR="00417288" w:rsidRPr="00820C89" w:rsidRDefault="00A85C06" w:rsidP="00715F70">
      <w:pPr>
        <w:pStyle w:val="ListParagraph"/>
        <w:numPr>
          <w:ilvl w:val="0"/>
          <w:numId w:val="82"/>
        </w:numPr>
        <w:spacing w:after="0"/>
      </w:pPr>
      <w:r w:rsidRPr="00820C89">
        <w:t xml:space="preserve">VTEC projects are </w:t>
      </w:r>
      <w:r w:rsidR="00B422DB" w:rsidRPr="00820C89">
        <w:t xml:space="preserve">funded </w:t>
      </w:r>
      <w:r w:rsidR="00767F16" w:rsidRPr="00820C89">
        <w:t xml:space="preserve">based on a set formula, whereby </w:t>
      </w:r>
      <w:r w:rsidR="00F52358" w:rsidRPr="00820C89">
        <w:t xml:space="preserve">the size of </w:t>
      </w:r>
      <w:r w:rsidR="0040542E" w:rsidRPr="00820C89">
        <w:t xml:space="preserve">an </w:t>
      </w:r>
      <w:r w:rsidR="00F52358" w:rsidRPr="00820C89">
        <w:t xml:space="preserve">outcome payment </w:t>
      </w:r>
      <w:r w:rsidR="002B50AF" w:rsidRPr="00820C89">
        <w:t>is determined</w:t>
      </w:r>
      <w:r w:rsidR="00B126F9" w:rsidRPr="00820C89">
        <w:t xml:space="preserve"> </w:t>
      </w:r>
      <w:r w:rsidR="00620969" w:rsidRPr="00820C89">
        <w:t>by the strea</w:t>
      </w:r>
      <w:r w:rsidR="00897F6D" w:rsidRPr="00820C89">
        <w:t xml:space="preserve">m of the participant </w:t>
      </w:r>
      <w:r w:rsidR="0040542E" w:rsidRPr="00820C89">
        <w:t xml:space="preserve">and the </w:t>
      </w:r>
      <w:r w:rsidR="00E00160" w:rsidRPr="00820C89">
        <w:t xml:space="preserve">length of time they have remained in </w:t>
      </w:r>
      <w:r w:rsidR="00FF54F6" w:rsidRPr="00820C89">
        <w:t xml:space="preserve">employment </w:t>
      </w:r>
      <w:r w:rsidR="00E00160" w:rsidRPr="00820C89">
        <w:t>(i.e. 4, 13 and 26 weeks).</w:t>
      </w:r>
      <w:r w:rsidR="007048F2" w:rsidRPr="00820C89">
        <w:t xml:space="preserve"> </w:t>
      </w:r>
      <w:r w:rsidR="00C675F8" w:rsidRPr="00820C89">
        <w:t xml:space="preserve">Hence, the average unit cost of a specific project is </w:t>
      </w:r>
      <w:r w:rsidR="000F38BB" w:rsidRPr="00820C89">
        <w:t>driven</w:t>
      </w:r>
      <w:r w:rsidR="000C0F14" w:rsidRPr="00820C89">
        <w:t xml:space="preserve"> </w:t>
      </w:r>
      <w:r w:rsidR="00C645CA" w:rsidRPr="00820C89">
        <w:t xml:space="preserve">by the mix of stream A, B and C participants </w:t>
      </w:r>
    </w:p>
    <w:p w14:paraId="0AC72198" w14:textId="77777777" w:rsidR="000F38BB" w:rsidRPr="00820C89" w:rsidRDefault="00FB243B" w:rsidP="00715F70">
      <w:pPr>
        <w:pStyle w:val="ListParagraph"/>
        <w:numPr>
          <w:ilvl w:val="0"/>
          <w:numId w:val="82"/>
        </w:numPr>
        <w:spacing w:after="0"/>
      </w:pPr>
      <w:r w:rsidRPr="00820C89">
        <w:t>E</w:t>
      </w:r>
      <w:r w:rsidR="00926575" w:rsidRPr="00820C89">
        <w:t xml:space="preserve">PI does not have a standard unit cost price or funding model, with EPI arrangements being negotiated </w:t>
      </w:r>
      <w:r w:rsidR="003F71E1" w:rsidRPr="00820C89">
        <w:t>with the NIAA on a case-by-case basis.</w:t>
      </w:r>
    </w:p>
    <w:p w14:paraId="1460706E" w14:textId="77777777" w:rsidR="00953F1C" w:rsidRPr="00820C89" w:rsidRDefault="00FC4DAC" w:rsidP="00FC4DAC">
      <w:pPr>
        <w:pStyle w:val="CaptionTable"/>
        <w:ind w:left="0"/>
      </w:pPr>
      <w:r w:rsidRPr="00820C89">
        <w:t xml:space="preserve">: </w:t>
      </w:r>
      <w:r w:rsidR="0052682B" w:rsidRPr="00820C89">
        <w:t>Cost-per-outcome measures, by sub</w:t>
      </w:r>
      <w:r w:rsidR="00320E38" w:rsidRPr="00820C89">
        <w:t>-</w:t>
      </w:r>
      <w:r w:rsidR="0052682B" w:rsidRPr="00820C89">
        <w:t>program</w:t>
      </w:r>
    </w:p>
    <w:tbl>
      <w:tblPr>
        <w:tblStyle w:val="Deloittetable"/>
        <w:tblpPr w:leftFromText="180" w:rightFromText="180" w:vertAnchor="text" w:horzAnchor="margin" w:tblpY="72"/>
        <w:tblW w:w="5000" w:type="pct"/>
        <w:tblLook w:val="04A0" w:firstRow="1" w:lastRow="0" w:firstColumn="1" w:lastColumn="0" w:noHBand="0" w:noVBand="1"/>
      </w:tblPr>
      <w:tblGrid>
        <w:gridCol w:w="1399"/>
        <w:gridCol w:w="7844"/>
      </w:tblGrid>
      <w:tr w:rsidR="00DD5B22" w:rsidRPr="00820C89" w14:paraId="595E3E68" w14:textId="77777777" w:rsidTr="00087C85">
        <w:trPr>
          <w:cnfStyle w:val="100000000000" w:firstRow="1" w:lastRow="0" w:firstColumn="0" w:lastColumn="0" w:oddVBand="0" w:evenVBand="0" w:oddHBand="0" w:evenHBand="0" w:firstRowFirstColumn="0" w:firstRowLastColumn="0" w:lastRowFirstColumn="0" w:lastRowLastColumn="0"/>
          <w:trHeight w:val="312"/>
          <w:tblHeader/>
        </w:trPr>
        <w:tc>
          <w:tcPr>
            <w:tcW w:w="757" w:type="pct"/>
            <w:noWrap/>
          </w:tcPr>
          <w:p w14:paraId="52C5E5E1" w14:textId="77777777" w:rsidR="00DD5B22" w:rsidRPr="00820C89" w:rsidRDefault="00DD5B22" w:rsidP="009624BE">
            <w:pPr>
              <w:spacing w:after="0" w:line="240" w:lineRule="auto"/>
              <w:rPr>
                <w:rFonts w:asciiTheme="majorHAnsi" w:eastAsia="Times New Roman" w:hAnsiTheme="majorHAnsi" w:cs="Times New Roman"/>
                <w:b/>
                <w:bCs/>
                <w:color w:val="000000"/>
                <w:lang w:eastAsia="en-AU"/>
              </w:rPr>
            </w:pPr>
            <w:r w:rsidRPr="00820C89">
              <w:rPr>
                <w:rFonts w:asciiTheme="majorHAnsi" w:eastAsia="Times New Roman" w:hAnsiTheme="majorHAnsi" w:cs="Times New Roman"/>
                <w:b/>
                <w:bCs/>
                <w:color w:val="000000"/>
                <w:lang w:eastAsia="en-AU"/>
              </w:rPr>
              <w:t>Sub-program</w:t>
            </w:r>
          </w:p>
        </w:tc>
        <w:tc>
          <w:tcPr>
            <w:tcW w:w="4243" w:type="pct"/>
          </w:tcPr>
          <w:p w14:paraId="0D10D23E" w14:textId="77777777" w:rsidR="00DD5B22" w:rsidRPr="00820C89" w:rsidRDefault="00DD5B22" w:rsidP="00D52A34">
            <w:pPr>
              <w:spacing w:after="0" w:line="240" w:lineRule="auto"/>
              <w:ind w:left="0"/>
              <w:jc w:val="center"/>
              <w:rPr>
                <w:rFonts w:asciiTheme="majorHAnsi" w:eastAsia="Times New Roman" w:hAnsiTheme="majorHAnsi" w:cs="Times New Roman"/>
                <w:b/>
                <w:bCs/>
                <w:color w:val="000000"/>
                <w:lang w:eastAsia="en-AU"/>
              </w:rPr>
            </w:pPr>
            <w:r w:rsidRPr="00820C89">
              <w:rPr>
                <w:rFonts w:asciiTheme="majorHAnsi" w:eastAsia="Times New Roman" w:hAnsiTheme="majorHAnsi" w:cs="Times New Roman"/>
                <w:b/>
                <w:bCs/>
                <w:color w:val="000000"/>
                <w:lang w:eastAsia="en-AU"/>
              </w:rPr>
              <w:t>Median Unit Cost</w:t>
            </w:r>
          </w:p>
        </w:tc>
      </w:tr>
      <w:tr w:rsidR="00DD5B22" w:rsidRPr="00820C89" w14:paraId="6F1C89A5" w14:textId="77777777" w:rsidTr="0004192D">
        <w:trPr>
          <w:trHeight w:val="188"/>
        </w:trPr>
        <w:tc>
          <w:tcPr>
            <w:tcW w:w="757" w:type="pct"/>
            <w:noWrap/>
          </w:tcPr>
          <w:p w14:paraId="0F8D0A3B" w14:textId="77777777" w:rsidR="00DD5B22" w:rsidRPr="00820C89" w:rsidRDefault="00DD5B22" w:rsidP="009624BE">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VTEC</w:t>
            </w:r>
          </w:p>
        </w:tc>
        <w:tc>
          <w:tcPr>
            <w:tcW w:w="4243" w:type="pct"/>
          </w:tcPr>
          <w:p w14:paraId="30CE22DF" w14:textId="77777777" w:rsidR="00DD5B22" w:rsidRPr="00820C89" w:rsidRDefault="00DD5B22" w:rsidP="004C1D58">
            <w:pPr>
              <w:pStyle w:val="ListParagraph"/>
              <w:spacing w:after="0" w:line="240" w:lineRule="auto"/>
              <w:ind w:left="777"/>
              <w:jc w:val="center"/>
              <w:rPr>
                <w:rFonts w:asciiTheme="majorHAnsi" w:eastAsia="Times New Roman" w:hAnsiTheme="majorHAnsi" w:cs="Times New Roman"/>
                <w:bCs/>
                <w:color w:val="000000"/>
                <w:lang w:eastAsia="en-AU"/>
              </w:rPr>
            </w:pPr>
            <w:r w:rsidRPr="00820C89">
              <w:rPr>
                <w:rFonts w:asciiTheme="majorHAnsi" w:eastAsia="Times New Roman" w:hAnsiTheme="majorHAnsi" w:cs="Times New Roman"/>
                <w:bCs/>
                <w:color w:val="000000"/>
                <w:lang w:eastAsia="en-AU"/>
              </w:rPr>
              <w:t>$12,549</w:t>
            </w:r>
          </w:p>
        </w:tc>
      </w:tr>
      <w:tr w:rsidR="00DD5B22" w:rsidRPr="00820C89" w14:paraId="5E2ADC58" w14:textId="77777777" w:rsidTr="0004192D">
        <w:trPr>
          <w:trHeight w:val="188"/>
        </w:trPr>
        <w:tc>
          <w:tcPr>
            <w:tcW w:w="757" w:type="pct"/>
            <w:noWrap/>
            <w:vAlign w:val="center"/>
          </w:tcPr>
          <w:p w14:paraId="34D96778" w14:textId="77777777" w:rsidR="00DD5B22" w:rsidRPr="00820C89" w:rsidRDefault="00DD5B22" w:rsidP="009624BE">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TAEG</w:t>
            </w:r>
          </w:p>
        </w:tc>
        <w:tc>
          <w:tcPr>
            <w:tcW w:w="4243" w:type="pct"/>
          </w:tcPr>
          <w:p w14:paraId="1363290F" w14:textId="77777777" w:rsidR="00DD5B22" w:rsidRPr="00820C89" w:rsidRDefault="00DD5B22" w:rsidP="00D52A34">
            <w:pPr>
              <w:pStyle w:val="ListParagraph"/>
              <w:spacing w:after="0" w:line="240" w:lineRule="auto"/>
              <w:ind w:left="777"/>
              <w:jc w:val="center"/>
              <w:rPr>
                <w:rFonts w:asciiTheme="majorHAnsi" w:eastAsia="Times New Roman" w:hAnsiTheme="majorHAnsi" w:cs="Times New Roman"/>
                <w:bCs/>
                <w:color w:val="000000"/>
                <w:lang w:eastAsia="en-AU"/>
              </w:rPr>
            </w:pPr>
            <w:r w:rsidRPr="00820C89">
              <w:rPr>
                <w:rFonts w:asciiTheme="majorHAnsi" w:eastAsia="Times New Roman" w:hAnsiTheme="majorHAnsi" w:cs="Times New Roman"/>
                <w:bCs/>
                <w:color w:val="000000"/>
                <w:lang w:eastAsia="en-AU"/>
              </w:rPr>
              <w:t>$10,357</w:t>
            </w:r>
          </w:p>
        </w:tc>
      </w:tr>
      <w:tr w:rsidR="00DD5B22" w:rsidRPr="00820C89" w14:paraId="7CA21730" w14:textId="77777777" w:rsidTr="0004192D">
        <w:trPr>
          <w:trHeight w:val="188"/>
        </w:trPr>
        <w:tc>
          <w:tcPr>
            <w:tcW w:w="757" w:type="pct"/>
            <w:noWrap/>
            <w:vAlign w:val="center"/>
          </w:tcPr>
          <w:p w14:paraId="2D540924" w14:textId="77777777" w:rsidR="00DD5B22" w:rsidRPr="00820C89" w:rsidRDefault="00DD5B22" w:rsidP="009624BE">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EPI</w:t>
            </w:r>
          </w:p>
        </w:tc>
        <w:tc>
          <w:tcPr>
            <w:tcW w:w="4243" w:type="pct"/>
          </w:tcPr>
          <w:p w14:paraId="0BEF7682" w14:textId="77777777" w:rsidR="00DD5B22" w:rsidRPr="00820C89" w:rsidRDefault="00DD5B22" w:rsidP="00D52A34">
            <w:pPr>
              <w:pStyle w:val="ListParagraph"/>
              <w:spacing w:after="0" w:line="240" w:lineRule="auto"/>
              <w:ind w:left="777"/>
              <w:jc w:val="center"/>
              <w:rPr>
                <w:rFonts w:asciiTheme="majorHAnsi" w:eastAsia="Times New Roman" w:hAnsiTheme="majorHAnsi" w:cs="Times New Roman"/>
                <w:bCs/>
                <w:color w:val="000000"/>
                <w:lang w:eastAsia="en-AU"/>
              </w:rPr>
            </w:pPr>
            <w:r w:rsidRPr="00820C89">
              <w:rPr>
                <w:rFonts w:asciiTheme="majorHAnsi" w:eastAsia="Times New Roman" w:hAnsiTheme="majorHAnsi" w:cs="Times New Roman"/>
                <w:bCs/>
                <w:color w:val="000000"/>
                <w:lang w:eastAsia="en-AU"/>
              </w:rPr>
              <w:t>$11,284</w:t>
            </w:r>
          </w:p>
        </w:tc>
      </w:tr>
    </w:tbl>
    <w:p w14:paraId="716094F4" w14:textId="77777777" w:rsidR="00752AA1" w:rsidRPr="00820C89" w:rsidRDefault="003B290B" w:rsidP="003B290B">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 xml:space="preserve">Source: NIAA Program Data (2014-2019). </w:t>
      </w:r>
    </w:p>
    <w:p w14:paraId="213F530C" w14:textId="6877075D" w:rsidR="004D7A5B" w:rsidRPr="006A04F6" w:rsidRDefault="004D7A5B" w:rsidP="004D7A5B">
      <w:pPr>
        <w:pStyle w:val="CaptionChart"/>
      </w:pPr>
      <w:r w:rsidRPr="006A04F6">
        <w:lastRenderedPageBreak/>
        <w:t>: Distribution in average u</w:t>
      </w:r>
      <w:r w:rsidR="002D2C19" w:rsidRPr="006A04F6">
        <w:t>nit cost, by sub</w:t>
      </w:r>
      <w:r w:rsidR="00200CD1" w:rsidRPr="006A04F6">
        <w:t>-</w:t>
      </w:r>
      <w:r w:rsidR="002D2C19" w:rsidRPr="006A04F6">
        <w:t>program</w:t>
      </w:r>
    </w:p>
    <w:p w14:paraId="1561B752" w14:textId="77777777" w:rsidR="004D1114" w:rsidRPr="00820C89" w:rsidRDefault="004D1114" w:rsidP="002E659D">
      <w:pPr>
        <w:rPr>
          <w:rFonts w:asciiTheme="majorHAnsi" w:hAnsiTheme="majorHAnsi"/>
        </w:rPr>
      </w:pPr>
      <w:r w:rsidRPr="00820C89">
        <w:rPr>
          <w:noProof/>
          <w:lang w:eastAsia="en-AU"/>
        </w:rPr>
        <w:drawing>
          <wp:inline distT="0" distB="0" distL="0" distR="0" wp14:anchorId="29916D5B" wp14:editId="6B974185">
            <wp:extent cx="5505450" cy="2466975"/>
            <wp:effectExtent l="0" t="0" r="0" b="9525"/>
            <wp:docPr id="19" name="Chart 19" descr=" The median unit cost for each of the sub-programs is broadly similar, ranging from between approximately $10,000 to $12,500 (Table 4.3). In alignment with NIAA reporting, this metric is defined as the total approved cost divided by the maximum number of employment places for each activity. In doing so, this measure provides an indication of the average cost to the agency of a single participant achieving all their employment milestones. Further, there is a substantial degree of variation in the average unit cost within each of the subprograms – particularly for TAEG and EPI" title=" .">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0C294F6" w14:textId="77777777" w:rsidR="00804E12" w:rsidRPr="00820C89" w:rsidRDefault="00C55261" w:rsidP="00C55261">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p>
    <w:p w14:paraId="23D988D8" w14:textId="6119C530" w:rsidR="008C77F3" w:rsidRPr="00820C89" w:rsidRDefault="00370121" w:rsidP="00C55261">
      <w:pPr>
        <w:spacing w:before="120" w:after="240"/>
        <w:rPr>
          <w:rFonts w:asciiTheme="majorHAnsi" w:hAnsiTheme="majorHAnsi"/>
        </w:rPr>
      </w:pPr>
      <w:r w:rsidRPr="00820C89">
        <w:rPr>
          <w:rFonts w:asciiTheme="majorHAnsi" w:hAnsiTheme="majorHAnsi"/>
        </w:rPr>
        <w:t>G</w:t>
      </w:r>
      <w:r w:rsidR="00017A9E" w:rsidRPr="00820C89">
        <w:rPr>
          <w:rFonts w:asciiTheme="majorHAnsi" w:hAnsiTheme="majorHAnsi"/>
        </w:rPr>
        <w:t>iven that it is not feasible</w:t>
      </w:r>
      <w:r w:rsidR="005478C1" w:rsidRPr="00820C89">
        <w:rPr>
          <w:rFonts w:asciiTheme="majorHAnsi" w:hAnsiTheme="majorHAnsi"/>
        </w:rPr>
        <w:t xml:space="preserve"> to capture the full range of benefits that </w:t>
      </w:r>
      <w:r w:rsidR="000B094A" w:rsidRPr="00820C89">
        <w:rPr>
          <w:rFonts w:asciiTheme="majorHAnsi" w:hAnsiTheme="majorHAnsi"/>
        </w:rPr>
        <w:t>participants may receive from working with a specific provider</w:t>
      </w:r>
      <w:r w:rsidR="00D0762A" w:rsidRPr="00820C89">
        <w:rPr>
          <w:rFonts w:asciiTheme="majorHAnsi" w:hAnsiTheme="majorHAnsi"/>
        </w:rPr>
        <w:t xml:space="preserve"> </w:t>
      </w:r>
      <w:r w:rsidR="003E73EC" w:rsidRPr="00820C89">
        <w:rPr>
          <w:rFonts w:asciiTheme="majorHAnsi" w:hAnsiTheme="majorHAnsi"/>
        </w:rPr>
        <w:t>(</w:t>
      </w:r>
      <w:r w:rsidR="00D0762A" w:rsidRPr="00820C89">
        <w:rPr>
          <w:rFonts w:asciiTheme="majorHAnsi" w:hAnsiTheme="majorHAnsi"/>
        </w:rPr>
        <w:t>which may include benefits that are challenging to quantify such as wellbeing</w:t>
      </w:r>
      <w:r w:rsidR="003E73EC" w:rsidRPr="00820C89">
        <w:rPr>
          <w:rFonts w:asciiTheme="majorHAnsi" w:hAnsiTheme="majorHAnsi"/>
        </w:rPr>
        <w:t xml:space="preserve"> improvements) it cannot be definitely determined </w:t>
      </w:r>
      <w:r w:rsidR="00BD3FF1" w:rsidRPr="00820C89">
        <w:rPr>
          <w:rFonts w:asciiTheme="majorHAnsi" w:hAnsiTheme="majorHAnsi"/>
        </w:rPr>
        <w:t xml:space="preserve">whether providers with higher unit costs provide higher quality services </w:t>
      </w:r>
      <w:r w:rsidR="0024041B" w:rsidRPr="00820C89">
        <w:rPr>
          <w:rFonts w:asciiTheme="majorHAnsi" w:hAnsiTheme="majorHAnsi"/>
        </w:rPr>
        <w:t>or</w:t>
      </w:r>
      <w:r w:rsidR="00BD3FF1" w:rsidRPr="00820C89">
        <w:rPr>
          <w:rFonts w:asciiTheme="majorHAnsi" w:hAnsiTheme="majorHAnsi"/>
        </w:rPr>
        <w:t xml:space="preserve"> achieve better outcomes</w:t>
      </w:r>
      <w:r w:rsidR="0024041B" w:rsidRPr="00820C89">
        <w:rPr>
          <w:rFonts w:asciiTheme="majorHAnsi" w:hAnsiTheme="majorHAnsi"/>
        </w:rPr>
        <w:t>, and hence justif</w:t>
      </w:r>
      <w:r w:rsidR="00B822D4" w:rsidRPr="00820C89">
        <w:rPr>
          <w:rFonts w:asciiTheme="majorHAnsi" w:hAnsiTheme="majorHAnsi"/>
        </w:rPr>
        <w:t>y their higher costs.</w:t>
      </w:r>
      <w:r w:rsidR="00F372ED" w:rsidRPr="00820C89">
        <w:rPr>
          <w:rFonts w:asciiTheme="majorHAnsi" w:hAnsiTheme="majorHAnsi"/>
        </w:rPr>
        <w:t xml:space="preserve"> </w:t>
      </w:r>
      <w:r w:rsidR="00945946" w:rsidRPr="00820C89">
        <w:rPr>
          <w:rFonts w:asciiTheme="majorHAnsi" w:hAnsiTheme="majorHAnsi"/>
        </w:rPr>
        <w:t xml:space="preserve">However, the absence of a rigorous unit cost funding model for the EPI program, combined with its variable unit costs, </w:t>
      </w:r>
      <w:r w:rsidR="003445CA" w:rsidRPr="00820C89">
        <w:rPr>
          <w:rFonts w:asciiTheme="majorHAnsi" w:hAnsiTheme="majorHAnsi"/>
        </w:rPr>
        <w:t xml:space="preserve">suggests </w:t>
      </w:r>
      <w:r w:rsidR="001E62FC" w:rsidRPr="00820C89">
        <w:rPr>
          <w:rFonts w:asciiTheme="majorHAnsi" w:hAnsiTheme="majorHAnsi"/>
        </w:rPr>
        <w:t xml:space="preserve">that the total effectiveness of </w:t>
      </w:r>
      <w:r w:rsidR="00765BBD" w:rsidRPr="00820C89">
        <w:rPr>
          <w:rFonts w:asciiTheme="majorHAnsi" w:hAnsiTheme="majorHAnsi"/>
        </w:rPr>
        <w:t>its</w:t>
      </w:r>
      <w:r w:rsidR="001E62FC" w:rsidRPr="00820C89">
        <w:rPr>
          <w:rFonts w:asciiTheme="majorHAnsi" w:hAnsiTheme="majorHAnsi"/>
        </w:rPr>
        <w:t xml:space="preserve"> investment </w:t>
      </w:r>
      <w:r w:rsidR="00765BBD" w:rsidRPr="00820C89">
        <w:rPr>
          <w:rFonts w:asciiTheme="majorHAnsi" w:hAnsiTheme="majorHAnsi"/>
        </w:rPr>
        <w:t xml:space="preserve">is unlikely to be </w:t>
      </w:r>
      <w:r w:rsidR="00D201B6" w:rsidRPr="00820C89">
        <w:rPr>
          <w:rFonts w:asciiTheme="majorHAnsi" w:hAnsiTheme="majorHAnsi"/>
        </w:rPr>
        <w:t>optimised.</w:t>
      </w:r>
    </w:p>
    <w:p w14:paraId="6B639A63" w14:textId="77777777" w:rsidR="00433637" w:rsidRPr="00820C89" w:rsidRDefault="00804E12" w:rsidP="009624BE">
      <w:pPr>
        <w:pStyle w:val="Heading3"/>
      </w:pPr>
      <w:r w:rsidRPr="00820C89">
        <w:t xml:space="preserve">How the </w:t>
      </w:r>
      <w:r w:rsidR="00974161" w:rsidRPr="00820C89">
        <w:t>sub-program</w:t>
      </w:r>
      <w:r w:rsidRPr="00820C89">
        <w:t xml:space="preserve">s work together </w:t>
      </w:r>
    </w:p>
    <w:p w14:paraId="6726B296" w14:textId="77777777" w:rsidR="00433637" w:rsidRPr="00820C89" w:rsidRDefault="00AF2B47" w:rsidP="00433637">
      <w:pPr>
        <w:rPr>
          <w:rFonts w:asciiTheme="majorHAnsi" w:hAnsiTheme="majorHAnsi"/>
        </w:rPr>
      </w:pPr>
      <w:r w:rsidRPr="00820C89">
        <w:rPr>
          <w:rFonts w:asciiTheme="majorHAnsi" w:hAnsiTheme="majorHAnsi"/>
        </w:rPr>
        <w:t xml:space="preserve">The </w:t>
      </w:r>
      <w:r w:rsidR="00974161" w:rsidRPr="00820C89">
        <w:rPr>
          <w:rFonts w:asciiTheme="majorHAnsi" w:hAnsiTheme="majorHAnsi"/>
        </w:rPr>
        <w:t>sub-programs</w:t>
      </w:r>
      <w:r w:rsidRPr="00820C89">
        <w:rPr>
          <w:rFonts w:asciiTheme="majorHAnsi" w:hAnsiTheme="majorHAnsi"/>
        </w:rPr>
        <w:t xml:space="preserve"> are intended to operate cohesively as part of a system of change that supports Indigenous Australians to gain sustainable employment. Seeing as there is little delineation in the types of Indigenous jobseekers that the programs are intended to target, the programs will inevitably interact with one another at a provider, participant and employer level.</w:t>
      </w:r>
    </w:p>
    <w:p w14:paraId="529E109D" w14:textId="77777777" w:rsidR="00630B28" w:rsidRPr="00820C89" w:rsidRDefault="00630B28" w:rsidP="00630B28">
      <w:pPr>
        <w:rPr>
          <w:rFonts w:asciiTheme="majorHAnsi" w:hAnsiTheme="majorHAnsi"/>
        </w:rPr>
      </w:pPr>
      <w:r w:rsidRPr="00820C89">
        <w:rPr>
          <w:rFonts w:asciiTheme="majorHAnsi" w:hAnsiTheme="majorHAnsi"/>
        </w:rPr>
        <w:t>Stakeholder consultations suggest that there are mixed perspectives about the ability of VTEC/TAEG providers to collaborate with EPI partners and share outcome payments. For example, stakeholders noted that:</w:t>
      </w:r>
    </w:p>
    <w:p w14:paraId="14F03500" w14:textId="77777777" w:rsidR="00630B28" w:rsidRPr="00820C89" w:rsidRDefault="00630B28" w:rsidP="00630B28">
      <w:pPr>
        <w:ind w:left="720"/>
        <w:rPr>
          <w:rFonts w:asciiTheme="majorHAnsi" w:hAnsiTheme="majorHAnsi"/>
          <w:i/>
        </w:rPr>
      </w:pPr>
      <w:r w:rsidRPr="00820C89">
        <w:rPr>
          <w:rFonts w:asciiTheme="majorHAnsi" w:hAnsiTheme="majorHAnsi"/>
          <w:i/>
        </w:rPr>
        <w:t>“[An EPI] said the payments are so low it’s not worthwhile working together. And I get it, they are hardly getting a lot of money from it and they’re even less inclined to share that with us even if we’re [VTECs] sharing the workload” (VTEC provider)</w:t>
      </w:r>
    </w:p>
    <w:p w14:paraId="5E2DEBEF" w14:textId="77777777" w:rsidR="00630B28" w:rsidRPr="00820C89" w:rsidRDefault="00630B28" w:rsidP="00630B28">
      <w:pPr>
        <w:ind w:left="720"/>
        <w:rPr>
          <w:rFonts w:asciiTheme="majorHAnsi" w:hAnsiTheme="majorHAnsi"/>
          <w:i/>
        </w:rPr>
      </w:pPr>
      <w:r w:rsidRPr="00820C89">
        <w:rPr>
          <w:rFonts w:asciiTheme="majorHAnsi" w:hAnsiTheme="majorHAnsi"/>
          <w:i/>
        </w:rPr>
        <w:t>“Recently the program changed, and it now allows us to do deals [with VTEC/TAEG providers] where if we’re working on one candidate we can go 50/50 in whatever the dollars are. That flexibility from a policy point of view is so critical because it’s not a one size fits all for these candidates.” (EPI partner)</w:t>
      </w:r>
    </w:p>
    <w:p w14:paraId="22C10CBD" w14:textId="77777777" w:rsidR="00630B28" w:rsidRPr="00820C89" w:rsidRDefault="00630B28" w:rsidP="00630B28">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HAnsi" w:hAnsiTheme="majorHAnsi"/>
          <w:i/>
        </w:rPr>
      </w:pPr>
      <w:r w:rsidRPr="00820C89">
        <w:rPr>
          <w:rFonts w:asciiTheme="majorHAnsi" w:hAnsiTheme="majorHAnsi"/>
          <w:i/>
        </w:rPr>
        <w:t>“If we end up working with an EPI participant, sometimes we get no money, so we’ll spend our own time and effort and receive nothing.” (VTEC provider)</w:t>
      </w:r>
    </w:p>
    <w:p w14:paraId="63126B20" w14:textId="77777777" w:rsidR="00630B28" w:rsidRPr="00820C89" w:rsidRDefault="00630B28" w:rsidP="00630B28">
      <w:pPr>
        <w:rPr>
          <w:rFonts w:asciiTheme="majorHAnsi" w:hAnsiTheme="majorHAnsi"/>
        </w:rPr>
      </w:pPr>
      <w:r w:rsidRPr="00820C89">
        <w:rPr>
          <w:rFonts w:asciiTheme="majorHAnsi" w:hAnsiTheme="majorHAnsi"/>
        </w:rPr>
        <w:t>Several VTEC providers report that they have poor visibility over which participants and employers are involved in the EPI program, and that this can create confusion and tension between providers. For example, providers note that:</w:t>
      </w:r>
    </w:p>
    <w:p w14:paraId="54A49ADE" w14:textId="77777777" w:rsidR="00630B28" w:rsidRPr="00820C89" w:rsidRDefault="00630B28" w:rsidP="00630B28">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HAnsi" w:hAnsiTheme="majorHAnsi"/>
          <w:i/>
        </w:rPr>
      </w:pPr>
      <w:r w:rsidRPr="00820C89">
        <w:rPr>
          <w:rFonts w:asciiTheme="majorHAnsi" w:hAnsiTheme="majorHAnsi"/>
          <w:i/>
        </w:rPr>
        <w:t xml:space="preserve">“Often, we’ll be putting in an employment placement or a four week claim and then we’ll hear from NIAA that that jobseeker was registered with another parity or funded employer and then, we have to apply the jobseeker to be transferred, even if they haven't had contact with </w:t>
      </w:r>
      <w:r w:rsidRPr="00820C89">
        <w:rPr>
          <w:rFonts w:asciiTheme="majorHAnsi" w:hAnsiTheme="majorHAnsi"/>
          <w:i/>
        </w:rPr>
        <w:lastRenderedPageBreak/>
        <w:t>that previous programme before.  So, there’s no visibility of that when you’re working with the jobseeker prior to placing them into employment.” (VTEC provider)</w:t>
      </w:r>
    </w:p>
    <w:p w14:paraId="49D6143C" w14:textId="77777777" w:rsidR="00630B28" w:rsidRPr="00820C89" w:rsidRDefault="00630B28" w:rsidP="00630B28">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HAnsi" w:hAnsiTheme="majorHAnsi"/>
          <w:i/>
        </w:rPr>
      </w:pPr>
      <w:r w:rsidRPr="00820C89">
        <w:rPr>
          <w:rFonts w:asciiTheme="majorHAnsi" w:hAnsiTheme="majorHAnsi"/>
          <w:i/>
        </w:rPr>
        <w:t>“There are so many EPIs in the Northern Territory now, and there have been several cases where we would be working with an employer, and suddenly they joined EPI.  So, it really did impact us hugely. There was no communication from the department about who the parity employers actually were.” (VTEC providers)</w:t>
      </w:r>
    </w:p>
    <w:p w14:paraId="34D3169E" w14:textId="77777777" w:rsidR="00630B28" w:rsidRPr="00820C89" w:rsidRDefault="00630B28" w:rsidP="00630B28">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HAnsi" w:hAnsiTheme="majorHAnsi"/>
          <w:i/>
        </w:rPr>
      </w:pPr>
      <w:r w:rsidRPr="00820C89">
        <w:rPr>
          <w:rFonts w:asciiTheme="majorHAnsi" w:hAnsiTheme="majorHAnsi"/>
          <w:i/>
        </w:rPr>
        <w:t>“So, you could be working with them in a VTEC and then once you’ve secured a placement, which obviously doesn’t happen immediately because you’re working with the person individually, with an employer, if that employer’s EPI, part of the EPI programme, then they could claim it as well.” (VTEC provider)</w:t>
      </w:r>
    </w:p>
    <w:p w14:paraId="2117768E" w14:textId="30A1E107" w:rsidR="00630B28" w:rsidRPr="00820C89" w:rsidRDefault="00630B28" w:rsidP="00630B28">
      <w:pPr>
        <w:rPr>
          <w:rFonts w:asciiTheme="majorHAnsi" w:hAnsiTheme="majorHAnsi"/>
          <w:b/>
          <w:i/>
          <w:color w:val="86BC25" w:themeColor="accent1"/>
        </w:rPr>
      </w:pPr>
      <w:r w:rsidRPr="00820C89">
        <w:rPr>
          <w:rFonts w:asciiTheme="majorHAnsi" w:hAnsiTheme="majorHAnsi"/>
        </w:rPr>
        <w:t xml:space="preserve">It’s important to note that competition between providers and partners is not necessarily a negative. While providers – particularly VTEC and TAEG providers – expressed frustration and disappointment in instances of lost market share to EPI providers, in some instances this could be understood as an efficiency gain. </w:t>
      </w:r>
    </w:p>
    <w:p w14:paraId="1C2BE02F" w14:textId="77777777" w:rsidR="00630B28" w:rsidRPr="00820C89" w:rsidRDefault="00630B28" w:rsidP="00630B28">
      <w:pPr>
        <w:spacing w:before="170"/>
        <w:rPr>
          <w:rFonts w:asciiTheme="majorHAnsi" w:hAnsiTheme="majorHAnsi"/>
          <w:i/>
        </w:rPr>
      </w:pPr>
      <w:r w:rsidRPr="00820C89">
        <w:rPr>
          <w:rFonts w:asciiTheme="majorHAnsi" w:hAnsiTheme="majorHAnsi"/>
        </w:rPr>
        <w:t>Further, TAEG and VTEC providers report that there is limited knowledge sharing between providers, and that further collaboration would be useful to share lessons learned and best-practice ideas.</w:t>
      </w:r>
      <w:r w:rsidRPr="00820C89">
        <w:rPr>
          <w:rFonts w:asciiTheme="majorHAnsi" w:hAnsiTheme="majorHAnsi"/>
          <w:b/>
        </w:rPr>
        <w:t xml:space="preserve"> </w:t>
      </w:r>
      <w:r w:rsidRPr="00820C89">
        <w:rPr>
          <w:rFonts w:asciiTheme="majorHAnsi" w:hAnsiTheme="majorHAnsi"/>
        </w:rPr>
        <w:t>Providers note that there have been some instances of this collaboration in the past, such as through organised forums for VTEC providers, though this no longer occurs and now collaboration is only on an ad hoc basis. For example, providers note that:</w:t>
      </w:r>
    </w:p>
    <w:p w14:paraId="5A442032" w14:textId="2A7FF807" w:rsidR="00630B28" w:rsidRPr="00820C89" w:rsidRDefault="00630B28" w:rsidP="00630B28">
      <w:pPr>
        <w:pStyle w:val="ListParagraph"/>
        <w:rPr>
          <w:rFonts w:asciiTheme="majorHAnsi" w:hAnsiTheme="majorHAnsi"/>
          <w:i/>
        </w:rPr>
      </w:pPr>
      <w:r w:rsidRPr="00820C89">
        <w:rPr>
          <w:rFonts w:asciiTheme="majorHAnsi" w:hAnsiTheme="majorHAnsi"/>
          <w:i/>
        </w:rPr>
        <w:t xml:space="preserve">“A small group of VTECs used to meet up quite regularly. It was pretty good actually just to have that, it wasn’t a competitive space at all and there </w:t>
      </w:r>
      <w:r w:rsidR="00012726" w:rsidRPr="00820C89">
        <w:rPr>
          <w:rFonts w:asciiTheme="majorHAnsi" w:hAnsiTheme="majorHAnsi"/>
          <w:i/>
        </w:rPr>
        <w:t xml:space="preserve">were </w:t>
      </w:r>
      <w:r w:rsidRPr="00820C89">
        <w:rPr>
          <w:rFonts w:asciiTheme="majorHAnsi" w:hAnsiTheme="majorHAnsi"/>
          <w:i/>
        </w:rPr>
        <w:t>some good learnings from others” (VTEC provider).</w:t>
      </w:r>
    </w:p>
    <w:p w14:paraId="0294160E" w14:textId="77777777" w:rsidR="00630B28" w:rsidRPr="00820C89" w:rsidRDefault="00630B28" w:rsidP="00630B28">
      <w:pPr>
        <w:pStyle w:val="ListParagraph"/>
        <w:rPr>
          <w:rFonts w:asciiTheme="majorHAnsi" w:hAnsiTheme="majorHAnsi"/>
          <w:i/>
        </w:rPr>
      </w:pPr>
    </w:p>
    <w:p w14:paraId="061EBC2E" w14:textId="77777777" w:rsidR="00630B28" w:rsidRPr="00820C89" w:rsidRDefault="00630B28" w:rsidP="00630B28">
      <w:pPr>
        <w:pStyle w:val="ListParagraph"/>
        <w:rPr>
          <w:rFonts w:asciiTheme="majorHAnsi" w:hAnsiTheme="majorHAnsi"/>
          <w:i/>
        </w:rPr>
      </w:pPr>
      <w:r w:rsidRPr="00820C89">
        <w:rPr>
          <w:rFonts w:asciiTheme="majorHAnsi" w:hAnsiTheme="majorHAnsi"/>
          <w:i/>
        </w:rPr>
        <w:t>“[…] we haven’t had a VTEC forum or an employment services forum, I want to say since 2017. And so, the knowledge of each other’s products at that material level is probably not real great.” (VTEC provider)</w:t>
      </w:r>
    </w:p>
    <w:p w14:paraId="6425E0D1" w14:textId="77777777" w:rsidR="00630B28" w:rsidRPr="00820C89" w:rsidRDefault="00630B28" w:rsidP="00630B28">
      <w:pPr>
        <w:rPr>
          <w:rFonts w:asciiTheme="majorHAnsi" w:hAnsiTheme="majorHAnsi"/>
        </w:rPr>
      </w:pPr>
      <w:r w:rsidRPr="00820C89">
        <w:rPr>
          <w:rFonts w:asciiTheme="majorHAnsi" w:hAnsiTheme="majorHAnsi"/>
        </w:rPr>
        <w:t>One widely implemented method of achieving this is to establish Communities of Practice (CoP). A CoP is generally understood to be a group of like-minded professionals who regularly interact with one another to understand how they can improve at their chosen field.</w:t>
      </w:r>
      <w:r w:rsidRPr="00820C89">
        <w:rPr>
          <w:rStyle w:val="FootnoteReference"/>
          <w:rFonts w:asciiTheme="majorHAnsi" w:hAnsiTheme="majorHAnsi"/>
        </w:rPr>
        <w:footnoteReference w:id="64"/>
      </w:r>
      <w:r w:rsidRPr="00820C89">
        <w:rPr>
          <w:rFonts w:asciiTheme="majorHAnsi" w:hAnsiTheme="majorHAnsi"/>
        </w:rPr>
        <w:t xml:space="preserve"> The establishment of CoP has the capacity to deliver substantial benefits to the individuals and organisations involved. For example, CoPs can:</w:t>
      </w:r>
    </w:p>
    <w:p w14:paraId="1C2E93ED" w14:textId="77777777" w:rsidR="00630B28" w:rsidRPr="00820C89" w:rsidRDefault="00630B28" w:rsidP="00715F70">
      <w:pPr>
        <w:pStyle w:val="ListParagraph"/>
        <w:numPr>
          <w:ilvl w:val="0"/>
          <w:numId w:val="48"/>
        </w:numPr>
        <w:spacing w:before="60" w:after="60"/>
        <w:ind w:left="357" w:hanging="357"/>
        <w:contextualSpacing w:val="0"/>
        <w:rPr>
          <w:rFonts w:asciiTheme="majorHAnsi" w:hAnsiTheme="majorHAnsi"/>
        </w:rPr>
      </w:pPr>
      <w:r w:rsidRPr="00820C89">
        <w:rPr>
          <w:rFonts w:asciiTheme="majorHAnsi" w:hAnsiTheme="majorHAnsi"/>
          <w:bCs/>
        </w:rPr>
        <w:t>enhance</w:t>
      </w:r>
      <w:r w:rsidRPr="00820C89">
        <w:rPr>
          <w:rFonts w:asciiTheme="majorHAnsi" w:hAnsiTheme="majorHAnsi"/>
        </w:rPr>
        <w:t xml:space="preserve"> individual’s professional development, by allowing them to learn from others on how they can become more capable at their role</w:t>
      </w:r>
    </w:p>
    <w:p w14:paraId="41EDA5C4" w14:textId="77777777" w:rsidR="00630B28" w:rsidRPr="00820C89" w:rsidRDefault="00630B28" w:rsidP="00715F70">
      <w:pPr>
        <w:pStyle w:val="ListParagraph"/>
        <w:numPr>
          <w:ilvl w:val="0"/>
          <w:numId w:val="48"/>
        </w:numPr>
        <w:spacing w:before="60" w:after="60"/>
        <w:ind w:left="357" w:hanging="357"/>
        <w:contextualSpacing w:val="0"/>
        <w:rPr>
          <w:rFonts w:asciiTheme="majorHAnsi" w:hAnsiTheme="majorHAnsi"/>
        </w:rPr>
      </w:pPr>
      <w:r w:rsidRPr="00820C89">
        <w:rPr>
          <w:rFonts w:asciiTheme="majorHAnsi" w:hAnsiTheme="majorHAnsi"/>
          <w:bCs/>
        </w:rPr>
        <w:t>improve</w:t>
      </w:r>
      <w:r w:rsidRPr="00820C89">
        <w:rPr>
          <w:rFonts w:asciiTheme="majorHAnsi" w:hAnsiTheme="majorHAnsi"/>
        </w:rPr>
        <w:t xml:space="preserve"> employee engagement, by providing staff with an opportunity to interact with professionals who share common interests</w:t>
      </w:r>
    </w:p>
    <w:p w14:paraId="54FD32A8" w14:textId="77777777" w:rsidR="00630B28" w:rsidRPr="00820C89" w:rsidRDefault="00630B28" w:rsidP="00715F70">
      <w:pPr>
        <w:pStyle w:val="ListParagraph"/>
        <w:numPr>
          <w:ilvl w:val="0"/>
          <w:numId w:val="48"/>
        </w:numPr>
        <w:spacing w:before="60" w:after="60"/>
        <w:ind w:left="357" w:hanging="357"/>
        <w:contextualSpacing w:val="0"/>
        <w:rPr>
          <w:rFonts w:asciiTheme="majorHAnsi" w:hAnsiTheme="majorHAnsi"/>
        </w:rPr>
      </w:pPr>
      <w:r w:rsidRPr="00820C89">
        <w:rPr>
          <w:rFonts w:asciiTheme="majorHAnsi" w:hAnsiTheme="majorHAnsi"/>
          <w:bCs/>
        </w:rPr>
        <w:t>improve</w:t>
      </w:r>
      <w:r w:rsidR="004711F3" w:rsidRPr="00820C89">
        <w:rPr>
          <w:rFonts w:asciiTheme="majorHAnsi" w:hAnsiTheme="majorHAnsi"/>
          <w:bCs/>
        </w:rPr>
        <w:t xml:space="preserve"> </w:t>
      </w:r>
      <w:r w:rsidRPr="00820C89">
        <w:rPr>
          <w:rFonts w:asciiTheme="majorHAnsi" w:hAnsiTheme="majorHAnsi"/>
        </w:rPr>
        <w:t>the efficiency and effectiveness of participating organisations, by allowing members to share best-practices, and thereby continually improve their operations.</w:t>
      </w:r>
      <w:r w:rsidRPr="00820C89">
        <w:rPr>
          <w:rStyle w:val="FootnoteReference"/>
          <w:rFonts w:asciiTheme="majorHAnsi" w:hAnsiTheme="majorHAnsi"/>
        </w:rPr>
        <w:footnoteReference w:id="65"/>
      </w:r>
    </w:p>
    <w:p w14:paraId="108D4ACC" w14:textId="77777777" w:rsidR="00433637" w:rsidRPr="00820C89" w:rsidRDefault="00433637" w:rsidP="00433637"/>
    <w:p w14:paraId="177B3FF1" w14:textId="77777777" w:rsidR="00804E12" w:rsidRPr="00820C89" w:rsidRDefault="00433637" w:rsidP="00804E12">
      <w:pPr>
        <w:pStyle w:val="Heading3"/>
      </w:pPr>
      <w:r w:rsidRPr="00820C89">
        <w:t xml:space="preserve">How the </w:t>
      </w:r>
      <w:r w:rsidR="00974161" w:rsidRPr="00820C89">
        <w:t>sub-program</w:t>
      </w:r>
      <w:r w:rsidRPr="00820C89">
        <w:t>s work</w:t>
      </w:r>
      <w:r w:rsidR="00804E12" w:rsidRPr="00820C89">
        <w:t xml:space="preserve"> </w:t>
      </w:r>
      <w:r w:rsidR="0082029F" w:rsidRPr="00820C89">
        <w:t>within the employment services landscape</w:t>
      </w:r>
    </w:p>
    <w:p w14:paraId="6E50AD21" w14:textId="77777777" w:rsidR="00C11AFC" w:rsidRPr="00820C89" w:rsidRDefault="00F27C89" w:rsidP="00C11AFC">
      <w:pPr>
        <w:rPr>
          <w:rFonts w:asciiTheme="majorHAnsi" w:hAnsiTheme="majorHAnsi"/>
        </w:rPr>
      </w:pPr>
      <w:r w:rsidRPr="00820C89">
        <w:rPr>
          <w:rFonts w:asciiTheme="majorHAnsi" w:hAnsiTheme="majorHAnsi"/>
        </w:rPr>
        <w:t>T</w:t>
      </w:r>
      <w:r w:rsidR="00C11AFC" w:rsidRPr="00820C89">
        <w:rPr>
          <w:rFonts w:asciiTheme="majorHAnsi" w:hAnsiTheme="majorHAnsi"/>
        </w:rPr>
        <w:t xml:space="preserve">he </w:t>
      </w:r>
      <w:r w:rsidR="00974161" w:rsidRPr="00820C89">
        <w:rPr>
          <w:rFonts w:asciiTheme="majorHAnsi" w:hAnsiTheme="majorHAnsi"/>
        </w:rPr>
        <w:t>sub-program</w:t>
      </w:r>
      <w:r w:rsidR="00C11AFC" w:rsidRPr="00820C89">
        <w:rPr>
          <w:rFonts w:asciiTheme="majorHAnsi" w:hAnsiTheme="majorHAnsi"/>
        </w:rPr>
        <w:t>s are a part of a larger landscape of employment service provision</w:t>
      </w:r>
      <w:r w:rsidR="008D0ED6" w:rsidRPr="00820C89">
        <w:rPr>
          <w:rFonts w:asciiTheme="majorHAnsi" w:hAnsiTheme="majorHAnsi"/>
        </w:rPr>
        <w:t>.</w:t>
      </w:r>
      <w:r w:rsidR="008B2006" w:rsidRPr="00820C89">
        <w:rPr>
          <w:rFonts w:asciiTheme="majorHAnsi" w:hAnsiTheme="majorHAnsi"/>
        </w:rPr>
        <w:t xml:space="preserve"> The programs </w:t>
      </w:r>
      <w:r w:rsidR="00F85EAD" w:rsidRPr="00820C89">
        <w:rPr>
          <w:rFonts w:asciiTheme="majorHAnsi" w:hAnsiTheme="majorHAnsi"/>
        </w:rPr>
        <w:t xml:space="preserve">are </w:t>
      </w:r>
      <w:r w:rsidR="00C11AFC" w:rsidRPr="00820C89">
        <w:rPr>
          <w:rFonts w:asciiTheme="majorHAnsi" w:hAnsiTheme="majorHAnsi"/>
        </w:rPr>
        <w:t xml:space="preserve">intended to complement mainstream employment services such as </w:t>
      </w:r>
      <w:r w:rsidR="00C85CC9" w:rsidRPr="00820C89">
        <w:rPr>
          <w:rFonts w:asciiTheme="majorHAnsi" w:hAnsiTheme="majorHAnsi"/>
        </w:rPr>
        <w:t>j</w:t>
      </w:r>
      <w:r w:rsidR="00C11AFC" w:rsidRPr="00820C89">
        <w:rPr>
          <w:rFonts w:asciiTheme="majorHAnsi" w:hAnsiTheme="majorHAnsi"/>
        </w:rPr>
        <w:t xml:space="preserve">obactive and CDP, as well </w:t>
      </w:r>
      <w:r w:rsidR="00C11AFC" w:rsidRPr="00820C89">
        <w:rPr>
          <w:rFonts w:asciiTheme="majorHAnsi" w:hAnsiTheme="majorHAnsi"/>
        </w:rPr>
        <w:lastRenderedPageBreak/>
        <w:t xml:space="preserve">work closely with state and territory employment programs. This section considers how the IEP </w:t>
      </w:r>
      <w:r w:rsidR="00B07D7E" w:rsidRPr="00820C89">
        <w:rPr>
          <w:rFonts w:asciiTheme="majorHAnsi" w:hAnsiTheme="majorHAnsi"/>
        </w:rPr>
        <w:t>is</w:t>
      </w:r>
      <w:r w:rsidR="00C11AFC" w:rsidRPr="00820C89">
        <w:rPr>
          <w:rFonts w:asciiTheme="majorHAnsi" w:hAnsiTheme="majorHAnsi"/>
        </w:rPr>
        <w:t xml:space="preserve"> designed to work with these different programs, along with how this interaction works in practice.</w:t>
      </w:r>
    </w:p>
    <w:p w14:paraId="280ECE1D" w14:textId="77777777" w:rsidR="00872D20" w:rsidRPr="00820C89" w:rsidRDefault="00872D20" w:rsidP="00872D20">
      <w:pPr>
        <w:rPr>
          <w:rFonts w:asciiTheme="majorHAnsi" w:hAnsiTheme="majorHAnsi"/>
        </w:rPr>
      </w:pPr>
      <w:r w:rsidRPr="00820C89">
        <w:rPr>
          <w:rFonts w:asciiTheme="majorHAnsi" w:hAnsiTheme="majorHAnsi"/>
        </w:rPr>
        <w:t xml:space="preserve">Given the absence or flexible nature of </w:t>
      </w:r>
      <w:r w:rsidR="007B0DBB" w:rsidRPr="00820C89">
        <w:rPr>
          <w:rFonts w:asciiTheme="majorHAnsi" w:hAnsiTheme="majorHAnsi"/>
        </w:rPr>
        <w:t>detailed program guidelines defining how the IEP</w:t>
      </w:r>
      <w:r w:rsidR="00651694" w:rsidRPr="00820C89" w:rsidDel="00B07D7E">
        <w:rPr>
          <w:rFonts w:asciiTheme="majorHAnsi" w:hAnsiTheme="majorHAnsi"/>
        </w:rPr>
        <w:t xml:space="preserve"> </w:t>
      </w:r>
      <w:r w:rsidR="00B07D7E" w:rsidRPr="00820C89">
        <w:rPr>
          <w:rFonts w:asciiTheme="majorHAnsi" w:hAnsiTheme="majorHAnsi"/>
        </w:rPr>
        <w:t>is</w:t>
      </w:r>
      <w:r w:rsidR="00651694" w:rsidRPr="00820C89">
        <w:rPr>
          <w:rFonts w:asciiTheme="majorHAnsi" w:hAnsiTheme="majorHAnsi"/>
        </w:rPr>
        <w:t xml:space="preserve"> intended to work with mainstream programs</w:t>
      </w:r>
      <w:r w:rsidRPr="00820C89">
        <w:rPr>
          <w:rFonts w:asciiTheme="majorHAnsi" w:hAnsiTheme="majorHAnsi"/>
        </w:rPr>
        <w:t>, the relationships between IEP and mainstream providers appears to be primarily driven by the intent and capability of individual organisations to build relationships.</w:t>
      </w:r>
      <w:r w:rsidRPr="00820C89">
        <w:rPr>
          <w:rFonts w:asciiTheme="majorHAnsi" w:hAnsiTheme="majorHAnsi"/>
          <w:b/>
        </w:rPr>
        <w:t xml:space="preserve"> </w:t>
      </w:r>
      <w:r w:rsidRPr="00820C89">
        <w:rPr>
          <w:rFonts w:asciiTheme="majorHAnsi" w:hAnsiTheme="majorHAnsi"/>
        </w:rPr>
        <w:t>Consultations suggests that this leads to highly variable levels of collaboration.</w:t>
      </w:r>
    </w:p>
    <w:p w14:paraId="5B060394" w14:textId="77777777" w:rsidR="00872D20" w:rsidRPr="00820C89" w:rsidRDefault="00872D20" w:rsidP="00872D20">
      <w:pPr>
        <w:rPr>
          <w:rFonts w:asciiTheme="majorHAnsi" w:hAnsiTheme="majorHAnsi"/>
        </w:rPr>
      </w:pPr>
      <w:r w:rsidRPr="00820C89">
        <w:rPr>
          <w:rFonts w:asciiTheme="majorHAnsi" w:hAnsiTheme="majorHAnsi"/>
        </w:rPr>
        <w:t>For example,</w:t>
      </w:r>
      <w:r w:rsidRPr="00820C89">
        <w:rPr>
          <w:rFonts w:asciiTheme="majorHAnsi" w:hAnsiTheme="majorHAnsi"/>
          <w:b/>
        </w:rPr>
        <w:t xml:space="preserve"> </w:t>
      </w:r>
      <w:r w:rsidRPr="00820C89">
        <w:rPr>
          <w:rFonts w:asciiTheme="majorHAnsi" w:hAnsiTheme="majorHAnsi"/>
        </w:rPr>
        <w:t xml:space="preserve">stakeholder consultations suggest that there can be tension between IEP and </w:t>
      </w:r>
      <w:r w:rsidR="00C85CC9" w:rsidRPr="00820C89">
        <w:rPr>
          <w:rFonts w:asciiTheme="majorHAnsi" w:hAnsiTheme="majorHAnsi"/>
        </w:rPr>
        <w:t>j</w:t>
      </w:r>
      <w:r w:rsidRPr="00820C89">
        <w:rPr>
          <w:rFonts w:asciiTheme="majorHAnsi" w:hAnsiTheme="majorHAnsi"/>
        </w:rPr>
        <w:t>obactive providers as a result of poor levels of mutual understanding and a sense of competition. Both TAEG and VTEC providers, along with NIAA regional staff, note that this lack of cooperation can be driven by several factors, including that:</w:t>
      </w:r>
    </w:p>
    <w:p w14:paraId="10C424D4" w14:textId="77777777" w:rsidR="00872D20" w:rsidRPr="00820C89" w:rsidRDefault="00C85CC9" w:rsidP="00715F70">
      <w:pPr>
        <w:pStyle w:val="ListBullet"/>
        <w:numPr>
          <w:ilvl w:val="0"/>
          <w:numId w:val="49"/>
        </w:numPr>
        <w:spacing w:before="60" w:after="60"/>
        <w:contextualSpacing w:val="0"/>
        <w:rPr>
          <w:rFonts w:asciiTheme="majorHAnsi" w:hAnsiTheme="majorHAnsi"/>
        </w:rPr>
      </w:pPr>
      <w:r w:rsidRPr="00820C89">
        <w:rPr>
          <w:rFonts w:asciiTheme="majorHAnsi" w:hAnsiTheme="majorHAnsi"/>
        </w:rPr>
        <w:t>j</w:t>
      </w:r>
      <w:r w:rsidR="00872D20" w:rsidRPr="00820C89">
        <w:rPr>
          <w:rFonts w:asciiTheme="majorHAnsi" w:hAnsiTheme="majorHAnsi"/>
        </w:rPr>
        <w:t xml:space="preserve">obactive providers often have a poor understanding of the nature of the </w:t>
      </w:r>
      <w:r w:rsidR="00B07D7E" w:rsidRPr="00820C89">
        <w:rPr>
          <w:rFonts w:asciiTheme="majorHAnsi" w:hAnsiTheme="majorHAnsi"/>
        </w:rPr>
        <w:t>sub-programs</w:t>
      </w:r>
      <w:r w:rsidR="00872D20" w:rsidRPr="00820C89">
        <w:rPr>
          <w:rFonts w:asciiTheme="majorHAnsi" w:hAnsiTheme="majorHAnsi"/>
        </w:rPr>
        <w:t xml:space="preserve">, limiting their ability to collaborate. Further, stakeholders note that these </w:t>
      </w:r>
      <w:r w:rsidRPr="00820C89">
        <w:rPr>
          <w:rFonts w:asciiTheme="majorHAnsi" w:hAnsiTheme="majorHAnsi"/>
        </w:rPr>
        <w:t>j</w:t>
      </w:r>
      <w:r w:rsidR="00872D20" w:rsidRPr="00820C89">
        <w:rPr>
          <w:rFonts w:asciiTheme="majorHAnsi" w:hAnsiTheme="majorHAnsi"/>
        </w:rPr>
        <w:t>obactive providers often have high staff turnover, compounding this problem and reducing the incentives for IEP providers to invest in relationships</w:t>
      </w:r>
    </w:p>
    <w:p w14:paraId="4FC5873F" w14:textId="77777777" w:rsidR="00872D20" w:rsidRPr="00820C89" w:rsidRDefault="00C85CC9" w:rsidP="00715F70">
      <w:pPr>
        <w:pStyle w:val="ListBullet"/>
        <w:numPr>
          <w:ilvl w:val="0"/>
          <w:numId w:val="49"/>
        </w:numPr>
        <w:spacing w:before="60" w:after="60"/>
        <w:contextualSpacing w:val="0"/>
        <w:rPr>
          <w:rFonts w:asciiTheme="majorHAnsi" w:hAnsiTheme="majorHAnsi"/>
        </w:rPr>
      </w:pPr>
      <w:r w:rsidRPr="00820C89">
        <w:rPr>
          <w:rFonts w:asciiTheme="majorHAnsi" w:hAnsiTheme="majorHAnsi"/>
        </w:rPr>
        <w:t>j</w:t>
      </w:r>
      <w:r w:rsidR="00872D20" w:rsidRPr="00820C89">
        <w:rPr>
          <w:rFonts w:asciiTheme="majorHAnsi" w:hAnsiTheme="majorHAnsi"/>
        </w:rPr>
        <w:t>obactive providers may be reluctant to refer participants to alternative programs, as they may be concerned that this will create an additional administrative burden or compromise their own performance KPIs</w:t>
      </w:r>
    </w:p>
    <w:p w14:paraId="67E2587F" w14:textId="77777777" w:rsidR="00872D20" w:rsidRPr="00820C89" w:rsidRDefault="00872D20" w:rsidP="00715F70">
      <w:pPr>
        <w:pStyle w:val="ListBullet"/>
        <w:numPr>
          <w:ilvl w:val="0"/>
          <w:numId w:val="49"/>
        </w:numPr>
        <w:spacing w:before="60" w:after="60"/>
        <w:contextualSpacing w:val="0"/>
        <w:rPr>
          <w:rFonts w:asciiTheme="majorHAnsi" w:hAnsiTheme="majorHAnsi"/>
        </w:rPr>
      </w:pPr>
      <w:r w:rsidRPr="00820C89">
        <w:rPr>
          <w:rFonts w:asciiTheme="majorHAnsi" w:hAnsiTheme="majorHAnsi"/>
        </w:rPr>
        <w:t xml:space="preserve">even where </w:t>
      </w:r>
      <w:r w:rsidR="00C85CC9" w:rsidRPr="00820C89">
        <w:rPr>
          <w:rFonts w:asciiTheme="majorHAnsi" w:hAnsiTheme="majorHAnsi"/>
        </w:rPr>
        <w:t>j</w:t>
      </w:r>
      <w:r w:rsidRPr="00820C89">
        <w:rPr>
          <w:rFonts w:asciiTheme="majorHAnsi" w:hAnsiTheme="majorHAnsi"/>
        </w:rPr>
        <w:t>obactive understanding of the role of IEP</w:t>
      </w:r>
      <w:r w:rsidR="00D64B8D" w:rsidRPr="00820C89">
        <w:rPr>
          <w:rFonts w:asciiTheme="majorHAnsi" w:hAnsiTheme="majorHAnsi"/>
        </w:rPr>
        <w:t xml:space="preserve"> </w:t>
      </w:r>
      <w:r w:rsidRPr="00820C89">
        <w:rPr>
          <w:rFonts w:asciiTheme="majorHAnsi" w:hAnsiTheme="majorHAnsi"/>
        </w:rPr>
        <w:t xml:space="preserve">is high, </w:t>
      </w:r>
      <w:r w:rsidR="00C85CC9" w:rsidRPr="00820C89">
        <w:rPr>
          <w:rFonts w:asciiTheme="majorHAnsi" w:hAnsiTheme="majorHAnsi"/>
        </w:rPr>
        <w:t>j</w:t>
      </w:r>
      <w:r w:rsidRPr="00820C89">
        <w:rPr>
          <w:rFonts w:asciiTheme="majorHAnsi" w:hAnsiTheme="majorHAnsi"/>
        </w:rPr>
        <w:t>obactive officers may not refer eligible candidates through to an IEP due to other factors such as a high case load and a lack of incentive/accountability to do so.</w:t>
      </w:r>
    </w:p>
    <w:p w14:paraId="7169ED74" w14:textId="77777777" w:rsidR="00872D20" w:rsidRPr="00820C89" w:rsidRDefault="00872D20" w:rsidP="00872D20">
      <w:pPr>
        <w:spacing w:before="170"/>
        <w:rPr>
          <w:rFonts w:asciiTheme="majorHAnsi" w:hAnsiTheme="majorHAnsi"/>
        </w:rPr>
      </w:pPr>
      <w:r w:rsidRPr="00820C89">
        <w:rPr>
          <w:rFonts w:asciiTheme="majorHAnsi" w:hAnsiTheme="majorHAnsi"/>
        </w:rPr>
        <w:t>Stakeholders summarise that:</w:t>
      </w:r>
    </w:p>
    <w:p w14:paraId="07C77BDF" w14:textId="77777777" w:rsidR="00872D20" w:rsidRPr="00820C89" w:rsidRDefault="00872D20" w:rsidP="00872D20">
      <w:pPr>
        <w:pStyle w:val="ListParagraph"/>
        <w:ind w:left="360"/>
        <w:rPr>
          <w:rFonts w:asciiTheme="majorHAnsi" w:hAnsiTheme="majorHAnsi"/>
          <w:i/>
        </w:rPr>
      </w:pPr>
      <w:r w:rsidRPr="00820C89">
        <w:rPr>
          <w:rFonts w:asciiTheme="majorHAnsi" w:hAnsiTheme="majorHAnsi"/>
          <w:i/>
        </w:rPr>
        <w:t>“There can be tension between JAs and VTECs… JAs tend to be a bit protective, they’re hard to work with.  Their contract is different in that they’re run on numbers, and so they don’t tend to get as customised and personal with the people, and so that’s a tension that doesn’t need to be there.” (VTEC provider)</w:t>
      </w:r>
    </w:p>
    <w:p w14:paraId="0AE7CFE4" w14:textId="77777777" w:rsidR="00872D20" w:rsidRPr="00820C89" w:rsidRDefault="00872D20" w:rsidP="00872D20">
      <w:pPr>
        <w:pStyle w:val="ListParagraph"/>
        <w:ind w:left="360"/>
        <w:rPr>
          <w:rFonts w:asciiTheme="majorHAnsi" w:hAnsiTheme="majorHAnsi"/>
          <w:i/>
        </w:rPr>
      </w:pPr>
    </w:p>
    <w:p w14:paraId="7A1F01F1" w14:textId="77777777" w:rsidR="00872D20" w:rsidRPr="00820C89" w:rsidRDefault="00872D20" w:rsidP="00872D20">
      <w:pPr>
        <w:pStyle w:val="ListParagraph"/>
        <w:ind w:left="360"/>
        <w:rPr>
          <w:rFonts w:asciiTheme="majorHAnsi" w:hAnsiTheme="majorHAnsi"/>
          <w:i/>
        </w:rPr>
      </w:pPr>
      <w:r w:rsidRPr="00820C89">
        <w:rPr>
          <w:rFonts w:asciiTheme="majorHAnsi" w:hAnsiTheme="majorHAnsi"/>
          <w:i/>
        </w:rPr>
        <w:t>“The policy settings for performance for providers are not necessarily correct. Don’t think mainstream Departments take Indigenous employment seriously.” (NIAA Regional Office)</w:t>
      </w:r>
    </w:p>
    <w:p w14:paraId="129A6986" w14:textId="77777777" w:rsidR="00872D20" w:rsidRPr="00820C89" w:rsidRDefault="00872D20" w:rsidP="00872D20">
      <w:pPr>
        <w:pStyle w:val="ListParagraph"/>
        <w:ind w:left="360"/>
        <w:rPr>
          <w:rFonts w:asciiTheme="majorHAnsi" w:hAnsiTheme="majorHAnsi"/>
          <w:i/>
        </w:rPr>
      </w:pPr>
    </w:p>
    <w:p w14:paraId="48CEED9B" w14:textId="77777777" w:rsidR="00872D20" w:rsidRPr="00820C89" w:rsidRDefault="00872D20" w:rsidP="00872D20">
      <w:pPr>
        <w:pStyle w:val="ListParagraph"/>
        <w:ind w:left="360"/>
        <w:rPr>
          <w:rFonts w:asciiTheme="majorHAnsi" w:hAnsiTheme="majorHAnsi"/>
          <w:i/>
        </w:rPr>
      </w:pPr>
      <w:r w:rsidRPr="00820C89">
        <w:rPr>
          <w:rFonts w:asciiTheme="majorHAnsi" w:hAnsiTheme="majorHAnsi"/>
          <w:i/>
        </w:rPr>
        <w:t xml:space="preserve">“It’s a very crowded industry, we are not necessarily working with other agencies, it feels more like competition. Often hard to engage </w:t>
      </w:r>
      <w:r w:rsidR="00C85CC9" w:rsidRPr="00820C89">
        <w:rPr>
          <w:rFonts w:asciiTheme="majorHAnsi" w:hAnsiTheme="majorHAnsi"/>
          <w:i/>
        </w:rPr>
        <w:t>j</w:t>
      </w:r>
      <w:r w:rsidRPr="00820C89">
        <w:rPr>
          <w:rFonts w:asciiTheme="majorHAnsi" w:hAnsiTheme="majorHAnsi"/>
          <w:i/>
        </w:rPr>
        <w:t xml:space="preserve">obactive for example” (NIAA Regional Office). </w:t>
      </w:r>
    </w:p>
    <w:p w14:paraId="457E286D" w14:textId="77777777" w:rsidR="00872D20" w:rsidRPr="00820C89" w:rsidRDefault="00872D20" w:rsidP="00872D20">
      <w:pPr>
        <w:pStyle w:val="ListParagraph"/>
        <w:ind w:left="360"/>
        <w:rPr>
          <w:rFonts w:asciiTheme="majorHAnsi" w:hAnsiTheme="majorHAnsi"/>
          <w:i/>
        </w:rPr>
      </w:pPr>
    </w:p>
    <w:p w14:paraId="13E1C4A1" w14:textId="77777777" w:rsidR="00872D20" w:rsidRPr="00820C89" w:rsidRDefault="00872D20" w:rsidP="00872D20">
      <w:pPr>
        <w:pStyle w:val="ListParagraph"/>
        <w:ind w:left="360"/>
        <w:rPr>
          <w:rFonts w:asciiTheme="majorHAnsi" w:hAnsiTheme="majorHAnsi"/>
          <w:i/>
        </w:rPr>
      </w:pPr>
      <w:r w:rsidRPr="00820C89">
        <w:rPr>
          <w:rFonts w:asciiTheme="majorHAnsi" w:hAnsiTheme="majorHAnsi"/>
          <w:i/>
        </w:rPr>
        <w:t>“While there’s buckets of money out there that could be accessed, because each bucket comes with its own rules and regulations, sometimes it’s been difficult for us to access the funds to make the model work. And they’re all kind of designed to solve a model.” (VTEC provider)</w:t>
      </w:r>
    </w:p>
    <w:p w14:paraId="5740FE99" w14:textId="77777777" w:rsidR="00F1491C" w:rsidRPr="00820C89" w:rsidRDefault="00E441FC" w:rsidP="00872D20">
      <w:pPr>
        <w:rPr>
          <w:rFonts w:asciiTheme="majorHAnsi" w:hAnsiTheme="majorHAnsi"/>
        </w:rPr>
      </w:pPr>
      <w:r w:rsidRPr="00820C89">
        <w:rPr>
          <w:rFonts w:asciiTheme="majorHAnsi" w:hAnsiTheme="majorHAnsi"/>
        </w:rPr>
        <w:t xml:space="preserve">Importantly, </w:t>
      </w:r>
      <w:r w:rsidR="00486046" w:rsidRPr="00820C89">
        <w:rPr>
          <w:rFonts w:asciiTheme="majorHAnsi" w:hAnsiTheme="majorHAnsi"/>
        </w:rPr>
        <w:t>jobactive providers were not directly consulted with as part of this evaluation process, meaning that counter-</w:t>
      </w:r>
      <w:r w:rsidR="00DF7C05" w:rsidRPr="00820C89">
        <w:rPr>
          <w:rFonts w:asciiTheme="majorHAnsi" w:hAnsiTheme="majorHAnsi"/>
        </w:rPr>
        <w:t>perspectives</w:t>
      </w:r>
      <w:r w:rsidR="00486046" w:rsidRPr="00820C89">
        <w:rPr>
          <w:rFonts w:asciiTheme="majorHAnsi" w:hAnsiTheme="majorHAnsi"/>
        </w:rPr>
        <w:t xml:space="preserve"> </w:t>
      </w:r>
      <w:r w:rsidR="0070642C" w:rsidRPr="00820C89">
        <w:rPr>
          <w:rFonts w:asciiTheme="majorHAnsi" w:hAnsiTheme="majorHAnsi"/>
        </w:rPr>
        <w:t>on the above points cannot be provided.</w:t>
      </w:r>
    </w:p>
    <w:p w14:paraId="73741091" w14:textId="77777777" w:rsidR="00872D20" w:rsidRPr="00820C89" w:rsidRDefault="00872D20" w:rsidP="00872D20">
      <w:pPr>
        <w:rPr>
          <w:rFonts w:asciiTheme="majorHAnsi" w:hAnsiTheme="majorHAnsi"/>
        </w:rPr>
      </w:pPr>
      <w:r w:rsidRPr="00820C89">
        <w:rPr>
          <w:rFonts w:asciiTheme="majorHAnsi" w:hAnsiTheme="majorHAnsi"/>
        </w:rPr>
        <w:t xml:space="preserve">Few IEP providers and partners stated that they relied solely on </w:t>
      </w:r>
      <w:r w:rsidR="00C85CC9" w:rsidRPr="00820C89">
        <w:rPr>
          <w:rFonts w:asciiTheme="majorHAnsi" w:hAnsiTheme="majorHAnsi"/>
        </w:rPr>
        <w:t>j</w:t>
      </w:r>
      <w:r w:rsidRPr="00820C89">
        <w:rPr>
          <w:rFonts w:asciiTheme="majorHAnsi" w:hAnsiTheme="majorHAnsi"/>
        </w:rPr>
        <w:t>obactive or CDP referrals to recruit participants. Rather, providers found recruitment processes were more effective and sustainable if embedded in a variety of relationships – including, but not limited to, word-of-mouth within local Indigenous communities and from previous program participants.</w:t>
      </w:r>
    </w:p>
    <w:p w14:paraId="46AC7479" w14:textId="77777777" w:rsidR="00872D20" w:rsidRPr="00820C89" w:rsidRDefault="00872D20" w:rsidP="00872D20">
      <w:pPr>
        <w:rPr>
          <w:rFonts w:asciiTheme="majorHAnsi" w:hAnsiTheme="majorHAnsi"/>
        </w:rPr>
      </w:pPr>
      <w:r w:rsidRPr="00820C89">
        <w:rPr>
          <w:rFonts w:asciiTheme="majorHAnsi" w:hAnsiTheme="majorHAnsi"/>
        </w:rPr>
        <w:t xml:space="preserve">In some cases, IEP providers reported that word of mouth networks created access to Indigenous jobseekers that had not yet engaged with a mainstream service provider. This is an important observation as it highlights the role that </w:t>
      </w:r>
      <w:r w:rsidR="008C11BD" w:rsidRPr="00820C89">
        <w:rPr>
          <w:rFonts w:asciiTheme="majorHAnsi" w:hAnsiTheme="majorHAnsi"/>
        </w:rPr>
        <w:t>the IEP</w:t>
      </w:r>
      <w:r w:rsidRPr="00820C89">
        <w:rPr>
          <w:rFonts w:asciiTheme="majorHAnsi" w:hAnsiTheme="majorHAnsi"/>
        </w:rPr>
        <w:t xml:space="preserve"> can play in establishing trusted relationships with community and encouraging participation in employment services (and employment more generally) for those that would not have participated otherwise. </w:t>
      </w:r>
    </w:p>
    <w:p w14:paraId="60FD3214" w14:textId="77777777" w:rsidR="00872D20" w:rsidRPr="00820C89" w:rsidRDefault="00872D20" w:rsidP="00872D20">
      <w:pPr>
        <w:rPr>
          <w:rFonts w:asciiTheme="majorHAnsi" w:hAnsiTheme="majorHAnsi"/>
        </w:rPr>
      </w:pPr>
      <w:r w:rsidRPr="00820C89">
        <w:rPr>
          <w:rFonts w:asciiTheme="majorHAnsi" w:hAnsiTheme="majorHAnsi"/>
        </w:rPr>
        <w:t xml:space="preserve">The nature of the relationship between </w:t>
      </w:r>
      <w:r w:rsidR="007C056D" w:rsidRPr="00820C89">
        <w:rPr>
          <w:rFonts w:asciiTheme="majorHAnsi" w:hAnsiTheme="majorHAnsi"/>
        </w:rPr>
        <w:t>the IEP</w:t>
      </w:r>
      <w:r w:rsidRPr="00820C89">
        <w:rPr>
          <w:rFonts w:asciiTheme="majorHAnsi" w:hAnsiTheme="majorHAnsi"/>
        </w:rPr>
        <w:t xml:space="preserve"> and mainstream employment service providers has significant implications for the efficacy of the IEP. Funding for both </w:t>
      </w:r>
      <w:r w:rsidR="007C056D" w:rsidRPr="00820C89">
        <w:rPr>
          <w:rFonts w:asciiTheme="majorHAnsi" w:hAnsiTheme="majorHAnsi"/>
        </w:rPr>
        <w:t>the IEP</w:t>
      </w:r>
      <w:r w:rsidRPr="00820C89">
        <w:rPr>
          <w:rFonts w:asciiTheme="majorHAnsi" w:hAnsiTheme="majorHAnsi"/>
        </w:rPr>
        <w:t xml:space="preserve"> and mainstream employment providers is based on a series of assumptions pertaining to their relationship with each other and the activities undertaken. If this relationship is not functioning as intended – for instance, </w:t>
      </w:r>
      <w:r w:rsidRPr="00820C89">
        <w:rPr>
          <w:rFonts w:asciiTheme="majorHAnsi" w:hAnsiTheme="majorHAnsi"/>
        </w:rPr>
        <w:lastRenderedPageBreak/>
        <w:t xml:space="preserve">if </w:t>
      </w:r>
      <w:r w:rsidR="007C056D" w:rsidRPr="00820C89">
        <w:rPr>
          <w:rFonts w:asciiTheme="majorHAnsi" w:hAnsiTheme="majorHAnsi"/>
        </w:rPr>
        <w:t xml:space="preserve">the IEP </w:t>
      </w:r>
      <w:r w:rsidR="00A55C65" w:rsidRPr="00820C89">
        <w:rPr>
          <w:rFonts w:asciiTheme="majorHAnsi" w:hAnsiTheme="majorHAnsi"/>
        </w:rPr>
        <w:t>is</w:t>
      </w:r>
      <w:r w:rsidRPr="00820C89">
        <w:rPr>
          <w:rFonts w:asciiTheme="majorHAnsi" w:hAnsiTheme="majorHAnsi"/>
        </w:rPr>
        <w:t xml:space="preserve"> generating referrals through other means, or if mainstream employment providers are reducing their service delivery to Indigenous clients while they participate in an IEP, this has implications for the efficacy of investment.</w:t>
      </w:r>
    </w:p>
    <w:p w14:paraId="6C770739" w14:textId="77777777" w:rsidR="00872D20" w:rsidRPr="00820C89" w:rsidRDefault="00872D20" w:rsidP="00872D20">
      <w:pPr>
        <w:rPr>
          <w:rFonts w:asciiTheme="majorHAnsi" w:hAnsiTheme="majorHAnsi"/>
        </w:rPr>
      </w:pPr>
      <w:r w:rsidRPr="00820C89">
        <w:rPr>
          <w:rFonts w:asciiTheme="majorHAnsi" w:hAnsiTheme="majorHAnsi"/>
        </w:rPr>
        <w:t xml:space="preserve">In this case, there appears to be scope to revisit the relationship between mainstream service providers and </w:t>
      </w:r>
      <w:r w:rsidR="00010CE8" w:rsidRPr="00820C89">
        <w:rPr>
          <w:rFonts w:asciiTheme="majorHAnsi" w:hAnsiTheme="majorHAnsi"/>
        </w:rPr>
        <w:t>the IEP</w:t>
      </w:r>
      <w:r w:rsidRPr="00820C89">
        <w:rPr>
          <w:rFonts w:asciiTheme="majorHAnsi" w:hAnsiTheme="majorHAnsi"/>
        </w:rPr>
        <w:t xml:space="preserve"> to ensure:</w:t>
      </w:r>
    </w:p>
    <w:p w14:paraId="2D5D0D5E" w14:textId="77777777" w:rsidR="00872D20" w:rsidRPr="00820C89" w:rsidRDefault="00872D20" w:rsidP="00715F70">
      <w:pPr>
        <w:pStyle w:val="ListBullet"/>
        <w:numPr>
          <w:ilvl w:val="0"/>
          <w:numId w:val="50"/>
        </w:numPr>
        <w:spacing w:before="60" w:after="60"/>
        <w:contextualSpacing w:val="0"/>
        <w:rPr>
          <w:rFonts w:asciiTheme="majorHAnsi" w:hAnsiTheme="majorHAnsi"/>
        </w:rPr>
      </w:pPr>
      <w:r w:rsidRPr="00820C89">
        <w:rPr>
          <w:rFonts w:asciiTheme="majorHAnsi" w:hAnsiTheme="majorHAnsi"/>
        </w:rPr>
        <w:t>there is clear guidance provided on the respective roles and responsibility of each agency in terms of both sharing of information, and also service delivery for individual jobseekers while a jobseeker is participating in both programs</w:t>
      </w:r>
    </w:p>
    <w:p w14:paraId="65D6AC22" w14:textId="77777777" w:rsidR="00872D20" w:rsidRPr="00820C89" w:rsidRDefault="00872D20" w:rsidP="00715F70">
      <w:pPr>
        <w:pStyle w:val="ListBullet"/>
        <w:numPr>
          <w:ilvl w:val="0"/>
          <w:numId w:val="50"/>
        </w:numPr>
        <w:spacing w:before="60" w:after="60"/>
        <w:contextualSpacing w:val="0"/>
        <w:rPr>
          <w:rFonts w:asciiTheme="majorHAnsi" w:hAnsiTheme="majorHAnsi"/>
        </w:rPr>
      </w:pPr>
      <w:r w:rsidRPr="00820C89">
        <w:rPr>
          <w:rFonts w:asciiTheme="majorHAnsi" w:hAnsiTheme="majorHAnsi"/>
        </w:rPr>
        <w:t>the funding arrangements are revised to reflect these roles and responsibilities, if they differ from current guidance</w:t>
      </w:r>
    </w:p>
    <w:p w14:paraId="77967E26" w14:textId="77777777" w:rsidR="00872D20" w:rsidRPr="00820C89" w:rsidRDefault="00872D20" w:rsidP="00715F70">
      <w:pPr>
        <w:pStyle w:val="ListBullet"/>
        <w:numPr>
          <w:ilvl w:val="1"/>
          <w:numId w:val="8"/>
        </w:numPr>
        <w:spacing w:before="60" w:after="60"/>
        <w:contextualSpacing w:val="0"/>
        <w:rPr>
          <w:rFonts w:asciiTheme="majorHAnsi" w:hAnsiTheme="majorHAnsi"/>
        </w:rPr>
      </w:pPr>
      <w:r w:rsidRPr="00820C89">
        <w:rPr>
          <w:rFonts w:asciiTheme="majorHAnsi" w:hAnsiTheme="majorHAnsi"/>
        </w:rPr>
        <w:t xml:space="preserve">for instance, funding may be adjusted to reflect the increased role </w:t>
      </w:r>
      <w:r w:rsidR="00681CA1" w:rsidRPr="00820C89">
        <w:rPr>
          <w:rFonts w:asciiTheme="majorHAnsi" w:hAnsiTheme="majorHAnsi"/>
        </w:rPr>
        <w:t xml:space="preserve">that </w:t>
      </w:r>
      <w:r w:rsidR="001C5FE0" w:rsidRPr="00820C89">
        <w:rPr>
          <w:rFonts w:asciiTheme="majorHAnsi" w:hAnsiTheme="majorHAnsi"/>
        </w:rPr>
        <w:t>the IEP</w:t>
      </w:r>
      <w:r w:rsidRPr="00820C89">
        <w:rPr>
          <w:rFonts w:asciiTheme="majorHAnsi" w:hAnsiTheme="majorHAnsi"/>
        </w:rPr>
        <w:t xml:space="preserve"> may be expected to play in community relationships to support</w:t>
      </w:r>
      <w:r w:rsidR="001C0C1B" w:rsidRPr="00820C89">
        <w:rPr>
          <w:rFonts w:asciiTheme="majorHAnsi" w:hAnsiTheme="majorHAnsi"/>
        </w:rPr>
        <w:t xml:space="preserve"> the</w:t>
      </w:r>
      <w:r w:rsidRPr="00820C89">
        <w:rPr>
          <w:rFonts w:asciiTheme="majorHAnsi" w:hAnsiTheme="majorHAnsi"/>
        </w:rPr>
        <w:t xml:space="preserve"> recruitment of participants, or in providing tailored mentoring and support where </w:t>
      </w:r>
      <w:r w:rsidR="00C85CC9" w:rsidRPr="00820C89">
        <w:rPr>
          <w:rFonts w:asciiTheme="majorHAnsi" w:hAnsiTheme="majorHAnsi"/>
        </w:rPr>
        <w:t>j</w:t>
      </w:r>
      <w:r w:rsidRPr="00820C89">
        <w:rPr>
          <w:rFonts w:asciiTheme="majorHAnsi" w:hAnsiTheme="majorHAnsi"/>
        </w:rPr>
        <w:t>obactive</w:t>
      </w:r>
      <w:r w:rsidR="00730383" w:rsidRPr="00820C89">
        <w:rPr>
          <w:rFonts w:asciiTheme="majorHAnsi" w:hAnsiTheme="majorHAnsi"/>
        </w:rPr>
        <w:t xml:space="preserve"> providers</w:t>
      </w:r>
      <w:r w:rsidRPr="00820C89">
        <w:rPr>
          <w:rFonts w:asciiTheme="majorHAnsi" w:hAnsiTheme="majorHAnsi"/>
        </w:rPr>
        <w:t xml:space="preserve"> do not also </w:t>
      </w:r>
      <w:r w:rsidR="00EF54FA" w:rsidRPr="00820C89">
        <w:rPr>
          <w:rFonts w:asciiTheme="majorHAnsi" w:hAnsiTheme="majorHAnsi"/>
        </w:rPr>
        <w:t xml:space="preserve">deliver </w:t>
      </w:r>
      <w:r w:rsidRPr="00820C89">
        <w:rPr>
          <w:rFonts w:asciiTheme="majorHAnsi" w:hAnsiTheme="majorHAnsi"/>
        </w:rPr>
        <w:t>this service</w:t>
      </w:r>
    </w:p>
    <w:p w14:paraId="637263ED" w14:textId="77777777" w:rsidR="00872D20" w:rsidRPr="00820C89" w:rsidRDefault="00872D20" w:rsidP="00715F70">
      <w:pPr>
        <w:pStyle w:val="ListBullet"/>
        <w:numPr>
          <w:ilvl w:val="0"/>
          <w:numId w:val="50"/>
        </w:numPr>
        <w:spacing w:before="60" w:after="60"/>
        <w:contextualSpacing w:val="0"/>
        <w:rPr>
          <w:rFonts w:asciiTheme="majorHAnsi" w:hAnsiTheme="majorHAnsi"/>
        </w:rPr>
      </w:pPr>
      <w:r w:rsidRPr="00820C89">
        <w:rPr>
          <w:rFonts w:asciiTheme="majorHAnsi" w:hAnsiTheme="majorHAnsi"/>
        </w:rPr>
        <w:t xml:space="preserve">governance and accountability structures support appropriate sharing of information and service collaboration between </w:t>
      </w:r>
      <w:r w:rsidR="001C5FE0" w:rsidRPr="00820C89">
        <w:rPr>
          <w:rFonts w:asciiTheme="majorHAnsi" w:hAnsiTheme="majorHAnsi"/>
        </w:rPr>
        <w:t xml:space="preserve">the IEP </w:t>
      </w:r>
      <w:r w:rsidRPr="00820C89">
        <w:rPr>
          <w:rFonts w:asciiTheme="majorHAnsi" w:hAnsiTheme="majorHAnsi"/>
        </w:rPr>
        <w:t xml:space="preserve">and mainstream service providers. </w:t>
      </w:r>
    </w:p>
    <w:p w14:paraId="36705922" w14:textId="77777777" w:rsidR="00872D20" w:rsidRPr="00820C89" w:rsidRDefault="00872D20" w:rsidP="00715F70">
      <w:pPr>
        <w:pStyle w:val="ListBullet"/>
        <w:numPr>
          <w:ilvl w:val="1"/>
          <w:numId w:val="8"/>
        </w:numPr>
        <w:spacing w:before="60" w:after="60"/>
        <w:contextualSpacing w:val="0"/>
        <w:rPr>
          <w:rFonts w:asciiTheme="majorHAnsi" w:hAnsiTheme="majorHAnsi"/>
        </w:rPr>
      </w:pPr>
      <w:r w:rsidRPr="00820C89">
        <w:rPr>
          <w:rFonts w:asciiTheme="majorHAnsi" w:hAnsiTheme="majorHAnsi"/>
        </w:rPr>
        <w:t xml:space="preserve">This may include data sharing between agencies, or explicit clauses in mainstream employment service funding agreements where a base level of relationship is required (such as referring eligible participants on).  </w:t>
      </w:r>
    </w:p>
    <w:p w14:paraId="0F18459F" w14:textId="0A5ADDA4" w:rsidR="0040692E" w:rsidRPr="00820C89" w:rsidRDefault="00872D20" w:rsidP="00725995">
      <w:pPr>
        <w:spacing w:before="170"/>
        <w:rPr>
          <w:rFonts w:asciiTheme="majorHAnsi" w:hAnsiTheme="majorHAnsi"/>
        </w:rPr>
      </w:pPr>
      <w:r w:rsidRPr="00820C89">
        <w:rPr>
          <w:rFonts w:asciiTheme="majorHAnsi" w:hAnsiTheme="majorHAnsi"/>
        </w:rPr>
        <w:t xml:space="preserve">At a minimum, the above measures would seek to support the programs functioning together as intended – reducing the risk that Commonwealth funding is duplicated across multiple services for sub-standard outcomes. Ideally, however, the above measures would support strong collaborative relationships between </w:t>
      </w:r>
      <w:r w:rsidR="001C5FE0" w:rsidRPr="00820C89">
        <w:rPr>
          <w:rFonts w:asciiTheme="majorHAnsi" w:hAnsiTheme="majorHAnsi"/>
        </w:rPr>
        <w:t>the IEP</w:t>
      </w:r>
      <w:r w:rsidRPr="00820C89">
        <w:rPr>
          <w:rFonts w:asciiTheme="majorHAnsi" w:hAnsiTheme="majorHAnsi"/>
        </w:rPr>
        <w:t xml:space="preserve"> and mainstream employment service providers – ensuring that investment was optimised through appropriate information sharing, service delivery aligned with </w:t>
      </w:r>
      <w:r w:rsidR="002C272B" w:rsidRPr="00820C89">
        <w:rPr>
          <w:rFonts w:asciiTheme="majorHAnsi" w:hAnsiTheme="majorHAnsi"/>
        </w:rPr>
        <w:t xml:space="preserve">comparative </w:t>
      </w:r>
      <w:r w:rsidRPr="00820C89">
        <w:rPr>
          <w:rFonts w:asciiTheme="majorHAnsi" w:hAnsiTheme="majorHAnsi"/>
        </w:rPr>
        <w:t xml:space="preserve">advantage, and a shared commitment to lift employment outcomes for Indigenous Australians. </w:t>
      </w:r>
    </w:p>
    <w:p w14:paraId="31339731" w14:textId="77777777" w:rsidR="00624AE2" w:rsidRPr="00820C89" w:rsidRDefault="00725995" w:rsidP="00F643F0">
      <w:pPr>
        <w:rPr>
          <w:rFonts w:asciiTheme="majorHAnsi" w:hAnsiTheme="majorHAnsi"/>
        </w:rPr>
      </w:pPr>
      <w:r w:rsidRPr="00820C89">
        <w:rPr>
          <w:rFonts w:asciiTheme="majorHAnsi" w:hAnsiTheme="majorHAnsi"/>
        </w:rPr>
        <w:t>In addition to interacting with mainstream employment services, states and territories also deliver an array of Indigenous employment services. A preliminary scan of the Indigenous employment policies at this level of government (informed by stakeholder consultations and desktop research) suggests that there are a wide variety of different policies in place</w:t>
      </w:r>
      <w:r w:rsidR="00F643F0" w:rsidRPr="00820C89">
        <w:rPr>
          <w:rFonts w:asciiTheme="majorHAnsi" w:hAnsiTheme="majorHAnsi"/>
        </w:rPr>
        <w:t>.</w:t>
      </w:r>
      <w:r w:rsidRPr="00820C89">
        <w:rPr>
          <w:rFonts w:asciiTheme="majorHAnsi" w:hAnsiTheme="majorHAnsi"/>
        </w:rPr>
        <w:t xml:space="preserve"> </w:t>
      </w:r>
    </w:p>
    <w:p w14:paraId="233BEFA5" w14:textId="77777777" w:rsidR="00624AE2" w:rsidRPr="00820C89" w:rsidRDefault="00624AE2" w:rsidP="00624AE2">
      <w:pPr>
        <w:rPr>
          <w:rFonts w:asciiTheme="majorHAnsi" w:hAnsiTheme="majorHAnsi"/>
        </w:rPr>
      </w:pPr>
      <w:r w:rsidRPr="00820C89">
        <w:rPr>
          <w:rFonts w:asciiTheme="majorHAnsi" w:hAnsiTheme="majorHAnsi"/>
        </w:rPr>
        <w:t xml:space="preserve">Analysis of IEP policy and program documentation suggests that there are no formal guidelines or processes dictating how the </w:t>
      </w:r>
      <w:r w:rsidR="001C5FE0" w:rsidRPr="00820C89">
        <w:rPr>
          <w:rFonts w:asciiTheme="majorHAnsi" w:hAnsiTheme="majorHAnsi"/>
        </w:rPr>
        <w:t>IEP is</w:t>
      </w:r>
      <w:r w:rsidRPr="00820C89">
        <w:rPr>
          <w:rFonts w:asciiTheme="majorHAnsi" w:hAnsiTheme="majorHAnsi"/>
        </w:rPr>
        <w:t xml:space="preserve"> intended to interact with state and territory government programs. That is:</w:t>
      </w:r>
    </w:p>
    <w:p w14:paraId="4D65534C" w14:textId="77777777" w:rsidR="00624AE2" w:rsidRPr="00820C89" w:rsidRDefault="00624AE2" w:rsidP="00715F70">
      <w:pPr>
        <w:pStyle w:val="ListBullet"/>
        <w:numPr>
          <w:ilvl w:val="0"/>
          <w:numId w:val="51"/>
        </w:numPr>
        <w:spacing w:before="60" w:after="60"/>
        <w:ind w:left="357" w:hanging="357"/>
        <w:contextualSpacing w:val="0"/>
        <w:rPr>
          <w:rFonts w:asciiTheme="majorHAnsi" w:hAnsiTheme="majorHAnsi"/>
        </w:rPr>
      </w:pPr>
      <w:r w:rsidRPr="00820C89">
        <w:rPr>
          <w:rFonts w:asciiTheme="majorHAnsi" w:hAnsiTheme="majorHAnsi"/>
        </w:rPr>
        <w:t>there is currently limited guidance within contracts or role descriptions on how IEP providers, partners or participants are expected to interact with locally delivered programs</w:t>
      </w:r>
    </w:p>
    <w:p w14:paraId="433979F4" w14:textId="77777777" w:rsidR="00624AE2" w:rsidRPr="00820C89" w:rsidRDefault="00624AE2" w:rsidP="00715F70">
      <w:pPr>
        <w:pStyle w:val="ListBullet"/>
        <w:numPr>
          <w:ilvl w:val="0"/>
          <w:numId w:val="51"/>
        </w:numPr>
        <w:spacing w:before="60" w:after="60"/>
        <w:ind w:left="357" w:hanging="357"/>
        <w:contextualSpacing w:val="0"/>
        <w:rPr>
          <w:rFonts w:asciiTheme="majorHAnsi" w:hAnsiTheme="majorHAnsi"/>
        </w:rPr>
      </w:pPr>
      <w:r w:rsidRPr="00820C89">
        <w:rPr>
          <w:rFonts w:asciiTheme="majorHAnsi" w:hAnsiTheme="majorHAnsi"/>
        </w:rPr>
        <w:t>regional offices are not required to interact with local or state/territory governments to ensure co-ordinated service provision at a regional level</w:t>
      </w:r>
    </w:p>
    <w:p w14:paraId="0F085C56" w14:textId="77777777" w:rsidR="00624AE2" w:rsidRPr="00820C89" w:rsidRDefault="00624AE2" w:rsidP="00715F70">
      <w:pPr>
        <w:pStyle w:val="ListBullet"/>
        <w:numPr>
          <w:ilvl w:val="0"/>
          <w:numId w:val="51"/>
        </w:numPr>
        <w:spacing w:before="60" w:after="60"/>
        <w:ind w:left="357" w:hanging="357"/>
        <w:contextualSpacing w:val="0"/>
        <w:rPr>
          <w:rFonts w:asciiTheme="majorHAnsi" w:hAnsiTheme="majorHAnsi"/>
        </w:rPr>
      </w:pPr>
      <w:r w:rsidRPr="00820C89">
        <w:rPr>
          <w:rFonts w:asciiTheme="majorHAnsi" w:hAnsiTheme="majorHAnsi"/>
        </w:rPr>
        <w:t xml:space="preserve">there is also no evidence to suggest that NIAA head-office holds strong relationships with state and territory governments to support a strategic and co-ordinated inter-jurisdictional approach.  </w:t>
      </w:r>
    </w:p>
    <w:p w14:paraId="4ECB08C9" w14:textId="77777777" w:rsidR="00624AE2" w:rsidRPr="00820C89" w:rsidRDefault="00624AE2" w:rsidP="00624AE2">
      <w:pPr>
        <w:spacing w:before="170"/>
        <w:rPr>
          <w:rFonts w:asciiTheme="majorHAnsi" w:hAnsiTheme="majorHAnsi"/>
        </w:rPr>
      </w:pPr>
      <w:r w:rsidRPr="00820C89">
        <w:rPr>
          <w:rFonts w:asciiTheme="majorHAnsi" w:hAnsiTheme="majorHAnsi"/>
        </w:rPr>
        <w:t xml:space="preserve">During consultation with state and territory government offices focused on Indigenous employment, it was frequently found that there was little awareness of or understanding of the IEP or Commonwealth activity supporting Indigenous employment (with the exception of </w:t>
      </w:r>
      <w:r w:rsidR="00C85CC9" w:rsidRPr="00820C89">
        <w:rPr>
          <w:rFonts w:asciiTheme="majorHAnsi" w:hAnsiTheme="majorHAnsi"/>
        </w:rPr>
        <w:t>j</w:t>
      </w:r>
      <w:r w:rsidRPr="00820C89">
        <w:rPr>
          <w:rFonts w:asciiTheme="majorHAnsi" w:hAnsiTheme="majorHAnsi"/>
        </w:rPr>
        <w:t xml:space="preserve">obactive and CDP services). </w:t>
      </w:r>
    </w:p>
    <w:p w14:paraId="5E1CF40A" w14:textId="77777777" w:rsidR="006E77A7" w:rsidRPr="00820C89" w:rsidRDefault="00624AE2" w:rsidP="00624AE2">
      <w:pPr>
        <w:spacing w:before="170"/>
        <w:rPr>
          <w:rFonts w:asciiTheme="majorHAnsi" w:hAnsiTheme="majorHAnsi"/>
        </w:rPr>
      </w:pPr>
      <w:r w:rsidRPr="00820C89">
        <w:rPr>
          <w:rFonts w:asciiTheme="majorHAnsi" w:hAnsiTheme="majorHAnsi"/>
        </w:rPr>
        <w:t xml:space="preserve">Given the prevalence of state and territory based Indigenous employment programs, the lack of a guiding strategy to support inter-jurisdictional collaboration poses a risk of duplicated effort, a disconnected and confusing employment services landscape for Indigenous jobseekers and missed opportunities for strategic partnerships and program design that efficiently leverages the comparative strengths of each system. </w:t>
      </w:r>
    </w:p>
    <w:p w14:paraId="17CB087D" w14:textId="77777777" w:rsidR="005E07D9" w:rsidRPr="00820C89" w:rsidRDefault="000F41B4" w:rsidP="005E07D9">
      <w:pPr>
        <w:pStyle w:val="Heading3"/>
      </w:pPr>
      <w:r w:rsidRPr="00820C89">
        <w:lastRenderedPageBreak/>
        <w:t>Provider funding decisions</w:t>
      </w:r>
    </w:p>
    <w:p w14:paraId="6311699E" w14:textId="4231DAE8" w:rsidR="005E07D9" w:rsidRPr="00820C89" w:rsidRDefault="005E07D9" w:rsidP="005E07D9">
      <w:pPr>
        <w:rPr>
          <w:rFonts w:asciiTheme="majorHAnsi" w:hAnsiTheme="majorHAnsi"/>
        </w:rPr>
      </w:pPr>
      <w:r w:rsidRPr="00820C89">
        <w:rPr>
          <w:rFonts w:asciiTheme="majorHAnsi" w:hAnsiTheme="majorHAnsi"/>
        </w:rPr>
        <w:t xml:space="preserve">Investment will be most effective when targeted towards the areas of IEP delivery that hold the most impact, and where this is implemented in an efficient manner that is cognisant of, and works with, the complex service delivery environment in which </w:t>
      </w:r>
      <w:r w:rsidR="004B6CA8" w:rsidRPr="00820C89">
        <w:rPr>
          <w:rFonts w:asciiTheme="majorHAnsi" w:hAnsiTheme="majorHAnsi"/>
        </w:rPr>
        <w:t>this policy agenda sits.</w:t>
      </w:r>
      <w:r w:rsidRPr="00820C89">
        <w:rPr>
          <w:rFonts w:asciiTheme="majorHAnsi" w:hAnsiTheme="majorHAnsi"/>
        </w:rPr>
        <w:t xml:space="preserve"> </w:t>
      </w:r>
    </w:p>
    <w:p w14:paraId="2E0DB3CE" w14:textId="77777777" w:rsidR="006E77A7" w:rsidRPr="00820C89" w:rsidRDefault="00410F5D" w:rsidP="006E77A7">
      <w:pPr>
        <w:rPr>
          <w:rFonts w:asciiTheme="majorHAnsi" w:hAnsiTheme="majorHAnsi"/>
        </w:rPr>
      </w:pPr>
      <w:r w:rsidRPr="00820C89">
        <w:rPr>
          <w:rFonts w:asciiTheme="majorHAnsi" w:hAnsiTheme="majorHAnsi"/>
        </w:rPr>
        <w:t>Currently, w</w:t>
      </w:r>
      <w:r w:rsidR="006E77A7" w:rsidRPr="00820C89">
        <w:rPr>
          <w:rFonts w:asciiTheme="majorHAnsi" w:hAnsiTheme="majorHAnsi"/>
        </w:rPr>
        <w:t xml:space="preserve">hile both the VTEC and EPI program invite providers to participate, thereby allowing for some degree of central determination in the quality and nature of providers, these providers must already be operational (i.e. there is no direct government delivery of </w:t>
      </w:r>
      <w:r w:rsidR="00AE5E7A" w:rsidRPr="00820C89">
        <w:rPr>
          <w:rFonts w:asciiTheme="majorHAnsi" w:hAnsiTheme="majorHAnsi"/>
        </w:rPr>
        <w:t>the IEP</w:t>
      </w:r>
      <w:r w:rsidR="006E77A7" w:rsidRPr="00820C89">
        <w:rPr>
          <w:rFonts w:asciiTheme="majorHAnsi" w:hAnsiTheme="majorHAnsi"/>
        </w:rPr>
        <w:t xml:space="preserve"> or building of provider capacity) and providers choose whether to accept the invitation or not. As such, there is a reactive element of IEP service provision in that providers must exist and be willing to deliver services before a project can be established. This is particularly the case for the TAEG program, in which regional offices stated the model was largely reactive, </w:t>
      </w:r>
      <w:r w:rsidR="006E77A7" w:rsidRPr="00820C89">
        <w:rPr>
          <w:rFonts w:asciiTheme="majorHAnsi" w:hAnsiTheme="majorHAnsi"/>
          <w:i/>
        </w:rPr>
        <w:t>‘we wait for people to come to us’ (NIAA Regional Office).</w:t>
      </w:r>
      <w:r w:rsidR="006E77A7" w:rsidRPr="00820C89">
        <w:rPr>
          <w:rFonts w:asciiTheme="majorHAnsi" w:hAnsiTheme="majorHAnsi"/>
        </w:rPr>
        <w:t xml:space="preserve"> </w:t>
      </w:r>
    </w:p>
    <w:p w14:paraId="1C468086" w14:textId="03AB9377" w:rsidR="006E77A7" w:rsidRPr="00820C89" w:rsidRDefault="0063752F" w:rsidP="008F54A1">
      <w:pPr>
        <w:rPr>
          <w:rFonts w:asciiTheme="majorHAnsi" w:hAnsiTheme="majorHAnsi"/>
        </w:rPr>
      </w:pPr>
      <w:r w:rsidRPr="00820C89">
        <w:rPr>
          <w:rFonts w:asciiTheme="majorHAnsi" w:hAnsiTheme="majorHAnsi"/>
        </w:rPr>
        <w:t>T</w:t>
      </w:r>
      <w:r w:rsidR="006E77A7" w:rsidRPr="00820C89">
        <w:rPr>
          <w:rFonts w:asciiTheme="majorHAnsi" w:hAnsiTheme="majorHAnsi"/>
        </w:rPr>
        <w:t xml:space="preserve">he high level of financial risk that is borne by providers means that in certain geographical areas, industries or for cohorts in which the risk for outcomes is greater – there may not be providers willing to deliver services. The reactive procurement model means that there is limited ability for the NIAA to </w:t>
      </w:r>
      <w:r w:rsidR="006A5F47" w:rsidRPr="00820C89">
        <w:rPr>
          <w:rFonts w:asciiTheme="majorHAnsi" w:hAnsiTheme="majorHAnsi"/>
        </w:rPr>
        <w:t>ensure that the programs have suitable coverage</w:t>
      </w:r>
      <w:r w:rsidR="00244CC8" w:rsidRPr="00820C89">
        <w:rPr>
          <w:rFonts w:asciiTheme="majorHAnsi" w:hAnsiTheme="majorHAnsi"/>
        </w:rPr>
        <w:t xml:space="preserve"> or</w:t>
      </w:r>
      <w:r w:rsidR="006A5F47" w:rsidRPr="00820C89">
        <w:rPr>
          <w:rFonts w:asciiTheme="majorHAnsi" w:hAnsiTheme="majorHAnsi"/>
        </w:rPr>
        <w:t xml:space="preserve"> align well with ‘need’</w:t>
      </w:r>
      <w:r w:rsidR="00244CC8" w:rsidRPr="00820C89">
        <w:rPr>
          <w:rFonts w:asciiTheme="majorHAnsi" w:hAnsiTheme="majorHAnsi"/>
        </w:rPr>
        <w:t>.</w:t>
      </w:r>
      <w:r w:rsidR="0088692A" w:rsidRPr="00820C89">
        <w:rPr>
          <w:rFonts w:asciiTheme="majorHAnsi" w:hAnsiTheme="majorHAnsi"/>
        </w:rPr>
        <w:t xml:space="preserve"> </w:t>
      </w:r>
    </w:p>
    <w:p w14:paraId="3A011ACA" w14:textId="77777777" w:rsidR="00297EBC" w:rsidRPr="00820C89" w:rsidRDefault="00297EBC" w:rsidP="00297EBC">
      <w:pPr>
        <w:shd w:val="clear" w:color="auto" w:fill="DFF0F9" w:themeFill="accent3" w:themeFillTint="33"/>
        <w:rPr>
          <w:rFonts w:asciiTheme="majorHAnsi" w:hAnsiTheme="majorHAnsi"/>
          <w:b/>
          <w:bCs/>
        </w:rPr>
      </w:pPr>
      <w:bookmarkStart w:id="126" w:name="Suggestion9"/>
      <w:r w:rsidRPr="00820C89">
        <w:rPr>
          <w:rFonts w:asciiTheme="majorHAnsi" w:hAnsiTheme="majorHAnsi"/>
          <w:b/>
          <w:bCs/>
        </w:rPr>
        <w:t xml:space="preserve">Suggestion 9: </w:t>
      </w:r>
      <w:bookmarkEnd w:id="126"/>
      <w:r w:rsidRPr="00820C89">
        <w:rPr>
          <w:rFonts w:asciiTheme="majorHAnsi" w:hAnsiTheme="majorHAnsi"/>
          <w:b/>
          <w:bCs/>
        </w:rPr>
        <w:t>Future programs need to clearly articulate how their objectives inform funding decisions, and what implications this has for service coverage and program impact.</w:t>
      </w:r>
    </w:p>
    <w:p w14:paraId="576D84B5" w14:textId="77777777" w:rsidR="00297EBC" w:rsidRPr="00820C89" w:rsidRDefault="00297EBC" w:rsidP="00297EBC">
      <w:pPr>
        <w:shd w:val="clear" w:color="auto" w:fill="DFF0F9" w:themeFill="accent3" w:themeFillTint="33"/>
        <w:rPr>
          <w:rFonts w:asciiTheme="majorHAnsi" w:hAnsiTheme="majorHAnsi"/>
        </w:rPr>
      </w:pPr>
      <w:r w:rsidRPr="00820C89">
        <w:rPr>
          <w:rFonts w:asciiTheme="majorHAnsi" w:hAnsiTheme="majorHAnsi"/>
        </w:rPr>
        <w:t>The existing IEP does not clearly explain how specific funding decisions are tied to the program’s overall objective (beyond the simple aim of increasing Indigenous employment). This creates a risk that funding decisions are not being made in a deliberate or systematic manner, and that their consequences are not being fully considered.</w:t>
      </w:r>
    </w:p>
    <w:p w14:paraId="1F88FEFB" w14:textId="77777777" w:rsidR="00297EBC" w:rsidRPr="00820C89" w:rsidRDefault="00297EBC" w:rsidP="00297EBC">
      <w:pPr>
        <w:shd w:val="clear" w:color="auto" w:fill="DFF0F9" w:themeFill="accent3" w:themeFillTint="33"/>
        <w:rPr>
          <w:rFonts w:asciiTheme="majorHAnsi" w:hAnsiTheme="majorHAnsi"/>
        </w:rPr>
      </w:pPr>
      <w:r w:rsidRPr="00820C89">
        <w:rPr>
          <w:rFonts w:asciiTheme="majorHAnsi" w:hAnsiTheme="majorHAnsi"/>
        </w:rPr>
        <w:t>For example, individual funding decisions will likely vary depending on whether the objective of the program is to:</w:t>
      </w:r>
    </w:p>
    <w:p w14:paraId="65AA93E3" w14:textId="77777777" w:rsidR="00297EBC" w:rsidRPr="00820C89" w:rsidRDefault="00297EBC" w:rsidP="00715F70">
      <w:pPr>
        <w:pStyle w:val="ListParagraph"/>
        <w:numPr>
          <w:ilvl w:val="0"/>
          <w:numId w:val="94"/>
        </w:numPr>
        <w:shd w:val="clear" w:color="auto" w:fill="DFF0F9" w:themeFill="accent3" w:themeFillTint="33"/>
        <w:rPr>
          <w:rFonts w:asciiTheme="majorHAnsi" w:hAnsiTheme="majorHAnsi"/>
        </w:rPr>
      </w:pPr>
      <w:r w:rsidRPr="00820C89">
        <w:rPr>
          <w:rFonts w:asciiTheme="majorHAnsi" w:hAnsiTheme="majorHAnsi"/>
        </w:rPr>
        <w:t>Maximise the number of jobseekers that commence employment.</w:t>
      </w:r>
    </w:p>
    <w:p w14:paraId="5BF847DA" w14:textId="77777777" w:rsidR="00297EBC" w:rsidRPr="00820C89" w:rsidRDefault="00297EBC" w:rsidP="00715F70">
      <w:pPr>
        <w:pStyle w:val="ListParagraph"/>
        <w:numPr>
          <w:ilvl w:val="0"/>
          <w:numId w:val="94"/>
        </w:numPr>
        <w:shd w:val="clear" w:color="auto" w:fill="DFF0F9" w:themeFill="accent3" w:themeFillTint="33"/>
        <w:rPr>
          <w:rFonts w:asciiTheme="majorHAnsi" w:hAnsiTheme="majorHAnsi"/>
        </w:rPr>
      </w:pPr>
      <w:r w:rsidRPr="00820C89">
        <w:rPr>
          <w:rFonts w:asciiTheme="majorHAnsi" w:hAnsiTheme="majorHAnsi"/>
        </w:rPr>
        <w:t>Maximise the number of jobseekers who achieve the 26-week outcome.</w:t>
      </w:r>
    </w:p>
    <w:p w14:paraId="5EE94E9C" w14:textId="77777777" w:rsidR="00297EBC" w:rsidRPr="00820C89" w:rsidRDefault="00297EBC" w:rsidP="00715F70">
      <w:pPr>
        <w:pStyle w:val="ListParagraph"/>
        <w:numPr>
          <w:ilvl w:val="0"/>
          <w:numId w:val="94"/>
        </w:numPr>
        <w:shd w:val="clear" w:color="auto" w:fill="DFF0F9" w:themeFill="accent3" w:themeFillTint="33"/>
        <w:rPr>
          <w:rFonts w:asciiTheme="majorHAnsi" w:hAnsiTheme="majorHAnsi"/>
        </w:rPr>
      </w:pPr>
      <w:r w:rsidRPr="00820C89">
        <w:rPr>
          <w:rFonts w:asciiTheme="majorHAnsi" w:hAnsiTheme="majorHAnsi"/>
        </w:rPr>
        <w:t>Provide equitable access to the program across all geographies</w:t>
      </w:r>
    </w:p>
    <w:p w14:paraId="37799D66" w14:textId="77777777" w:rsidR="00297EBC" w:rsidRPr="00820C89" w:rsidRDefault="00297EBC" w:rsidP="00715F70">
      <w:pPr>
        <w:pStyle w:val="ListParagraph"/>
        <w:numPr>
          <w:ilvl w:val="0"/>
          <w:numId w:val="94"/>
        </w:numPr>
        <w:shd w:val="clear" w:color="auto" w:fill="DFF0F9" w:themeFill="accent3" w:themeFillTint="33"/>
        <w:rPr>
          <w:rFonts w:asciiTheme="majorHAnsi" w:hAnsiTheme="majorHAnsi"/>
        </w:rPr>
      </w:pPr>
      <w:r w:rsidRPr="00820C89">
        <w:rPr>
          <w:rFonts w:asciiTheme="majorHAnsi" w:hAnsiTheme="majorHAnsi"/>
        </w:rPr>
        <w:t>Support the most disadvantaged jobseekers to gain employment etc.</w:t>
      </w:r>
    </w:p>
    <w:p w14:paraId="4F982D04" w14:textId="77777777" w:rsidR="00297EBC" w:rsidRPr="00820C89" w:rsidRDefault="00297EBC" w:rsidP="00297EBC">
      <w:pPr>
        <w:shd w:val="clear" w:color="auto" w:fill="DFF0F9" w:themeFill="accent3" w:themeFillTint="33"/>
        <w:rPr>
          <w:rFonts w:asciiTheme="majorHAnsi" w:hAnsiTheme="majorHAnsi"/>
        </w:rPr>
      </w:pPr>
      <w:r w:rsidRPr="00820C89">
        <w:rPr>
          <w:rFonts w:asciiTheme="majorHAnsi" w:hAnsiTheme="majorHAnsi"/>
        </w:rPr>
        <w:t xml:space="preserve">Choosing from these objectives (among many others) is ultimately a policy decision that the NIAA must make, but irrespective of the outcome, a clear logic (and aligned evidence) should underpin how specific providers/programs are funded. </w:t>
      </w:r>
    </w:p>
    <w:p w14:paraId="1C03DFED" w14:textId="77777777" w:rsidR="00297EBC" w:rsidRPr="00820C89" w:rsidRDefault="00297EBC" w:rsidP="00297EBC">
      <w:pPr>
        <w:shd w:val="clear" w:color="auto" w:fill="DFF0F9" w:themeFill="accent3" w:themeFillTint="33"/>
        <w:rPr>
          <w:rFonts w:asciiTheme="majorHAnsi" w:hAnsiTheme="majorHAnsi"/>
        </w:rPr>
      </w:pPr>
      <w:r w:rsidRPr="00297EBC">
        <w:rPr>
          <w:rFonts w:asciiTheme="majorHAnsi" w:hAnsiTheme="majorHAnsi"/>
        </w:rPr>
        <w:t>By way of illustration, the agency could consider the level of alignment between the Indigenous and non-Indigenous employment differential (used here as a proxy of ‘need’ for IEP intervention) and IEP participation as an indicator of which regions should be prioritised for future funding. Conducting this preliminary analysis finds that six SA4 regions (all of which are in Queensland and Western Australia) are underrepresented if considering need for the IEP as defined by a combination of the size of the Indigenous population within an SA4 and the differential between the Indigenous and non-Indigenous unemployment rate (Chart 4.9).</w:t>
      </w:r>
    </w:p>
    <w:p w14:paraId="5BB24908" w14:textId="77777777" w:rsidR="00297EBC" w:rsidRPr="00820C89" w:rsidRDefault="00297EBC" w:rsidP="00297EBC">
      <w:pPr>
        <w:shd w:val="clear" w:color="auto" w:fill="DFF0F9" w:themeFill="accent3" w:themeFillTint="33"/>
        <w:rPr>
          <w:rFonts w:asciiTheme="majorHAnsi" w:hAnsiTheme="majorHAnsi"/>
        </w:rPr>
      </w:pPr>
      <w:r w:rsidRPr="00820C89">
        <w:rPr>
          <w:rFonts w:asciiTheme="majorHAnsi" w:hAnsiTheme="majorHAnsi"/>
        </w:rPr>
        <w:t>In turn, the program objectives and funding methodology selected by the agency will have clear implications on the program’s overall impact and coverage. For example, a program that exclusively works with only the highest quality providers may generate the greatest impact, but have very limited geographical coverage, creating access and equity issues.</w:t>
      </w:r>
    </w:p>
    <w:p w14:paraId="61A8B21D" w14:textId="77777777" w:rsidR="00297EBC" w:rsidRPr="00820C89" w:rsidRDefault="00297EBC" w:rsidP="00297EBC">
      <w:pPr>
        <w:shd w:val="clear" w:color="auto" w:fill="DFF0F9" w:themeFill="accent3" w:themeFillTint="33"/>
        <w:rPr>
          <w:rFonts w:asciiTheme="majorHAnsi" w:hAnsiTheme="majorHAnsi"/>
        </w:rPr>
      </w:pPr>
    </w:p>
    <w:p w14:paraId="1FC5E631" w14:textId="77777777" w:rsidR="00297EBC" w:rsidRPr="00297EBC" w:rsidRDefault="00297EBC" w:rsidP="00297EBC">
      <w:pPr>
        <w:pStyle w:val="CaptionChart"/>
        <w:shd w:val="clear" w:color="auto" w:fill="DFF0F9" w:themeFill="accent3" w:themeFillTint="33"/>
        <w:rPr>
          <w:rFonts w:asciiTheme="majorHAnsi" w:hAnsiTheme="majorHAnsi"/>
        </w:rPr>
      </w:pPr>
      <w:bookmarkStart w:id="127" w:name="_Ref56931921"/>
      <w:r w:rsidRPr="00297EBC">
        <w:rPr>
          <w:rFonts w:asciiTheme="majorHAnsi" w:hAnsiTheme="majorHAnsi"/>
        </w:rPr>
        <w:lastRenderedPageBreak/>
        <w:t>: Alignment between the Indigenous and non-Indigenous unemployment differential and IEP participation (SA4 level, chart shows SA4s with below median IEP participation only)</w:t>
      </w:r>
      <w:bookmarkEnd w:id="127"/>
    </w:p>
    <w:p w14:paraId="061CAF9C" w14:textId="77777777" w:rsidR="00297EBC" w:rsidRPr="00820C89" w:rsidRDefault="00297EBC" w:rsidP="00297EBC">
      <w:pPr>
        <w:shd w:val="clear" w:color="auto" w:fill="DFF0F9" w:themeFill="accent3" w:themeFillTint="33"/>
        <w:spacing w:before="170"/>
        <w:rPr>
          <w:rFonts w:asciiTheme="majorHAnsi" w:hAnsiTheme="majorHAnsi"/>
        </w:rPr>
      </w:pPr>
      <w:r w:rsidRPr="00820C89">
        <w:rPr>
          <w:rFonts w:asciiTheme="majorHAnsi" w:hAnsiTheme="majorHAnsi"/>
          <w:noProof/>
          <w:lang w:eastAsia="en-AU"/>
        </w:rPr>
        <w:drawing>
          <wp:inline distT="0" distB="0" distL="0" distR="0" wp14:anchorId="5C629409" wp14:editId="4CD60E69">
            <wp:extent cx="5731510" cy="2837815"/>
            <wp:effectExtent l="0" t="0" r="2540" b="635"/>
            <wp:docPr id="4" name="Picture 4" descr=" By way of illustration, the agency could consider the level of alignment between the Indigenous and non-Indigenous employment differential (used here as a proxy of ‘need’ for IEP intervention) and IEP participation as an indicator of which regions should be prioritised for future funding. Conducting this preliminary analysis finds that six SA4 regions (all of which are in Queensland and Western Australia) are underrepresented if considering need for the IEP as defined by a combination of the size of the Indigenous population within an SA4 and the differential between the Indigenous and non-Indigenous unemployment rate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615"/>
                    <a:stretch/>
                  </pic:blipFill>
                  <pic:spPr bwMode="auto">
                    <a:xfrm>
                      <a:off x="0" y="0"/>
                      <a:ext cx="5731510" cy="2837815"/>
                    </a:xfrm>
                    <a:prstGeom prst="rect">
                      <a:avLst/>
                    </a:prstGeom>
                    <a:noFill/>
                    <a:ln>
                      <a:noFill/>
                    </a:ln>
                    <a:extLst>
                      <a:ext uri="{53640926-AAD7-44D8-BBD7-CCE9431645EC}">
                        <a14:shadowObscured xmlns:a14="http://schemas.microsoft.com/office/drawing/2010/main"/>
                      </a:ext>
                    </a:extLst>
                  </pic:spPr>
                </pic:pic>
              </a:graphicData>
            </a:graphic>
          </wp:inline>
        </w:drawing>
      </w:r>
    </w:p>
    <w:p w14:paraId="57BD5F15" w14:textId="1589A3EE" w:rsidR="00776509" w:rsidRPr="00820C89" w:rsidRDefault="00297EBC" w:rsidP="00297EBC">
      <w:pPr>
        <w:shd w:val="clear" w:color="auto" w:fill="DFF0F9" w:themeFill="accent3" w:themeFillTint="33"/>
      </w:pPr>
      <w:r w:rsidRPr="00820C89">
        <w:rPr>
          <w:rFonts w:asciiTheme="majorHAnsi" w:hAnsiTheme="majorHAnsi"/>
        </w:rPr>
        <w:t>Source: ABS 2016 Census; NIAA Program Data (2016). Note: The bubble size represents the size of the Indigenous population. The six regions identified above were chosen via a systematic process of examining all of the SA4 regions in Australia and identifying those that have a below median number of IEP participants, above median sized Indigenous population and above median sized difference between the Indigenous and non-Indigenous unemployment rate.</w:t>
      </w:r>
    </w:p>
    <w:p w14:paraId="16F590A2" w14:textId="77777777" w:rsidR="00194E7D" w:rsidRPr="00820C89" w:rsidRDefault="00976CD1" w:rsidP="0041777D">
      <w:pPr>
        <w:pStyle w:val="Heading1"/>
        <w:spacing w:after="60"/>
        <w:rPr>
          <w:rFonts w:asciiTheme="majorHAnsi" w:hAnsiTheme="majorHAnsi"/>
        </w:rPr>
      </w:pPr>
      <w:bookmarkStart w:id="128" w:name="_Toc57022893"/>
      <w:bookmarkStart w:id="129" w:name="_Toc82710784"/>
      <w:bookmarkStart w:id="130" w:name="_Toc101343303"/>
      <w:r w:rsidRPr="00820C89">
        <w:rPr>
          <w:rFonts w:asciiTheme="majorHAnsi" w:hAnsiTheme="majorHAnsi"/>
        </w:rPr>
        <w:lastRenderedPageBreak/>
        <w:t>Impact</w:t>
      </w:r>
      <w:bookmarkEnd w:id="128"/>
      <w:bookmarkEnd w:id="129"/>
      <w:bookmarkEnd w:id="130"/>
      <w:r w:rsidR="00584845" w:rsidRPr="00820C89">
        <w:rPr>
          <w:rFonts w:asciiTheme="majorHAnsi" w:hAnsiTheme="majorHAnsi"/>
        </w:rPr>
        <w:t xml:space="preserve"> </w:t>
      </w:r>
    </w:p>
    <w:p w14:paraId="65BA4ED2" w14:textId="77777777" w:rsidR="00F86059" w:rsidRPr="00820C89" w:rsidRDefault="00F86059" w:rsidP="00643C84">
      <w:pPr>
        <w:rPr>
          <w:rFonts w:asciiTheme="majorHAnsi" w:hAnsiTheme="majorHAnsi"/>
        </w:rPr>
      </w:pPr>
      <w:r w:rsidRPr="00820C89">
        <w:rPr>
          <w:rFonts w:asciiTheme="majorHAnsi" w:hAnsiTheme="majorHAnsi"/>
        </w:rPr>
        <w:t xml:space="preserve">Building on the effectiveness analysis, this section of the report </w:t>
      </w:r>
      <w:r w:rsidR="00AD1CE2" w:rsidRPr="00820C89">
        <w:rPr>
          <w:rFonts w:asciiTheme="majorHAnsi" w:hAnsiTheme="majorHAnsi"/>
        </w:rPr>
        <w:t>considers the extent to which the IEP generate</w:t>
      </w:r>
      <w:r w:rsidR="00AE5E7A" w:rsidRPr="00820C89">
        <w:rPr>
          <w:rFonts w:asciiTheme="majorHAnsi" w:hAnsiTheme="majorHAnsi"/>
        </w:rPr>
        <w:t>s</w:t>
      </w:r>
      <w:r w:rsidR="00AD1CE2" w:rsidRPr="00820C89">
        <w:rPr>
          <w:rFonts w:asciiTheme="majorHAnsi" w:hAnsiTheme="majorHAnsi"/>
        </w:rPr>
        <w:t xml:space="preserve"> </w:t>
      </w:r>
      <w:r w:rsidR="005F2496" w:rsidRPr="00820C89">
        <w:rPr>
          <w:rFonts w:asciiTheme="majorHAnsi" w:hAnsiTheme="majorHAnsi"/>
        </w:rPr>
        <w:t xml:space="preserve">economic and social impacts for jobseekers, </w:t>
      </w:r>
      <w:r w:rsidR="00223777" w:rsidRPr="00820C89">
        <w:rPr>
          <w:rFonts w:asciiTheme="majorHAnsi" w:hAnsiTheme="majorHAnsi"/>
        </w:rPr>
        <w:t>employers</w:t>
      </w:r>
      <w:r w:rsidR="005D2AD8" w:rsidRPr="00820C89">
        <w:rPr>
          <w:rFonts w:asciiTheme="majorHAnsi" w:hAnsiTheme="majorHAnsi"/>
        </w:rPr>
        <w:t>, local communities</w:t>
      </w:r>
      <w:r w:rsidR="00223777" w:rsidRPr="00820C89">
        <w:rPr>
          <w:rFonts w:asciiTheme="majorHAnsi" w:hAnsiTheme="majorHAnsi"/>
        </w:rPr>
        <w:t xml:space="preserve"> and </w:t>
      </w:r>
      <w:r w:rsidR="00DA5E1B" w:rsidRPr="00820C89">
        <w:rPr>
          <w:rFonts w:asciiTheme="majorHAnsi" w:hAnsiTheme="majorHAnsi"/>
        </w:rPr>
        <w:t xml:space="preserve">broader </w:t>
      </w:r>
      <w:r w:rsidR="005D2AD8" w:rsidRPr="00820C89">
        <w:rPr>
          <w:rFonts w:asciiTheme="majorHAnsi" w:hAnsiTheme="majorHAnsi"/>
        </w:rPr>
        <w:t>society</w:t>
      </w:r>
      <w:r w:rsidR="00DA5E1B" w:rsidRPr="00820C89">
        <w:rPr>
          <w:rFonts w:asciiTheme="majorHAnsi" w:hAnsiTheme="majorHAnsi"/>
        </w:rPr>
        <w:t xml:space="preserve">. </w:t>
      </w:r>
      <w:r w:rsidR="008262E9" w:rsidRPr="00820C89">
        <w:rPr>
          <w:rFonts w:asciiTheme="majorHAnsi" w:hAnsiTheme="majorHAnsi"/>
        </w:rPr>
        <w:t xml:space="preserve">This includes consideration of the following evaluation questions: </w:t>
      </w:r>
    </w:p>
    <w:p w14:paraId="376EC26E" w14:textId="77777777" w:rsidR="005A1D32" w:rsidRPr="00820C89" w:rsidRDefault="005A1D32" w:rsidP="00715F70">
      <w:pPr>
        <w:numPr>
          <w:ilvl w:val="0"/>
          <w:numId w:val="13"/>
        </w:numPr>
        <w:spacing w:before="60" w:after="60"/>
        <w:ind w:left="357" w:hanging="357"/>
        <w:rPr>
          <w:rFonts w:asciiTheme="majorHAnsi" w:hAnsiTheme="majorHAnsi"/>
          <w:i/>
        </w:rPr>
      </w:pPr>
      <w:r w:rsidRPr="00820C89">
        <w:rPr>
          <w:rFonts w:asciiTheme="majorHAnsi" w:hAnsiTheme="majorHAnsi"/>
          <w:i/>
        </w:rPr>
        <w:t xml:space="preserve">To what extent are the activities achieving their intended outcomes, </w:t>
      </w:r>
      <w:r w:rsidR="00DE49C8" w:rsidRPr="00820C89">
        <w:rPr>
          <w:rFonts w:asciiTheme="majorHAnsi" w:hAnsiTheme="majorHAnsi"/>
          <w:i/>
        </w:rPr>
        <w:t xml:space="preserve">in </w:t>
      </w:r>
      <w:r w:rsidRPr="00820C89">
        <w:rPr>
          <w:rFonts w:asciiTheme="majorHAnsi" w:hAnsiTheme="majorHAnsi"/>
          <w:i/>
        </w:rPr>
        <w:t>the short, medium and long term?</w:t>
      </w:r>
    </w:p>
    <w:p w14:paraId="2F25BE45" w14:textId="77777777" w:rsidR="00643C84" w:rsidRPr="00820C89" w:rsidRDefault="00194758" w:rsidP="00715F70">
      <w:pPr>
        <w:numPr>
          <w:ilvl w:val="0"/>
          <w:numId w:val="13"/>
        </w:numPr>
        <w:spacing w:before="60" w:after="60"/>
        <w:ind w:left="357" w:hanging="357"/>
        <w:rPr>
          <w:rFonts w:asciiTheme="majorHAnsi" w:hAnsiTheme="majorHAnsi"/>
          <w:i/>
        </w:rPr>
      </w:pPr>
      <w:r w:rsidRPr="00820C89">
        <w:rPr>
          <w:rFonts w:asciiTheme="majorHAnsi" w:hAnsiTheme="majorHAnsi"/>
          <w:i/>
        </w:rPr>
        <w:t>In what contexts has the program been more or less successful?</w:t>
      </w:r>
    </w:p>
    <w:p w14:paraId="56011B68" w14:textId="77777777" w:rsidR="005A1D32" w:rsidRPr="00820C89" w:rsidRDefault="005A1D32" w:rsidP="00715F70">
      <w:pPr>
        <w:numPr>
          <w:ilvl w:val="0"/>
          <w:numId w:val="13"/>
        </w:numPr>
        <w:spacing w:before="60" w:after="60"/>
        <w:ind w:left="357" w:hanging="357"/>
        <w:rPr>
          <w:rFonts w:asciiTheme="majorHAnsi" w:hAnsiTheme="majorHAnsi"/>
          <w:i/>
        </w:rPr>
      </w:pPr>
      <w:r w:rsidRPr="00820C89">
        <w:rPr>
          <w:rFonts w:asciiTheme="majorHAnsi" w:hAnsiTheme="majorHAnsi"/>
          <w:i/>
        </w:rPr>
        <w:t>How can the value of each program be optimised with the broader IEP and other employment assistance programs?</w:t>
      </w:r>
    </w:p>
    <w:p w14:paraId="3EC33043" w14:textId="0ED828AB" w:rsidR="0084285E" w:rsidRPr="00820C89" w:rsidRDefault="00A1606E" w:rsidP="001529A9">
      <w:pPr>
        <w:spacing w:before="170"/>
        <w:rPr>
          <w:rFonts w:asciiTheme="majorHAnsi" w:hAnsiTheme="majorHAnsi"/>
        </w:rPr>
      </w:pPr>
      <w:r w:rsidRPr="00820C89">
        <w:rPr>
          <w:rFonts w:asciiTheme="majorHAnsi" w:hAnsiTheme="majorHAnsi"/>
        </w:rPr>
        <w:t xml:space="preserve">While </w:t>
      </w:r>
      <w:r w:rsidR="002477B0" w:rsidRPr="00820C89">
        <w:rPr>
          <w:rFonts w:asciiTheme="majorHAnsi" w:hAnsiTheme="majorHAnsi"/>
        </w:rPr>
        <w:t>the effectiveness analysis</w:t>
      </w:r>
      <w:r w:rsidRPr="00820C89">
        <w:rPr>
          <w:rFonts w:asciiTheme="majorHAnsi" w:hAnsiTheme="majorHAnsi"/>
        </w:rPr>
        <w:t xml:space="preserve"> </w:t>
      </w:r>
      <w:r w:rsidR="0084285E" w:rsidRPr="00820C89">
        <w:rPr>
          <w:rFonts w:asciiTheme="majorHAnsi" w:hAnsiTheme="majorHAnsi"/>
        </w:rPr>
        <w:t>focused on understanding the extent to which the program achieves its intended outcomes (most notably, long-term employment), this section examines the broader impacts that an increase in sustained employment can have on jobseekers, employers, communities and society.</w:t>
      </w:r>
    </w:p>
    <w:p w14:paraId="2A782329" w14:textId="77777777" w:rsidR="00244C88" w:rsidRPr="00820C89" w:rsidRDefault="00244C88" w:rsidP="00AF083E">
      <w:pPr>
        <w:pStyle w:val="Heading2"/>
        <w:rPr>
          <w:rFonts w:asciiTheme="majorHAnsi" w:hAnsiTheme="majorHAnsi"/>
        </w:rPr>
      </w:pPr>
      <w:bookmarkStart w:id="131" w:name="_Toc82691982"/>
      <w:bookmarkStart w:id="132" w:name="_Toc82694471"/>
      <w:bookmarkStart w:id="133" w:name="_Toc57022894"/>
      <w:bookmarkStart w:id="134" w:name="_Toc82710785"/>
      <w:bookmarkStart w:id="135" w:name="_Toc101343304"/>
      <w:bookmarkStart w:id="136" w:name="_Toc54966957"/>
      <w:bookmarkStart w:id="137" w:name="_Toc55495134"/>
      <w:bookmarkEnd w:id="131"/>
      <w:bookmarkEnd w:id="132"/>
      <w:r w:rsidRPr="00820C89">
        <w:rPr>
          <w:rFonts w:asciiTheme="majorHAnsi" w:hAnsiTheme="majorHAnsi"/>
        </w:rPr>
        <w:t>Analytical approach</w:t>
      </w:r>
      <w:bookmarkEnd w:id="133"/>
      <w:bookmarkEnd w:id="134"/>
      <w:bookmarkEnd w:id="135"/>
      <w:r w:rsidRPr="00820C89">
        <w:rPr>
          <w:rFonts w:asciiTheme="majorHAnsi" w:hAnsiTheme="majorHAnsi"/>
        </w:rPr>
        <w:t xml:space="preserve"> </w:t>
      </w:r>
    </w:p>
    <w:p w14:paraId="5DE993B7" w14:textId="77777777" w:rsidR="00883884" w:rsidRPr="00820C89" w:rsidRDefault="000E6ECA" w:rsidP="00883884">
      <w:pPr>
        <w:rPr>
          <w:rFonts w:asciiTheme="majorHAnsi" w:hAnsiTheme="majorHAnsi"/>
        </w:rPr>
      </w:pPr>
      <w:r w:rsidRPr="00820C89">
        <w:rPr>
          <w:rFonts w:asciiTheme="majorHAnsi" w:hAnsiTheme="majorHAnsi"/>
        </w:rPr>
        <w:t>The impact</w:t>
      </w:r>
      <w:r w:rsidR="00390F96" w:rsidRPr="00820C89">
        <w:rPr>
          <w:rFonts w:asciiTheme="majorHAnsi" w:hAnsiTheme="majorHAnsi"/>
        </w:rPr>
        <w:t xml:space="preserve"> analysis presented in this section extends upon the effectiveness analysis presented in </w:t>
      </w:r>
      <w:r w:rsidR="008A3916" w:rsidRPr="00820C89">
        <w:rPr>
          <w:rFonts w:asciiTheme="majorHAnsi" w:hAnsiTheme="majorHAnsi"/>
        </w:rPr>
        <w:t>Chapter 4</w:t>
      </w:r>
      <w:r w:rsidR="00390F96" w:rsidRPr="00820C89">
        <w:rPr>
          <w:rFonts w:asciiTheme="majorHAnsi" w:hAnsiTheme="majorHAnsi"/>
        </w:rPr>
        <w:t xml:space="preserve"> to consider the net impact that the realisation of IEP short, medium and long term outcomes ha</w:t>
      </w:r>
      <w:r w:rsidR="00460E86" w:rsidRPr="00820C89">
        <w:rPr>
          <w:rFonts w:asciiTheme="majorHAnsi" w:hAnsiTheme="majorHAnsi"/>
        </w:rPr>
        <w:t>ve</w:t>
      </w:r>
      <w:r w:rsidR="00390F96" w:rsidRPr="00820C89">
        <w:rPr>
          <w:rFonts w:asciiTheme="majorHAnsi" w:hAnsiTheme="majorHAnsi"/>
        </w:rPr>
        <w:t xml:space="preserve"> on </w:t>
      </w:r>
      <w:r w:rsidR="009B1353" w:rsidRPr="00820C89">
        <w:rPr>
          <w:rFonts w:asciiTheme="majorHAnsi" w:hAnsiTheme="majorHAnsi"/>
        </w:rPr>
        <w:t>key program stakeholders.</w:t>
      </w:r>
      <w:r w:rsidR="00546D85" w:rsidRPr="00820C89">
        <w:rPr>
          <w:rFonts w:asciiTheme="majorHAnsi" w:hAnsiTheme="majorHAnsi"/>
        </w:rPr>
        <w:t xml:space="preserve"> </w:t>
      </w:r>
      <w:r w:rsidR="000B03E5" w:rsidRPr="00820C89">
        <w:rPr>
          <w:rFonts w:asciiTheme="majorHAnsi" w:hAnsiTheme="majorHAnsi"/>
        </w:rPr>
        <w:t xml:space="preserve">Specifically, impact is considered in relation to: </w:t>
      </w:r>
    </w:p>
    <w:p w14:paraId="64D4B9AE" w14:textId="77777777" w:rsidR="000B03E5" w:rsidRPr="00820C89" w:rsidRDefault="00FF2B07" w:rsidP="00715F70">
      <w:pPr>
        <w:numPr>
          <w:ilvl w:val="0"/>
          <w:numId w:val="13"/>
        </w:numPr>
        <w:spacing w:before="60" w:after="60"/>
        <w:ind w:left="357" w:hanging="357"/>
        <w:rPr>
          <w:rFonts w:asciiTheme="majorHAnsi" w:hAnsiTheme="majorHAnsi"/>
        </w:rPr>
      </w:pPr>
      <w:r w:rsidRPr="00820C89">
        <w:rPr>
          <w:rFonts w:asciiTheme="majorHAnsi" w:hAnsiTheme="majorHAnsi"/>
          <w:b/>
        </w:rPr>
        <w:t>program participants:</w:t>
      </w:r>
      <w:r w:rsidRPr="00820C89">
        <w:rPr>
          <w:rFonts w:asciiTheme="majorHAnsi" w:hAnsiTheme="majorHAnsi"/>
        </w:rPr>
        <w:t xml:space="preserve"> </w:t>
      </w:r>
      <w:r w:rsidR="00F059A5" w:rsidRPr="00820C89">
        <w:rPr>
          <w:rFonts w:asciiTheme="majorHAnsi" w:hAnsiTheme="majorHAnsi"/>
        </w:rPr>
        <w:t xml:space="preserve">where impact </w:t>
      </w:r>
      <w:r w:rsidR="00581E01" w:rsidRPr="00820C89">
        <w:rPr>
          <w:rFonts w:asciiTheme="majorHAnsi" w:hAnsiTheme="majorHAnsi"/>
        </w:rPr>
        <w:t>occurs</w:t>
      </w:r>
      <w:r w:rsidR="00F059A5" w:rsidRPr="00820C89">
        <w:rPr>
          <w:rFonts w:asciiTheme="majorHAnsi" w:hAnsiTheme="majorHAnsi"/>
        </w:rPr>
        <w:t xml:space="preserve"> through participation in </w:t>
      </w:r>
      <w:r w:rsidR="008A7C26" w:rsidRPr="00820C89">
        <w:rPr>
          <w:rFonts w:asciiTheme="majorHAnsi" w:hAnsiTheme="majorHAnsi"/>
        </w:rPr>
        <w:t>the</w:t>
      </w:r>
      <w:r w:rsidR="00F059A5" w:rsidRPr="00820C89">
        <w:rPr>
          <w:rFonts w:asciiTheme="majorHAnsi" w:hAnsiTheme="majorHAnsi"/>
        </w:rPr>
        <w:t xml:space="preserve"> IEP and subsequent outcomes</w:t>
      </w:r>
      <w:r w:rsidR="000C6BEC" w:rsidRPr="00820C89">
        <w:rPr>
          <w:rFonts w:asciiTheme="majorHAnsi" w:hAnsiTheme="majorHAnsi"/>
        </w:rPr>
        <w:t xml:space="preserve"> are</w:t>
      </w:r>
      <w:r w:rsidR="00F059A5" w:rsidRPr="00820C89">
        <w:rPr>
          <w:rFonts w:asciiTheme="majorHAnsi" w:hAnsiTheme="majorHAnsi"/>
        </w:rPr>
        <w:t xml:space="preserve"> realised </w:t>
      </w:r>
    </w:p>
    <w:p w14:paraId="4FE43F1F" w14:textId="77777777" w:rsidR="00F059A5" w:rsidRPr="00820C89" w:rsidRDefault="00F059A5" w:rsidP="00715F70">
      <w:pPr>
        <w:numPr>
          <w:ilvl w:val="0"/>
          <w:numId w:val="13"/>
        </w:numPr>
        <w:spacing w:before="60" w:after="60"/>
        <w:ind w:left="357" w:hanging="357"/>
        <w:rPr>
          <w:rFonts w:asciiTheme="majorHAnsi" w:hAnsiTheme="majorHAnsi"/>
        </w:rPr>
      </w:pPr>
      <w:r w:rsidRPr="00820C89">
        <w:rPr>
          <w:rFonts w:asciiTheme="majorHAnsi" w:hAnsiTheme="majorHAnsi"/>
          <w:b/>
        </w:rPr>
        <w:t>employers:</w:t>
      </w:r>
      <w:r w:rsidRPr="00820C89">
        <w:rPr>
          <w:rFonts w:asciiTheme="majorHAnsi" w:hAnsiTheme="majorHAnsi"/>
        </w:rPr>
        <w:t xml:space="preserve"> where impact </w:t>
      </w:r>
      <w:r w:rsidR="00581E01" w:rsidRPr="00820C89">
        <w:rPr>
          <w:rFonts w:asciiTheme="majorHAnsi" w:hAnsiTheme="majorHAnsi"/>
        </w:rPr>
        <w:t>occurs</w:t>
      </w:r>
      <w:r w:rsidRPr="00820C89">
        <w:rPr>
          <w:rFonts w:asciiTheme="majorHAnsi" w:hAnsiTheme="majorHAnsi"/>
        </w:rPr>
        <w:t xml:space="preserve"> through </w:t>
      </w:r>
      <w:r w:rsidR="00D75B0F" w:rsidRPr="00820C89">
        <w:rPr>
          <w:rFonts w:asciiTheme="majorHAnsi" w:hAnsiTheme="majorHAnsi"/>
        </w:rPr>
        <w:t>direct participation in an IEP or employment of IEP participants, as well as any</w:t>
      </w:r>
      <w:r w:rsidRPr="00820C89">
        <w:rPr>
          <w:rFonts w:asciiTheme="majorHAnsi" w:hAnsiTheme="majorHAnsi"/>
        </w:rPr>
        <w:t xml:space="preserve"> subsequent outcomes realised </w:t>
      </w:r>
    </w:p>
    <w:p w14:paraId="02566C38" w14:textId="77777777" w:rsidR="00094EAA" w:rsidRPr="00820C89" w:rsidRDefault="00506243" w:rsidP="00715F70">
      <w:pPr>
        <w:numPr>
          <w:ilvl w:val="0"/>
          <w:numId w:val="13"/>
        </w:numPr>
        <w:spacing w:before="60" w:after="60"/>
        <w:ind w:left="357" w:hanging="357"/>
        <w:rPr>
          <w:rFonts w:asciiTheme="majorHAnsi" w:hAnsiTheme="majorHAnsi"/>
        </w:rPr>
      </w:pPr>
      <w:r w:rsidRPr="00820C89">
        <w:rPr>
          <w:rFonts w:asciiTheme="majorHAnsi" w:hAnsiTheme="majorHAnsi"/>
          <w:b/>
        </w:rPr>
        <w:t>c</w:t>
      </w:r>
      <w:r w:rsidR="000F17DA" w:rsidRPr="00820C89">
        <w:rPr>
          <w:rFonts w:asciiTheme="majorHAnsi" w:hAnsiTheme="majorHAnsi"/>
          <w:b/>
        </w:rPr>
        <w:t>ommunity:</w:t>
      </w:r>
      <w:r w:rsidR="000F17DA" w:rsidRPr="00820C89">
        <w:rPr>
          <w:rFonts w:asciiTheme="majorHAnsi" w:hAnsiTheme="majorHAnsi"/>
        </w:rPr>
        <w:t xml:space="preserve"> where</w:t>
      </w:r>
      <w:r w:rsidRPr="00820C89">
        <w:rPr>
          <w:rFonts w:asciiTheme="majorHAnsi" w:hAnsiTheme="majorHAnsi"/>
        </w:rPr>
        <w:t xml:space="preserve"> impact </w:t>
      </w:r>
      <w:r w:rsidR="00581E01" w:rsidRPr="00820C89">
        <w:rPr>
          <w:rFonts w:asciiTheme="majorHAnsi" w:hAnsiTheme="majorHAnsi"/>
        </w:rPr>
        <w:t>occurs</w:t>
      </w:r>
      <w:r w:rsidRPr="00820C89">
        <w:rPr>
          <w:rFonts w:asciiTheme="majorHAnsi" w:hAnsiTheme="majorHAnsi"/>
        </w:rPr>
        <w:t xml:space="preserve"> </w:t>
      </w:r>
      <w:r w:rsidR="00004B83" w:rsidRPr="00820C89">
        <w:rPr>
          <w:rFonts w:asciiTheme="majorHAnsi" w:hAnsiTheme="majorHAnsi"/>
        </w:rPr>
        <w:t>within</w:t>
      </w:r>
      <w:r w:rsidRPr="00820C89">
        <w:rPr>
          <w:rFonts w:asciiTheme="majorHAnsi" w:hAnsiTheme="majorHAnsi"/>
        </w:rPr>
        <w:t xml:space="preserve"> a local community </w:t>
      </w:r>
      <w:r w:rsidR="00DF5C45" w:rsidRPr="00820C89">
        <w:rPr>
          <w:rFonts w:asciiTheme="majorHAnsi" w:hAnsiTheme="majorHAnsi"/>
        </w:rPr>
        <w:t>as a result of IEP p</w:t>
      </w:r>
      <w:r w:rsidR="00E20C2B" w:rsidRPr="00820C89">
        <w:rPr>
          <w:rFonts w:asciiTheme="majorHAnsi" w:hAnsiTheme="majorHAnsi"/>
        </w:rPr>
        <w:t>resence</w:t>
      </w:r>
      <w:r w:rsidR="00094EAA" w:rsidRPr="00820C89">
        <w:rPr>
          <w:rFonts w:asciiTheme="majorHAnsi" w:hAnsiTheme="majorHAnsi"/>
        </w:rPr>
        <w:t xml:space="preserve">. </w:t>
      </w:r>
      <w:r w:rsidR="00094EAA" w:rsidRPr="00820C89">
        <w:rPr>
          <w:rFonts w:asciiTheme="majorHAnsi" w:hAnsiTheme="majorHAnsi"/>
          <w:i/>
        </w:rPr>
        <w:t>Note, analysis differentiates between a geographical community definition and an Indigenous community definition</w:t>
      </w:r>
      <w:r w:rsidR="00DF5C45" w:rsidRPr="00820C89">
        <w:rPr>
          <w:rFonts w:asciiTheme="majorHAnsi" w:hAnsiTheme="majorHAnsi"/>
          <w:i/>
        </w:rPr>
        <w:t>.</w:t>
      </w:r>
    </w:p>
    <w:p w14:paraId="48825FA8" w14:textId="77777777" w:rsidR="00F059A5" w:rsidRPr="00820C89" w:rsidRDefault="00581E01" w:rsidP="00715F70">
      <w:pPr>
        <w:numPr>
          <w:ilvl w:val="0"/>
          <w:numId w:val="13"/>
        </w:numPr>
        <w:spacing w:before="60" w:after="60"/>
        <w:ind w:left="357" w:hanging="357"/>
        <w:rPr>
          <w:rFonts w:asciiTheme="majorHAnsi" w:hAnsiTheme="majorHAnsi"/>
        </w:rPr>
      </w:pPr>
      <w:r w:rsidRPr="00820C89">
        <w:rPr>
          <w:rFonts w:asciiTheme="majorHAnsi" w:hAnsiTheme="majorHAnsi"/>
          <w:b/>
        </w:rPr>
        <w:t>society</w:t>
      </w:r>
      <w:r w:rsidR="00094EAA" w:rsidRPr="00820C89">
        <w:rPr>
          <w:rFonts w:asciiTheme="majorHAnsi" w:hAnsiTheme="majorHAnsi"/>
          <w:b/>
        </w:rPr>
        <w:t>:</w:t>
      </w:r>
      <w:r w:rsidR="00094EAA" w:rsidRPr="00820C89">
        <w:rPr>
          <w:rFonts w:asciiTheme="majorHAnsi" w:hAnsiTheme="majorHAnsi"/>
        </w:rPr>
        <w:t xml:space="preserve"> where impact </w:t>
      </w:r>
      <w:r w:rsidRPr="00820C89">
        <w:rPr>
          <w:rFonts w:asciiTheme="majorHAnsi" w:hAnsiTheme="majorHAnsi"/>
        </w:rPr>
        <w:t xml:space="preserve">occurs </w:t>
      </w:r>
      <w:r w:rsidR="008768A5" w:rsidRPr="00820C89">
        <w:rPr>
          <w:rFonts w:asciiTheme="majorHAnsi" w:hAnsiTheme="majorHAnsi"/>
        </w:rPr>
        <w:t xml:space="preserve">at a national level, including through increased taxation or reduced government expenditure associated with the IEP. </w:t>
      </w:r>
    </w:p>
    <w:p w14:paraId="4C9C9C88" w14:textId="77777777" w:rsidR="00662E81" w:rsidRPr="00820C89" w:rsidRDefault="00F0021E" w:rsidP="00631501">
      <w:pPr>
        <w:spacing w:before="170"/>
        <w:rPr>
          <w:rFonts w:asciiTheme="majorHAnsi" w:hAnsiTheme="majorHAnsi"/>
        </w:rPr>
      </w:pPr>
      <w:r w:rsidRPr="00820C89">
        <w:rPr>
          <w:rFonts w:asciiTheme="majorHAnsi" w:hAnsiTheme="majorHAnsi"/>
        </w:rPr>
        <w:t xml:space="preserve">Impact is articulated as the social and economic benefits likely to arise from the realisation of program outcomes (as established in </w:t>
      </w:r>
      <w:r w:rsidR="003D5094" w:rsidRPr="00820C89">
        <w:rPr>
          <w:rFonts w:asciiTheme="majorHAnsi" w:hAnsiTheme="majorHAnsi"/>
        </w:rPr>
        <w:t>Chapter 4</w:t>
      </w:r>
      <w:r w:rsidRPr="00820C89">
        <w:rPr>
          <w:rFonts w:asciiTheme="majorHAnsi" w:hAnsiTheme="majorHAnsi"/>
        </w:rPr>
        <w:t xml:space="preserve">) </w:t>
      </w:r>
      <w:r w:rsidR="009F1422" w:rsidRPr="00820C89">
        <w:rPr>
          <w:rFonts w:asciiTheme="majorHAnsi" w:hAnsiTheme="majorHAnsi"/>
        </w:rPr>
        <w:t xml:space="preserve">above and beyond those likely to arise from counterfactual scenarios. </w:t>
      </w:r>
    </w:p>
    <w:p w14:paraId="2F2DD87C" w14:textId="77777777" w:rsidR="007F6E67" w:rsidRPr="00820C89" w:rsidRDefault="003B605E" w:rsidP="003B605E">
      <w:pPr>
        <w:rPr>
          <w:rFonts w:asciiTheme="majorHAnsi" w:hAnsiTheme="majorHAnsi"/>
        </w:rPr>
      </w:pPr>
      <w:r w:rsidRPr="00820C89">
        <w:rPr>
          <w:rFonts w:asciiTheme="majorHAnsi" w:hAnsiTheme="majorHAnsi"/>
        </w:rPr>
        <w:t xml:space="preserve">While consideration of impact itself stems directly from the </w:t>
      </w:r>
      <w:r w:rsidR="00BA6BCC" w:rsidRPr="00820C89">
        <w:rPr>
          <w:rFonts w:asciiTheme="majorHAnsi" w:hAnsiTheme="majorHAnsi"/>
        </w:rPr>
        <w:t>outcome’s</w:t>
      </w:r>
      <w:r w:rsidRPr="00820C89">
        <w:rPr>
          <w:rFonts w:asciiTheme="majorHAnsi" w:hAnsiTheme="majorHAnsi"/>
        </w:rPr>
        <w:t xml:space="preserve"> analysis presented in </w:t>
      </w:r>
      <w:r w:rsidR="005A01F8" w:rsidRPr="00820C89">
        <w:rPr>
          <w:rFonts w:asciiTheme="majorHAnsi" w:hAnsiTheme="majorHAnsi"/>
        </w:rPr>
        <w:t>Chapter 4</w:t>
      </w:r>
      <w:r w:rsidRPr="00820C89">
        <w:rPr>
          <w:rFonts w:asciiTheme="majorHAnsi" w:hAnsiTheme="majorHAnsi"/>
        </w:rPr>
        <w:t xml:space="preserve">, </w:t>
      </w:r>
      <w:r w:rsidR="00EB74A8" w:rsidRPr="00820C89">
        <w:rPr>
          <w:rFonts w:asciiTheme="majorHAnsi" w:hAnsiTheme="majorHAnsi"/>
        </w:rPr>
        <w:t xml:space="preserve">the </w:t>
      </w:r>
      <w:r w:rsidR="007402C1" w:rsidRPr="00820C89">
        <w:rPr>
          <w:rFonts w:asciiTheme="majorHAnsi" w:hAnsiTheme="majorHAnsi"/>
        </w:rPr>
        <w:t xml:space="preserve">impact analysis </w:t>
      </w:r>
      <w:r w:rsidR="00EB74A8" w:rsidRPr="00820C89">
        <w:rPr>
          <w:rFonts w:asciiTheme="majorHAnsi" w:hAnsiTheme="majorHAnsi"/>
        </w:rPr>
        <w:t>considers impacts (both positive and negative) from a</w:t>
      </w:r>
      <w:r w:rsidR="007402C1" w:rsidRPr="00820C89">
        <w:rPr>
          <w:rFonts w:asciiTheme="majorHAnsi" w:hAnsiTheme="majorHAnsi"/>
        </w:rPr>
        <w:t xml:space="preserve"> broader</w:t>
      </w:r>
      <w:r w:rsidRPr="00820C89">
        <w:rPr>
          <w:rFonts w:asciiTheme="majorHAnsi" w:hAnsiTheme="majorHAnsi"/>
        </w:rPr>
        <w:t xml:space="preserve"> </w:t>
      </w:r>
      <w:r w:rsidR="00EB74A8" w:rsidRPr="00820C89">
        <w:rPr>
          <w:rFonts w:asciiTheme="majorHAnsi" w:hAnsiTheme="majorHAnsi"/>
        </w:rPr>
        <w:t xml:space="preserve">lens than that presented in the current program logic. </w:t>
      </w:r>
      <w:r w:rsidR="00D42649" w:rsidRPr="00820C89">
        <w:rPr>
          <w:rFonts w:asciiTheme="majorHAnsi" w:hAnsiTheme="majorHAnsi"/>
        </w:rPr>
        <w:t xml:space="preserve">Importantly, this creates space to consider impacts </w:t>
      </w:r>
      <w:r w:rsidR="0052293E" w:rsidRPr="00820C89">
        <w:rPr>
          <w:rFonts w:asciiTheme="majorHAnsi" w:hAnsiTheme="majorHAnsi"/>
        </w:rPr>
        <w:t>through</w:t>
      </w:r>
      <w:r w:rsidR="00D42649" w:rsidRPr="00820C89">
        <w:rPr>
          <w:rFonts w:asciiTheme="majorHAnsi" w:hAnsiTheme="majorHAnsi"/>
        </w:rPr>
        <w:t xml:space="preserve"> an Indigenous </w:t>
      </w:r>
      <w:r w:rsidR="0078340C" w:rsidRPr="00820C89">
        <w:rPr>
          <w:rFonts w:asciiTheme="majorHAnsi" w:hAnsiTheme="majorHAnsi"/>
        </w:rPr>
        <w:t>lens</w:t>
      </w:r>
      <w:r w:rsidR="00AB70A7" w:rsidRPr="00820C89">
        <w:rPr>
          <w:rFonts w:asciiTheme="majorHAnsi" w:hAnsiTheme="majorHAnsi"/>
        </w:rPr>
        <w:t>, noting that</w:t>
      </w:r>
      <w:r w:rsidR="009D46FF" w:rsidRPr="00820C89">
        <w:rPr>
          <w:rFonts w:asciiTheme="majorHAnsi" w:hAnsiTheme="majorHAnsi"/>
        </w:rPr>
        <w:t xml:space="preserve"> the design of the IEP (and as such, their program logics) was </w:t>
      </w:r>
      <w:r w:rsidR="00A656A3" w:rsidRPr="00820C89">
        <w:rPr>
          <w:rFonts w:asciiTheme="majorHAnsi" w:hAnsiTheme="majorHAnsi"/>
        </w:rPr>
        <w:t>framed within</w:t>
      </w:r>
      <w:r w:rsidR="00EB0C80" w:rsidRPr="00820C89">
        <w:rPr>
          <w:rFonts w:asciiTheme="majorHAnsi" w:hAnsiTheme="majorHAnsi"/>
        </w:rPr>
        <w:t xml:space="preserve"> a western economic paradigm </w:t>
      </w:r>
      <w:r w:rsidR="00A656A3" w:rsidRPr="00820C89">
        <w:rPr>
          <w:rFonts w:asciiTheme="majorHAnsi" w:hAnsiTheme="majorHAnsi"/>
        </w:rPr>
        <w:t>and informed by western conceptions of employment and work.</w:t>
      </w:r>
      <w:r w:rsidR="0052293E" w:rsidRPr="00820C89">
        <w:rPr>
          <w:rFonts w:asciiTheme="majorHAnsi" w:hAnsiTheme="majorHAnsi"/>
        </w:rPr>
        <w:t xml:space="preserve"> </w:t>
      </w:r>
    </w:p>
    <w:p w14:paraId="0CD6E70A" w14:textId="77777777" w:rsidR="003B605E" w:rsidRPr="00820C89" w:rsidRDefault="005D7A45" w:rsidP="003B605E">
      <w:pPr>
        <w:rPr>
          <w:rFonts w:asciiTheme="majorHAnsi" w:hAnsiTheme="majorHAnsi"/>
        </w:rPr>
      </w:pPr>
      <w:r w:rsidRPr="00820C89">
        <w:rPr>
          <w:rFonts w:asciiTheme="majorHAnsi" w:hAnsiTheme="majorHAnsi"/>
        </w:rPr>
        <w:t>C</w:t>
      </w:r>
      <w:r w:rsidR="00EB74A8" w:rsidRPr="00820C89">
        <w:rPr>
          <w:rFonts w:asciiTheme="majorHAnsi" w:hAnsiTheme="majorHAnsi"/>
        </w:rPr>
        <w:t xml:space="preserve">onsiderations of impact were </w:t>
      </w:r>
      <w:r w:rsidR="00F7792A" w:rsidRPr="00820C89">
        <w:rPr>
          <w:rFonts w:asciiTheme="majorHAnsi" w:hAnsiTheme="majorHAnsi"/>
        </w:rPr>
        <w:t xml:space="preserve">informed through </w:t>
      </w:r>
      <w:r w:rsidR="00664093" w:rsidRPr="00820C89">
        <w:rPr>
          <w:rFonts w:asciiTheme="majorHAnsi" w:hAnsiTheme="majorHAnsi"/>
        </w:rPr>
        <w:t>four</w:t>
      </w:r>
      <w:r w:rsidR="00D95574" w:rsidRPr="00820C89">
        <w:rPr>
          <w:rFonts w:asciiTheme="majorHAnsi" w:hAnsiTheme="majorHAnsi"/>
        </w:rPr>
        <w:t xml:space="preserve"> key sources</w:t>
      </w:r>
      <w:r w:rsidR="00F7792A" w:rsidRPr="00820C89">
        <w:rPr>
          <w:rFonts w:asciiTheme="majorHAnsi" w:hAnsiTheme="majorHAnsi"/>
        </w:rPr>
        <w:t xml:space="preserve">: </w:t>
      </w:r>
    </w:p>
    <w:p w14:paraId="2B6A23E1" w14:textId="77777777" w:rsidR="008704C0" w:rsidRPr="00820C89" w:rsidRDefault="008704C0" w:rsidP="00715F70">
      <w:pPr>
        <w:numPr>
          <w:ilvl w:val="0"/>
          <w:numId w:val="13"/>
        </w:numPr>
        <w:spacing w:before="60" w:after="60"/>
        <w:ind w:left="357" w:hanging="357"/>
        <w:rPr>
          <w:rFonts w:asciiTheme="majorHAnsi" w:hAnsiTheme="majorHAnsi"/>
        </w:rPr>
      </w:pPr>
      <w:r w:rsidRPr="00820C89">
        <w:rPr>
          <w:rFonts w:asciiTheme="majorHAnsi" w:hAnsiTheme="majorHAnsi"/>
        </w:rPr>
        <w:t xml:space="preserve">the outcomes analysis presented in </w:t>
      </w:r>
      <w:r w:rsidR="000D204F" w:rsidRPr="00820C89">
        <w:rPr>
          <w:rFonts w:asciiTheme="majorHAnsi" w:hAnsiTheme="majorHAnsi"/>
        </w:rPr>
        <w:t>Chapter 4.</w:t>
      </w:r>
    </w:p>
    <w:p w14:paraId="21EF3FE3" w14:textId="77777777" w:rsidR="00A029A5" w:rsidRPr="00820C89" w:rsidRDefault="00276E82" w:rsidP="00715F70">
      <w:pPr>
        <w:numPr>
          <w:ilvl w:val="0"/>
          <w:numId w:val="13"/>
        </w:numPr>
        <w:spacing w:before="60" w:after="60"/>
        <w:ind w:left="357" w:hanging="357"/>
        <w:rPr>
          <w:rFonts w:asciiTheme="majorHAnsi" w:hAnsiTheme="majorHAnsi"/>
        </w:rPr>
      </w:pPr>
      <w:r w:rsidRPr="00820C89">
        <w:rPr>
          <w:rFonts w:asciiTheme="majorHAnsi" w:hAnsiTheme="majorHAnsi"/>
        </w:rPr>
        <w:t>employer, participant and community identification and articulation of outcomes and impacts through stakeholder consultation</w:t>
      </w:r>
    </w:p>
    <w:p w14:paraId="7272B670" w14:textId="77777777" w:rsidR="004A3821" w:rsidRPr="00820C89" w:rsidRDefault="00A029A5" w:rsidP="00715F70">
      <w:pPr>
        <w:numPr>
          <w:ilvl w:val="1"/>
          <w:numId w:val="13"/>
        </w:numPr>
        <w:spacing w:before="60" w:after="60"/>
        <w:ind w:left="714" w:hanging="357"/>
        <w:rPr>
          <w:rFonts w:asciiTheme="majorHAnsi" w:hAnsiTheme="majorHAnsi"/>
        </w:rPr>
      </w:pPr>
      <w:r w:rsidRPr="00820C89">
        <w:rPr>
          <w:rFonts w:asciiTheme="majorHAnsi" w:hAnsiTheme="majorHAnsi"/>
        </w:rPr>
        <w:t>W</w:t>
      </w:r>
      <w:r w:rsidR="004A3821" w:rsidRPr="00820C89">
        <w:rPr>
          <w:rFonts w:asciiTheme="majorHAnsi" w:hAnsiTheme="majorHAnsi"/>
        </w:rPr>
        <w:t>ith</w:t>
      </w:r>
      <w:r w:rsidRPr="00820C89">
        <w:rPr>
          <w:rFonts w:asciiTheme="majorHAnsi" w:hAnsiTheme="majorHAnsi"/>
        </w:rPr>
        <w:t>in this analysis,</w:t>
      </w:r>
      <w:r w:rsidR="004A3821" w:rsidRPr="00820C89">
        <w:rPr>
          <w:rFonts w:asciiTheme="majorHAnsi" w:hAnsiTheme="majorHAnsi"/>
        </w:rPr>
        <w:t xml:space="preserve"> a </w:t>
      </w:r>
      <w:r w:rsidR="003F39D3" w:rsidRPr="00820C89">
        <w:rPr>
          <w:rFonts w:asciiTheme="majorHAnsi" w:hAnsiTheme="majorHAnsi"/>
        </w:rPr>
        <w:t xml:space="preserve">deliberate effort </w:t>
      </w:r>
      <w:r w:rsidRPr="00820C89">
        <w:rPr>
          <w:rFonts w:asciiTheme="majorHAnsi" w:hAnsiTheme="majorHAnsi"/>
        </w:rPr>
        <w:t>has been made to</w:t>
      </w:r>
      <w:r w:rsidR="003F39D3" w:rsidRPr="00820C89">
        <w:rPr>
          <w:rFonts w:asciiTheme="majorHAnsi" w:hAnsiTheme="majorHAnsi"/>
        </w:rPr>
        <w:t xml:space="preserve"> highlight Indigenous articulation of experience and impact wherever possible</w:t>
      </w:r>
      <w:r w:rsidRPr="00820C89">
        <w:rPr>
          <w:rFonts w:asciiTheme="majorHAnsi" w:hAnsiTheme="majorHAnsi"/>
        </w:rPr>
        <w:t>, and to note where this differs from Western articulations</w:t>
      </w:r>
      <w:r w:rsidR="003F39D3" w:rsidRPr="00820C89">
        <w:rPr>
          <w:rFonts w:asciiTheme="majorHAnsi" w:hAnsiTheme="majorHAnsi"/>
        </w:rPr>
        <w:t xml:space="preserve"> </w:t>
      </w:r>
    </w:p>
    <w:p w14:paraId="35CDD1C3" w14:textId="77777777" w:rsidR="00B86AB4" w:rsidRPr="00820C89" w:rsidRDefault="00D95574" w:rsidP="00715F70">
      <w:pPr>
        <w:numPr>
          <w:ilvl w:val="0"/>
          <w:numId w:val="13"/>
        </w:numPr>
        <w:spacing w:before="60" w:after="60"/>
        <w:ind w:left="357" w:hanging="357"/>
        <w:rPr>
          <w:rFonts w:asciiTheme="majorHAnsi" w:hAnsiTheme="majorHAnsi"/>
        </w:rPr>
      </w:pPr>
      <w:r w:rsidRPr="00820C89">
        <w:rPr>
          <w:rFonts w:asciiTheme="majorHAnsi" w:hAnsiTheme="majorHAnsi"/>
        </w:rPr>
        <w:t xml:space="preserve">a literature review (Appendix </w:t>
      </w:r>
      <w:r w:rsidR="006A5F1D" w:rsidRPr="00820C89">
        <w:rPr>
          <w:rFonts w:asciiTheme="majorHAnsi" w:hAnsiTheme="majorHAnsi"/>
        </w:rPr>
        <w:t>A</w:t>
      </w:r>
      <w:r w:rsidRPr="00820C89">
        <w:rPr>
          <w:rFonts w:asciiTheme="majorHAnsi" w:hAnsiTheme="majorHAnsi"/>
        </w:rPr>
        <w:t xml:space="preserve">) that </w:t>
      </w:r>
      <w:r w:rsidR="00C7182E" w:rsidRPr="00820C89">
        <w:rPr>
          <w:rFonts w:asciiTheme="majorHAnsi" w:hAnsiTheme="majorHAnsi"/>
        </w:rPr>
        <w:t xml:space="preserve">canvassed expected impacts associated with the </w:t>
      </w:r>
      <w:r w:rsidR="005950E7" w:rsidRPr="00820C89">
        <w:rPr>
          <w:rFonts w:asciiTheme="majorHAnsi" w:hAnsiTheme="majorHAnsi"/>
        </w:rPr>
        <w:t xml:space="preserve">activities, outputs and outcomes </w:t>
      </w:r>
      <w:r w:rsidR="00C231D2" w:rsidRPr="00820C89">
        <w:rPr>
          <w:rFonts w:asciiTheme="majorHAnsi" w:hAnsiTheme="majorHAnsi"/>
        </w:rPr>
        <w:t>of the IEP</w:t>
      </w:r>
    </w:p>
    <w:p w14:paraId="33F4EF0C" w14:textId="77777777" w:rsidR="005D7A45" w:rsidRPr="00820C89" w:rsidRDefault="00716C66" w:rsidP="00715F70">
      <w:pPr>
        <w:numPr>
          <w:ilvl w:val="1"/>
          <w:numId w:val="13"/>
        </w:numPr>
        <w:spacing w:before="60" w:after="60"/>
        <w:ind w:left="714" w:hanging="357"/>
        <w:rPr>
          <w:rFonts w:asciiTheme="majorHAnsi" w:hAnsiTheme="majorHAnsi"/>
        </w:rPr>
      </w:pPr>
      <w:r w:rsidRPr="00820C89">
        <w:rPr>
          <w:rFonts w:asciiTheme="majorHAnsi" w:hAnsiTheme="majorHAnsi"/>
        </w:rPr>
        <w:t xml:space="preserve">As the literature review revealed a paucity of available literature on successful </w:t>
      </w:r>
      <w:r w:rsidR="009353D8" w:rsidRPr="00820C89">
        <w:rPr>
          <w:rFonts w:asciiTheme="majorHAnsi" w:hAnsiTheme="majorHAnsi"/>
        </w:rPr>
        <w:t>Indigenous employment programs</w:t>
      </w:r>
      <w:r w:rsidR="007253EE" w:rsidRPr="00820C89">
        <w:rPr>
          <w:rFonts w:asciiTheme="majorHAnsi" w:hAnsiTheme="majorHAnsi"/>
        </w:rPr>
        <w:t>, particularly</w:t>
      </w:r>
      <w:r w:rsidRPr="00820C89">
        <w:rPr>
          <w:rFonts w:asciiTheme="majorHAnsi" w:hAnsiTheme="majorHAnsi"/>
        </w:rPr>
        <w:t xml:space="preserve"> </w:t>
      </w:r>
      <w:r w:rsidR="00F5279C" w:rsidRPr="00820C89">
        <w:rPr>
          <w:rFonts w:asciiTheme="majorHAnsi" w:hAnsiTheme="majorHAnsi"/>
        </w:rPr>
        <w:t xml:space="preserve">in relation to the scarcity of Indigenous voices in studies </w:t>
      </w:r>
      <w:r w:rsidR="00F5279C" w:rsidRPr="00820C89">
        <w:rPr>
          <w:rFonts w:asciiTheme="majorHAnsi" w:hAnsiTheme="majorHAnsi"/>
        </w:rPr>
        <w:lastRenderedPageBreak/>
        <w:t>pertaining to employment strategies and outcomes</w:t>
      </w:r>
      <w:r w:rsidR="001F0EEE" w:rsidRPr="00820C89">
        <w:rPr>
          <w:rFonts w:asciiTheme="majorHAnsi" w:hAnsiTheme="majorHAnsi"/>
        </w:rPr>
        <w:t>, stakeholder perspectives are given primacy.</w:t>
      </w:r>
      <w:r w:rsidR="00F5279C" w:rsidRPr="00820C89">
        <w:rPr>
          <w:rFonts w:asciiTheme="majorHAnsi" w:hAnsiTheme="majorHAnsi"/>
        </w:rPr>
        <w:t xml:space="preserve"> </w:t>
      </w:r>
    </w:p>
    <w:p w14:paraId="56836498" w14:textId="77777777" w:rsidR="00A11CDB" w:rsidRPr="00820C89" w:rsidRDefault="00A11CDB" w:rsidP="00715F70">
      <w:pPr>
        <w:numPr>
          <w:ilvl w:val="0"/>
          <w:numId w:val="13"/>
        </w:numPr>
        <w:spacing w:before="60" w:after="60"/>
        <w:rPr>
          <w:rFonts w:asciiTheme="majorHAnsi" w:hAnsiTheme="majorHAnsi"/>
        </w:rPr>
      </w:pPr>
      <w:r w:rsidRPr="00820C89">
        <w:rPr>
          <w:rFonts w:asciiTheme="majorHAnsi" w:hAnsiTheme="majorHAnsi"/>
        </w:rPr>
        <w:t xml:space="preserve">data on several publicly available counterfactuals, such as the </w:t>
      </w:r>
      <w:r w:rsidR="00C85CC9" w:rsidRPr="00820C89">
        <w:rPr>
          <w:rFonts w:asciiTheme="majorHAnsi" w:hAnsiTheme="majorHAnsi"/>
        </w:rPr>
        <w:t>j</w:t>
      </w:r>
      <w:r w:rsidRPr="00820C89">
        <w:rPr>
          <w:rFonts w:asciiTheme="majorHAnsi" w:hAnsiTheme="majorHAnsi"/>
        </w:rPr>
        <w:t>obactive and CDP programs.</w:t>
      </w:r>
    </w:p>
    <w:p w14:paraId="09B6EEC4" w14:textId="77777777" w:rsidR="00391B27" w:rsidRPr="00820C89" w:rsidRDefault="00391B27" w:rsidP="00391B27">
      <w:pPr>
        <w:spacing w:before="60" w:after="60"/>
        <w:ind w:left="360"/>
        <w:rPr>
          <w:rFonts w:asciiTheme="majorHAnsi" w:hAnsiTheme="majorHAnsi"/>
        </w:rPr>
      </w:pPr>
    </w:p>
    <w:p w14:paraId="49F29CFC" w14:textId="77777777" w:rsidR="00050D7B" w:rsidRPr="00820C89" w:rsidRDefault="00296E40" w:rsidP="00C231D2">
      <w:pPr>
        <w:rPr>
          <w:rFonts w:asciiTheme="majorHAnsi" w:hAnsiTheme="majorHAnsi"/>
        </w:rPr>
      </w:pPr>
      <w:r w:rsidRPr="00820C89">
        <w:rPr>
          <w:rFonts w:asciiTheme="majorHAnsi" w:hAnsiTheme="majorHAnsi"/>
        </w:rPr>
        <w:t xml:space="preserve">The below </w:t>
      </w:r>
      <w:r w:rsidR="00091749" w:rsidRPr="00820C89">
        <w:rPr>
          <w:rFonts w:asciiTheme="majorHAnsi" w:hAnsiTheme="majorHAnsi"/>
        </w:rPr>
        <w:t>f</w:t>
      </w:r>
      <w:r w:rsidR="006D2795" w:rsidRPr="00820C89">
        <w:rPr>
          <w:rFonts w:asciiTheme="majorHAnsi" w:hAnsiTheme="majorHAnsi"/>
        </w:rPr>
        <w:t>ramework provides a high</w:t>
      </w:r>
      <w:r w:rsidR="00EC16C6" w:rsidRPr="00820C89">
        <w:rPr>
          <w:rFonts w:asciiTheme="majorHAnsi" w:hAnsiTheme="majorHAnsi"/>
        </w:rPr>
        <w:t>-</w:t>
      </w:r>
      <w:r w:rsidR="00F40CF2" w:rsidRPr="00820C89">
        <w:rPr>
          <w:rFonts w:asciiTheme="majorHAnsi" w:hAnsiTheme="majorHAnsi"/>
        </w:rPr>
        <w:t>level overview of the nature of impacts assessed</w:t>
      </w:r>
      <w:r w:rsidR="00394355" w:rsidRPr="00820C89">
        <w:rPr>
          <w:rFonts w:asciiTheme="majorHAnsi" w:hAnsiTheme="majorHAnsi"/>
        </w:rPr>
        <w:t xml:space="preserve">, and the method through which </w:t>
      </w:r>
      <w:r w:rsidR="007E5826" w:rsidRPr="00820C89">
        <w:rPr>
          <w:rFonts w:asciiTheme="majorHAnsi" w:hAnsiTheme="majorHAnsi"/>
        </w:rPr>
        <w:t>the extent of attributable impact to the IEP can be made</w:t>
      </w:r>
      <w:r w:rsidR="00DF4F51" w:rsidRPr="00820C89">
        <w:rPr>
          <w:rFonts w:asciiTheme="majorHAnsi" w:hAnsiTheme="majorHAnsi"/>
        </w:rPr>
        <w:t xml:space="preserve"> (Table 5.1).</w:t>
      </w:r>
    </w:p>
    <w:p w14:paraId="7B7D49D5" w14:textId="77777777" w:rsidR="004118F8" w:rsidRPr="00820C89" w:rsidRDefault="00062F13" w:rsidP="00C231D2">
      <w:pPr>
        <w:rPr>
          <w:rFonts w:asciiTheme="majorHAnsi" w:hAnsiTheme="majorHAnsi"/>
        </w:rPr>
      </w:pPr>
      <w:r w:rsidRPr="00820C89">
        <w:rPr>
          <w:rFonts w:asciiTheme="majorHAnsi" w:hAnsiTheme="majorHAnsi"/>
        </w:rPr>
        <w:t xml:space="preserve">Impact considerations have been differentiated between those associated with </w:t>
      </w:r>
      <w:r w:rsidR="00FE1F9C" w:rsidRPr="00820C89">
        <w:rPr>
          <w:rFonts w:asciiTheme="majorHAnsi" w:hAnsiTheme="majorHAnsi"/>
          <w:b/>
        </w:rPr>
        <w:t>program participation</w:t>
      </w:r>
      <w:r w:rsidR="00FE1F9C" w:rsidRPr="00820C89">
        <w:rPr>
          <w:rFonts w:asciiTheme="majorHAnsi" w:hAnsiTheme="majorHAnsi"/>
        </w:rPr>
        <w:t xml:space="preserve"> </w:t>
      </w:r>
      <w:r w:rsidR="00390F21" w:rsidRPr="00820C89">
        <w:rPr>
          <w:rFonts w:asciiTheme="majorHAnsi" w:hAnsiTheme="majorHAnsi"/>
        </w:rPr>
        <w:t xml:space="preserve">(that is, what can be directly observed through this evaluation as occurring through </w:t>
      </w:r>
      <w:r w:rsidR="000340E4" w:rsidRPr="00820C89">
        <w:rPr>
          <w:rFonts w:asciiTheme="majorHAnsi" w:hAnsiTheme="majorHAnsi"/>
        </w:rPr>
        <w:t xml:space="preserve">IEP participation), and those associated with </w:t>
      </w:r>
      <w:r w:rsidR="003359B9" w:rsidRPr="00820C89">
        <w:rPr>
          <w:rFonts w:asciiTheme="majorHAnsi" w:hAnsiTheme="majorHAnsi"/>
          <w:b/>
        </w:rPr>
        <w:t>sustained employment outcomes</w:t>
      </w:r>
      <w:r w:rsidR="00B84E06" w:rsidRPr="00820C89">
        <w:rPr>
          <w:rFonts w:asciiTheme="majorHAnsi" w:hAnsiTheme="majorHAnsi"/>
        </w:rPr>
        <w:t xml:space="preserve">. </w:t>
      </w:r>
      <w:r w:rsidR="004118F8" w:rsidRPr="00820C89">
        <w:rPr>
          <w:rFonts w:asciiTheme="majorHAnsi" w:hAnsiTheme="majorHAnsi"/>
        </w:rPr>
        <w:t xml:space="preserve">This is to ensure that impact is also considered for participants that engage with the IEP program, but do not gain sustained employment as a result. </w:t>
      </w:r>
    </w:p>
    <w:p w14:paraId="169B524D" w14:textId="77777777" w:rsidR="000813F1" w:rsidRPr="006A04F6" w:rsidRDefault="00596DC8" w:rsidP="00C231D2">
      <w:pPr>
        <w:pStyle w:val="CaptionTable"/>
        <w:ind w:left="0"/>
        <w:rPr>
          <w:rFonts w:asciiTheme="majorHAnsi" w:hAnsiTheme="majorHAnsi"/>
        </w:rPr>
      </w:pPr>
      <w:r w:rsidRPr="006A04F6">
        <w:rPr>
          <w:rFonts w:asciiTheme="majorHAnsi" w:hAnsiTheme="majorHAnsi"/>
        </w:rPr>
        <w:lastRenderedPageBreak/>
        <w:t xml:space="preserve">: </w:t>
      </w:r>
      <w:r w:rsidR="00394355" w:rsidRPr="006A04F6">
        <w:rPr>
          <w:rFonts w:asciiTheme="majorHAnsi" w:hAnsiTheme="majorHAnsi"/>
        </w:rPr>
        <w:t>Impact measurement framework</w:t>
      </w:r>
    </w:p>
    <w:p w14:paraId="0FE4BDF4" w14:textId="00FED581" w:rsidR="00394355" w:rsidRPr="001656D4" w:rsidRDefault="000813F1" w:rsidP="001656D4">
      <w:pPr>
        <w:pStyle w:val="CaptionTable"/>
        <w:numPr>
          <w:ilvl w:val="0"/>
          <w:numId w:val="0"/>
        </w:numPr>
        <w:rPr>
          <w:rFonts w:asciiTheme="majorHAnsi" w:hAnsiTheme="majorHAnsi"/>
        </w:rPr>
      </w:pPr>
      <w:r w:rsidRPr="00820C89">
        <w:rPr>
          <w:rFonts w:asciiTheme="majorHAnsi" w:hAnsiTheme="majorHAnsi"/>
          <w:noProof/>
          <w:lang w:eastAsia="en-AU"/>
        </w:rPr>
        <w:drawing>
          <wp:inline distT="0" distB="0" distL="0" distR="0" wp14:anchorId="7A84F6D2" wp14:editId="5579EBD8">
            <wp:extent cx="5825905" cy="8304264"/>
            <wp:effectExtent l="0" t="0" r="3810" b="1905"/>
            <wp:docPr id="75" name="Picture 75" descr="Table 5.1 describes the impact measurement framework from the IEP commencement, the 26 week milestones and beyond 3 years of imployment. It notes that the impact increases with outcomes realised across IEPS or counterfactuals.&#10;&#10;The table notes that the impact increases for job seekers through economic and social impact associated with educational attainment; employment experience and connections with support services.&#10;&#10;The employment outcomes are through the economic and social impact associated with sustained employment; financial security; and career opportunity and progression.&#10;&#10;The impacts for jobseekers are measured through (relative to counterfactual) direct and future earnings potential and health, cultural and wellbeing impacts.&#10;&#10;Considerations for the job seeker impact analysis will differ in accordance with:&#10;-Program characteristics (nature and intensity of support services provided); participant characteristics (intensity of barriers to employment); Educational attainment (nature of training offered, recognition of qualifications); Nature of employment (including position, wages, sustainability, alignment to aspirations); and program and milestone completion rates.&#10;&#10;The table notes that the impact increases for job seekers through economic and social impact associated with employment of Indigenous jobseekers and meeting of Indigenous employment targets.&#10;&#10;The sustained employment outcomes are through the economic and social impact associated with growing the indigenous workforce (including career advancement); integration of Indigenous values and knowledge frameworks in workplace and cultural capabilities.&#10;&#10;The employer impact is measure through (relative to counterfactual): net fiscal impact of program participation and broader employer workforce impacts.&#10;&#10;Considerations for the employer impact analysis will differ in accordance with: Program characteristics (nature and intensity of program/educational attainment/employer links with community services and objectives); Community characteristics (community size, community demographics, percentage of IEP participation) and the nature and location of employment (including alignment with community aspirations).&#10;&#10;The table notes that the impact increases for society through economic and social impact associated with the cost of program delivery and the impact is measure through (relative to counterfactual) the administration costs.&#10;&#10;Theeconomic and social impacts associated with the community are measured through : indigenous workforce in key services; society capital gain; community aspirations and opportunities for self-determination and improved community cohesion.&#10;&#10;Community impact is measured through (relative to counterfactual) health, cultural and wellbeing impacts of broader community.&#10;&#10;Considerations for the community impact analysis will differ in accordance with: program characterisitics (nature and intensity of program/educational attainment/employer links with commity services and objectives); community characteristics (community size, community demographics, percentage of IEP participation) and the Nature and location of employment (including alignment with community aspirations).&#10;&#10;The impact increases for Society through economic and social impact associated with cost of program delivery and administration costs.&#10;&#10;The societal outcomes are through the economic and social impact associated with sustained employment; benefits associated with reducing the employment gap between Indigenous and non-Indigenous Australians and sector leadership and shifts in national Indigenous employment approaches.&#10;&#10;Societal impacts are measure through (relative to counterfactual): administrative costs; government expenditure reduced through employment support, health and crime costs avoided; and economic, cultural and wellbeing impacts of brader employers, jobseekers and communities beyong throse participating in IEPs.&#10;&#10;Considerations for the societal impact analysis will differ in accordance with: the effectiveness of IEPs in supporting sustained Indigenous employment and other impacts; the efficiency of IEP delivery and the nature of cascading benef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36585" cy="8319487"/>
                    </a:xfrm>
                    <a:prstGeom prst="rect">
                      <a:avLst/>
                    </a:prstGeom>
                    <a:noFill/>
                  </pic:spPr>
                </pic:pic>
              </a:graphicData>
            </a:graphic>
          </wp:inline>
        </w:drawing>
      </w:r>
    </w:p>
    <w:p w14:paraId="54A60426" w14:textId="77777777" w:rsidR="006A04F6" w:rsidRPr="008B4C61" w:rsidRDefault="006A04F6" w:rsidP="0041777D">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i/>
          <w:iCs/>
          <w:color w:val="62B5E5" w:themeColor="accent3"/>
          <w:sz w:val="32"/>
          <w:szCs w:val="32"/>
        </w:rPr>
      </w:pPr>
      <w:r w:rsidRPr="00F242BE">
        <w:rPr>
          <w:b/>
          <w:bCs/>
          <w:i/>
          <w:iCs/>
          <w:color w:val="62B5E5" w:themeColor="accent3"/>
          <w:sz w:val="32"/>
          <w:szCs w:val="32"/>
        </w:rPr>
        <w:lastRenderedPageBreak/>
        <w:t xml:space="preserve">Chapter </w:t>
      </w:r>
      <w:r>
        <w:rPr>
          <w:b/>
          <w:bCs/>
          <w:i/>
          <w:iCs/>
          <w:color w:val="62B5E5" w:themeColor="accent3"/>
          <w:sz w:val="32"/>
          <w:szCs w:val="32"/>
        </w:rPr>
        <w:t>5</w:t>
      </w:r>
      <w:r w:rsidRPr="00F242BE">
        <w:rPr>
          <w:b/>
          <w:bCs/>
          <w:i/>
          <w:iCs/>
          <w:color w:val="62B5E5" w:themeColor="accent3"/>
          <w:sz w:val="32"/>
          <w:szCs w:val="32"/>
        </w:rPr>
        <w:t xml:space="preserve">: </w:t>
      </w:r>
      <w:r>
        <w:rPr>
          <w:b/>
          <w:bCs/>
          <w:i/>
          <w:iCs/>
          <w:color w:val="62B5E5" w:themeColor="accent3"/>
          <w:sz w:val="32"/>
          <w:szCs w:val="32"/>
        </w:rPr>
        <w:t xml:space="preserve">Impact </w:t>
      </w:r>
    </w:p>
    <w:p w14:paraId="37D0AC16" w14:textId="77777777" w:rsidR="006A04F6" w:rsidRDefault="006A04F6" w:rsidP="006A04F6">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rPr>
      </w:pPr>
      <w:r>
        <w:rPr>
          <w:b/>
          <w:bCs/>
          <w:i/>
          <w:iCs/>
          <w:color w:val="62B5E5" w:themeColor="accent3"/>
        </w:rPr>
        <w:t>Focus</w:t>
      </w:r>
    </w:p>
    <w:p w14:paraId="5B66874E" w14:textId="77777777" w:rsidR="006A04F6" w:rsidRPr="00785D08" w:rsidRDefault="006A04F6" w:rsidP="006A04F6">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rFonts w:asciiTheme="majorHAnsi" w:hAnsiTheme="majorHAnsi"/>
        </w:rPr>
      </w:pPr>
      <w:r>
        <w:rPr>
          <w:rFonts w:asciiTheme="majorHAnsi" w:hAnsiTheme="majorHAnsi"/>
        </w:rPr>
        <w:t>T</w:t>
      </w:r>
      <w:r w:rsidRPr="00785D08">
        <w:rPr>
          <w:rFonts w:asciiTheme="majorHAnsi" w:hAnsiTheme="majorHAnsi"/>
        </w:rPr>
        <w:t>his section of the report considers the extent to which the IEP generate</w:t>
      </w:r>
      <w:r>
        <w:rPr>
          <w:rFonts w:asciiTheme="majorHAnsi" w:hAnsiTheme="majorHAnsi"/>
        </w:rPr>
        <w:t>s</w:t>
      </w:r>
      <w:r w:rsidRPr="00785D08">
        <w:rPr>
          <w:rFonts w:asciiTheme="majorHAnsi" w:hAnsiTheme="majorHAnsi"/>
        </w:rPr>
        <w:t xml:space="preserve"> economic and social impacts for jobseekers, employers, local communities and broader society. This includes consideration of the following evaluation questions: </w:t>
      </w:r>
    </w:p>
    <w:p w14:paraId="0761A7D6" w14:textId="77777777" w:rsidR="006A04F6" w:rsidRPr="00785D08" w:rsidRDefault="006A04F6" w:rsidP="00715F70">
      <w:pPr>
        <w:numPr>
          <w:ilvl w:val="0"/>
          <w:numId w:val="13"/>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before="60" w:after="0"/>
        <w:ind w:left="357" w:hanging="357"/>
        <w:rPr>
          <w:rFonts w:asciiTheme="majorHAnsi" w:hAnsiTheme="majorHAnsi"/>
          <w:i/>
        </w:rPr>
      </w:pPr>
      <w:r w:rsidRPr="00785D08">
        <w:rPr>
          <w:rFonts w:asciiTheme="majorHAnsi" w:hAnsiTheme="majorHAnsi"/>
          <w:i/>
        </w:rPr>
        <w:t>To what extent are the activities achieving their intended outcomes, in the short, medium and long term?</w:t>
      </w:r>
    </w:p>
    <w:p w14:paraId="487070D1" w14:textId="77777777" w:rsidR="006A04F6" w:rsidRPr="00785D08" w:rsidRDefault="006A04F6" w:rsidP="00715F70">
      <w:pPr>
        <w:numPr>
          <w:ilvl w:val="0"/>
          <w:numId w:val="13"/>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before="60" w:after="0"/>
        <w:ind w:left="357" w:hanging="357"/>
        <w:rPr>
          <w:rFonts w:asciiTheme="majorHAnsi" w:hAnsiTheme="majorHAnsi"/>
          <w:i/>
        </w:rPr>
      </w:pPr>
      <w:r w:rsidRPr="00785D08">
        <w:rPr>
          <w:rFonts w:asciiTheme="majorHAnsi" w:hAnsiTheme="majorHAnsi"/>
          <w:i/>
        </w:rPr>
        <w:t>In what contexts has the program been more or less successful?</w:t>
      </w:r>
    </w:p>
    <w:p w14:paraId="1CA4E4FC" w14:textId="77777777" w:rsidR="006A04F6" w:rsidRPr="00785D08" w:rsidRDefault="006A04F6" w:rsidP="00715F70">
      <w:pPr>
        <w:numPr>
          <w:ilvl w:val="0"/>
          <w:numId w:val="13"/>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before="60" w:after="60"/>
        <w:ind w:left="357" w:hanging="357"/>
        <w:rPr>
          <w:rFonts w:asciiTheme="majorHAnsi" w:hAnsiTheme="majorHAnsi"/>
          <w:i/>
        </w:rPr>
      </w:pPr>
      <w:r w:rsidRPr="00785D08">
        <w:rPr>
          <w:rFonts w:asciiTheme="majorHAnsi" w:hAnsiTheme="majorHAnsi"/>
          <w:i/>
        </w:rPr>
        <w:t>How can the value of each program be optimised with the broader IEP and other employment assistance programs?</w:t>
      </w:r>
    </w:p>
    <w:p w14:paraId="5095AE51" w14:textId="77777777" w:rsidR="006A04F6" w:rsidRPr="008B4C61" w:rsidRDefault="006A04F6" w:rsidP="006A04F6">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0"/>
        <w:rPr>
          <w:b/>
          <w:bCs/>
          <w:i/>
          <w:iCs/>
          <w:color w:val="62B5E5" w:themeColor="accent3"/>
        </w:rPr>
      </w:pPr>
      <w:r>
        <w:rPr>
          <w:b/>
          <w:bCs/>
          <w:i/>
          <w:iCs/>
          <w:color w:val="62B5E5" w:themeColor="accent3"/>
        </w:rPr>
        <w:t>Data sources</w:t>
      </w:r>
    </w:p>
    <w:p w14:paraId="194D2F5F" w14:textId="77777777" w:rsidR="006A04F6" w:rsidRPr="00EC128D"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t>Stakeholder consultations with participants, providers, partners, community representatives and NIAA representatives.</w:t>
      </w:r>
    </w:p>
    <w:p w14:paraId="411F101A" w14:textId="77777777" w:rsidR="006A04F6"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t>The Literature Scan completed for this evaluation (Appendix A)</w:t>
      </w:r>
    </w:p>
    <w:p w14:paraId="5FB97EF3" w14:textId="77777777" w:rsidR="006A04F6"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t>NIAA program data</w:t>
      </w:r>
    </w:p>
    <w:p w14:paraId="6A481162" w14:textId="77777777" w:rsidR="006A04F6" w:rsidRDefault="006A04F6" w:rsidP="0041777D">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i/>
          <w:iCs/>
          <w:color w:val="62B5E5" w:themeColor="accent3"/>
        </w:rPr>
      </w:pPr>
      <w:r w:rsidRPr="00BC7EC7">
        <w:rPr>
          <w:b/>
          <w:bCs/>
          <w:i/>
          <w:iCs/>
          <w:color w:val="62B5E5" w:themeColor="accent3"/>
        </w:rPr>
        <w:t>Finding</w:t>
      </w:r>
      <w:r>
        <w:rPr>
          <w:b/>
          <w:bCs/>
          <w:i/>
          <w:iCs/>
          <w:color w:val="62B5E5" w:themeColor="accent3"/>
        </w:rPr>
        <w:t>s</w:t>
      </w:r>
    </w:p>
    <w:p w14:paraId="69CFC606" w14:textId="77777777" w:rsidR="006A04F6" w:rsidRPr="0004192D" w:rsidRDefault="006A04F6" w:rsidP="006A04F6">
      <w:pPr>
        <w:pBdr>
          <w:top w:val="single" w:sz="24" w:space="1" w:color="62B5E5" w:themeColor="accent3"/>
          <w:left w:val="single" w:sz="24" w:space="4" w:color="62B5E5" w:themeColor="accent3"/>
          <w:bottom w:val="single" w:sz="24" w:space="1" w:color="62B5E5" w:themeColor="accent3"/>
          <w:right w:val="single" w:sz="24" w:space="4" w:color="62B5E5" w:themeColor="accent3"/>
        </w:pBdr>
        <w:rPr>
          <w:b/>
          <w:bCs/>
        </w:rPr>
      </w:pPr>
      <w:r w:rsidRPr="0004192D">
        <w:rPr>
          <w:b/>
          <w:bCs/>
        </w:rPr>
        <w:t>Counterfactual analysis</w:t>
      </w:r>
    </w:p>
    <w:p w14:paraId="62ECC3D2" w14:textId="77777777" w:rsidR="006A04F6" w:rsidRPr="00A61959"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A61959">
        <w:t>Detailed participant-level data from similar employment programs (such as jobactive) could not be obtained as part of this evaluation.</w:t>
      </w:r>
    </w:p>
    <w:p w14:paraId="302141DB" w14:textId="77777777" w:rsidR="006A04F6"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pPr>
      <w:r w:rsidRPr="00A61959">
        <w:t xml:space="preserve">A preliminary scan of the publicly available data from other employment programs in Australia suggests that the 26-week milestone completion rate for the IEPs is generally higher than average.   </w:t>
      </w:r>
    </w:p>
    <w:p w14:paraId="06E83DFD" w14:textId="77777777" w:rsidR="006A04F6" w:rsidRPr="00A61959" w:rsidRDefault="006A04F6" w:rsidP="0041777D">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rPr>
      </w:pPr>
      <w:r w:rsidRPr="00A61959">
        <w:rPr>
          <w:b/>
          <w:bCs/>
        </w:rPr>
        <w:t>Jobseeker impact</w:t>
      </w:r>
    </w:p>
    <w:p w14:paraId="169EB4B5" w14:textId="77777777" w:rsidR="006A04F6" w:rsidRPr="0004192D"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pPr>
      <w:r w:rsidRPr="0004192D">
        <w:t>Participation in the program can have a broad range of positive impacts on participants, both through directly gaining employment and through the education, connection and support they receive.</w:t>
      </w:r>
    </w:p>
    <w:p w14:paraId="61873428" w14:textId="77777777" w:rsidR="006A04F6" w:rsidRPr="00A61959" w:rsidRDefault="006A04F6" w:rsidP="0041777D">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rPr>
      </w:pPr>
      <w:r w:rsidRPr="00A61959">
        <w:rPr>
          <w:b/>
          <w:bCs/>
        </w:rPr>
        <w:t>Employer impact</w:t>
      </w:r>
    </w:p>
    <w:p w14:paraId="1AE8C969" w14:textId="77777777" w:rsidR="006A04F6"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rsidRPr="00A61959">
        <w:t xml:space="preserve">Employers reported a wide range of financial and non-financial benefits associated with the participating in the program, including enhancing their ability to meet Indigenous </w:t>
      </w:r>
      <w:r>
        <w:t xml:space="preserve">employment </w:t>
      </w:r>
      <w:r w:rsidRPr="00A61959">
        <w:t>quotas and targets, their reputation, and the diversity of their workforce.</w:t>
      </w:r>
    </w:p>
    <w:p w14:paraId="6F8383AE" w14:textId="77777777" w:rsidR="006A04F6"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pPr>
      <w:r w:rsidRPr="00197B98">
        <w:t>It appears that the IEP remains predominately focused on supporting jobseekers to navigate established employment models, rather than shifting the employment model itself.</w:t>
      </w:r>
    </w:p>
    <w:p w14:paraId="235F8F71" w14:textId="77777777" w:rsidR="006A04F6" w:rsidRPr="00A61959" w:rsidRDefault="006A04F6" w:rsidP="0041777D">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rPr>
      </w:pPr>
      <w:r w:rsidRPr="00A61959">
        <w:rPr>
          <w:b/>
          <w:bCs/>
        </w:rPr>
        <w:t>Community impact</w:t>
      </w:r>
    </w:p>
    <w:p w14:paraId="240EA4D0" w14:textId="77777777" w:rsidR="006A04F6" w:rsidRPr="0056580E"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pPr>
      <w:r w:rsidRPr="0056580E">
        <w:t>Stakeholder consultations and academic literature suggest that the IEP can have a positive community-level impact, through increasing community cohesion, sense of belonging and aspiration.</w:t>
      </w:r>
    </w:p>
    <w:p w14:paraId="60D59355" w14:textId="77777777" w:rsidR="006A04F6" w:rsidRPr="00A61959" w:rsidRDefault="006A04F6" w:rsidP="0041777D">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rPr>
      </w:pPr>
      <w:r w:rsidRPr="00A61959">
        <w:rPr>
          <w:b/>
          <w:bCs/>
        </w:rPr>
        <w:t>Societal impact</w:t>
      </w:r>
    </w:p>
    <w:p w14:paraId="7C820090" w14:textId="77777777" w:rsidR="006A04F6"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pPr>
      <w:r w:rsidRPr="00A61959">
        <w:t>The IEP has the capacity to have a positive societal impact by reducing welfare expenditure and helping overcome the structural inequities that Indigenous Australians face.</w:t>
      </w:r>
    </w:p>
    <w:p w14:paraId="225C889A" w14:textId="77777777" w:rsidR="006A04F6" w:rsidRPr="001656D4" w:rsidRDefault="006A04F6" w:rsidP="0041777D">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60"/>
        <w:rPr>
          <w:b/>
          <w:bCs/>
          <w:i/>
          <w:iCs/>
          <w:color w:val="62B5E5" w:themeColor="accent3"/>
        </w:rPr>
      </w:pPr>
      <w:r w:rsidRPr="001656D4">
        <w:rPr>
          <w:b/>
          <w:bCs/>
          <w:i/>
          <w:iCs/>
          <w:color w:val="62B5E5" w:themeColor="accent3"/>
        </w:rPr>
        <w:t>Suggestions:</w:t>
      </w:r>
    </w:p>
    <w:p w14:paraId="52F15230" w14:textId="77777777" w:rsidR="006A04F6" w:rsidRPr="00A61959" w:rsidRDefault="006A04F6" w:rsidP="006A04F6">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pPr>
      <w:r>
        <w:t xml:space="preserve">10. </w:t>
      </w:r>
      <w:r w:rsidRPr="003630F0">
        <w:t>Further econometric impact analysis should be conducted to further explore the mixed results.</w:t>
      </w:r>
    </w:p>
    <w:p w14:paraId="5557E3C0" w14:textId="058D92B3" w:rsidR="008E3B53" w:rsidRPr="00820C89" w:rsidRDefault="008E3B53" w:rsidP="006A04F6">
      <w:pPr>
        <w:pBdr>
          <w:top w:val="single" w:sz="24" w:space="1" w:color="62B5E5" w:themeColor="accent3"/>
          <w:left w:val="single" w:sz="24" w:space="4" w:color="62B5E5" w:themeColor="accent3"/>
          <w:bottom w:val="single" w:sz="24" w:space="1" w:color="62B5E5" w:themeColor="accent3"/>
          <w:right w:val="single" w:sz="24" w:space="4" w:color="62B5E5" w:themeColor="accent3"/>
        </w:pBdr>
        <w:spacing w:after="0"/>
        <w:rPr>
          <w:rFonts w:asciiTheme="majorHAnsi" w:hAnsiTheme="majorHAnsi"/>
        </w:rPr>
      </w:pPr>
      <w:r w:rsidRPr="00820C89">
        <w:rPr>
          <w:rFonts w:asciiTheme="majorHAnsi" w:hAnsiTheme="majorHAnsi"/>
        </w:rPr>
        <w:br w:type="page"/>
      </w:r>
    </w:p>
    <w:p w14:paraId="68ED2B18" w14:textId="5FA65E36" w:rsidR="003F437F" w:rsidRPr="006A04F6" w:rsidRDefault="00303D72" w:rsidP="0041777D">
      <w:pPr>
        <w:pStyle w:val="Heading2"/>
        <w:spacing w:after="60"/>
        <w:rPr>
          <w:rFonts w:asciiTheme="majorHAnsi" w:hAnsiTheme="majorHAnsi"/>
        </w:rPr>
      </w:pPr>
      <w:bookmarkStart w:id="138" w:name="_Toc82710786"/>
      <w:bookmarkStart w:id="139" w:name="_Toc101343305"/>
      <w:bookmarkEnd w:id="136"/>
      <w:bookmarkEnd w:id="137"/>
      <w:r w:rsidRPr="00820C89">
        <w:rPr>
          <w:rFonts w:asciiTheme="majorHAnsi" w:hAnsiTheme="majorHAnsi"/>
        </w:rPr>
        <w:lastRenderedPageBreak/>
        <w:t>Moving towards a</w:t>
      </w:r>
      <w:r w:rsidR="00104522" w:rsidRPr="00820C89">
        <w:rPr>
          <w:rFonts w:asciiTheme="majorHAnsi" w:hAnsiTheme="majorHAnsi"/>
        </w:rPr>
        <w:t xml:space="preserve"> counterfactual</w:t>
      </w:r>
      <w:bookmarkEnd w:id="138"/>
      <w:bookmarkEnd w:id="139"/>
    </w:p>
    <w:p w14:paraId="41AD7BCA" w14:textId="77777777" w:rsidR="006A04F6" w:rsidRDefault="006A04F6" w:rsidP="006A04F6">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Key finding</w:t>
      </w:r>
    </w:p>
    <w:p w14:paraId="7BA54F33" w14:textId="3DD449F9" w:rsidR="006A04F6" w:rsidRPr="006A04F6"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sidRPr="006A04F6">
        <w:rPr>
          <w:b/>
          <w:bCs/>
          <w:i/>
          <w:iCs/>
          <w:color w:val="62B5E5" w:themeColor="accent3"/>
        </w:rPr>
        <w:t>Detailed participant-level data from other employment programs (such as jobactive) could not be obtained as part of this evaluation.</w:t>
      </w:r>
      <w:r>
        <w:rPr>
          <w:b/>
          <w:bCs/>
          <w:i/>
          <w:iCs/>
          <w:color w:val="62B5E5" w:themeColor="accent3"/>
        </w:rPr>
        <w:br/>
      </w:r>
    </w:p>
    <w:p w14:paraId="747312F6" w14:textId="39E4051F" w:rsidR="006A04F6" w:rsidRPr="006A04F6"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sidRPr="006A04F6">
        <w:rPr>
          <w:b/>
          <w:bCs/>
          <w:i/>
          <w:iCs/>
          <w:color w:val="62B5E5" w:themeColor="accent3"/>
        </w:rPr>
        <w:t xml:space="preserve">A preliminary scan of the publicly available data from other employment programs in Australia suggests that the 26-week milestone completion rate for the IEPs is generally higher than average.   </w:t>
      </w:r>
    </w:p>
    <w:p w14:paraId="5D1ACAE9" w14:textId="04E586DA" w:rsidR="009C20B2" w:rsidRPr="00820C89" w:rsidRDefault="009C20B2" w:rsidP="00D749FB">
      <w:pPr>
        <w:rPr>
          <w:rFonts w:asciiTheme="majorHAnsi" w:hAnsiTheme="majorHAnsi"/>
        </w:rPr>
      </w:pPr>
      <w:r w:rsidRPr="00820C89">
        <w:rPr>
          <w:rFonts w:asciiTheme="majorHAnsi" w:hAnsiTheme="majorHAnsi"/>
        </w:rPr>
        <w:t>The employment services landscape in Australia is inherently complicated, featuring a combination of both state and federal generic and cohort-specific programs. Consequently, there are a wide range of possible counterfactuals that the IEP could be evaluated against.</w:t>
      </w:r>
      <w:r w:rsidRPr="00820C89">
        <w:rPr>
          <w:rStyle w:val="FootnoteReference"/>
          <w:rFonts w:asciiTheme="majorHAnsi" w:hAnsiTheme="majorHAnsi"/>
        </w:rPr>
        <w:footnoteReference w:id="66"/>
      </w:r>
      <w:r w:rsidRPr="00820C89">
        <w:rPr>
          <w:rFonts w:asciiTheme="majorHAnsi" w:hAnsiTheme="majorHAnsi"/>
        </w:rPr>
        <w:t xml:space="preserve"> </w:t>
      </w:r>
    </w:p>
    <w:p w14:paraId="67E7298E" w14:textId="77777777" w:rsidR="009C20B2" w:rsidRPr="00820C89" w:rsidRDefault="009C20B2" w:rsidP="00D749FB">
      <w:pPr>
        <w:rPr>
          <w:rFonts w:asciiTheme="majorHAnsi" w:hAnsiTheme="majorHAnsi"/>
        </w:rPr>
      </w:pPr>
      <w:r w:rsidRPr="00820C89">
        <w:rPr>
          <w:rFonts w:asciiTheme="majorHAnsi" w:hAnsiTheme="majorHAnsi"/>
        </w:rPr>
        <w:t>This analysis is limited to comparing the primary quantitative measure of program success that is captured (the 26-week milestone) for the IEP sub-programs against a series of alternative programs (i.e. possible counterfactuals). Caution must be taken when interpreting these results, as this analysis does not account for compositional differences in the cohorts of each of these programs. That is, whether certain programs engage with relatively more disadvantaged or advantaged jobseekers, and how this may impact their reported completion rates. While this evaluation had intended to complete econometric analysis to account for these differences, the required data was ultimately not made available.</w:t>
      </w:r>
    </w:p>
    <w:p w14:paraId="2A320F6B" w14:textId="18B6F772" w:rsidR="009C20B2" w:rsidRPr="008F54A1" w:rsidRDefault="009C20B2" w:rsidP="009C20B2">
      <w:pPr>
        <w:rPr>
          <w:rFonts w:asciiTheme="majorHAnsi" w:hAnsiTheme="majorHAnsi"/>
        </w:rPr>
      </w:pPr>
      <w:r w:rsidRPr="008F54A1">
        <w:rPr>
          <w:rFonts w:asciiTheme="majorHAnsi" w:hAnsiTheme="majorHAnsi"/>
        </w:rPr>
        <w:t>A simple comparison of the reported 26-week milestone completion rate for the IEP vs. a selection of similar programs reveals that that the IEP sub-programs have generally achieved higher 26-week milestone completion rates (Chart 5.1). While this analysis cannot be interpreted as definitive evidence of the additionality of the IEP sub-programs, it does suggest that the programs are generally more likely to achieve positive employment outcomes.</w:t>
      </w:r>
    </w:p>
    <w:p w14:paraId="316567D9" w14:textId="5FB286C8" w:rsidR="00754799" w:rsidRPr="008F54A1" w:rsidRDefault="00754799" w:rsidP="00754799">
      <w:pPr>
        <w:pStyle w:val="CaptionChart"/>
      </w:pPr>
      <w:r w:rsidRPr="008F54A1">
        <w:t xml:space="preserve">: Comparison of </w:t>
      </w:r>
      <w:r w:rsidR="00306B79" w:rsidRPr="008F54A1">
        <w:t>average</w:t>
      </w:r>
      <w:r w:rsidRPr="008F54A1">
        <w:t xml:space="preserve"> 26-week milestone completion rates </w:t>
      </w:r>
    </w:p>
    <w:p w14:paraId="1A4DBD4F" w14:textId="77777777" w:rsidR="00754799" w:rsidRPr="00820C89" w:rsidRDefault="00754799" w:rsidP="00754799">
      <w:pPr>
        <w:rPr>
          <w:rFonts w:asciiTheme="majorHAnsi" w:hAnsiTheme="majorHAnsi"/>
        </w:rPr>
      </w:pPr>
      <w:r w:rsidRPr="00820C89">
        <w:rPr>
          <w:noProof/>
          <w:lang w:eastAsia="en-AU"/>
        </w:rPr>
        <w:drawing>
          <wp:inline distT="0" distB="0" distL="0" distR="0" wp14:anchorId="2ABDA0F7" wp14:editId="02E88AB3">
            <wp:extent cx="4763069" cy="2586251"/>
            <wp:effectExtent l="0" t="0" r="0" b="5080"/>
            <wp:docPr id="39" name="Chart 39" descr="A simple comparison of the reported 26-week milestone completion rate for the IEP vs. a selection of similar programs reveals that that the IEP sub-programs have generally achieved higher 26-week milestone completion rates" title=" ">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364527F" w14:textId="277BFFA5" w:rsidR="00754799" w:rsidRDefault="00754799" w:rsidP="00754799">
      <w:pPr>
        <w:pStyle w:val="Source"/>
      </w:pPr>
      <w:r w:rsidRPr="00820C89">
        <w:t>Note: JVEN refers to the Jobs Victoria Employment Network. The JVEN milestone completion rate is sourced from the Parliament of Victoria (2020) while the CDP rate is cited in the Australian National Audit Office (2017).</w:t>
      </w:r>
    </w:p>
    <w:p w14:paraId="5B0B2432" w14:textId="77777777" w:rsidR="0041777D" w:rsidRPr="0041777D" w:rsidRDefault="0041777D" w:rsidP="0041777D"/>
    <w:p w14:paraId="716BA9C4" w14:textId="77777777" w:rsidR="008F54A1" w:rsidRPr="00820C89" w:rsidRDefault="008F54A1" w:rsidP="008F54A1">
      <w:pPr>
        <w:shd w:val="clear" w:color="auto" w:fill="DFF0F9" w:themeFill="accent3" w:themeFillTint="33"/>
        <w:rPr>
          <w:rFonts w:asciiTheme="majorHAnsi" w:hAnsiTheme="majorHAnsi"/>
          <w:b/>
          <w:bCs/>
        </w:rPr>
      </w:pPr>
      <w:bookmarkStart w:id="140" w:name="Suggestion10"/>
      <w:r w:rsidRPr="00820C89">
        <w:rPr>
          <w:rFonts w:asciiTheme="majorHAnsi" w:hAnsiTheme="majorHAnsi"/>
          <w:b/>
          <w:bCs/>
        </w:rPr>
        <w:lastRenderedPageBreak/>
        <w:t>Suggestion 10: Further econometric impact analysis should be conducted to further explore the mixed results.</w:t>
      </w:r>
    </w:p>
    <w:bookmarkEnd w:id="140"/>
    <w:p w14:paraId="4A5CB39F" w14:textId="77777777" w:rsidR="008F54A1" w:rsidRPr="00820C89" w:rsidRDefault="008F54A1" w:rsidP="008F54A1">
      <w:pPr>
        <w:shd w:val="clear" w:color="auto" w:fill="DFF0F9" w:themeFill="accent3" w:themeFillTint="33"/>
        <w:rPr>
          <w:rFonts w:asciiTheme="majorHAnsi" w:hAnsiTheme="majorHAnsi"/>
        </w:rPr>
      </w:pPr>
      <w:r w:rsidRPr="00820C89">
        <w:rPr>
          <w:rFonts w:asciiTheme="majorHAnsi" w:hAnsiTheme="majorHAnsi"/>
        </w:rPr>
        <w:t xml:space="preserve">This evaluation intended to use econometric analysis to estimate the program impact that participation in the IEP may achieve above and beyond participating in a counterfactual mainstream program. Ultimately, the necessary unit-record jobactive data to complete this analysis was not available to the NIAA. </w:t>
      </w:r>
    </w:p>
    <w:p w14:paraId="6163B87F" w14:textId="77777777" w:rsidR="008F54A1" w:rsidRPr="00820C89" w:rsidRDefault="008F54A1" w:rsidP="008F54A1">
      <w:pPr>
        <w:shd w:val="clear" w:color="auto" w:fill="DFF0F9" w:themeFill="accent3" w:themeFillTint="33"/>
        <w:rPr>
          <w:rFonts w:asciiTheme="majorHAnsi" w:hAnsiTheme="majorHAnsi"/>
        </w:rPr>
      </w:pPr>
      <w:r w:rsidRPr="00820C89">
        <w:rPr>
          <w:rFonts w:asciiTheme="majorHAnsi" w:hAnsiTheme="majorHAnsi"/>
        </w:rPr>
        <w:t xml:space="preserve">It is strongly recommended that further efforts be made to obtain this counterfactual data – in an exploratory way, putting existing concerns aside – and further econometric analysis conducted. The current results are more inconclusive then they might ultimately be with further testing, using the full dataset. </w:t>
      </w:r>
    </w:p>
    <w:p w14:paraId="49A9C2E4" w14:textId="77777777" w:rsidR="008F54A1" w:rsidRPr="00820C89" w:rsidRDefault="008F54A1" w:rsidP="008F54A1">
      <w:pPr>
        <w:shd w:val="clear" w:color="auto" w:fill="DFF0F9" w:themeFill="accent3" w:themeFillTint="33"/>
        <w:rPr>
          <w:rFonts w:asciiTheme="majorHAnsi" w:hAnsiTheme="majorHAnsi"/>
        </w:rPr>
      </w:pPr>
      <w:r w:rsidRPr="00820C89">
        <w:rPr>
          <w:rFonts w:asciiTheme="majorHAnsi" w:hAnsiTheme="majorHAnsi"/>
        </w:rPr>
        <w:t>In particular, it is proposed that a conditional probability model should be created to examine the likelihood that both an IEP and jobactive participant achieve a positive employment outcome. In this instance, a positive employment outcome could be defined as either achieving a 26-week employment outcome, or preferably, a longer-time employment outcome.</w:t>
      </w:r>
    </w:p>
    <w:p w14:paraId="10A68E1B" w14:textId="77777777" w:rsidR="008F54A1" w:rsidRPr="00820C89" w:rsidRDefault="008F54A1" w:rsidP="008F54A1">
      <w:pPr>
        <w:shd w:val="clear" w:color="auto" w:fill="DFF0F9" w:themeFill="accent3" w:themeFillTint="33"/>
        <w:rPr>
          <w:rFonts w:asciiTheme="majorHAnsi" w:hAnsiTheme="majorHAnsi"/>
        </w:rPr>
      </w:pPr>
      <w:r w:rsidRPr="00820C89">
        <w:rPr>
          <w:rFonts w:asciiTheme="majorHAnsi" w:hAnsiTheme="majorHAnsi"/>
        </w:rPr>
        <w:t>Practically, it is anticipated that this would require the use of a logistic regression, such that the response variable was binary in nature (i.e. indicating that a participant had achieved a positive employment outcome or not). The use of logit models to predict labour market outcomes is widely used in the economic literature on this subject.</w:t>
      </w:r>
      <w:r w:rsidRPr="00820C89">
        <w:rPr>
          <w:rStyle w:val="FootnoteReference"/>
          <w:rFonts w:asciiTheme="majorHAnsi" w:hAnsiTheme="majorHAnsi"/>
        </w:rPr>
        <w:footnoteReference w:id="67"/>
      </w:r>
      <w:r w:rsidRPr="00820C89">
        <w:rPr>
          <w:rFonts w:asciiTheme="majorHAnsi" w:hAnsiTheme="majorHAnsi"/>
        </w:rPr>
        <w:t xml:space="preserve"> </w:t>
      </w:r>
    </w:p>
    <w:p w14:paraId="60A65D26" w14:textId="77777777" w:rsidR="008F54A1" w:rsidRPr="00820C89" w:rsidRDefault="008F54A1" w:rsidP="008F54A1">
      <w:pPr>
        <w:shd w:val="clear" w:color="auto" w:fill="DFF0F9" w:themeFill="accent3" w:themeFillTint="33"/>
        <w:rPr>
          <w:rFonts w:asciiTheme="majorHAnsi" w:hAnsiTheme="majorHAnsi"/>
        </w:rPr>
      </w:pPr>
      <w:r w:rsidRPr="00820C89">
        <w:rPr>
          <w:rFonts w:asciiTheme="majorHAnsi" w:hAnsiTheme="majorHAnsi"/>
        </w:rPr>
        <w:t>As an example, a regression conducted on a pooled dataset of IEP and jobactive unit-record data may take the form of:</w:t>
      </w:r>
    </w:p>
    <w:p w14:paraId="6950759C" w14:textId="77777777" w:rsidR="008F54A1" w:rsidRPr="00820C89" w:rsidRDefault="008F54A1" w:rsidP="008F54A1">
      <w:pPr>
        <w:shd w:val="clear" w:color="auto" w:fill="DFF0F9" w:themeFill="accent3" w:themeFillTint="33"/>
        <w:rPr>
          <w:rFonts w:asciiTheme="majorHAnsi" w:hAnsiTheme="majorHAnsi"/>
        </w:rPr>
      </w:pPr>
      <m:oMath>
        <m:r>
          <w:rPr>
            <w:rFonts w:ascii="Cambria Math" w:hAnsi="Cambria Math"/>
          </w:rPr>
          <m:t>Pr</m:t>
        </m:r>
        <m:d>
          <m:dPr>
            <m:endChr m:val="|"/>
            <m:ctrlPr>
              <w:rPr>
                <w:rFonts w:ascii="Cambria Math" w:hAnsi="Cambria Math"/>
                <w:i/>
                <w:iCs/>
              </w:rPr>
            </m:ctrlPr>
          </m:dPr>
          <m:e>
            <m:sSub>
              <m:sSubPr>
                <m:ctrlPr>
                  <w:rPr>
                    <w:rFonts w:ascii="Cambria Math" w:hAnsi="Cambria Math"/>
                    <w:i/>
                    <w:iCs/>
                  </w:rPr>
                </m:ctrlPr>
              </m:sSubPr>
              <m:e>
                <m:r>
                  <w:rPr>
                    <w:rFonts w:ascii="Cambria Math" w:hAnsi="Cambria Math"/>
                  </w:rPr>
                  <m:t>Employed</m:t>
                </m:r>
              </m:e>
              <m:sub>
                <m:r>
                  <w:rPr>
                    <w:rFonts w:ascii="Cambria Math" w:hAnsi="Cambria Math"/>
                  </w:rPr>
                  <m:t>t</m:t>
                </m:r>
                <m:r>
                  <m:rPr>
                    <m:sty m:val="p"/>
                  </m:rPr>
                  <w:rPr>
                    <w:rFonts w:ascii="Cambria Math" w:hAnsi="Cambria Math"/>
                  </w:rPr>
                  <m:t>+1,</m:t>
                </m:r>
                <m:r>
                  <w:rPr>
                    <w:rFonts w:ascii="Cambria Math" w:hAnsi="Cambria Math"/>
                  </w:rPr>
                  <m:t>j</m:t>
                </m:r>
              </m:sub>
            </m:sSub>
          </m:e>
        </m:d>
        <m:r>
          <m:rPr>
            <m:sty m:val="p"/>
          </m:rPr>
          <w:rPr>
            <w:rFonts w:ascii="Cambria Math" w:hAnsi="Cambria Math"/>
          </w:rPr>
          <m:t> </m:t>
        </m:r>
        <m:sSub>
          <m:sSubPr>
            <m:ctrlPr>
              <w:rPr>
                <w:rFonts w:ascii="Cambria Math" w:hAnsi="Cambria Math"/>
                <w:i/>
                <w:iCs/>
              </w:rPr>
            </m:ctrlPr>
          </m:sSubPr>
          <m:e>
            <m:r>
              <w:rPr>
                <w:rFonts w:ascii="Cambria Math" w:hAnsi="Cambria Math"/>
              </w:rPr>
              <m:t>Unemployed</m:t>
            </m:r>
          </m:e>
          <m:sub>
            <m:r>
              <w:rPr>
                <w:rFonts w:ascii="Cambria Math" w:hAnsi="Cambria Math"/>
              </w:rPr>
              <m:t>t</m:t>
            </m:r>
          </m:sub>
        </m:sSub>
        <m:r>
          <m:rPr>
            <m:sty m:val="p"/>
          </m:rPr>
          <w:rPr>
            <w:rFonts w:ascii="Cambria Math" w:hAnsi="Cambria Math"/>
          </w:rPr>
          <m:t>,</m:t>
        </m:r>
        <m:r>
          <w:rPr>
            <w:rFonts w:ascii="Cambria Math" w:hAnsi="Cambria Math"/>
          </w:rPr>
          <m:t>j</m:t>
        </m:r>
        <m:r>
          <m:rPr>
            <m:sty m:val="p"/>
          </m:rPr>
          <w:rPr>
            <w:rFonts w:ascii="Cambria Math" w:hAnsi="Cambria Math"/>
          </w:rPr>
          <m:t>)=</m:t>
        </m:r>
        <m:sSub>
          <m:sSubPr>
            <m:ctrlPr>
              <w:rPr>
                <w:rFonts w:ascii="Cambria Math" w:hAnsi="Cambria Math"/>
                <w:i/>
                <w:iCs/>
              </w:rPr>
            </m:ctrlPr>
          </m:sSubPr>
          <m:e>
            <m:r>
              <w:rPr>
                <w:rFonts w:ascii="Cambria Math" w:hAnsi="Cambria Math"/>
              </w:rPr>
              <m:t>f</m:t>
            </m:r>
            <m:r>
              <m:rPr>
                <m:sty m:val="p"/>
              </m:rPr>
              <w:rPr>
                <w:rFonts w:ascii="Cambria Math" w:hAnsi="Cambria Math"/>
              </w:rPr>
              <m:t>(</m:t>
            </m:r>
            <m:r>
              <w:rPr>
                <w:rFonts w:ascii="Cambria Math" w:hAnsi="Cambria Math"/>
              </w:rPr>
              <m:t>β</m:t>
            </m:r>
          </m:e>
          <m:sub>
            <m:r>
              <w:rPr>
                <w:rFonts w:ascii="Cambria Math" w:hAnsi="Cambria Math"/>
              </w:rPr>
              <m:t>j</m:t>
            </m:r>
          </m:sub>
        </m:sSub>
        <m:r>
          <w:rPr>
            <w:rFonts w:ascii="Cambria Math" w:hAnsi="Cambria Math"/>
          </w:rPr>
          <m:t>X</m:t>
        </m:r>
        <m:r>
          <m:rPr>
            <m:sty m:val="p"/>
          </m:rPr>
          <w:rPr>
            <w:rFonts w:ascii="Cambria Math" w:hAnsi="Cambria Math"/>
          </w:rPr>
          <m:t>)+ </m:t>
        </m:r>
        <m:sSub>
          <m:sSubPr>
            <m:ctrlPr>
              <w:rPr>
                <w:rFonts w:ascii="Cambria Math" w:hAnsi="Cambria Math"/>
                <w:i/>
                <w:iCs/>
              </w:rPr>
            </m:ctrlPr>
          </m:sSubPr>
          <m:e>
            <m:r>
              <w:rPr>
                <w:rFonts w:ascii="Cambria Math" w:hAnsi="Cambria Math"/>
              </w:rPr>
              <m:t>β</m:t>
            </m:r>
          </m:e>
          <m:sub>
            <m:r>
              <w:rPr>
                <w:rFonts w:ascii="Cambria Math" w:hAnsi="Cambria Math"/>
              </w:rPr>
              <m:t>Z</m:t>
            </m:r>
          </m:sub>
        </m:sSub>
        <m:r>
          <w:rPr>
            <w:rFonts w:ascii="Cambria Math" w:hAnsi="Cambria Math"/>
          </w:rPr>
          <m:t>IEP</m:t>
        </m:r>
        <m:r>
          <m:rPr>
            <m:sty m:val="p"/>
          </m:rPr>
          <w:rPr>
            <w:rFonts w:ascii="Cambria Math" w:hAnsi="Cambria Math"/>
          </w:rPr>
          <m:t> </m:t>
        </m:r>
      </m:oMath>
      <w:r w:rsidRPr="00820C89">
        <w:rPr>
          <w:rFonts w:asciiTheme="majorHAnsi" w:hAnsiTheme="majorHAnsi"/>
        </w:rPr>
        <w:t xml:space="preserve"> </w:t>
      </w:r>
    </w:p>
    <w:p w14:paraId="4EBCD6B6" w14:textId="77777777" w:rsidR="008F54A1" w:rsidRPr="00820C89" w:rsidRDefault="008F54A1" w:rsidP="008F54A1">
      <w:pPr>
        <w:shd w:val="clear" w:color="auto" w:fill="DFF0F9" w:themeFill="accent3" w:themeFillTint="33"/>
        <w:rPr>
          <w:rFonts w:asciiTheme="majorHAnsi" w:eastAsiaTheme="minorEastAsia" w:hAnsiTheme="majorHAnsi"/>
          <w:iCs/>
        </w:rPr>
      </w:pPr>
      <w:r w:rsidRPr="00820C89">
        <w:rPr>
          <w:rFonts w:asciiTheme="majorHAnsi" w:hAnsiTheme="majorHAnsi"/>
        </w:rPr>
        <w:t xml:space="preserve">Where </w:t>
      </w:r>
      <m:oMath>
        <m:sSub>
          <m:sSubPr>
            <m:ctrlPr>
              <w:rPr>
                <w:rFonts w:ascii="Cambria Math" w:hAnsi="Cambria Math"/>
                <w:i/>
                <w:iCs/>
              </w:rPr>
            </m:ctrlPr>
          </m:sSubPr>
          <m:e>
            <m:r>
              <w:rPr>
                <w:rFonts w:ascii="Cambria Math" w:hAnsi="Cambria Math"/>
              </w:rPr>
              <m:t>Employed</m:t>
            </m:r>
          </m:e>
          <m:sub>
            <m:r>
              <w:rPr>
                <w:rFonts w:ascii="Cambria Math" w:hAnsi="Cambria Math"/>
              </w:rPr>
              <m:t>t</m:t>
            </m:r>
            <m:r>
              <m:rPr>
                <m:sty m:val="p"/>
              </m:rPr>
              <w:rPr>
                <w:rFonts w:ascii="Cambria Math" w:hAnsi="Cambria Math"/>
              </w:rPr>
              <m:t>+1,</m:t>
            </m:r>
            <m:r>
              <w:rPr>
                <w:rFonts w:ascii="Cambria Math" w:hAnsi="Cambria Math"/>
              </w:rPr>
              <m:t>j</m:t>
            </m:r>
          </m:sub>
        </m:sSub>
      </m:oMath>
      <w:r w:rsidRPr="00820C89">
        <w:rPr>
          <w:rFonts w:asciiTheme="majorHAnsi" w:hAnsiTheme="majorHAnsi"/>
        </w:rPr>
        <w:t xml:space="preserve"> takes the value of 1 if the individual meets the 26-week milestone and 0 otherwise. X represents the set of individual characteristics that are being controlled for (as a minimum: age, gender, remoteness). </w:t>
      </w:r>
      <m:oMath>
        <m:r>
          <w:rPr>
            <w:rFonts w:ascii="Cambria Math" w:hAnsi="Cambria Math"/>
          </w:rPr>
          <m:t>IEP</m:t>
        </m:r>
        <m:r>
          <m:rPr>
            <m:sty m:val="p"/>
          </m:rPr>
          <w:rPr>
            <w:rFonts w:ascii="Cambria Math" w:hAnsi="Cambria Math"/>
          </w:rPr>
          <m:t> </m:t>
        </m:r>
      </m:oMath>
      <w:r w:rsidRPr="00820C89">
        <w:rPr>
          <w:rFonts w:asciiTheme="majorHAnsi" w:hAnsiTheme="majorHAnsi"/>
        </w:rPr>
        <w:t xml:space="preserve">takes the value of 1 if the individual participated in an IEP program and 0 otherwise (implying they participated in Jobactive). In this example, the coefficient </w:t>
      </w:r>
      <m:oMath>
        <m:sSub>
          <m:sSubPr>
            <m:ctrlPr>
              <w:rPr>
                <w:rFonts w:ascii="Cambria Math" w:hAnsi="Cambria Math"/>
                <w:i/>
                <w:iCs/>
              </w:rPr>
            </m:ctrlPr>
          </m:sSubPr>
          <m:e>
            <m:r>
              <w:rPr>
                <w:rFonts w:ascii="Cambria Math" w:hAnsi="Cambria Math"/>
              </w:rPr>
              <m:t>β</m:t>
            </m:r>
          </m:e>
          <m:sub>
            <m:r>
              <w:rPr>
                <w:rFonts w:ascii="Cambria Math" w:hAnsi="Cambria Math"/>
              </w:rPr>
              <m:t>Z</m:t>
            </m:r>
          </m:sub>
        </m:sSub>
      </m:oMath>
      <w:r w:rsidRPr="00820C89">
        <w:rPr>
          <w:rFonts w:asciiTheme="majorHAnsi" w:eastAsiaTheme="minorEastAsia" w:hAnsiTheme="majorHAnsi"/>
          <w:iCs/>
        </w:rPr>
        <w:t xml:space="preserve"> would provide an estimate of the additional likelihood of achieving a positive employment outcome as a result of IEP participation compared to jobactive participation.</w:t>
      </w:r>
    </w:p>
    <w:p w14:paraId="4B248DBE" w14:textId="0A71F38F" w:rsidR="000A0BBC" w:rsidRDefault="008F54A1" w:rsidP="008F54A1">
      <w:pPr>
        <w:shd w:val="clear" w:color="auto" w:fill="DFF0F9" w:themeFill="accent3" w:themeFillTint="33"/>
        <w:rPr>
          <w:rFonts w:asciiTheme="majorHAnsi" w:eastAsiaTheme="minorEastAsia" w:hAnsiTheme="majorHAnsi"/>
          <w:iCs/>
        </w:rPr>
      </w:pPr>
      <w:r w:rsidRPr="00820C89">
        <w:rPr>
          <w:rFonts w:asciiTheme="majorHAnsi" w:eastAsiaTheme="minorEastAsia" w:hAnsiTheme="majorHAnsi"/>
          <w:iCs/>
        </w:rPr>
        <w:t>Note that this example is not intended to provide a definitive guide to what future econometric analysis should be completed - as this will always be dependent on the exact data provided and testing for model fit, rather it is meant to provide a starting point for future analysis.</w:t>
      </w:r>
    </w:p>
    <w:p w14:paraId="50995877" w14:textId="0FEE8A3D" w:rsidR="008F54A1" w:rsidRPr="00820C89" w:rsidRDefault="008F54A1" w:rsidP="008F54A1">
      <w:pPr>
        <w:shd w:val="clear" w:color="auto" w:fill="DFF0F9" w:themeFill="accent3" w:themeFillTint="33"/>
        <w:rPr>
          <w:rFonts w:asciiTheme="majorHAnsi" w:hAnsiTheme="majorHAnsi"/>
        </w:rPr>
      </w:pPr>
      <w:r w:rsidRPr="00820C89">
        <w:t xml:space="preserve">Further analysis is required to understand whether </w:t>
      </w:r>
      <w:r w:rsidRPr="001656D4">
        <w:t>the</w:t>
      </w:r>
      <w:r w:rsidRPr="00820C89">
        <w:t xml:space="preserve"> result</w:t>
      </w:r>
      <w:r w:rsidRPr="001656D4">
        <w:t>s</w:t>
      </w:r>
      <w:r w:rsidRPr="00820C89">
        <w:t xml:space="preserve"> </w:t>
      </w:r>
      <w:r w:rsidRPr="001656D4">
        <w:t xml:space="preserve">presented in this study are more a function </w:t>
      </w:r>
      <w:r w:rsidRPr="00820C89">
        <w:t>of the different cohorts that are being analysed, the analytical techniques being used or whether the dynamics relating to income support are fundamentally different to that of the milestone completion rates.</w:t>
      </w:r>
    </w:p>
    <w:p w14:paraId="5CB6ECB4" w14:textId="77777777" w:rsidR="001804F3" w:rsidRPr="00820C89" w:rsidRDefault="00F23251" w:rsidP="0041777D">
      <w:pPr>
        <w:pStyle w:val="Heading2"/>
        <w:spacing w:after="60"/>
        <w:rPr>
          <w:rFonts w:asciiTheme="majorHAnsi" w:hAnsiTheme="majorHAnsi"/>
        </w:rPr>
      </w:pPr>
      <w:bookmarkStart w:id="141" w:name="_Toc82691985"/>
      <w:bookmarkStart w:id="142" w:name="_Toc82694474"/>
      <w:bookmarkStart w:id="143" w:name="_Toc82691986"/>
      <w:bookmarkStart w:id="144" w:name="_Toc82694475"/>
      <w:bookmarkStart w:id="145" w:name="_Toc82691987"/>
      <w:bookmarkStart w:id="146" w:name="_Toc82694476"/>
      <w:bookmarkStart w:id="147" w:name="_Toc82710787"/>
      <w:bookmarkStart w:id="148" w:name="_Toc101343306"/>
      <w:bookmarkEnd w:id="141"/>
      <w:bookmarkEnd w:id="142"/>
      <w:bookmarkEnd w:id="143"/>
      <w:bookmarkEnd w:id="144"/>
      <w:bookmarkEnd w:id="145"/>
      <w:bookmarkEnd w:id="146"/>
      <w:r w:rsidRPr="00820C89">
        <w:rPr>
          <w:rFonts w:asciiTheme="majorHAnsi" w:hAnsiTheme="majorHAnsi"/>
        </w:rPr>
        <w:t>Jobseeker</w:t>
      </w:r>
      <w:r w:rsidR="00CB60BD" w:rsidRPr="00820C89">
        <w:rPr>
          <w:rFonts w:asciiTheme="majorHAnsi" w:hAnsiTheme="majorHAnsi"/>
        </w:rPr>
        <w:t xml:space="preserve"> impact</w:t>
      </w:r>
      <w:bookmarkEnd w:id="147"/>
      <w:bookmarkEnd w:id="148"/>
      <w:r w:rsidR="00E54AA4" w:rsidRPr="00820C89">
        <w:rPr>
          <w:rFonts w:asciiTheme="majorHAnsi" w:hAnsiTheme="majorHAnsi"/>
        </w:rPr>
        <w:t xml:space="preserve"> </w:t>
      </w:r>
    </w:p>
    <w:p w14:paraId="70474F37" w14:textId="77777777" w:rsidR="006A04F6" w:rsidRDefault="006A04F6" w:rsidP="0041777D">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i/>
          <w:iCs/>
          <w:color w:val="62B5E5" w:themeColor="accent3"/>
        </w:rPr>
      </w:pPr>
      <w:r w:rsidRPr="00917A36">
        <w:rPr>
          <w:b/>
          <w:bCs/>
          <w:i/>
          <w:iCs/>
          <w:color w:val="62B5E5" w:themeColor="accent3"/>
        </w:rPr>
        <w:t>Key finding</w:t>
      </w:r>
    </w:p>
    <w:p w14:paraId="4A417343" w14:textId="06CC8CEF" w:rsidR="006A04F6" w:rsidRPr="006A04F6" w:rsidRDefault="006A04F6" w:rsidP="00715F70">
      <w:pPr>
        <w:pStyle w:val="ListParagraph"/>
        <w:numPr>
          <w:ilvl w:val="0"/>
          <w:numId w:val="194"/>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ind w:hanging="720"/>
        <w:rPr>
          <w:b/>
          <w:bCs/>
          <w:i/>
          <w:iCs/>
          <w:color w:val="62B5E5" w:themeColor="accent3"/>
        </w:rPr>
      </w:pPr>
      <w:r w:rsidRPr="006A04F6">
        <w:rPr>
          <w:b/>
          <w:bCs/>
          <w:i/>
          <w:iCs/>
          <w:color w:val="62B5E5" w:themeColor="accent3"/>
        </w:rPr>
        <w:t>Participation in the program can have a broad range of positive impacts on participants, both through directly gaining employment and through the education, connection and support they receive.</w:t>
      </w:r>
    </w:p>
    <w:p w14:paraId="4FF9823D" w14:textId="77777777" w:rsidR="006C02F2" w:rsidRPr="00820C89" w:rsidRDefault="00FC2294" w:rsidP="002076DA">
      <w:pPr>
        <w:pStyle w:val="Heading3"/>
        <w:rPr>
          <w:rFonts w:asciiTheme="majorHAnsi" w:hAnsiTheme="majorHAnsi"/>
        </w:rPr>
      </w:pPr>
      <w:r w:rsidRPr="00820C89">
        <w:rPr>
          <w:rFonts w:asciiTheme="majorHAnsi" w:hAnsiTheme="majorHAnsi"/>
        </w:rPr>
        <w:t xml:space="preserve">Determining the impact associated with increased employment </w:t>
      </w:r>
      <w:r w:rsidR="00C8185D" w:rsidRPr="00820C89">
        <w:rPr>
          <w:rFonts w:asciiTheme="majorHAnsi" w:hAnsiTheme="majorHAnsi"/>
        </w:rPr>
        <w:t>opportunity</w:t>
      </w:r>
      <w:r w:rsidRPr="00820C89">
        <w:rPr>
          <w:rFonts w:asciiTheme="majorHAnsi" w:hAnsiTheme="majorHAnsi"/>
        </w:rPr>
        <w:t xml:space="preserve"> </w:t>
      </w:r>
    </w:p>
    <w:p w14:paraId="32064B7B" w14:textId="77777777" w:rsidR="00E322AB" w:rsidRPr="00820C89" w:rsidRDefault="00E322AB" w:rsidP="00E322AB">
      <w:pPr>
        <w:rPr>
          <w:rFonts w:asciiTheme="majorHAnsi" w:hAnsiTheme="majorHAnsi"/>
        </w:rPr>
      </w:pPr>
      <w:r w:rsidRPr="00820C89">
        <w:rPr>
          <w:rFonts w:asciiTheme="majorHAnsi" w:hAnsiTheme="majorHAnsi"/>
        </w:rPr>
        <w:t xml:space="preserve">To the extent that IEP participation results in increased sustained employment for an individual, this is correlated with many benefits including the financial benefits of direct earnings, </w:t>
      </w:r>
      <w:r w:rsidR="00A03EAE" w:rsidRPr="00820C89">
        <w:rPr>
          <w:rFonts w:asciiTheme="majorHAnsi" w:hAnsiTheme="majorHAnsi"/>
        </w:rPr>
        <w:t xml:space="preserve">as well as </w:t>
      </w:r>
      <w:r w:rsidRPr="00820C89">
        <w:rPr>
          <w:rFonts w:asciiTheme="majorHAnsi" w:hAnsiTheme="majorHAnsi"/>
        </w:rPr>
        <w:t xml:space="preserve">health </w:t>
      </w:r>
      <w:r w:rsidRPr="00820C89">
        <w:rPr>
          <w:rFonts w:asciiTheme="majorHAnsi" w:hAnsiTheme="majorHAnsi"/>
        </w:rPr>
        <w:lastRenderedPageBreak/>
        <w:t xml:space="preserve">and wellbeing improvements associated with increased financial stability (including housing). </w:t>
      </w:r>
      <w:r w:rsidR="00FD0E71" w:rsidRPr="00820C89">
        <w:rPr>
          <w:rFonts w:asciiTheme="majorHAnsi" w:hAnsiTheme="majorHAnsi"/>
        </w:rPr>
        <w:t>This has been reported as leading</w:t>
      </w:r>
      <w:r w:rsidRPr="00820C89">
        <w:rPr>
          <w:rFonts w:asciiTheme="majorHAnsi" w:hAnsiTheme="majorHAnsi"/>
        </w:rPr>
        <w:t xml:space="preserve"> to long term and significant changes for an individual:</w:t>
      </w:r>
    </w:p>
    <w:p w14:paraId="368A880C" w14:textId="77777777" w:rsidR="00566B73" w:rsidRPr="00820C89" w:rsidRDefault="00E322AB" w:rsidP="00E856CD">
      <w:pPr>
        <w:ind w:left="720"/>
        <w:rPr>
          <w:rFonts w:asciiTheme="majorHAnsi" w:hAnsiTheme="majorHAnsi"/>
          <w:i/>
        </w:rPr>
      </w:pPr>
      <w:r w:rsidRPr="00820C89">
        <w:rPr>
          <w:rFonts w:asciiTheme="majorHAnsi" w:hAnsiTheme="majorHAnsi"/>
          <w:i/>
        </w:rPr>
        <w:t xml:space="preserve">“We have also observed a change in the poverty cycle for many </w:t>
      </w:r>
      <w:r w:rsidR="006B3805" w:rsidRPr="00820C89">
        <w:rPr>
          <w:rFonts w:asciiTheme="majorHAnsi" w:hAnsiTheme="majorHAnsi"/>
          <w:i/>
        </w:rPr>
        <w:t>jobseeker</w:t>
      </w:r>
      <w:r w:rsidRPr="00820C89">
        <w:rPr>
          <w:rFonts w:asciiTheme="majorHAnsi" w:hAnsiTheme="majorHAnsi"/>
          <w:i/>
        </w:rPr>
        <w:t xml:space="preserve">s who gain financial independence when gaining long-term employment. This also impacts the financial resilience of their family members and can reduce welfare dependency.” (VTEC </w:t>
      </w:r>
      <w:r w:rsidR="001F1912" w:rsidRPr="00820C89">
        <w:rPr>
          <w:rFonts w:asciiTheme="majorHAnsi" w:hAnsiTheme="majorHAnsi"/>
          <w:i/>
        </w:rPr>
        <w:t>provider</w:t>
      </w:r>
      <w:r w:rsidRPr="00820C89">
        <w:rPr>
          <w:rFonts w:asciiTheme="majorHAnsi" w:hAnsiTheme="majorHAnsi"/>
          <w:i/>
        </w:rPr>
        <w:t>)</w:t>
      </w:r>
    </w:p>
    <w:p w14:paraId="7B921071" w14:textId="77777777" w:rsidR="00E04530" w:rsidRPr="00820C89" w:rsidRDefault="00E04530" w:rsidP="00AE4FA8">
      <w:pPr>
        <w:rPr>
          <w:rFonts w:asciiTheme="majorHAnsi" w:hAnsiTheme="majorHAnsi"/>
        </w:rPr>
      </w:pPr>
      <w:r w:rsidRPr="00820C89">
        <w:rPr>
          <w:rFonts w:asciiTheme="majorHAnsi" w:hAnsiTheme="majorHAnsi"/>
        </w:rPr>
        <w:t>Aside from the direct employment impacts</w:t>
      </w:r>
      <w:r w:rsidR="00AF40C4" w:rsidRPr="00820C89">
        <w:rPr>
          <w:rFonts w:asciiTheme="majorHAnsi" w:hAnsiTheme="majorHAnsi"/>
        </w:rPr>
        <w:t xml:space="preserve"> associated with </w:t>
      </w:r>
      <w:r w:rsidR="000643EA" w:rsidRPr="00820C89">
        <w:rPr>
          <w:rFonts w:asciiTheme="majorHAnsi" w:hAnsiTheme="majorHAnsi"/>
        </w:rPr>
        <w:t xml:space="preserve">participation in an IEP, there are numerous impacts associated with participation in the program itself, irrespective of whether employment is gained. </w:t>
      </w:r>
      <w:r w:rsidR="00CC593B" w:rsidRPr="00820C89">
        <w:rPr>
          <w:rFonts w:asciiTheme="majorHAnsi" w:hAnsiTheme="majorHAnsi"/>
        </w:rPr>
        <w:t xml:space="preserve">These impacts include: </w:t>
      </w:r>
    </w:p>
    <w:p w14:paraId="2D8DC852" w14:textId="77777777" w:rsidR="00C71220" w:rsidRPr="00820C89" w:rsidRDefault="00C71220" w:rsidP="00715F70">
      <w:pPr>
        <w:numPr>
          <w:ilvl w:val="0"/>
          <w:numId w:val="13"/>
        </w:numPr>
        <w:spacing w:before="60" w:after="60"/>
        <w:ind w:left="357" w:hanging="357"/>
        <w:rPr>
          <w:rFonts w:asciiTheme="majorHAnsi" w:hAnsiTheme="majorHAnsi"/>
        </w:rPr>
      </w:pPr>
      <w:r w:rsidRPr="00820C89">
        <w:rPr>
          <w:rFonts w:asciiTheme="majorHAnsi" w:hAnsiTheme="majorHAnsi"/>
        </w:rPr>
        <w:t>the likelihood that education attainment</w:t>
      </w:r>
      <w:r w:rsidR="0039250B" w:rsidRPr="00820C89">
        <w:rPr>
          <w:rFonts w:asciiTheme="majorHAnsi" w:hAnsiTheme="majorHAnsi"/>
        </w:rPr>
        <w:t xml:space="preserve"> obtained through the progra</w:t>
      </w:r>
      <w:r w:rsidR="00500768" w:rsidRPr="00820C89">
        <w:rPr>
          <w:rFonts w:asciiTheme="majorHAnsi" w:hAnsiTheme="majorHAnsi"/>
        </w:rPr>
        <w:t>m, including through both foundational skills (to the extent that this</w:t>
      </w:r>
      <w:r w:rsidR="00693DDD" w:rsidRPr="00820C89">
        <w:rPr>
          <w:rFonts w:asciiTheme="majorHAnsi" w:hAnsiTheme="majorHAnsi"/>
        </w:rPr>
        <w:t xml:space="preserve"> supports work readiness) </w:t>
      </w:r>
      <w:r w:rsidR="009A7A12" w:rsidRPr="00820C89">
        <w:rPr>
          <w:rFonts w:asciiTheme="majorHAnsi" w:hAnsiTheme="majorHAnsi"/>
        </w:rPr>
        <w:t>and formal qualifications</w:t>
      </w:r>
      <w:r w:rsidR="00E33F16" w:rsidRPr="00820C89">
        <w:rPr>
          <w:rFonts w:asciiTheme="majorHAnsi" w:hAnsiTheme="majorHAnsi"/>
        </w:rPr>
        <w:t xml:space="preserve">, supports increased </w:t>
      </w:r>
      <w:r w:rsidR="00135525" w:rsidRPr="00820C89">
        <w:rPr>
          <w:rFonts w:asciiTheme="majorHAnsi" w:hAnsiTheme="majorHAnsi"/>
        </w:rPr>
        <w:t>earning potential in the future</w:t>
      </w:r>
      <w:r w:rsidR="000E5F7A" w:rsidRPr="00820C89">
        <w:rPr>
          <w:rFonts w:asciiTheme="majorHAnsi" w:hAnsiTheme="majorHAnsi"/>
        </w:rPr>
        <w:t>, even if not as a direct or immediate result of IEP participation</w:t>
      </w:r>
      <w:r w:rsidR="002946B5" w:rsidRPr="00820C89">
        <w:rPr>
          <w:rFonts w:asciiTheme="majorHAnsi" w:hAnsiTheme="majorHAnsi"/>
        </w:rPr>
        <w:t>.</w:t>
      </w:r>
    </w:p>
    <w:p w14:paraId="334AC2A3" w14:textId="77777777" w:rsidR="00C56D57" w:rsidRPr="00820C89" w:rsidRDefault="00C56D57" w:rsidP="00753100">
      <w:pPr>
        <w:spacing w:before="60" w:after="60"/>
        <w:ind w:left="720"/>
        <w:rPr>
          <w:rFonts w:asciiTheme="majorHAnsi" w:hAnsiTheme="majorHAnsi"/>
          <w:i/>
        </w:rPr>
      </w:pPr>
      <w:r w:rsidRPr="00820C89">
        <w:rPr>
          <w:rFonts w:asciiTheme="majorHAnsi" w:hAnsiTheme="majorHAnsi"/>
          <w:i/>
        </w:rPr>
        <w:t xml:space="preserve">“[Forklift licensing], confined space training, working at heights training and these sorts of things.  Firefighting and fire extinguishing training, all these sorts of things are good skills for later. So even if they don’t work out here, they’re very good skills to take away” (TAEG </w:t>
      </w:r>
      <w:r w:rsidR="001F1912" w:rsidRPr="00820C89">
        <w:rPr>
          <w:rFonts w:asciiTheme="majorHAnsi" w:hAnsiTheme="majorHAnsi"/>
          <w:i/>
        </w:rPr>
        <w:t>provider</w:t>
      </w:r>
      <w:r w:rsidRPr="00820C89">
        <w:rPr>
          <w:rFonts w:asciiTheme="majorHAnsi" w:hAnsiTheme="majorHAnsi"/>
          <w:i/>
        </w:rPr>
        <w:t xml:space="preserve">). </w:t>
      </w:r>
    </w:p>
    <w:p w14:paraId="5619C0AE" w14:textId="77777777" w:rsidR="00A57DAF" w:rsidRPr="00820C89" w:rsidRDefault="00C77015" w:rsidP="00715F70">
      <w:pPr>
        <w:numPr>
          <w:ilvl w:val="0"/>
          <w:numId w:val="13"/>
        </w:numPr>
        <w:spacing w:before="60" w:after="60"/>
        <w:ind w:left="357" w:hanging="357"/>
        <w:rPr>
          <w:rFonts w:asciiTheme="majorHAnsi" w:hAnsiTheme="majorHAnsi"/>
        </w:rPr>
      </w:pPr>
      <w:r w:rsidRPr="00820C89">
        <w:rPr>
          <w:rFonts w:asciiTheme="majorHAnsi" w:hAnsiTheme="majorHAnsi"/>
        </w:rPr>
        <w:t>improvements in health and wellbeing</w:t>
      </w:r>
      <w:r w:rsidR="00252C52" w:rsidRPr="00820C89">
        <w:rPr>
          <w:rFonts w:asciiTheme="majorHAnsi" w:hAnsiTheme="majorHAnsi"/>
        </w:rPr>
        <w:t xml:space="preserve"> associated with </w:t>
      </w:r>
      <w:r w:rsidR="00C31931" w:rsidRPr="00820C89">
        <w:rPr>
          <w:rFonts w:asciiTheme="majorHAnsi" w:hAnsiTheme="majorHAnsi"/>
        </w:rPr>
        <w:t xml:space="preserve">the </w:t>
      </w:r>
      <w:r w:rsidR="00252C52" w:rsidRPr="00820C89">
        <w:rPr>
          <w:rFonts w:asciiTheme="majorHAnsi" w:hAnsiTheme="majorHAnsi"/>
        </w:rPr>
        <w:t>educational attainment</w:t>
      </w:r>
      <w:r w:rsidR="00C31931" w:rsidRPr="00820C89">
        <w:rPr>
          <w:rFonts w:asciiTheme="majorHAnsi" w:hAnsiTheme="majorHAnsi"/>
        </w:rPr>
        <w:t xml:space="preserve">, employment experience and access to services facilitated by </w:t>
      </w:r>
      <w:r w:rsidR="00523FA9" w:rsidRPr="00820C89">
        <w:rPr>
          <w:rFonts w:asciiTheme="majorHAnsi" w:hAnsiTheme="majorHAnsi"/>
        </w:rPr>
        <w:t>the IEP</w:t>
      </w:r>
      <w:r w:rsidR="00C31931" w:rsidRPr="00820C89">
        <w:rPr>
          <w:rFonts w:asciiTheme="majorHAnsi" w:hAnsiTheme="majorHAnsi"/>
        </w:rPr>
        <w:t>, including the promotion of healthy behaviour</w:t>
      </w:r>
      <w:r w:rsidR="004F27BC" w:rsidRPr="00820C89">
        <w:rPr>
          <w:rFonts w:asciiTheme="majorHAnsi" w:hAnsiTheme="majorHAnsi"/>
        </w:rPr>
        <w:t xml:space="preserve">, </w:t>
      </w:r>
      <w:r w:rsidR="00927CE0" w:rsidRPr="00820C89">
        <w:rPr>
          <w:rFonts w:asciiTheme="majorHAnsi" w:hAnsiTheme="majorHAnsi"/>
        </w:rPr>
        <w:t xml:space="preserve">links to more intensive support services and </w:t>
      </w:r>
      <w:r w:rsidR="00B37C83" w:rsidRPr="00820C89">
        <w:rPr>
          <w:rFonts w:asciiTheme="majorHAnsi" w:hAnsiTheme="majorHAnsi"/>
        </w:rPr>
        <w:t>increased confidence.</w:t>
      </w:r>
      <w:r w:rsidR="009B1DC2" w:rsidRPr="00820C89">
        <w:rPr>
          <w:rFonts w:asciiTheme="majorHAnsi" w:hAnsiTheme="majorHAnsi"/>
        </w:rPr>
        <w:t xml:space="preserve"> </w:t>
      </w:r>
      <w:r w:rsidR="00A57DAF" w:rsidRPr="00820C89">
        <w:rPr>
          <w:rFonts w:asciiTheme="majorHAnsi" w:hAnsiTheme="majorHAnsi"/>
        </w:rPr>
        <w:t xml:space="preserve"> </w:t>
      </w:r>
    </w:p>
    <w:p w14:paraId="3501A868" w14:textId="77777777" w:rsidR="00610A1F" w:rsidRPr="00820C89" w:rsidRDefault="00D53266" w:rsidP="00753100">
      <w:pPr>
        <w:spacing w:before="60" w:after="60"/>
        <w:ind w:left="720"/>
        <w:rPr>
          <w:rFonts w:asciiTheme="majorHAnsi" w:hAnsiTheme="majorHAnsi"/>
          <w:i/>
        </w:rPr>
      </w:pPr>
      <w:r w:rsidRPr="00820C89">
        <w:rPr>
          <w:rFonts w:asciiTheme="majorHAnsi" w:hAnsiTheme="majorHAnsi"/>
          <w:i/>
        </w:rPr>
        <w:t xml:space="preserve">“Mental health is a major issue and loss of culture has contributed to that mental health issue. […] so the whole idea is we look at wellbeing and mental health, and culture is an essential part of that healing process” (TAEG </w:t>
      </w:r>
      <w:r w:rsidR="001F1912" w:rsidRPr="00820C89">
        <w:rPr>
          <w:rFonts w:asciiTheme="majorHAnsi" w:hAnsiTheme="majorHAnsi"/>
          <w:i/>
        </w:rPr>
        <w:t>provider</w:t>
      </w:r>
      <w:r w:rsidRPr="00820C89">
        <w:rPr>
          <w:rFonts w:asciiTheme="majorHAnsi" w:hAnsiTheme="majorHAnsi"/>
          <w:i/>
        </w:rPr>
        <w:t xml:space="preserve">). </w:t>
      </w:r>
    </w:p>
    <w:p w14:paraId="1BA6656A" w14:textId="77777777" w:rsidR="008C5842" w:rsidRPr="00820C89" w:rsidRDefault="008C5842" w:rsidP="00715F70">
      <w:pPr>
        <w:numPr>
          <w:ilvl w:val="0"/>
          <w:numId w:val="13"/>
        </w:numPr>
        <w:spacing w:before="60" w:after="60"/>
        <w:ind w:left="357" w:hanging="357"/>
        <w:rPr>
          <w:rFonts w:asciiTheme="majorHAnsi" w:hAnsiTheme="majorHAnsi"/>
        </w:rPr>
      </w:pPr>
      <w:r w:rsidRPr="00820C89">
        <w:rPr>
          <w:rFonts w:asciiTheme="majorHAnsi" w:hAnsiTheme="majorHAnsi"/>
        </w:rPr>
        <w:t xml:space="preserve">social impacts associated with program participation, including in some instances the </w:t>
      </w:r>
      <w:r w:rsidR="00A94BE2" w:rsidRPr="00820C89">
        <w:rPr>
          <w:rFonts w:asciiTheme="majorHAnsi" w:hAnsiTheme="majorHAnsi"/>
        </w:rPr>
        <w:t>opportunity to participat</w:t>
      </w:r>
      <w:r w:rsidR="00615919" w:rsidRPr="00820C89">
        <w:rPr>
          <w:rFonts w:asciiTheme="majorHAnsi" w:hAnsiTheme="majorHAnsi"/>
        </w:rPr>
        <w:t>e in cultural activities</w:t>
      </w:r>
      <w:r w:rsidR="00917548" w:rsidRPr="00820C89">
        <w:rPr>
          <w:rFonts w:asciiTheme="majorHAnsi" w:hAnsiTheme="majorHAnsi"/>
        </w:rPr>
        <w:t xml:space="preserve">, connect with local community </w:t>
      </w:r>
      <w:r w:rsidR="00770702" w:rsidRPr="00820C89">
        <w:rPr>
          <w:rFonts w:asciiTheme="majorHAnsi" w:hAnsiTheme="majorHAnsi"/>
        </w:rPr>
        <w:t>and</w:t>
      </w:r>
      <w:r w:rsidR="00E322AB" w:rsidRPr="00820C89">
        <w:rPr>
          <w:rFonts w:asciiTheme="majorHAnsi" w:hAnsiTheme="majorHAnsi"/>
        </w:rPr>
        <w:t>/or</w:t>
      </w:r>
      <w:r w:rsidR="00770702" w:rsidRPr="00820C89">
        <w:rPr>
          <w:rFonts w:asciiTheme="majorHAnsi" w:hAnsiTheme="majorHAnsi"/>
        </w:rPr>
        <w:t xml:space="preserve"> establish a s</w:t>
      </w:r>
      <w:r w:rsidR="00D73D4C" w:rsidRPr="00820C89">
        <w:rPr>
          <w:rFonts w:asciiTheme="majorHAnsi" w:hAnsiTheme="majorHAnsi"/>
        </w:rPr>
        <w:t>ense of belonging</w:t>
      </w:r>
      <w:r w:rsidR="00062BEA" w:rsidRPr="00820C89">
        <w:rPr>
          <w:rFonts w:asciiTheme="majorHAnsi" w:hAnsiTheme="majorHAnsi"/>
        </w:rPr>
        <w:t xml:space="preserve"> or purpose</w:t>
      </w:r>
      <w:r w:rsidR="002946B5" w:rsidRPr="00820C89">
        <w:rPr>
          <w:rFonts w:asciiTheme="majorHAnsi" w:hAnsiTheme="majorHAnsi"/>
        </w:rPr>
        <w:t>.</w:t>
      </w:r>
    </w:p>
    <w:p w14:paraId="598D5FDC" w14:textId="77777777" w:rsidR="00C56D57" w:rsidRPr="00820C89" w:rsidRDefault="00C56D57" w:rsidP="00753100">
      <w:pPr>
        <w:spacing w:before="60" w:after="60"/>
        <w:ind w:left="720"/>
        <w:rPr>
          <w:rFonts w:asciiTheme="majorHAnsi" w:hAnsiTheme="majorHAnsi"/>
          <w:i/>
        </w:rPr>
      </w:pPr>
      <w:r w:rsidRPr="00820C89">
        <w:rPr>
          <w:rFonts w:asciiTheme="majorHAnsi" w:hAnsiTheme="majorHAnsi"/>
          <w:i/>
        </w:rPr>
        <w:t>“It’s also sometimes the first time they’ve been able to understand their history of culturalisation and settlement. So I think […] it’s really good for them too when they’re working and they go into a role. Maybe sometimes they’re the only Aboriginal person there, you know, to have that strong identity of who they are – it’s very important” (</w:t>
      </w:r>
      <w:r w:rsidR="003A2B36" w:rsidRPr="00820C89">
        <w:rPr>
          <w:rFonts w:asciiTheme="majorHAnsi" w:hAnsiTheme="majorHAnsi"/>
          <w:i/>
        </w:rPr>
        <w:t xml:space="preserve">Indigenous representative, </w:t>
      </w:r>
      <w:r w:rsidRPr="00820C89">
        <w:rPr>
          <w:rFonts w:asciiTheme="majorHAnsi" w:hAnsiTheme="majorHAnsi"/>
          <w:i/>
        </w:rPr>
        <w:t xml:space="preserve">TAEG </w:t>
      </w:r>
      <w:r w:rsidR="001F1912" w:rsidRPr="00820C89">
        <w:rPr>
          <w:rFonts w:asciiTheme="majorHAnsi" w:hAnsiTheme="majorHAnsi"/>
          <w:i/>
        </w:rPr>
        <w:t>provider</w:t>
      </w:r>
      <w:r w:rsidRPr="00820C89">
        <w:rPr>
          <w:rFonts w:asciiTheme="majorHAnsi" w:hAnsiTheme="majorHAnsi"/>
          <w:i/>
        </w:rPr>
        <w:t xml:space="preserve">). </w:t>
      </w:r>
    </w:p>
    <w:p w14:paraId="1FA35849" w14:textId="77777777" w:rsidR="000E5F7A" w:rsidRPr="00820C89" w:rsidRDefault="008C5842" w:rsidP="00715F70">
      <w:pPr>
        <w:numPr>
          <w:ilvl w:val="0"/>
          <w:numId w:val="13"/>
        </w:numPr>
        <w:spacing w:before="60" w:after="60"/>
        <w:ind w:left="357" w:hanging="357"/>
        <w:rPr>
          <w:rFonts w:asciiTheme="majorHAnsi" w:hAnsiTheme="majorHAnsi"/>
        </w:rPr>
      </w:pPr>
      <w:r w:rsidRPr="00820C89">
        <w:rPr>
          <w:rFonts w:asciiTheme="majorHAnsi" w:hAnsiTheme="majorHAnsi"/>
        </w:rPr>
        <w:t>spill-over benefit</w:t>
      </w:r>
      <w:r w:rsidR="002946B5" w:rsidRPr="00820C89">
        <w:rPr>
          <w:rFonts w:asciiTheme="majorHAnsi" w:hAnsiTheme="majorHAnsi"/>
        </w:rPr>
        <w:t xml:space="preserve">s associated with </w:t>
      </w:r>
      <w:r w:rsidR="007D0383" w:rsidRPr="00820C89">
        <w:rPr>
          <w:rFonts w:asciiTheme="majorHAnsi" w:hAnsiTheme="majorHAnsi"/>
        </w:rPr>
        <w:t xml:space="preserve">participation, including </w:t>
      </w:r>
      <w:r w:rsidR="00062BEA" w:rsidRPr="00820C89">
        <w:rPr>
          <w:rFonts w:asciiTheme="majorHAnsi" w:hAnsiTheme="majorHAnsi"/>
        </w:rPr>
        <w:t>the acquisition of drivers’ licences</w:t>
      </w:r>
      <w:r w:rsidR="00BB0EF2" w:rsidRPr="00820C89">
        <w:rPr>
          <w:rFonts w:asciiTheme="majorHAnsi" w:hAnsiTheme="majorHAnsi"/>
        </w:rPr>
        <w:t xml:space="preserve">, </w:t>
      </w:r>
      <w:r w:rsidR="00CD52A5" w:rsidRPr="00820C89">
        <w:rPr>
          <w:rFonts w:asciiTheme="majorHAnsi" w:hAnsiTheme="majorHAnsi"/>
        </w:rPr>
        <w:t>support navigating government services</w:t>
      </w:r>
      <w:r w:rsidR="00C667ED" w:rsidRPr="00820C89">
        <w:rPr>
          <w:rFonts w:asciiTheme="majorHAnsi" w:hAnsiTheme="majorHAnsi"/>
        </w:rPr>
        <w:t xml:space="preserve"> </w:t>
      </w:r>
      <w:r w:rsidR="00D26904" w:rsidRPr="00820C89">
        <w:rPr>
          <w:rFonts w:asciiTheme="majorHAnsi" w:hAnsiTheme="majorHAnsi"/>
        </w:rPr>
        <w:t xml:space="preserve">and </w:t>
      </w:r>
      <w:r w:rsidR="009B1DC2" w:rsidRPr="00820C89">
        <w:rPr>
          <w:rFonts w:asciiTheme="majorHAnsi" w:hAnsiTheme="majorHAnsi"/>
        </w:rPr>
        <w:t>c</w:t>
      </w:r>
      <w:r w:rsidR="00E322AB" w:rsidRPr="00820C89">
        <w:rPr>
          <w:rFonts w:asciiTheme="majorHAnsi" w:hAnsiTheme="majorHAnsi"/>
        </w:rPr>
        <w:t xml:space="preserve">areer/life planning. </w:t>
      </w:r>
    </w:p>
    <w:p w14:paraId="587EA86F" w14:textId="77777777" w:rsidR="000F0367" w:rsidRPr="00820C89" w:rsidRDefault="00C53148" w:rsidP="00753100">
      <w:pPr>
        <w:spacing w:before="60" w:after="60"/>
        <w:ind w:left="720"/>
        <w:rPr>
          <w:rFonts w:asciiTheme="majorHAnsi" w:hAnsiTheme="majorHAnsi"/>
          <w:i/>
        </w:rPr>
      </w:pPr>
      <w:r w:rsidRPr="00820C89">
        <w:rPr>
          <w:rFonts w:asciiTheme="majorHAnsi" w:hAnsiTheme="majorHAnsi"/>
          <w:i/>
        </w:rPr>
        <w:t>“[As a result of our support, participants</w:t>
      </w:r>
      <w:r w:rsidR="000F0367" w:rsidRPr="00820C89">
        <w:rPr>
          <w:rFonts w:asciiTheme="majorHAnsi" w:hAnsiTheme="majorHAnsi"/>
          <w:i/>
        </w:rPr>
        <w:t>] now ha</w:t>
      </w:r>
      <w:r w:rsidRPr="00820C89">
        <w:rPr>
          <w:rFonts w:asciiTheme="majorHAnsi" w:hAnsiTheme="majorHAnsi"/>
          <w:i/>
        </w:rPr>
        <w:t>ve</w:t>
      </w:r>
      <w:r w:rsidR="000F0367" w:rsidRPr="00820C89">
        <w:rPr>
          <w:rFonts w:asciiTheme="majorHAnsi" w:hAnsiTheme="majorHAnsi"/>
          <w:i/>
        </w:rPr>
        <w:t xml:space="preserve"> […] you know, stable accommodation, getting a license, sometimes just getting in the right frame of mind</w:t>
      </w:r>
      <w:r w:rsidRPr="00820C89">
        <w:rPr>
          <w:rFonts w:asciiTheme="majorHAnsi" w:hAnsiTheme="majorHAnsi"/>
          <w:i/>
        </w:rPr>
        <w:t xml:space="preserve">” (VTEC </w:t>
      </w:r>
      <w:r w:rsidR="001F1912" w:rsidRPr="00820C89">
        <w:rPr>
          <w:rFonts w:asciiTheme="majorHAnsi" w:hAnsiTheme="majorHAnsi"/>
          <w:i/>
        </w:rPr>
        <w:t>provider</w:t>
      </w:r>
      <w:r w:rsidRPr="00820C89">
        <w:rPr>
          <w:rFonts w:asciiTheme="majorHAnsi" w:hAnsiTheme="majorHAnsi"/>
          <w:i/>
        </w:rPr>
        <w:t xml:space="preserve">). </w:t>
      </w:r>
    </w:p>
    <w:p w14:paraId="0E1081D8" w14:textId="77777777" w:rsidR="00B47FD3" w:rsidRPr="00820C89" w:rsidRDefault="009C6493" w:rsidP="006A04F6">
      <w:pPr>
        <w:spacing w:before="170" w:after="60"/>
        <w:rPr>
          <w:rFonts w:asciiTheme="majorHAnsi" w:hAnsiTheme="majorHAnsi"/>
        </w:rPr>
      </w:pPr>
      <w:r w:rsidRPr="00820C89">
        <w:rPr>
          <w:rFonts w:asciiTheme="majorHAnsi" w:hAnsiTheme="majorHAnsi"/>
        </w:rPr>
        <w:t xml:space="preserve">Collectively, the extent to which these impacts are positively influenced by participation in an IEP is </w:t>
      </w:r>
      <w:r w:rsidR="00CA0711" w:rsidRPr="00820C89">
        <w:rPr>
          <w:rFonts w:asciiTheme="majorHAnsi" w:hAnsiTheme="majorHAnsi"/>
        </w:rPr>
        <w:t>assessed through the relative likelihood of being employed post participation, a</w:t>
      </w:r>
      <w:r w:rsidR="00403CC7" w:rsidRPr="00820C89">
        <w:rPr>
          <w:rFonts w:asciiTheme="majorHAnsi" w:hAnsiTheme="majorHAnsi"/>
        </w:rPr>
        <w:t xml:space="preserve">s well as the health and wellbeing gains </w:t>
      </w:r>
      <w:r w:rsidR="00A401CD" w:rsidRPr="00820C89">
        <w:rPr>
          <w:rFonts w:asciiTheme="majorHAnsi" w:hAnsiTheme="majorHAnsi"/>
        </w:rPr>
        <w:t xml:space="preserve">associated with education attainment, access to support services and employment experience irrespective of employment gain. </w:t>
      </w:r>
    </w:p>
    <w:p w14:paraId="2A51F4F1" w14:textId="77777777" w:rsidR="00C8461D" w:rsidRPr="00820C89" w:rsidRDefault="00C8461D" w:rsidP="0041777D">
      <w:pPr>
        <w:pStyle w:val="Heading2"/>
        <w:spacing w:after="60"/>
        <w:rPr>
          <w:rFonts w:asciiTheme="majorHAnsi" w:hAnsiTheme="majorHAnsi"/>
        </w:rPr>
      </w:pPr>
      <w:bookmarkStart w:id="149" w:name="_Toc57022897"/>
      <w:bookmarkStart w:id="150" w:name="_Toc82710788"/>
      <w:bookmarkStart w:id="151" w:name="_Toc101343307"/>
      <w:r w:rsidRPr="00820C89">
        <w:rPr>
          <w:rFonts w:asciiTheme="majorHAnsi" w:hAnsiTheme="majorHAnsi"/>
        </w:rPr>
        <w:t>Employer impact</w:t>
      </w:r>
      <w:bookmarkEnd w:id="149"/>
      <w:bookmarkEnd w:id="150"/>
      <w:bookmarkEnd w:id="151"/>
      <w:r w:rsidRPr="00820C89">
        <w:rPr>
          <w:rFonts w:asciiTheme="majorHAnsi" w:hAnsiTheme="majorHAnsi"/>
        </w:rPr>
        <w:t xml:space="preserve"> </w:t>
      </w:r>
    </w:p>
    <w:p w14:paraId="27910A32" w14:textId="77777777" w:rsidR="006A04F6" w:rsidRPr="00BC7EC7" w:rsidRDefault="006A04F6" w:rsidP="0041777D">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i/>
          <w:iCs/>
          <w:color w:val="62B5E5" w:themeColor="accent3"/>
        </w:rPr>
      </w:pPr>
      <w:r>
        <w:rPr>
          <w:b/>
          <w:bCs/>
          <w:i/>
          <w:iCs/>
          <w:color w:val="62B5E5" w:themeColor="accent3"/>
        </w:rPr>
        <w:t>Key finding</w:t>
      </w:r>
    </w:p>
    <w:p w14:paraId="107938E9" w14:textId="658F5D20" w:rsidR="006A04F6" w:rsidRPr="006A04F6"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i/>
          <w:iCs/>
          <w:color w:val="62B5E5" w:themeColor="accent3"/>
        </w:rPr>
      </w:pPr>
      <w:r>
        <w:rPr>
          <w:b/>
          <w:bCs/>
          <w:i/>
          <w:iCs/>
          <w:color w:val="62B5E5" w:themeColor="accent3"/>
        </w:rPr>
        <w:t>Employers reported a wide range of financial and non-financial benefits associated with the participating in the program, including enhancing their ability to meet Indigenous quotas and targets, their reputation, and the diversity of their workforce.</w:t>
      </w:r>
      <w:r>
        <w:rPr>
          <w:b/>
          <w:bCs/>
          <w:i/>
          <w:iCs/>
          <w:color w:val="62B5E5" w:themeColor="accent3"/>
        </w:rPr>
        <w:br/>
      </w:r>
    </w:p>
    <w:p w14:paraId="33128FAF" w14:textId="7CBD5CE3" w:rsidR="006A04F6" w:rsidRPr="006A04F6"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sidRPr="001656D4">
        <w:rPr>
          <w:b/>
          <w:bCs/>
          <w:i/>
          <w:iCs/>
          <w:color w:val="62B5E5" w:themeColor="accent3"/>
        </w:rPr>
        <w:t>It appears that the IEP remains predominately focused on supporting jobseekers to navigate established employment models, rather than shifting the employment model itself</w:t>
      </w:r>
      <w:r>
        <w:rPr>
          <w:b/>
          <w:bCs/>
          <w:i/>
          <w:iCs/>
          <w:color w:val="62B5E5" w:themeColor="accent3"/>
        </w:rPr>
        <w:t>.</w:t>
      </w:r>
    </w:p>
    <w:p w14:paraId="0420EA23" w14:textId="4EC9E993" w:rsidR="008F56B1" w:rsidRPr="00820C89" w:rsidRDefault="008F56B1" w:rsidP="00C8461D">
      <w:pPr>
        <w:rPr>
          <w:rFonts w:asciiTheme="majorHAnsi" w:hAnsiTheme="majorHAnsi"/>
        </w:rPr>
      </w:pPr>
      <w:r w:rsidRPr="00820C89">
        <w:rPr>
          <w:rFonts w:asciiTheme="majorHAnsi" w:hAnsiTheme="majorHAnsi"/>
        </w:rPr>
        <w:lastRenderedPageBreak/>
        <w:t xml:space="preserve">Consultations with employers of IEP participants </w:t>
      </w:r>
      <w:r w:rsidR="00F238E3" w:rsidRPr="00820C89">
        <w:rPr>
          <w:rFonts w:asciiTheme="majorHAnsi" w:hAnsiTheme="majorHAnsi"/>
        </w:rPr>
        <w:t xml:space="preserve">established </w:t>
      </w:r>
      <w:r w:rsidR="000A1C1C" w:rsidRPr="00820C89">
        <w:rPr>
          <w:rFonts w:asciiTheme="majorHAnsi" w:hAnsiTheme="majorHAnsi"/>
        </w:rPr>
        <w:t>various benefits of program participation</w:t>
      </w:r>
      <w:r w:rsidR="00AB1B3C" w:rsidRPr="00820C89">
        <w:rPr>
          <w:rFonts w:asciiTheme="majorHAnsi" w:hAnsiTheme="majorHAnsi"/>
        </w:rPr>
        <w:t xml:space="preserve">. A number of these benefits are associated with direct </w:t>
      </w:r>
      <w:r w:rsidR="00F9584E" w:rsidRPr="00820C89">
        <w:rPr>
          <w:rFonts w:asciiTheme="majorHAnsi" w:hAnsiTheme="majorHAnsi"/>
        </w:rPr>
        <w:t>financial benefits for the employer, including:</w:t>
      </w:r>
      <w:r w:rsidR="000A1C1C" w:rsidRPr="00820C89">
        <w:rPr>
          <w:rFonts w:asciiTheme="majorHAnsi" w:hAnsiTheme="majorHAnsi"/>
        </w:rPr>
        <w:t xml:space="preserve"> </w:t>
      </w:r>
    </w:p>
    <w:p w14:paraId="7DC3068B" w14:textId="77777777" w:rsidR="000A1C1C" w:rsidRPr="00820C89" w:rsidRDefault="00595426" w:rsidP="00715F70">
      <w:pPr>
        <w:numPr>
          <w:ilvl w:val="0"/>
          <w:numId w:val="13"/>
        </w:numPr>
        <w:spacing w:before="60" w:after="60"/>
        <w:ind w:left="357" w:hanging="357"/>
        <w:rPr>
          <w:rFonts w:asciiTheme="majorHAnsi" w:hAnsiTheme="majorHAnsi"/>
        </w:rPr>
      </w:pPr>
      <w:r w:rsidRPr="00820C89">
        <w:rPr>
          <w:rFonts w:asciiTheme="majorHAnsi" w:hAnsiTheme="majorHAnsi"/>
        </w:rPr>
        <w:t xml:space="preserve">the ability to meet Indigenous employment quotas required for government contracts </w:t>
      </w:r>
    </w:p>
    <w:p w14:paraId="3DDF0DCA" w14:textId="77777777" w:rsidR="00595426" w:rsidRPr="00820C89" w:rsidRDefault="00595426" w:rsidP="00715F70">
      <w:pPr>
        <w:numPr>
          <w:ilvl w:val="0"/>
          <w:numId w:val="13"/>
        </w:numPr>
        <w:spacing w:before="60" w:after="60"/>
        <w:ind w:left="357" w:hanging="357"/>
        <w:rPr>
          <w:rFonts w:asciiTheme="majorHAnsi" w:hAnsiTheme="majorHAnsi"/>
        </w:rPr>
      </w:pPr>
      <w:r w:rsidRPr="00820C89">
        <w:rPr>
          <w:rFonts w:asciiTheme="majorHAnsi" w:hAnsiTheme="majorHAnsi"/>
        </w:rPr>
        <w:t>the ability to improve service provision</w:t>
      </w:r>
      <w:r w:rsidR="00587FB6" w:rsidRPr="00820C89">
        <w:rPr>
          <w:rFonts w:asciiTheme="majorHAnsi" w:hAnsiTheme="majorHAnsi"/>
        </w:rPr>
        <w:t xml:space="preserve"> for Indigenous consumers, increasing their customer base </w:t>
      </w:r>
    </w:p>
    <w:p w14:paraId="3120CBA3" w14:textId="77777777" w:rsidR="00587FB6" w:rsidRPr="00820C89" w:rsidRDefault="00587FB6" w:rsidP="00715F70">
      <w:pPr>
        <w:numPr>
          <w:ilvl w:val="0"/>
          <w:numId w:val="13"/>
        </w:numPr>
        <w:spacing w:before="60" w:after="60"/>
        <w:ind w:left="357" w:hanging="357"/>
        <w:rPr>
          <w:rFonts w:asciiTheme="majorHAnsi" w:hAnsiTheme="majorHAnsi"/>
        </w:rPr>
      </w:pPr>
      <w:r w:rsidRPr="00820C89">
        <w:rPr>
          <w:rFonts w:asciiTheme="majorHAnsi" w:hAnsiTheme="majorHAnsi"/>
        </w:rPr>
        <w:t xml:space="preserve">the ability to </w:t>
      </w:r>
      <w:r w:rsidR="000A45EC" w:rsidRPr="00820C89">
        <w:rPr>
          <w:rFonts w:asciiTheme="majorHAnsi" w:hAnsiTheme="majorHAnsi"/>
        </w:rPr>
        <w:t>create positive working relationships with Traditional Owner groups on whose land the business was operating, improving business development opportunities</w:t>
      </w:r>
      <w:r w:rsidR="004F1348" w:rsidRPr="00820C89">
        <w:rPr>
          <w:rFonts w:asciiTheme="majorHAnsi" w:hAnsiTheme="majorHAnsi"/>
        </w:rPr>
        <w:t>,</w:t>
      </w:r>
      <w:r w:rsidR="000A45EC" w:rsidRPr="00820C89">
        <w:rPr>
          <w:rFonts w:asciiTheme="majorHAnsi" w:hAnsiTheme="majorHAnsi"/>
        </w:rPr>
        <w:t xml:space="preserve"> and </w:t>
      </w:r>
    </w:p>
    <w:p w14:paraId="5230EA1B" w14:textId="77777777" w:rsidR="00F941E4" w:rsidRPr="00820C89" w:rsidRDefault="00F941E4" w:rsidP="00715F70">
      <w:pPr>
        <w:numPr>
          <w:ilvl w:val="0"/>
          <w:numId w:val="13"/>
        </w:numPr>
        <w:spacing w:before="60" w:after="60"/>
        <w:ind w:left="357" w:hanging="357"/>
        <w:rPr>
          <w:rFonts w:asciiTheme="majorHAnsi" w:hAnsiTheme="majorHAnsi"/>
        </w:rPr>
      </w:pPr>
      <w:r w:rsidRPr="00820C89">
        <w:rPr>
          <w:rFonts w:asciiTheme="majorHAnsi" w:hAnsiTheme="majorHAnsi"/>
        </w:rPr>
        <w:t xml:space="preserve">the </w:t>
      </w:r>
      <w:r w:rsidR="00B9498C" w:rsidRPr="00820C89">
        <w:rPr>
          <w:rFonts w:asciiTheme="majorHAnsi" w:hAnsiTheme="majorHAnsi"/>
        </w:rPr>
        <w:t>ability to market the business as socially responsible</w:t>
      </w:r>
      <w:r w:rsidR="00923339" w:rsidRPr="00820C89">
        <w:rPr>
          <w:rFonts w:asciiTheme="majorHAnsi" w:hAnsiTheme="majorHAnsi"/>
        </w:rPr>
        <w:t>, increasing reputation and brand power.</w:t>
      </w:r>
    </w:p>
    <w:p w14:paraId="3991E8FF" w14:textId="77777777" w:rsidR="008F56B1" w:rsidRPr="00820C89" w:rsidRDefault="00923339" w:rsidP="00DF7F60">
      <w:pPr>
        <w:spacing w:before="170"/>
        <w:rPr>
          <w:rFonts w:asciiTheme="majorHAnsi" w:hAnsiTheme="majorHAnsi"/>
        </w:rPr>
      </w:pPr>
      <w:r w:rsidRPr="00820C89">
        <w:rPr>
          <w:rFonts w:asciiTheme="majorHAnsi" w:hAnsiTheme="majorHAnsi"/>
        </w:rPr>
        <w:t xml:space="preserve">Beyond the financial benefits, </w:t>
      </w:r>
      <w:r w:rsidR="00497D1B" w:rsidRPr="00820C89">
        <w:rPr>
          <w:rFonts w:asciiTheme="majorHAnsi" w:hAnsiTheme="majorHAnsi"/>
        </w:rPr>
        <w:t>a range of non-moneti</w:t>
      </w:r>
      <w:r w:rsidR="00EE273B" w:rsidRPr="00820C89">
        <w:rPr>
          <w:rFonts w:asciiTheme="majorHAnsi" w:hAnsiTheme="majorHAnsi"/>
        </w:rPr>
        <w:t>s</w:t>
      </w:r>
      <w:r w:rsidR="00497D1B" w:rsidRPr="00820C89">
        <w:rPr>
          <w:rFonts w:asciiTheme="majorHAnsi" w:hAnsiTheme="majorHAnsi"/>
        </w:rPr>
        <w:t>able spill-over benefits were also identified, including:</w:t>
      </w:r>
    </w:p>
    <w:p w14:paraId="2DA45AA6" w14:textId="77777777" w:rsidR="00497D1B" w:rsidRPr="00820C89" w:rsidRDefault="00BB432C" w:rsidP="00715F70">
      <w:pPr>
        <w:numPr>
          <w:ilvl w:val="0"/>
          <w:numId w:val="13"/>
        </w:numPr>
        <w:spacing w:before="60" w:after="60"/>
        <w:ind w:left="357" w:hanging="357"/>
        <w:rPr>
          <w:rFonts w:asciiTheme="majorHAnsi" w:hAnsiTheme="majorHAnsi"/>
        </w:rPr>
      </w:pPr>
      <w:r w:rsidRPr="00820C89">
        <w:rPr>
          <w:rFonts w:asciiTheme="majorHAnsi" w:hAnsiTheme="majorHAnsi"/>
        </w:rPr>
        <w:t>improved workplace c</w:t>
      </w:r>
      <w:r w:rsidR="003B0332" w:rsidRPr="00820C89">
        <w:rPr>
          <w:rFonts w:asciiTheme="majorHAnsi" w:hAnsiTheme="majorHAnsi"/>
        </w:rPr>
        <w:t>apability in methods to increase diversity, resulting in positive benefits fo</w:t>
      </w:r>
      <w:r w:rsidR="00E2197E" w:rsidRPr="00820C89">
        <w:rPr>
          <w:rFonts w:asciiTheme="majorHAnsi" w:hAnsiTheme="majorHAnsi"/>
        </w:rPr>
        <w:t xml:space="preserve">r other minority groups within the workplace </w:t>
      </w:r>
    </w:p>
    <w:p w14:paraId="15366E3F" w14:textId="77777777" w:rsidR="00497D1B" w:rsidRPr="00820C89" w:rsidRDefault="00E2197E" w:rsidP="00715F70">
      <w:pPr>
        <w:numPr>
          <w:ilvl w:val="0"/>
          <w:numId w:val="13"/>
        </w:numPr>
        <w:spacing w:before="60" w:after="60"/>
        <w:ind w:left="357" w:hanging="357"/>
        <w:rPr>
          <w:rFonts w:asciiTheme="majorHAnsi" w:hAnsiTheme="majorHAnsi"/>
        </w:rPr>
      </w:pPr>
      <w:r w:rsidRPr="00820C89">
        <w:rPr>
          <w:rFonts w:asciiTheme="majorHAnsi" w:hAnsiTheme="majorHAnsi"/>
        </w:rPr>
        <w:t xml:space="preserve">improved cultural understanding and connection to Indigenous Australia, </w:t>
      </w:r>
      <w:r w:rsidR="006F106D" w:rsidRPr="00820C89">
        <w:rPr>
          <w:rFonts w:asciiTheme="majorHAnsi" w:hAnsiTheme="majorHAnsi"/>
        </w:rPr>
        <w:t>influencing a positive workplace culture and sense of purpose and place</w:t>
      </w:r>
      <w:r w:rsidR="00A93A86" w:rsidRPr="00820C89">
        <w:rPr>
          <w:rFonts w:asciiTheme="majorHAnsi" w:hAnsiTheme="majorHAnsi"/>
        </w:rPr>
        <w:t>, and</w:t>
      </w:r>
    </w:p>
    <w:p w14:paraId="6430157E" w14:textId="77777777" w:rsidR="006F106D" w:rsidRPr="00820C89" w:rsidRDefault="00517D66" w:rsidP="00715F70">
      <w:pPr>
        <w:numPr>
          <w:ilvl w:val="0"/>
          <w:numId w:val="13"/>
        </w:numPr>
        <w:spacing w:before="60" w:after="60"/>
        <w:ind w:left="357" w:hanging="357"/>
        <w:rPr>
          <w:rFonts w:asciiTheme="majorHAnsi" w:hAnsiTheme="majorHAnsi"/>
        </w:rPr>
      </w:pPr>
      <w:r w:rsidRPr="00820C89">
        <w:rPr>
          <w:rFonts w:asciiTheme="majorHAnsi" w:hAnsiTheme="majorHAnsi"/>
        </w:rPr>
        <w:t xml:space="preserve">the benefits of an increasingly diverse workforce, including </w:t>
      </w:r>
      <w:r w:rsidR="00783551" w:rsidRPr="00820C89">
        <w:rPr>
          <w:rFonts w:asciiTheme="majorHAnsi" w:hAnsiTheme="majorHAnsi"/>
        </w:rPr>
        <w:t>improvements in workplace culture</w:t>
      </w:r>
      <w:r w:rsidR="00361604" w:rsidRPr="00820C89">
        <w:rPr>
          <w:rFonts w:asciiTheme="majorHAnsi" w:hAnsiTheme="majorHAnsi"/>
        </w:rPr>
        <w:t xml:space="preserve">, a broadening of business development opportunities and improved cultural capabilities of management staff. </w:t>
      </w:r>
    </w:p>
    <w:p w14:paraId="23B55BDD" w14:textId="77777777" w:rsidR="00842A1D" w:rsidRPr="00820C89" w:rsidRDefault="00842A1D" w:rsidP="00B85F03">
      <w:pPr>
        <w:pStyle w:val="Heading3"/>
        <w:spacing w:before="170"/>
        <w:ind w:left="0" w:firstLine="0"/>
        <w:rPr>
          <w:rFonts w:asciiTheme="majorHAnsi" w:hAnsiTheme="majorHAnsi"/>
        </w:rPr>
      </w:pPr>
      <w:r w:rsidRPr="00820C89">
        <w:rPr>
          <w:rFonts w:asciiTheme="majorHAnsi" w:hAnsiTheme="majorHAnsi"/>
        </w:rPr>
        <w:t>Determining the impact associated with increased employment of Indigenous jobseekers</w:t>
      </w:r>
    </w:p>
    <w:p w14:paraId="7215EB13" w14:textId="77777777" w:rsidR="00635F72" w:rsidRPr="00820C89" w:rsidRDefault="00635F72" w:rsidP="00635F72">
      <w:pPr>
        <w:rPr>
          <w:rFonts w:asciiTheme="majorHAnsi" w:hAnsiTheme="majorHAnsi"/>
        </w:rPr>
      </w:pPr>
      <w:r w:rsidRPr="00820C89">
        <w:rPr>
          <w:rFonts w:asciiTheme="majorHAnsi" w:hAnsiTheme="majorHAnsi"/>
        </w:rPr>
        <w:t xml:space="preserve">Determining the net impact of these benefits on employers is challenging given data limitations, particularly pertaining to the level of investment employers make in administering the IEP programs beyond any funding received. However, given the voluntary nature of participation in the program, the recurrent engagement of employers with the IEP is evidence that employers consider engaging with the program to be a net benefit. </w:t>
      </w:r>
    </w:p>
    <w:p w14:paraId="4DE8340F" w14:textId="77777777" w:rsidR="00635F72" w:rsidRPr="00820C89" w:rsidRDefault="00635F72" w:rsidP="00635F72">
      <w:pPr>
        <w:rPr>
          <w:rFonts w:asciiTheme="majorHAnsi" w:hAnsiTheme="majorHAnsi"/>
        </w:rPr>
      </w:pPr>
      <w:r w:rsidRPr="00820C89">
        <w:rPr>
          <w:rFonts w:asciiTheme="majorHAnsi" w:hAnsiTheme="majorHAnsi"/>
        </w:rPr>
        <w:t xml:space="preserve">At its simplest, employer reflections highlighted that where improving Indigenous employment was a priority for their business, the existence of the IEP facilitated a smoother recruitment and retention process for employers. </w:t>
      </w:r>
    </w:p>
    <w:p w14:paraId="6021FC8A" w14:textId="77777777" w:rsidR="00635F72" w:rsidRPr="00820C89" w:rsidRDefault="00635F72" w:rsidP="00635F72">
      <w:pPr>
        <w:rPr>
          <w:rFonts w:asciiTheme="majorHAnsi" w:hAnsiTheme="majorHAnsi"/>
        </w:rPr>
      </w:pPr>
      <w:r w:rsidRPr="00820C89">
        <w:rPr>
          <w:rFonts w:asciiTheme="majorHAnsi" w:hAnsiTheme="majorHAnsi"/>
        </w:rPr>
        <w:t xml:space="preserve">For employers working with VTEC and TAEG providers – particularly for smaller organisations or organisations looking to recruit only a small number of Indigenous staff, it was observed that there were significant efficiencies to be gained through outsourcing this specialist expertise. Access to community, support with identifying, screening and on boarding potential applicants and the continued support for individual hires, as well as guidance on culturally appropriate workplace practices and processes, enhanced the recruitment and retention process.  </w:t>
      </w:r>
    </w:p>
    <w:p w14:paraId="12E212DA" w14:textId="77777777" w:rsidR="00635F72" w:rsidRPr="00820C89" w:rsidRDefault="00635F72" w:rsidP="00635F72">
      <w:pPr>
        <w:rPr>
          <w:rFonts w:asciiTheme="majorHAnsi" w:hAnsiTheme="majorHAnsi"/>
        </w:rPr>
      </w:pPr>
      <w:r w:rsidRPr="00820C89">
        <w:rPr>
          <w:rFonts w:asciiTheme="majorHAnsi" w:hAnsiTheme="majorHAnsi"/>
        </w:rPr>
        <w:t xml:space="preserve">For EPI and TAEG employers that deliver the program internally, participation in the IEP was observed to support the upfront and ongoing investment of the organisation in developing tailored recruitment and retention strategies. The program facilitated employers investing in teams, processes and programs to enhance their Indigenous employment capabilities. </w:t>
      </w:r>
    </w:p>
    <w:p w14:paraId="05F9EB13" w14:textId="77777777" w:rsidR="00635F72" w:rsidRPr="00820C89" w:rsidRDefault="00635F72" w:rsidP="00635F72">
      <w:pPr>
        <w:rPr>
          <w:rFonts w:asciiTheme="majorHAnsi" w:hAnsiTheme="majorHAnsi"/>
        </w:rPr>
      </w:pPr>
      <w:r w:rsidRPr="00820C89">
        <w:rPr>
          <w:rFonts w:asciiTheme="majorHAnsi" w:hAnsiTheme="majorHAnsi"/>
        </w:rPr>
        <w:t xml:space="preserve">While there is some partial evidence to suggest that the IEP generates additional Indigenous employment above and beyond what would occur in their absence, this may be due to a reduction in frictional barriers to recruitment and retention for employers – rather than incentivising Indigenous employment above and beyond what is planned. </w:t>
      </w:r>
    </w:p>
    <w:p w14:paraId="5FBBDC04" w14:textId="77777777" w:rsidR="00635F72" w:rsidRPr="00820C89" w:rsidRDefault="00635F72" w:rsidP="00635F72">
      <w:pPr>
        <w:rPr>
          <w:rFonts w:asciiTheme="majorHAnsi" w:hAnsiTheme="majorHAnsi"/>
        </w:rPr>
      </w:pPr>
      <w:r w:rsidRPr="00820C89">
        <w:rPr>
          <w:rFonts w:asciiTheme="majorHAnsi" w:hAnsiTheme="majorHAnsi"/>
        </w:rPr>
        <w:t xml:space="preserve">The key question in determining the impact of the IEP on Indigenous employment, from an employer perspective – is then considering to what extent the IEP facilitated </w:t>
      </w:r>
      <w:r w:rsidRPr="00820C89">
        <w:rPr>
          <w:rFonts w:asciiTheme="majorHAnsi" w:hAnsiTheme="majorHAnsi"/>
          <w:i/>
        </w:rPr>
        <w:t>additional employment</w:t>
      </w:r>
      <w:r w:rsidRPr="00820C89">
        <w:rPr>
          <w:rFonts w:asciiTheme="majorHAnsi" w:hAnsiTheme="majorHAnsi"/>
        </w:rPr>
        <w:t xml:space="preserve"> for these businesses, as opposed to supporting the ease of employment that would have occurred irrespective of intervention. </w:t>
      </w:r>
    </w:p>
    <w:p w14:paraId="44F4746C" w14:textId="77777777" w:rsidR="00635F72" w:rsidRPr="00820C89" w:rsidRDefault="00635F72" w:rsidP="00635F72">
      <w:r w:rsidRPr="00820C89">
        <w:t>If the benefit to employers has been a smoother process or it has brought-forward</w:t>
      </w:r>
      <w:r w:rsidRPr="00820C89" w:rsidDel="00310CAC">
        <w:t xml:space="preserve"> </w:t>
      </w:r>
      <w:r w:rsidRPr="00820C89">
        <w:t xml:space="preserve">a more successful recruitment and retention process for already planned Indigenous employment, the net impact can be understood as different to where there was previously no Indigenous recruitment intention at all. </w:t>
      </w:r>
      <w:r w:rsidRPr="00820C89">
        <w:lastRenderedPageBreak/>
        <w:t xml:space="preserve">If this employment is genuinely additional under all circumstances, then the impact is more aligned with IEP intent – truly improving access to sustained employment opportunities for Indigenous Australians. Evaluation evidence to date suggests that the impact sits somewhere between these two dimensions, as is often the case for employment assistance programs. </w:t>
      </w:r>
    </w:p>
    <w:p w14:paraId="71232D72" w14:textId="77777777" w:rsidR="00635F72" w:rsidRPr="00820C89" w:rsidRDefault="00635F72" w:rsidP="00635F72">
      <w:pPr>
        <w:rPr>
          <w:rFonts w:asciiTheme="majorHAnsi" w:hAnsiTheme="majorHAnsi"/>
        </w:rPr>
      </w:pPr>
      <w:r w:rsidRPr="00820C89">
        <w:rPr>
          <w:rFonts w:asciiTheme="majorHAnsi" w:hAnsiTheme="majorHAnsi"/>
        </w:rPr>
        <w:t xml:space="preserve">Many employers stated that their incentive to participate in an IEP was in response to their business prioritising a lift in the employment of Indigenous staff for either commercial or social imperatives. While this does suggest that recruitment of Indigenous staff may occur irrespective of the IEP, a strong theme in employer consultations was that even in cases where Indigenous employment was a company priority – </w:t>
      </w:r>
      <w:r w:rsidRPr="001656D4">
        <w:rPr>
          <w:rFonts w:asciiTheme="majorHAnsi" w:hAnsiTheme="majorHAnsi"/>
        </w:rPr>
        <w:t>it was difficult to implement given a lack of internal expertise.</w:t>
      </w:r>
      <w:r w:rsidRPr="00820C89">
        <w:rPr>
          <w:rFonts w:asciiTheme="majorHAnsi" w:hAnsiTheme="majorHAnsi"/>
        </w:rPr>
        <w:t xml:space="preserve"> As such, there is evidence to suggest that the presence of the IEP facilitates additional employment above and beyond what would be expected in the absence of the IEP. </w:t>
      </w:r>
    </w:p>
    <w:p w14:paraId="6D9362ED" w14:textId="77777777" w:rsidR="00635F72" w:rsidRPr="00820C89" w:rsidRDefault="00635F72" w:rsidP="00635F72">
      <w:pPr>
        <w:rPr>
          <w:rFonts w:asciiTheme="majorHAnsi" w:hAnsiTheme="majorHAnsi"/>
        </w:rPr>
      </w:pPr>
      <w:r w:rsidRPr="001656D4">
        <w:rPr>
          <w:rFonts w:asciiTheme="majorHAnsi" w:hAnsiTheme="majorHAnsi"/>
        </w:rPr>
        <w:t>In this vein, the impact of the IEP can be understood as primarily driven through reducing the frictional barriers for employers more so than as an incentive to increase Indigenous employment above what was planned.</w:t>
      </w:r>
      <w:r w:rsidRPr="00820C89">
        <w:rPr>
          <w:rFonts w:asciiTheme="majorHAnsi" w:hAnsiTheme="majorHAnsi"/>
        </w:rPr>
        <w:t xml:space="preserve"> The IEP play a role in bridging the employer capability gap and galvanising corporate activity around a dedicated goal. As established in Section 4.4.2, in employers with sufficient scale and investment in the program (predominately EPIs) this capability is typically built internally, better enabling the IEP influence to be sustained following program completion. </w:t>
      </w:r>
    </w:p>
    <w:p w14:paraId="4A470952" w14:textId="77777777" w:rsidR="00635F72" w:rsidRPr="00820C89" w:rsidRDefault="00635F72" w:rsidP="00635F72">
      <w:pPr>
        <w:rPr>
          <w:rFonts w:asciiTheme="majorHAnsi" w:hAnsiTheme="majorHAnsi"/>
        </w:rPr>
      </w:pPr>
      <w:r w:rsidRPr="00820C89">
        <w:rPr>
          <w:rFonts w:asciiTheme="majorHAnsi" w:hAnsiTheme="majorHAnsi"/>
        </w:rPr>
        <w:t xml:space="preserve">For instance, one EPI partner stated that following the completion of their contract, the company continued to provide the same level of service, and indeed increase their Indigenous employment targets, without IEP support. </w:t>
      </w:r>
    </w:p>
    <w:p w14:paraId="223D65EF" w14:textId="77777777" w:rsidR="00635F72" w:rsidRPr="00820C89" w:rsidRDefault="00635F72" w:rsidP="00635F72">
      <w:pPr>
        <w:rPr>
          <w:rFonts w:asciiTheme="majorHAnsi" w:hAnsiTheme="majorHAnsi"/>
        </w:rPr>
      </w:pPr>
      <w:r w:rsidRPr="00820C89">
        <w:rPr>
          <w:rFonts w:asciiTheme="majorHAnsi" w:hAnsiTheme="majorHAnsi"/>
        </w:rPr>
        <w:t>Another perspective is to look at the processes and practices of employers that have strong Indigenous employment outcomes without the intervention of an IEP. The existence of companies that prioritise, and are successful in, lifting Indigenous employment in the absence of IEP support does bring into question the net impact of the programs, particularly the EPI. For example, organisations such as BHP and Australia Post have either obtained or exceed Indigenous employment parity without this support.</w:t>
      </w:r>
    </w:p>
    <w:p w14:paraId="287C3ED1" w14:textId="77777777" w:rsidR="00635F72" w:rsidRPr="00820C89" w:rsidRDefault="00635F72" w:rsidP="00635F72">
      <w:pPr>
        <w:rPr>
          <w:rFonts w:asciiTheme="majorHAnsi" w:hAnsiTheme="majorHAnsi"/>
        </w:rPr>
      </w:pPr>
      <w:r w:rsidRPr="00820C89">
        <w:rPr>
          <w:rFonts w:asciiTheme="majorHAnsi" w:hAnsiTheme="majorHAnsi"/>
        </w:rPr>
        <w:t>This has important implications for efficiency and determining optimal investment as there is a risk that funding employers to deliver IEP services, particularly after internal capability has been built, is effectively subsidising existing activity.</w:t>
      </w:r>
    </w:p>
    <w:p w14:paraId="4182AC38" w14:textId="77777777" w:rsidR="00635F72" w:rsidRPr="00820C89" w:rsidRDefault="00635F72" w:rsidP="00635F72">
      <w:pPr>
        <w:rPr>
          <w:rFonts w:asciiTheme="majorHAnsi" w:hAnsiTheme="majorHAnsi"/>
        </w:rPr>
      </w:pPr>
      <w:r w:rsidRPr="00820C89">
        <w:rPr>
          <w:rFonts w:asciiTheme="majorHAnsi" w:hAnsiTheme="majorHAnsi"/>
        </w:rPr>
        <w:t xml:space="preserve">While the above analysis highlights the complexity of employer intent in determining the additionality of IEP impact – particularly in considering implications for efficient investment, the qualitative evidence gathered through the evaluation to date suggests that the IEP is supporting employers to build the capability and capacity to hire Indigenous staff, or providing this expertise as direct facilitation for smaller businesses. </w:t>
      </w:r>
    </w:p>
    <w:p w14:paraId="4D15C772" w14:textId="77777777" w:rsidR="00635F72" w:rsidRPr="00820C89" w:rsidRDefault="00635F72" w:rsidP="00635F72">
      <w:pPr>
        <w:rPr>
          <w:rFonts w:asciiTheme="majorHAnsi" w:hAnsiTheme="majorHAnsi"/>
        </w:rPr>
      </w:pPr>
      <w:r w:rsidRPr="00820C89">
        <w:rPr>
          <w:rFonts w:asciiTheme="majorHAnsi" w:hAnsiTheme="majorHAnsi"/>
        </w:rPr>
        <w:t xml:space="preserve">It should also be noted that to the extent new knowledge and strategies for improving employer capability to recruit and retain an Indigenous workforce are created through these programs, and the extent to which these learnings are shared and embraced throughout various organisations and sectors, there is the potential for broader system-level change. </w:t>
      </w:r>
    </w:p>
    <w:p w14:paraId="476AF179" w14:textId="77777777" w:rsidR="000553C5" w:rsidRPr="00820C89" w:rsidRDefault="000553C5" w:rsidP="002076DA">
      <w:pPr>
        <w:pStyle w:val="Heading3"/>
        <w:rPr>
          <w:rFonts w:asciiTheme="majorHAnsi" w:hAnsiTheme="majorHAnsi"/>
        </w:rPr>
      </w:pPr>
      <w:r w:rsidRPr="00820C89">
        <w:rPr>
          <w:rFonts w:asciiTheme="majorHAnsi" w:hAnsiTheme="majorHAnsi"/>
        </w:rPr>
        <w:t>Challenging this impact assessment through an Indigenous lens</w:t>
      </w:r>
    </w:p>
    <w:p w14:paraId="4F0B068F" w14:textId="77777777" w:rsidR="00DE0276" w:rsidRPr="00820C89" w:rsidRDefault="00DE0276" w:rsidP="00DE0276">
      <w:pPr>
        <w:rPr>
          <w:rFonts w:asciiTheme="majorHAnsi" w:hAnsiTheme="majorHAnsi"/>
        </w:rPr>
      </w:pPr>
      <w:r w:rsidRPr="00820C89">
        <w:rPr>
          <w:rFonts w:asciiTheme="majorHAnsi" w:hAnsiTheme="majorHAnsi"/>
        </w:rPr>
        <w:t>The above analysis suggests that while the IEP may support employers to recruit Indigenous jobseekers above and beyond what would occur in their absence, this may only be incentivising what they intended to do anyway and/or improving their capacity to do that which they intended to do anyway. The net outcome may not be less about stimulation of additional employment, and more about improving the ease with which they can meet their planned outcomes.</w:t>
      </w:r>
    </w:p>
    <w:p w14:paraId="7507824C" w14:textId="77777777" w:rsidR="00DE0276" w:rsidRPr="00820C89" w:rsidRDefault="00DE0276" w:rsidP="00DE0276">
      <w:pPr>
        <w:rPr>
          <w:rFonts w:asciiTheme="majorHAnsi" w:hAnsiTheme="majorHAnsi"/>
        </w:rPr>
      </w:pPr>
      <w:r w:rsidRPr="00820C89">
        <w:rPr>
          <w:rFonts w:asciiTheme="majorHAnsi" w:hAnsiTheme="majorHAnsi"/>
        </w:rPr>
        <w:t xml:space="preserve">While it may ultimately be beneficial to reduce the frictions of employment for Indigenous people it is not clear that this is a problem of the Indigenous participant or even unique to them. It is just as likely to be a problem with employer systems and practices for employment that struggles with differences in culture or participant type.  </w:t>
      </w:r>
    </w:p>
    <w:p w14:paraId="3C1EA275" w14:textId="77777777" w:rsidR="00DE0276" w:rsidRPr="00820C89" w:rsidRDefault="00DE0276" w:rsidP="00DE0276">
      <w:pPr>
        <w:rPr>
          <w:rFonts w:asciiTheme="majorHAnsi" w:hAnsiTheme="majorHAnsi"/>
        </w:rPr>
      </w:pPr>
      <w:r w:rsidRPr="00820C89">
        <w:rPr>
          <w:rFonts w:asciiTheme="majorHAnsi" w:hAnsiTheme="majorHAnsi"/>
        </w:rPr>
        <w:t xml:space="preserve">The ability to generate this impact is therefore grounded in the current disconnect between Western employment norms and practices, and the cultural requirements of Indigenous people to have access </w:t>
      </w:r>
      <w:r w:rsidRPr="00820C89">
        <w:rPr>
          <w:rFonts w:asciiTheme="majorHAnsi" w:hAnsiTheme="majorHAnsi"/>
        </w:rPr>
        <w:lastRenderedPageBreak/>
        <w:t xml:space="preserve">to and be retained in, meaningful and sustainable employment opportunities. The program design is centred in growing the skills and capabilities of Indigenous jobseekers, to fit more easily into predominately Western business structures. </w:t>
      </w:r>
    </w:p>
    <w:p w14:paraId="7E4B3E4A" w14:textId="77777777" w:rsidR="00DE0276" w:rsidRPr="00820C89" w:rsidRDefault="00DE0276" w:rsidP="00DE0276">
      <w:pPr>
        <w:rPr>
          <w:rFonts w:asciiTheme="majorHAnsi" w:hAnsiTheme="majorHAnsi"/>
        </w:rPr>
      </w:pPr>
      <w:r w:rsidRPr="00820C89">
        <w:rPr>
          <w:rFonts w:asciiTheme="majorHAnsi" w:hAnsiTheme="majorHAnsi"/>
        </w:rPr>
        <w:t>Given the dominance of Western business in Australia’s economy, this is to be expected, but it does raise questions as to the sustainability and quality of employment outcomes from this model. The expected assimilation that is required of jobseekers to successfully transition into such employment can hold negative impacts for other elements of life – including health, wellbeing, connection to community and self-determination (as established in Section 4.3.2). This is pertinent given that the United Nations Declaration on the Rights of Indigenous Peoples, which Australian is a signatory to, articulates the ‘right of all peoples to be different.’</w:t>
      </w:r>
      <w:r w:rsidRPr="00820C89">
        <w:rPr>
          <w:rStyle w:val="FootnoteReference"/>
          <w:rFonts w:asciiTheme="majorHAnsi" w:hAnsiTheme="majorHAnsi"/>
        </w:rPr>
        <w:footnoteReference w:id="68"/>
      </w:r>
    </w:p>
    <w:p w14:paraId="27A18A48" w14:textId="77777777" w:rsidR="00DE0276" w:rsidRPr="00820C89" w:rsidRDefault="00DE0276" w:rsidP="00DE0276">
      <w:pPr>
        <w:rPr>
          <w:rFonts w:asciiTheme="majorHAnsi" w:hAnsiTheme="majorHAnsi"/>
        </w:rPr>
      </w:pPr>
      <w:r w:rsidRPr="00820C89">
        <w:rPr>
          <w:rFonts w:asciiTheme="majorHAnsi" w:hAnsiTheme="majorHAnsi"/>
        </w:rPr>
        <w:t>There is also an important social policy implication in the identification of Indigenous employment as a ‘social imperative’ for some employers. Such a position frames the act of employing Indigenous people as one of a social good (charity like), which also then changes the employment dynamic for both employer and employee in subtle but pervasive ways, including in the shaping of expectations of success and the likelihood of continuance in the absence of incentives.</w:t>
      </w:r>
    </w:p>
    <w:p w14:paraId="7B42A71F" w14:textId="77777777" w:rsidR="00DE0276" w:rsidRPr="00820C89" w:rsidRDefault="00DE0276" w:rsidP="00DE0276">
      <w:pPr>
        <w:rPr>
          <w:rStyle w:val="FootnoteReference"/>
          <w:rFonts w:asciiTheme="majorHAnsi" w:hAnsiTheme="majorHAnsi"/>
        </w:rPr>
      </w:pPr>
      <w:r w:rsidRPr="00820C89">
        <w:rPr>
          <w:rFonts w:asciiTheme="majorHAnsi" w:hAnsiTheme="majorHAnsi"/>
        </w:rPr>
        <w:t>Where employers, through their participation in an IEP, genuinely evolve their processes and practices to be more Indigenous centred (as opposed to requiring the adjustment to be solely on the jobseeker side) it is more likely that outcomes will be sustained and meaningful.</w:t>
      </w:r>
      <w:r w:rsidRPr="00820C89">
        <w:rPr>
          <w:rStyle w:val="FootnoteReference"/>
          <w:rFonts w:asciiTheme="majorHAnsi" w:hAnsiTheme="majorHAnsi"/>
        </w:rPr>
        <w:footnoteReference w:id="69"/>
      </w:r>
      <w:r w:rsidRPr="00820C89">
        <w:rPr>
          <w:rFonts w:asciiTheme="majorHAnsi" w:hAnsiTheme="majorHAnsi"/>
        </w:rPr>
        <w:t xml:space="preserve">  It is this type of evolution that is expected to be required to support a sustainable improvement in employment outcomes for Indigenous Australians.</w:t>
      </w:r>
      <w:r w:rsidRPr="00820C89">
        <w:rPr>
          <w:rStyle w:val="FootnoteReference"/>
          <w:rFonts w:asciiTheme="majorHAnsi" w:hAnsiTheme="majorHAnsi"/>
        </w:rPr>
        <w:t xml:space="preserve"> </w:t>
      </w:r>
    </w:p>
    <w:p w14:paraId="47124E97" w14:textId="77777777" w:rsidR="00DE0276" w:rsidRPr="00820C89" w:rsidRDefault="00DE0276" w:rsidP="00DE0276">
      <w:pPr>
        <w:rPr>
          <w:rFonts w:asciiTheme="majorHAnsi" w:hAnsiTheme="majorHAnsi"/>
        </w:rPr>
      </w:pPr>
      <w:r w:rsidRPr="00820C89">
        <w:rPr>
          <w:rFonts w:asciiTheme="majorHAnsi" w:hAnsiTheme="majorHAnsi"/>
        </w:rPr>
        <w:t>In considering the programs, EPI partners (and TAEG providers who are also employers) are most likely to be able to make this kind of change as they have direct influence over their organisation, whereas TAEG and VTEC providers are more limited in their capacity to influence employer practice.</w:t>
      </w:r>
    </w:p>
    <w:p w14:paraId="245DDA4A" w14:textId="77777777" w:rsidR="00DE0276" w:rsidRPr="00820C89" w:rsidRDefault="00DE0276" w:rsidP="00DE0276">
      <w:pPr>
        <w:rPr>
          <w:rFonts w:asciiTheme="majorHAnsi" w:hAnsiTheme="majorHAnsi"/>
        </w:rPr>
      </w:pPr>
      <w:r w:rsidRPr="00820C89">
        <w:rPr>
          <w:rFonts w:asciiTheme="majorHAnsi" w:hAnsiTheme="majorHAnsi"/>
        </w:rPr>
        <w:t xml:space="preserve">In practical terms, the process of incorporating Indigenous values into a workplace is likely to be very different in particular contexts as employers exist on a spectrum of understanding and engagement with Indigenous worldviews. For an employer founded in a Western business tradition, a business may seek to ensure that their workplace is culturally safe, by undertaking cultural awareness training across the firm and establishing roles for Indigenous workforce development and support. This type of organisational change focuses on ensuring that Indigenous candidates are included in the workplace. </w:t>
      </w:r>
    </w:p>
    <w:p w14:paraId="3F8BFDC8" w14:textId="77777777" w:rsidR="00DE0276" w:rsidRPr="00820C89" w:rsidRDefault="00DE0276" w:rsidP="00DE0276">
      <w:pPr>
        <w:rPr>
          <w:rFonts w:asciiTheme="majorHAnsi" w:hAnsiTheme="majorHAnsi"/>
        </w:rPr>
      </w:pPr>
      <w:r w:rsidRPr="00820C89">
        <w:rPr>
          <w:rFonts w:asciiTheme="majorHAnsi" w:hAnsiTheme="majorHAnsi"/>
        </w:rPr>
        <w:t xml:space="preserve">At the other end of the spectrum, a business that has Indigenous values at the heart of the decisions they make and the way they do business, will likely make decisions differently. For example, only sourcing products that have been collected through culturally aligned methods or setting up different team structures and relationships between employees, potentially in ways that contribute positive economic consequence to the employer. </w:t>
      </w:r>
    </w:p>
    <w:p w14:paraId="7893C4A2" w14:textId="77777777" w:rsidR="00DE0276" w:rsidRPr="00820C89" w:rsidRDefault="00DE0276" w:rsidP="00DE0276">
      <w:pPr>
        <w:rPr>
          <w:rFonts w:asciiTheme="majorHAnsi" w:hAnsiTheme="majorHAnsi"/>
        </w:rPr>
      </w:pPr>
      <w:r w:rsidRPr="00820C89">
        <w:rPr>
          <w:rFonts w:asciiTheme="majorHAnsi" w:hAnsiTheme="majorHAnsi"/>
        </w:rPr>
        <w:t xml:space="preserve">In these instances, the experience of an Indigenous employee may go beyond just feeling included, to enabling them to have a high sense of belonging in their workplace. It should be noted that not all businesses will have the capacity to centre their organisation in Indigenous values, but that businesses which have Indigenous values at the centre do exist and Indigenous employees are likely to have a different experience working in these organisations. </w:t>
      </w:r>
    </w:p>
    <w:p w14:paraId="57EB7908" w14:textId="6B444F73" w:rsidR="00DE0276" w:rsidRPr="00820C89" w:rsidRDefault="00DE0276" w:rsidP="00DE0276">
      <w:pPr>
        <w:rPr>
          <w:rFonts w:asciiTheme="majorHAnsi" w:hAnsiTheme="majorHAnsi"/>
        </w:rPr>
      </w:pPr>
      <w:r w:rsidRPr="001656D4">
        <w:rPr>
          <w:rFonts w:asciiTheme="majorHAnsi" w:hAnsiTheme="majorHAnsi"/>
        </w:rPr>
        <w:t xml:space="preserve">The evaluation </w:t>
      </w:r>
      <w:r w:rsidR="00285BE3" w:rsidRPr="001656D4">
        <w:rPr>
          <w:rFonts w:asciiTheme="majorHAnsi" w:hAnsiTheme="majorHAnsi"/>
        </w:rPr>
        <w:t>has observed</w:t>
      </w:r>
      <w:r w:rsidRPr="001656D4">
        <w:rPr>
          <w:rFonts w:asciiTheme="majorHAnsi" w:hAnsiTheme="majorHAnsi"/>
        </w:rPr>
        <w:t xml:space="preserve"> limited evidence of significant</w:t>
      </w:r>
      <w:r w:rsidR="00285BE3" w:rsidRPr="001656D4">
        <w:rPr>
          <w:rFonts w:asciiTheme="majorHAnsi" w:hAnsiTheme="majorHAnsi"/>
        </w:rPr>
        <w:t>, long-term</w:t>
      </w:r>
      <w:r w:rsidRPr="001656D4">
        <w:rPr>
          <w:rFonts w:asciiTheme="majorHAnsi" w:hAnsiTheme="majorHAnsi"/>
        </w:rPr>
        <w:t xml:space="preserve"> change</w:t>
      </w:r>
      <w:r w:rsidR="00285BE3" w:rsidRPr="001656D4">
        <w:rPr>
          <w:rFonts w:asciiTheme="majorHAnsi" w:hAnsiTheme="majorHAnsi"/>
        </w:rPr>
        <w:t>s</w:t>
      </w:r>
      <w:r w:rsidRPr="001656D4">
        <w:rPr>
          <w:rFonts w:asciiTheme="majorHAnsi" w:hAnsiTheme="majorHAnsi"/>
        </w:rPr>
        <w:t xml:space="preserve"> in employer practices</w:t>
      </w:r>
      <w:r w:rsidRPr="00820C89">
        <w:rPr>
          <w:rFonts w:asciiTheme="majorHAnsi" w:hAnsiTheme="majorHAnsi"/>
        </w:rPr>
        <w:t xml:space="preserve">. A minority of the employers interviewed are evolving their programs to encourage Indigenous employment into leadership and management roles, and overtime this may see a deeper </w:t>
      </w:r>
      <w:r w:rsidRPr="00820C89">
        <w:rPr>
          <w:rFonts w:asciiTheme="majorHAnsi" w:hAnsiTheme="majorHAnsi"/>
        </w:rPr>
        <w:lastRenderedPageBreak/>
        <w:t xml:space="preserve">embedding of Indigenous thought within corporate structures. Similarly, as employers experience greater levels of Indigenous participation in their workforce, and there is increased understanding, recognition and celebration of the benefits of this, including direct economic benefits, over time a more genuine shifting towards Indigenous centred workplaces may occur. </w:t>
      </w:r>
    </w:p>
    <w:p w14:paraId="7F8EFD3F" w14:textId="77777777" w:rsidR="00DE0276" w:rsidRPr="00820C89" w:rsidRDefault="00DE0276" w:rsidP="00DE0276">
      <w:pPr>
        <w:rPr>
          <w:rFonts w:asciiTheme="majorHAnsi" w:hAnsiTheme="majorHAnsi"/>
        </w:rPr>
      </w:pPr>
      <w:r w:rsidRPr="001656D4">
        <w:rPr>
          <w:rFonts w:asciiTheme="majorHAnsi" w:hAnsiTheme="majorHAnsi"/>
        </w:rPr>
        <w:t>On balance, however, at this point in the national awareness of the benefits of Indigenous engagement and employment, it would appear that the IEP remains predominately focused on supporting jobseekers to navigate established employment models, rather than shifting the employment model itself. While much smaller in scale, models of Indigenous led entrepreneurship and business development offer alternative visions of how employment can look through Indigenous centred models. Comparisons of Indigenous employee experience across these models allows for further insights into the sustainability and quality of employment (and associated impact) across employer types.</w:t>
      </w:r>
      <w:r w:rsidRPr="00820C89">
        <w:rPr>
          <w:rFonts w:asciiTheme="majorHAnsi" w:hAnsiTheme="majorHAnsi"/>
        </w:rPr>
        <w:t xml:space="preserve"> </w:t>
      </w:r>
    </w:p>
    <w:p w14:paraId="69F63A95" w14:textId="0C42E6A9" w:rsidR="00295140" w:rsidRPr="00820C89" w:rsidRDefault="001F2A4E" w:rsidP="0041777D">
      <w:pPr>
        <w:pStyle w:val="Heading2"/>
        <w:spacing w:after="60"/>
        <w:rPr>
          <w:rFonts w:asciiTheme="majorHAnsi" w:hAnsiTheme="majorHAnsi"/>
        </w:rPr>
      </w:pPr>
      <w:bookmarkStart w:id="152" w:name="_Toc82691990"/>
      <w:bookmarkStart w:id="153" w:name="_Toc82694479"/>
      <w:bookmarkStart w:id="154" w:name="_Toc82691991"/>
      <w:bookmarkStart w:id="155" w:name="_Toc82694480"/>
      <w:bookmarkStart w:id="156" w:name="_Toc82691992"/>
      <w:bookmarkStart w:id="157" w:name="_Toc82694481"/>
      <w:bookmarkStart w:id="158" w:name="_Toc82691993"/>
      <w:bookmarkStart w:id="159" w:name="_Toc82694482"/>
      <w:bookmarkStart w:id="160" w:name="_Toc82691994"/>
      <w:bookmarkStart w:id="161" w:name="_Toc82694483"/>
      <w:bookmarkStart w:id="162" w:name="_Toc82691995"/>
      <w:bookmarkStart w:id="163" w:name="_Toc82694484"/>
      <w:bookmarkStart w:id="164" w:name="_Toc82691996"/>
      <w:bookmarkStart w:id="165" w:name="_Toc82694485"/>
      <w:bookmarkStart w:id="166" w:name="_Toc82691997"/>
      <w:bookmarkStart w:id="167" w:name="_Toc82694486"/>
      <w:bookmarkStart w:id="168" w:name="_Toc82691998"/>
      <w:bookmarkStart w:id="169" w:name="_Toc82694487"/>
      <w:bookmarkStart w:id="170" w:name="_Toc82691999"/>
      <w:bookmarkStart w:id="171" w:name="_Toc82694488"/>
      <w:bookmarkStart w:id="172" w:name="_Toc82692000"/>
      <w:bookmarkStart w:id="173" w:name="_Toc82694489"/>
      <w:bookmarkStart w:id="174" w:name="_Toc57022898"/>
      <w:bookmarkStart w:id="175" w:name="_Toc82710789"/>
      <w:bookmarkStart w:id="176" w:name="_Toc101343308"/>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820C89">
        <w:rPr>
          <w:rFonts w:asciiTheme="majorHAnsi" w:hAnsiTheme="majorHAnsi"/>
        </w:rPr>
        <w:t>Community impact</w:t>
      </w:r>
      <w:bookmarkEnd w:id="174"/>
      <w:bookmarkEnd w:id="175"/>
      <w:bookmarkEnd w:id="176"/>
      <w:r w:rsidRPr="00820C89">
        <w:rPr>
          <w:rFonts w:asciiTheme="majorHAnsi" w:hAnsiTheme="majorHAnsi"/>
        </w:rPr>
        <w:t xml:space="preserve"> </w:t>
      </w:r>
    </w:p>
    <w:p w14:paraId="1811DB1D" w14:textId="77777777" w:rsidR="006A04F6" w:rsidRPr="00BC7EC7" w:rsidRDefault="006A04F6" w:rsidP="0041777D">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i/>
          <w:iCs/>
          <w:color w:val="62B5E5" w:themeColor="accent3"/>
        </w:rPr>
      </w:pPr>
      <w:r>
        <w:rPr>
          <w:b/>
          <w:bCs/>
          <w:i/>
          <w:iCs/>
          <w:color w:val="62B5E5" w:themeColor="accent3"/>
        </w:rPr>
        <w:t>Key finding</w:t>
      </w:r>
    </w:p>
    <w:p w14:paraId="000FB2EB" w14:textId="77777777" w:rsidR="006A04F6" w:rsidRPr="00534BDE"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Stakeholder consultations and academic literature suggest that the IEP can have a positive community-level impact, through increasing community cohesion, sense of belonging and aspiration.</w:t>
      </w:r>
    </w:p>
    <w:p w14:paraId="263267AF" w14:textId="04B3D713" w:rsidR="00225429" w:rsidRPr="00820C89" w:rsidRDefault="00CC7C41" w:rsidP="00AB49B5">
      <w:pPr>
        <w:rPr>
          <w:rFonts w:asciiTheme="majorHAnsi" w:hAnsiTheme="majorHAnsi"/>
        </w:rPr>
      </w:pPr>
      <w:r w:rsidRPr="00820C89">
        <w:rPr>
          <w:rFonts w:asciiTheme="majorHAnsi" w:hAnsiTheme="majorHAnsi"/>
        </w:rPr>
        <w:t xml:space="preserve">Literature finds that at the community level, training and </w:t>
      </w:r>
      <w:r w:rsidR="00A806DE" w:rsidRPr="00820C89">
        <w:rPr>
          <w:rFonts w:asciiTheme="majorHAnsi" w:hAnsiTheme="majorHAnsi"/>
        </w:rPr>
        <w:t xml:space="preserve">employment </w:t>
      </w:r>
      <w:r w:rsidRPr="00820C89">
        <w:rPr>
          <w:rFonts w:asciiTheme="majorHAnsi" w:hAnsiTheme="majorHAnsi"/>
        </w:rPr>
        <w:t>programs are associated with</w:t>
      </w:r>
      <w:r w:rsidR="00A806DE" w:rsidRPr="00820C89">
        <w:rPr>
          <w:rFonts w:asciiTheme="majorHAnsi" w:hAnsiTheme="majorHAnsi"/>
        </w:rPr>
        <w:t xml:space="preserve"> </w:t>
      </w:r>
      <w:r w:rsidR="00A41716" w:rsidRPr="00820C89">
        <w:rPr>
          <w:rFonts w:asciiTheme="majorHAnsi" w:hAnsiTheme="majorHAnsi"/>
        </w:rPr>
        <w:t>improved social cohesion, inclusivity and connectivity</w:t>
      </w:r>
      <w:r w:rsidRPr="00820C89">
        <w:rPr>
          <w:rFonts w:asciiTheme="majorHAnsi" w:hAnsiTheme="majorHAnsi"/>
        </w:rPr>
        <w:t xml:space="preserve">, facilitated by higher education, </w:t>
      </w:r>
      <w:r w:rsidR="00225429" w:rsidRPr="00820C89">
        <w:rPr>
          <w:rFonts w:asciiTheme="majorHAnsi" w:hAnsiTheme="majorHAnsi"/>
        </w:rPr>
        <w:t>improved foundational skills and reduced unemployment</w:t>
      </w:r>
      <w:r w:rsidR="00A41716" w:rsidRPr="00820C89">
        <w:rPr>
          <w:rFonts w:asciiTheme="majorHAnsi" w:hAnsiTheme="majorHAnsi"/>
        </w:rPr>
        <w:t>.</w:t>
      </w:r>
      <w:r w:rsidR="00A41716" w:rsidRPr="00820C89">
        <w:rPr>
          <w:rStyle w:val="FootnoteReference"/>
          <w:rFonts w:asciiTheme="majorHAnsi" w:hAnsiTheme="majorHAnsi"/>
        </w:rPr>
        <w:footnoteReference w:id="70"/>
      </w:r>
      <w:r w:rsidR="000167C6" w:rsidRPr="00820C89">
        <w:rPr>
          <w:rFonts w:asciiTheme="majorHAnsi" w:hAnsiTheme="majorHAnsi"/>
        </w:rPr>
        <w:t xml:space="preserve"> </w:t>
      </w:r>
      <w:r w:rsidR="00993FC9" w:rsidRPr="00820C89">
        <w:rPr>
          <w:rFonts w:asciiTheme="majorHAnsi" w:hAnsiTheme="majorHAnsi"/>
        </w:rPr>
        <w:t>As part of this, individuals who undergo training and employment programs</w:t>
      </w:r>
      <w:r w:rsidR="00523F20" w:rsidRPr="00820C89">
        <w:rPr>
          <w:rFonts w:asciiTheme="majorHAnsi" w:hAnsiTheme="majorHAnsi"/>
        </w:rPr>
        <w:t xml:space="preserve"> </w:t>
      </w:r>
      <w:r w:rsidR="00132DFD" w:rsidRPr="00820C89">
        <w:rPr>
          <w:rFonts w:asciiTheme="majorHAnsi" w:hAnsiTheme="majorHAnsi"/>
        </w:rPr>
        <w:t>are more likely to participate in social, community or political groups, volunteer, engage in environmental conservation and advocacy activities, and feel able to ‘have a say’ on important issues in the community.</w:t>
      </w:r>
      <w:r w:rsidR="004B3971" w:rsidRPr="00820C89">
        <w:rPr>
          <w:rStyle w:val="FootnoteReference"/>
          <w:rFonts w:asciiTheme="majorHAnsi" w:hAnsiTheme="majorHAnsi"/>
        </w:rPr>
        <w:footnoteReference w:id="71"/>
      </w:r>
    </w:p>
    <w:p w14:paraId="76C05A38" w14:textId="77777777" w:rsidR="00F539AB" w:rsidRPr="00820C89" w:rsidRDefault="00585B3F" w:rsidP="00AB49B5">
      <w:pPr>
        <w:rPr>
          <w:rFonts w:asciiTheme="majorHAnsi" w:hAnsiTheme="majorHAnsi"/>
        </w:rPr>
      </w:pPr>
      <w:r w:rsidRPr="00820C89">
        <w:rPr>
          <w:rFonts w:asciiTheme="majorHAnsi" w:hAnsiTheme="majorHAnsi"/>
        </w:rPr>
        <w:t xml:space="preserve">Beyond </w:t>
      </w:r>
      <w:r w:rsidR="00E32F4C" w:rsidRPr="00820C89">
        <w:rPr>
          <w:rFonts w:asciiTheme="majorHAnsi" w:hAnsiTheme="majorHAnsi"/>
        </w:rPr>
        <w:t>this social capital gain</w:t>
      </w:r>
      <w:r w:rsidRPr="00820C89">
        <w:rPr>
          <w:rFonts w:asciiTheme="majorHAnsi" w:hAnsiTheme="majorHAnsi"/>
        </w:rPr>
        <w:t xml:space="preserve">, </w:t>
      </w:r>
      <w:r w:rsidR="00225429" w:rsidRPr="00820C89">
        <w:rPr>
          <w:rFonts w:asciiTheme="majorHAnsi" w:hAnsiTheme="majorHAnsi"/>
        </w:rPr>
        <w:t xml:space="preserve">stakeholder consultations identified that </w:t>
      </w:r>
      <w:r w:rsidR="00332A1E" w:rsidRPr="00820C89">
        <w:rPr>
          <w:rFonts w:asciiTheme="majorHAnsi" w:hAnsiTheme="majorHAnsi"/>
        </w:rPr>
        <w:t>the IEP has</w:t>
      </w:r>
      <w:r w:rsidR="00225429" w:rsidRPr="00820C89">
        <w:rPr>
          <w:rFonts w:asciiTheme="majorHAnsi" w:hAnsiTheme="majorHAnsi"/>
        </w:rPr>
        <w:t xml:space="preserve"> the potential to have </w:t>
      </w:r>
      <w:r w:rsidR="008C56E9" w:rsidRPr="00820C89">
        <w:rPr>
          <w:rFonts w:asciiTheme="majorHAnsi" w:hAnsiTheme="majorHAnsi"/>
        </w:rPr>
        <w:t xml:space="preserve">a wide range of community benefits, including through spill over impacts for family members </w:t>
      </w:r>
      <w:r w:rsidR="00F539AB" w:rsidRPr="00820C89">
        <w:rPr>
          <w:rFonts w:asciiTheme="majorHAnsi" w:hAnsiTheme="majorHAnsi"/>
        </w:rPr>
        <w:t>of those participating. Identified benefits included:</w:t>
      </w:r>
    </w:p>
    <w:p w14:paraId="4C5218A5" w14:textId="77777777" w:rsidR="00AB49B5" w:rsidRPr="00820C89" w:rsidRDefault="003F164A" w:rsidP="008C014F">
      <w:pPr>
        <w:pStyle w:val="ListBullet"/>
        <w:spacing w:before="120" w:after="120"/>
        <w:contextualSpacing w:val="0"/>
        <w:rPr>
          <w:rFonts w:asciiTheme="majorHAnsi" w:hAnsiTheme="majorHAnsi"/>
        </w:rPr>
      </w:pPr>
      <w:r w:rsidRPr="00820C89">
        <w:rPr>
          <w:rFonts w:asciiTheme="majorHAnsi" w:hAnsiTheme="majorHAnsi"/>
        </w:rPr>
        <w:t xml:space="preserve">Improved sense of belonging </w:t>
      </w:r>
      <w:r w:rsidR="002A563D" w:rsidRPr="00820C89">
        <w:rPr>
          <w:rFonts w:asciiTheme="majorHAnsi" w:hAnsiTheme="majorHAnsi"/>
        </w:rPr>
        <w:t>and</w:t>
      </w:r>
      <w:r w:rsidRPr="00820C89">
        <w:rPr>
          <w:rFonts w:asciiTheme="majorHAnsi" w:hAnsiTheme="majorHAnsi"/>
        </w:rPr>
        <w:t xml:space="preserve"> community </w:t>
      </w:r>
      <w:r w:rsidR="002A563D" w:rsidRPr="00820C89">
        <w:rPr>
          <w:rFonts w:asciiTheme="majorHAnsi" w:hAnsiTheme="majorHAnsi"/>
        </w:rPr>
        <w:t xml:space="preserve">pride </w:t>
      </w:r>
      <w:r w:rsidR="004640AE" w:rsidRPr="00820C89">
        <w:rPr>
          <w:rFonts w:asciiTheme="majorHAnsi" w:hAnsiTheme="majorHAnsi"/>
        </w:rPr>
        <w:t>through the</w:t>
      </w:r>
      <w:r w:rsidRPr="00820C89">
        <w:rPr>
          <w:rFonts w:asciiTheme="majorHAnsi" w:hAnsiTheme="majorHAnsi"/>
        </w:rPr>
        <w:t xml:space="preserve"> </w:t>
      </w:r>
      <w:r w:rsidR="002A563D" w:rsidRPr="00820C89">
        <w:rPr>
          <w:rFonts w:asciiTheme="majorHAnsi" w:hAnsiTheme="majorHAnsi"/>
        </w:rPr>
        <w:t xml:space="preserve">employment of </w:t>
      </w:r>
      <w:r w:rsidR="004640AE" w:rsidRPr="00820C89">
        <w:rPr>
          <w:rFonts w:asciiTheme="majorHAnsi" w:hAnsiTheme="majorHAnsi"/>
        </w:rPr>
        <w:t>Indigenous peoples in l</w:t>
      </w:r>
      <w:r w:rsidR="00887666" w:rsidRPr="00820C89">
        <w:rPr>
          <w:rFonts w:asciiTheme="majorHAnsi" w:hAnsiTheme="majorHAnsi"/>
        </w:rPr>
        <w:t xml:space="preserve">ocal organisations. </w:t>
      </w:r>
    </w:p>
    <w:p w14:paraId="048846FD" w14:textId="77777777" w:rsidR="00887666" w:rsidRPr="00820C89" w:rsidRDefault="00E331B1" w:rsidP="00970DA4">
      <w:pPr>
        <w:pStyle w:val="ListBullet"/>
        <w:spacing w:before="120" w:after="120"/>
        <w:ind w:left="680"/>
        <w:contextualSpacing w:val="0"/>
        <w:rPr>
          <w:rFonts w:asciiTheme="majorHAnsi" w:hAnsiTheme="majorHAnsi"/>
          <w:i/>
        </w:rPr>
      </w:pPr>
      <w:r w:rsidRPr="00820C89">
        <w:rPr>
          <w:rFonts w:asciiTheme="majorHAnsi" w:hAnsiTheme="majorHAnsi"/>
          <w:i/>
        </w:rPr>
        <w:t>“</w:t>
      </w:r>
      <w:r w:rsidR="008C014F" w:rsidRPr="00820C89">
        <w:rPr>
          <w:rFonts w:asciiTheme="majorHAnsi" w:hAnsiTheme="majorHAnsi"/>
          <w:i/>
        </w:rPr>
        <w:t>A lot of times we go into shops here and there’s no Koori faces in the street, or behind our shop counters, or anything like that.  I’ve got a huge population here so I think it’s really important to invest in a local community and provide them with opportunities because the ripple effects of that are going to be huge.  For us culture is at the foundation of what we do within all our programs and then there’s a heavy focus on that</w:t>
      </w:r>
      <w:r w:rsidRPr="00820C89">
        <w:rPr>
          <w:rFonts w:asciiTheme="majorHAnsi" w:hAnsiTheme="majorHAnsi"/>
          <w:i/>
        </w:rPr>
        <w:t>”</w:t>
      </w:r>
      <w:r w:rsidR="008C014F" w:rsidRPr="00820C89">
        <w:rPr>
          <w:rFonts w:asciiTheme="majorHAnsi" w:hAnsiTheme="majorHAnsi"/>
          <w:i/>
        </w:rPr>
        <w:t xml:space="preserve"> </w:t>
      </w:r>
      <w:r w:rsidRPr="00820C89">
        <w:rPr>
          <w:rFonts w:asciiTheme="majorHAnsi" w:hAnsiTheme="majorHAnsi"/>
          <w:i/>
        </w:rPr>
        <w:t>(</w:t>
      </w:r>
      <w:r w:rsidR="008C014F" w:rsidRPr="00820C89">
        <w:rPr>
          <w:rFonts w:asciiTheme="majorHAnsi" w:hAnsiTheme="majorHAnsi"/>
          <w:i/>
        </w:rPr>
        <w:t>Employer of IEP participants</w:t>
      </w:r>
      <w:r w:rsidRPr="00820C89">
        <w:rPr>
          <w:rFonts w:asciiTheme="majorHAnsi" w:hAnsiTheme="majorHAnsi"/>
          <w:i/>
        </w:rPr>
        <w:t>).</w:t>
      </w:r>
    </w:p>
    <w:p w14:paraId="7B18119A" w14:textId="77777777" w:rsidR="008439A1" w:rsidRPr="00820C89" w:rsidRDefault="000130A3" w:rsidP="00A343F0">
      <w:pPr>
        <w:pStyle w:val="ListBullet"/>
        <w:spacing w:before="120" w:after="120"/>
        <w:contextualSpacing w:val="0"/>
        <w:rPr>
          <w:rFonts w:asciiTheme="majorHAnsi" w:hAnsiTheme="majorHAnsi"/>
        </w:rPr>
      </w:pPr>
      <w:r w:rsidRPr="00820C89">
        <w:rPr>
          <w:rFonts w:asciiTheme="majorHAnsi" w:hAnsiTheme="majorHAnsi"/>
        </w:rPr>
        <w:t xml:space="preserve">Significant spill-over benefits associated with role modelling and </w:t>
      </w:r>
      <w:r w:rsidR="002C7194" w:rsidRPr="00820C89">
        <w:rPr>
          <w:rFonts w:asciiTheme="majorHAnsi" w:hAnsiTheme="majorHAnsi"/>
        </w:rPr>
        <w:t>aspiration building for family and friends.</w:t>
      </w:r>
      <w:r w:rsidRPr="00820C89">
        <w:rPr>
          <w:rFonts w:asciiTheme="majorHAnsi" w:hAnsiTheme="majorHAnsi"/>
        </w:rPr>
        <w:t xml:space="preserve"> </w:t>
      </w:r>
    </w:p>
    <w:p w14:paraId="65683BE7" w14:textId="77777777" w:rsidR="008C3979" w:rsidRPr="00820C89" w:rsidRDefault="008C3979" w:rsidP="00970DA4">
      <w:pPr>
        <w:pStyle w:val="ListBullet"/>
        <w:spacing w:before="120" w:after="120"/>
        <w:ind w:left="680"/>
        <w:contextualSpacing w:val="0"/>
        <w:rPr>
          <w:rFonts w:asciiTheme="majorHAnsi" w:hAnsiTheme="majorHAnsi"/>
          <w:i/>
        </w:rPr>
      </w:pPr>
      <w:r w:rsidRPr="00820C89">
        <w:rPr>
          <w:rFonts w:asciiTheme="majorHAnsi" w:hAnsiTheme="majorHAnsi"/>
          <w:i/>
        </w:rPr>
        <w:t xml:space="preserve">“We also see the positive influence on young people when they have a person in their family working and setting them an example of the routines required to maintain employment. This is the multiplier effect that will be the change for the next generation.” (VTEC </w:t>
      </w:r>
      <w:r w:rsidR="001F1912" w:rsidRPr="00820C89">
        <w:rPr>
          <w:rFonts w:asciiTheme="majorHAnsi" w:hAnsiTheme="majorHAnsi"/>
          <w:i/>
        </w:rPr>
        <w:t>provider</w:t>
      </w:r>
      <w:r w:rsidRPr="00820C89">
        <w:rPr>
          <w:rFonts w:asciiTheme="majorHAnsi" w:hAnsiTheme="majorHAnsi"/>
          <w:i/>
        </w:rPr>
        <w:t>)</w:t>
      </w:r>
    </w:p>
    <w:p w14:paraId="6ACEE99A" w14:textId="77777777" w:rsidR="002C7194" w:rsidRPr="00820C89" w:rsidRDefault="008C3979" w:rsidP="00970DA4">
      <w:pPr>
        <w:pStyle w:val="ListBullet"/>
        <w:spacing w:before="120" w:after="120"/>
        <w:ind w:left="680"/>
        <w:contextualSpacing w:val="0"/>
        <w:rPr>
          <w:rFonts w:asciiTheme="majorHAnsi" w:hAnsiTheme="majorHAnsi"/>
          <w:i/>
        </w:rPr>
      </w:pPr>
      <w:r w:rsidRPr="00820C89">
        <w:rPr>
          <w:rFonts w:asciiTheme="majorHAnsi" w:hAnsiTheme="majorHAnsi"/>
          <w:i/>
        </w:rPr>
        <w:t xml:space="preserve">“I’ve seen families change just because one person we have been working with gets a job. This can impact on younger siblings and things like that. I’ve also seen parents that have </w:t>
      </w:r>
      <w:r w:rsidRPr="00820C89">
        <w:rPr>
          <w:rFonts w:asciiTheme="majorHAnsi" w:hAnsiTheme="majorHAnsi"/>
          <w:i/>
        </w:rPr>
        <w:lastRenderedPageBreak/>
        <w:t xml:space="preserve">seen their young person succeed and said, hang on, what can you do for me, I’m now keen to get into the workforce or whatever.” (VTEC </w:t>
      </w:r>
      <w:r w:rsidR="001F1912" w:rsidRPr="00820C89">
        <w:rPr>
          <w:rFonts w:asciiTheme="majorHAnsi" w:hAnsiTheme="majorHAnsi"/>
          <w:i/>
        </w:rPr>
        <w:t>provider</w:t>
      </w:r>
      <w:r w:rsidRPr="00820C89">
        <w:rPr>
          <w:rFonts w:asciiTheme="majorHAnsi" w:hAnsiTheme="majorHAnsi"/>
          <w:i/>
        </w:rPr>
        <w:t xml:space="preserve">)  </w:t>
      </w:r>
    </w:p>
    <w:p w14:paraId="1EE4AD3D" w14:textId="77777777" w:rsidR="00145815" w:rsidRPr="00820C89" w:rsidRDefault="00145815" w:rsidP="008930E7">
      <w:pPr>
        <w:pStyle w:val="ListBullet"/>
        <w:spacing w:before="170" w:after="170"/>
        <w:contextualSpacing w:val="0"/>
        <w:rPr>
          <w:rFonts w:asciiTheme="majorHAnsi" w:hAnsiTheme="majorHAnsi"/>
        </w:rPr>
      </w:pPr>
      <w:r w:rsidRPr="00820C89">
        <w:rPr>
          <w:rFonts w:asciiTheme="majorHAnsi" w:hAnsiTheme="majorHAnsi"/>
        </w:rPr>
        <w:t>Increased awareness of community services, and linkages between these services, as employers, IEP providers and wrap around services collaborate</w:t>
      </w:r>
      <w:r w:rsidR="001E6FEF" w:rsidRPr="00820C89">
        <w:rPr>
          <w:rFonts w:asciiTheme="majorHAnsi" w:hAnsiTheme="majorHAnsi"/>
        </w:rPr>
        <w:t xml:space="preserve"> – improving community </w:t>
      </w:r>
      <w:r w:rsidR="00367066" w:rsidRPr="00820C89">
        <w:rPr>
          <w:rFonts w:asciiTheme="majorHAnsi" w:hAnsiTheme="majorHAnsi"/>
        </w:rPr>
        <w:t>health and wellbeing</w:t>
      </w:r>
      <w:r w:rsidR="00034A37" w:rsidRPr="00820C89">
        <w:rPr>
          <w:rFonts w:asciiTheme="majorHAnsi" w:hAnsiTheme="majorHAnsi"/>
        </w:rPr>
        <w:t>.</w:t>
      </w:r>
      <w:r w:rsidR="001E6FEF" w:rsidRPr="00820C89">
        <w:rPr>
          <w:rStyle w:val="FootnoteReference"/>
          <w:rFonts w:asciiTheme="majorHAnsi" w:hAnsiTheme="majorHAnsi"/>
        </w:rPr>
        <w:footnoteReference w:id="72"/>
      </w:r>
      <w:r w:rsidRPr="00820C89">
        <w:rPr>
          <w:rFonts w:asciiTheme="majorHAnsi" w:hAnsiTheme="majorHAnsi"/>
        </w:rPr>
        <w:t xml:space="preserve"> </w:t>
      </w:r>
    </w:p>
    <w:p w14:paraId="45D6AD0A" w14:textId="77777777" w:rsidR="001F2A4E" w:rsidRPr="00820C89" w:rsidRDefault="00C2339A" w:rsidP="00E716AF">
      <w:pPr>
        <w:pStyle w:val="Heading3"/>
        <w:rPr>
          <w:rFonts w:asciiTheme="majorHAnsi" w:hAnsiTheme="majorHAnsi"/>
        </w:rPr>
      </w:pPr>
      <w:r w:rsidRPr="00820C89">
        <w:rPr>
          <w:rFonts w:asciiTheme="majorHAnsi" w:hAnsiTheme="majorHAnsi"/>
        </w:rPr>
        <w:t xml:space="preserve">Determining the impact </w:t>
      </w:r>
      <w:r w:rsidR="000A4EE5" w:rsidRPr="00820C89">
        <w:rPr>
          <w:rFonts w:asciiTheme="majorHAnsi" w:hAnsiTheme="majorHAnsi"/>
        </w:rPr>
        <w:t xml:space="preserve">of </w:t>
      </w:r>
      <w:r w:rsidR="00D55E6A" w:rsidRPr="00820C89">
        <w:rPr>
          <w:rFonts w:asciiTheme="majorHAnsi" w:hAnsiTheme="majorHAnsi"/>
        </w:rPr>
        <w:t>the IEP</w:t>
      </w:r>
      <w:r w:rsidR="000A4EE5" w:rsidRPr="00820C89">
        <w:rPr>
          <w:rFonts w:asciiTheme="majorHAnsi" w:hAnsiTheme="majorHAnsi"/>
        </w:rPr>
        <w:t xml:space="preserve"> on communities</w:t>
      </w:r>
    </w:p>
    <w:p w14:paraId="57B93518" w14:textId="77777777" w:rsidR="002D25B0" w:rsidRPr="00820C89" w:rsidRDefault="00B30D74" w:rsidP="002D25B0">
      <w:pPr>
        <w:rPr>
          <w:rFonts w:asciiTheme="majorHAnsi" w:hAnsiTheme="majorHAnsi"/>
        </w:rPr>
      </w:pPr>
      <w:r w:rsidRPr="00820C89">
        <w:rPr>
          <w:rFonts w:asciiTheme="majorHAnsi" w:hAnsiTheme="majorHAnsi"/>
        </w:rPr>
        <w:t>Some</w:t>
      </w:r>
      <w:r w:rsidR="00D232AC" w:rsidRPr="00820C89">
        <w:rPr>
          <w:rFonts w:asciiTheme="majorHAnsi" w:hAnsiTheme="majorHAnsi"/>
        </w:rPr>
        <w:t xml:space="preserve"> of the </w:t>
      </w:r>
      <w:r w:rsidRPr="00820C89">
        <w:rPr>
          <w:rFonts w:asciiTheme="majorHAnsi" w:hAnsiTheme="majorHAnsi"/>
        </w:rPr>
        <w:t xml:space="preserve">community benefits articulated above are </w:t>
      </w:r>
      <w:r w:rsidR="00676BED" w:rsidRPr="00820C89">
        <w:rPr>
          <w:rFonts w:asciiTheme="majorHAnsi" w:hAnsiTheme="majorHAnsi"/>
        </w:rPr>
        <w:t>due to</w:t>
      </w:r>
      <w:r w:rsidRPr="00820C89">
        <w:rPr>
          <w:rFonts w:asciiTheme="majorHAnsi" w:hAnsiTheme="majorHAnsi"/>
        </w:rPr>
        <w:t xml:space="preserve"> increased employment of Indigenous jobseekers and as such, to the extent that </w:t>
      </w:r>
      <w:r w:rsidR="00D55E6A" w:rsidRPr="00820C89">
        <w:rPr>
          <w:rFonts w:asciiTheme="majorHAnsi" w:hAnsiTheme="majorHAnsi"/>
        </w:rPr>
        <w:t>the IEP</w:t>
      </w:r>
      <w:r w:rsidRPr="00820C89">
        <w:rPr>
          <w:rFonts w:asciiTheme="majorHAnsi" w:hAnsiTheme="majorHAnsi"/>
        </w:rPr>
        <w:t xml:space="preserve"> </w:t>
      </w:r>
      <w:r w:rsidR="00524F92" w:rsidRPr="00820C89">
        <w:rPr>
          <w:rFonts w:asciiTheme="majorHAnsi" w:hAnsiTheme="majorHAnsi"/>
        </w:rPr>
        <w:t>generate</w:t>
      </w:r>
      <w:r w:rsidR="00D55E6A" w:rsidRPr="00820C89">
        <w:rPr>
          <w:rFonts w:asciiTheme="majorHAnsi" w:hAnsiTheme="majorHAnsi"/>
        </w:rPr>
        <w:t>s</w:t>
      </w:r>
      <w:r w:rsidR="00524F92" w:rsidRPr="00820C89">
        <w:rPr>
          <w:rFonts w:asciiTheme="majorHAnsi" w:hAnsiTheme="majorHAnsi"/>
        </w:rPr>
        <w:t xml:space="preserve"> increased Indigenous employment above and beyond the counterfactual scenario, a positive impact can be observed. This impact is enhanced </w:t>
      </w:r>
      <w:r w:rsidR="001E1ABB" w:rsidRPr="00820C89">
        <w:rPr>
          <w:rFonts w:asciiTheme="majorHAnsi" w:hAnsiTheme="majorHAnsi"/>
        </w:rPr>
        <w:t xml:space="preserve">in accordance with the level of disadvantage associated with those gaining employment, </w:t>
      </w:r>
      <w:r w:rsidR="006E7FB1" w:rsidRPr="00820C89">
        <w:rPr>
          <w:rFonts w:asciiTheme="majorHAnsi" w:hAnsiTheme="majorHAnsi"/>
        </w:rPr>
        <w:t>and the level of educational attainment gained.</w:t>
      </w:r>
      <w:r w:rsidR="001E1ABB" w:rsidRPr="00820C89">
        <w:rPr>
          <w:rFonts w:asciiTheme="majorHAnsi" w:hAnsiTheme="majorHAnsi"/>
        </w:rPr>
        <w:t xml:space="preserve"> </w:t>
      </w:r>
    </w:p>
    <w:p w14:paraId="7736B919" w14:textId="77777777" w:rsidR="006E7FB1" w:rsidRPr="00820C89" w:rsidRDefault="00A66F52" w:rsidP="002D25B0">
      <w:pPr>
        <w:rPr>
          <w:rFonts w:asciiTheme="majorHAnsi" w:hAnsiTheme="majorHAnsi"/>
        </w:rPr>
      </w:pPr>
      <w:r w:rsidRPr="00820C89">
        <w:rPr>
          <w:rFonts w:asciiTheme="majorHAnsi" w:hAnsiTheme="majorHAnsi"/>
        </w:rPr>
        <w:t xml:space="preserve">However, </w:t>
      </w:r>
      <w:r w:rsidR="00921CF9" w:rsidRPr="00820C89">
        <w:rPr>
          <w:rFonts w:asciiTheme="majorHAnsi" w:hAnsiTheme="majorHAnsi"/>
        </w:rPr>
        <w:t xml:space="preserve">when </w:t>
      </w:r>
      <w:r w:rsidR="003447CA" w:rsidRPr="00820C89">
        <w:rPr>
          <w:rFonts w:asciiTheme="majorHAnsi" w:hAnsiTheme="majorHAnsi"/>
        </w:rPr>
        <w:t xml:space="preserve">comparing the delivery of </w:t>
      </w:r>
      <w:r w:rsidR="00D55E6A" w:rsidRPr="00820C89">
        <w:rPr>
          <w:rFonts w:asciiTheme="majorHAnsi" w:hAnsiTheme="majorHAnsi"/>
        </w:rPr>
        <w:t>the IEP</w:t>
      </w:r>
      <w:r w:rsidR="00921CF9" w:rsidRPr="00820C89">
        <w:rPr>
          <w:rFonts w:asciiTheme="majorHAnsi" w:hAnsiTheme="majorHAnsi"/>
        </w:rPr>
        <w:t xml:space="preserve"> and mainstream employment services, </w:t>
      </w:r>
      <w:r w:rsidR="003447CA" w:rsidRPr="00820C89">
        <w:rPr>
          <w:rFonts w:asciiTheme="majorHAnsi" w:hAnsiTheme="majorHAnsi"/>
        </w:rPr>
        <w:t>a</w:t>
      </w:r>
      <w:r w:rsidR="00921CF9" w:rsidRPr="00820C89">
        <w:rPr>
          <w:rFonts w:asciiTheme="majorHAnsi" w:hAnsiTheme="majorHAnsi"/>
        </w:rPr>
        <w:t xml:space="preserve"> </w:t>
      </w:r>
      <w:r w:rsidR="00A53103" w:rsidRPr="00820C89">
        <w:rPr>
          <w:rFonts w:asciiTheme="majorHAnsi" w:hAnsiTheme="majorHAnsi"/>
        </w:rPr>
        <w:t xml:space="preserve">key difference is in the ability of an </w:t>
      </w:r>
      <w:r w:rsidR="005322BA" w:rsidRPr="00820C89">
        <w:rPr>
          <w:rFonts w:asciiTheme="majorHAnsi" w:hAnsiTheme="majorHAnsi"/>
        </w:rPr>
        <w:t>Indigenous employment program</w:t>
      </w:r>
      <w:r w:rsidR="00A53103" w:rsidRPr="00820C89">
        <w:rPr>
          <w:rFonts w:asciiTheme="majorHAnsi" w:hAnsiTheme="majorHAnsi"/>
        </w:rPr>
        <w:t xml:space="preserve"> to tailor a program for the specific needs of a community</w:t>
      </w:r>
      <w:r w:rsidR="005914D9" w:rsidRPr="00820C89">
        <w:rPr>
          <w:rFonts w:asciiTheme="majorHAnsi" w:hAnsiTheme="majorHAnsi"/>
        </w:rPr>
        <w:t>, including creating a program that is culturally tailored</w:t>
      </w:r>
      <w:r w:rsidR="00A2160D" w:rsidRPr="00820C89">
        <w:rPr>
          <w:rFonts w:asciiTheme="majorHAnsi" w:hAnsiTheme="majorHAnsi"/>
        </w:rPr>
        <w:t>, c</w:t>
      </w:r>
      <w:r w:rsidR="006B1567" w:rsidRPr="00820C89">
        <w:rPr>
          <w:rFonts w:asciiTheme="majorHAnsi" w:hAnsiTheme="majorHAnsi"/>
        </w:rPr>
        <w:t>onnected to</w:t>
      </w:r>
      <w:r w:rsidR="00A2160D" w:rsidRPr="00820C89">
        <w:rPr>
          <w:rFonts w:asciiTheme="majorHAnsi" w:hAnsiTheme="majorHAnsi"/>
        </w:rPr>
        <w:t xml:space="preserve"> local services and</w:t>
      </w:r>
      <w:r w:rsidR="00A53103" w:rsidRPr="00820C89">
        <w:rPr>
          <w:rFonts w:asciiTheme="majorHAnsi" w:hAnsiTheme="majorHAnsi"/>
        </w:rPr>
        <w:t xml:space="preserve"> </w:t>
      </w:r>
      <w:r w:rsidR="006B1567" w:rsidRPr="00820C89">
        <w:rPr>
          <w:rFonts w:asciiTheme="majorHAnsi" w:hAnsiTheme="majorHAnsi"/>
        </w:rPr>
        <w:t xml:space="preserve">employers, and through the establishment of a </w:t>
      </w:r>
      <w:r w:rsidR="005D7270" w:rsidRPr="00820C89">
        <w:rPr>
          <w:rFonts w:asciiTheme="majorHAnsi" w:hAnsiTheme="majorHAnsi"/>
        </w:rPr>
        <w:t xml:space="preserve">strong community reputation, has the ability to attract Indigenous jobseekers that may not have participated in other employment programs or services. </w:t>
      </w:r>
    </w:p>
    <w:p w14:paraId="0967FD0E" w14:textId="0D667661" w:rsidR="005D7270" w:rsidRPr="00820C89" w:rsidRDefault="00941462" w:rsidP="002D25B0">
      <w:pPr>
        <w:rPr>
          <w:rFonts w:asciiTheme="majorHAnsi" w:hAnsiTheme="majorHAnsi"/>
        </w:rPr>
      </w:pPr>
      <w:r w:rsidRPr="00820C89">
        <w:rPr>
          <w:rFonts w:asciiTheme="majorHAnsi" w:hAnsiTheme="majorHAnsi"/>
        </w:rPr>
        <w:t>Through a threshold level of participation</w:t>
      </w:r>
      <w:r w:rsidR="003D14FA" w:rsidRPr="00820C89">
        <w:rPr>
          <w:rFonts w:asciiTheme="majorHAnsi" w:hAnsiTheme="majorHAnsi"/>
        </w:rPr>
        <w:t xml:space="preserve"> within particular communities, and where the </w:t>
      </w:r>
      <w:r w:rsidR="00371C0C" w:rsidRPr="00820C89">
        <w:rPr>
          <w:rFonts w:asciiTheme="majorHAnsi" w:hAnsiTheme="majorHAnsi"/>
        </w:rPr>
        <w:t xml:space="preserve">IEP impacts are positive, there is potential for community impact to be much greater. As the </w:t>
      </w:r>
      <w:r w:rsidR="00E368D6" w:rsidRPr="00820C89">
        <w:rPr>
          <w:rFonts w:asciiTheme="majorHAnsi" w:hAnsiTheme="majorHAnsi"/>
        </w:rPr>
        <w:t xml:space="preserve">stakeholder observations testify, this is also expected to hold inter-generational benefits as </w:t>
      </w:r>
      <w:r w:rsidR="002428AF" w:rsidRPr="00820C89">
        <w:rPr>
          <w:rFonts w:asciiTheme="majorHAnsi" w:hAnsiTheme="majorHAnsi"/>
        </w:rPr>
        <w:t xml:space="preserve">increased exposure to positive Indigenous employment experiences increases trust </w:t>
      </w:r>
      <w:r w:rsidR="000D6B00" w:rsidRPr="00820C89">
        <w:rPr>
          <w:rFonts w:asciiTheme="majorHAnsi" w:hAnsiTheme="majorHAnsi"/>
        </w:rPr>
        <w:t xml:space="preserve">in </w:t>
      </w:r>
      <w:r w:rsidR="00C46259" w:rsidRPr="00820C89">
        <w:rPr>
          <w:rFonts w:asciiTheme="majorHAnsi" w:hAnsiTheme="majorHAnsi"/>
        </w:rPr>
        <w:t xml:space="preserve">and aspiration for employment </w:t>
      </w:r>
      <w:r w:rsidR="000D6B00" w:rsidRPr="00820C89">
        <w:rPr>
          <w:rFonts w:asciiTheme="majorHAnsi" w:hAnsiTheme="majorHAnsi"/>
        </w:rPr>
        <w:t xml:space="preserve">within communities. </w:t>
      </w:r>
      <w:r w:rsidR="00943E3F" w:rsidRPr="00820C89">
        <w:rPr>
          <w:rFonts w:asciiTheme="majorHAnsi" w:hAnsiTheme="majorHAnsi"/>
        </w:rPr>
        <w:t xml:space="preserve">These </w:t>
      </w:r>
      <w:r w:rsidR="00B8031B" w:rsidRPr="00820C89">
        <w:rPr>
          <w:rFonts w:asciiTheme="majorHAnsi" w:hAnsiTheme="majorHAnsi"/>
        </w:rPr>
        <w:t xml:space="preserve">future </w:t>
      </w:r>
      <w:r w:rsidR="00943E3F" w:rsidRPr="00820C89">
        <w:rPr>
          <w:rFonts w:asciiTheme="majorHAnsi" w:hAnsiTheme="majorHAnsi"/>
        </w:rPr>
        <w:t>inter-generational benefits</w:t>
      </w:r>
      <w:r w:rsidR="00612BD2" w:rsidRPr="00820C89">
        <w:rPr>
          <w:rFonts w:asciiTheme="majorHAnsi" w:hAnsiTheme="majorHAnsi"/>
        </w:rPr>
        <w:t xml:space="preserve"> </w:t>
      </w:r>
      <w:r w:rsidR="001F750D" w:rsidRPr="00820C89">
        <w:rPr>
          <w:rFonts w:asciiTheme="majorHAnsi" w:hAnsiTheme="majorHAnsi"/>
        </w:rPr>
        <w:t xml:space="preserve">can </w:t>
      </w:r>
      <w:r w:rsidR="005C350C" w:rsidRPr="00820C89">
        <w:rPr>
          <w:rFonts w:asciiTheme="majorHAnsi" w:hAnsiTheme="majorHAnsi"/>
        </w:rPr>
        <w:t xml:space="preserve">then </w:t>
      </w:r>
      <w:r w:rsidR="001F750D" w:rsidRPr="00820C89">
        <w:rPr>
          <w:rFonts w:asciiTheme="majorHAnsi" w:hAnsiTheme="majorHAnsi"/>
        </w:rPr>
        <w:t>work to</w:t>
      </w:r>
      <w:r w:rsidR="005C350C" w:rsidRPr="00820C89">
        <w:rPr>
          <w:rFonts w:asciiTheme="majorHAnsi" w:hAnsiTheme="majorHAnsi"/>
        </w:rPr>
        <w:t>wards</w:t>
      </w:r>
      <w:r w:rsidR="001F750D" w:rsidRPr="00820C89">
        <w:rPr>
          <w:rFonts w:asciiTheme="majorHAnsi" w:hAnsiTheme="majorHAnsi"/>
        </w:rPr>
        <w:t xml:space="preserve"> healing the past legacy of discrimination and segregation</w:t>
      </w:r>
      <w:r w:rsidR="005C350C" w:rsidRPr="00820C89">
        <w:rPr>
          <w:rFonts w:asciiTheme="majorHAnsi" w:hAnsiTheme="majorHAnsi"/>
        </w:rPr>
        <w:t>.</w:t>
      </w:r>
    </w:p>
    <w:p w14:paraId="7563B70F" w14:textId="77777777" w:rsidR="00FD7261" w:rsidRPr="00820C89" w:rsidRDefault="000D6B00" w:rsidP="002D25B0">
      <w:pPr>
        <w:rPr>
          <w:rFonts w:asciiTheme="majorHAnsi" w:hAnsiTheme="majorHAnsi"/>
        </w:rPr>
      </w:pPr>
      <w:r w:rsidRPr="00820C89">
        <w:rPr>
          <w:rFonts w:asciiTheme="majorHAnsi" w:hAnsiTheme="majorHAnsi"/>
        </w:rPr>
        <w:t xml:space="preserve">Realisation of the above potential, however, is dependent on </w:t>
      </w:r>
      <w:r w:rsidR="00687C76" w:rsidRPr="00820C89">
        <w:rPr>
          <w:rFonts w:asciiTheme="majorHAnsi" w:hAnsiTheme="majorHAnsi"/>
        </w:rPr>
        <w:t>positive</w:t>
      </w:r>
      <w:r w:rsidRPr="00820C89">
        <w:rPr>
          <w:rFonts w:asciiTheme="majorHAnsi" w:hAnsiTheme="majorHAnsi"/>
        </w:rPr>
        <w:t xml:space="preserve"> </w:t>
      </w:r>
      <w:r w:rsidR="005C5B5C" w:rsidRPr="00820C89">
        <w:rPr>
          <w:rFonts w:asciiTheme="majorHAnsi" w:hAnsiTheme="majorHAnsi"/>
        </w:rPr>
        <w:t>experiences of program participation and subsequent employment</w:t>
      </w:r>
      <w:r w:rsidR="003447CA" w:rsidRPr="00820C89">
        <w:rPr>
          <w:rFonts w:asciiTheme="majorHAnsi" w:hAnsiTheme="majorHAnsi"/>
        </w:rPr>
        <w:t xml:space="preserve"> – and as such, intrinsically linked to the quality of the program delivered</w:t>
      </w:r>
      <w:r w:rsidR="00687C76" w:rsidRPr="00820C89">
        <w:rPr>
          <w:rFonts w:asciiTheme="majorHAnsi" w:hAnsiTheme="majorHAnsi"/>
        </w:rPr>
        <w:t xml:space="preserve">. </w:t>
      </w:r>
      <w:r w:rsidR="00C60E3B" w:rsidRPr="00820C89">
        <w:rPr>
          <w:rFonts w:asciiTheme="majorHAnsi" w:hAnsiTheme="majorHAnsi"/>
        </w:rPr>
        <w:t>Not al</w:t>
      </w:r>
      <w:r w:rsidR="003B2C9D" w:rsidRPr="00820C89">
        <w:rPr>
          <w:rFonts w:asciiTheme="majorHAnsi" w:hAnsiTheme="majorHAnsi"/>
        </w:rPr>
        <w:t xml:space="preserve">l sub-programs </w:t>
      </w:r>
      <w:r w:rsidR="00C60E3B" w:rsidRPr="00820C89">
        <w:rPr>
          <w:rFonts w:asciiTheme="majorHAnsi" w:hAnsiTheme="majorHAnsi"/>
        </w:rPr>
        <w:t xml:space="preserve">are currently working closely with community to provide culturally centred and locally based </w:t>
      </w:r>
      <w:r w:rsidR="00521FD6" w:rsidRPr="00820C89">
        <w:rPr>
          <w:rFonts w:asciiTheme="majorHAnsi" w:hAnsiTheme="majorHAnsi"/>
        </w:rPr>
        <w:t>programs or</w:t>
      </w:r>
      <w:r w:rsidR="00FD7261" w:rsidRPr="00820C89">
        <w:rPr>
          <w:rFonts w:asciiTheme="majorHAnsi" w:hAnsiTheme="majorHAnsi"/>
        </w:rPr>
        <w:t xml:space="preserve"> observing such impacts.  </w:t>
      </w:r>
    </w:p>
    <w:p w14:paraId="0D72A467" w14:textId="77777777" w:rsidR="00FD7261" w:rsidRPr="00820C89" w:rsidRDefault="00C2006F" w:rsidP="000F1B03">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i/>
        </w:rPr>
      </w:pPr>
      <w:r w:rsidRPr="00820C89">
        <w:rPr>
          <w:rFonts w:asciiTheme="majorHAnsi" w:hAnsiTheme="majorHAnsi"/>
          <w:i/>
        </w:rPr>
        <w:t>“</w:t>
      </w:r>
      <w:r w:rsidR="00FD7261" w:rsidRPr="00820C89">
        <w:rPr>
          <w:rFonts w:asciiTheme="majorHAnsi" w:hAnsiTheme="majorHAnsi"/>
          <w:i/>
        </w:rPr>
        <w:t>Talking about community in general, not so much I suppose.  I can’t think of any offhand where we can sort of say, well, the whole community has turned around because we got this person a job.  I would love to be able to say that and I am sure</w:t>
      </w:r>
      <w:r w:rsidR="00C60E3B" w:rsidRPr="00820C89">
        <w:rPr>
          <w:rFonts w:asciiTheme="majorHAnsi" w:hAnsiTheme="majorHAnsi"/>
          <w:i/>
        </w:rPr>
        <w:t xml:space="preserve"> </w:t>
      </w:r>
      <w:r w:rsidR="003D6234" w:rsidRPr="00820C89">
        <w:rPr>
          <w:rFonts w:asciiTheme="majorHAnsi" w:hAnsiTheme="majorHAnsi"/>
          <w:i/>
        </w:rPr>
        <w:t xml:space="preserve">there </w:t>
      </w:r>
      <w:r w:rsidR="00FD7261" w:rsidRPr="00820C89">
        <w:rPr>
          <w:rFonts w:asciiTheme="majorHAnsi" w:hAnsiTheme="majorHAnsi"/>
          <w:i/>
        </w:rPr>
        <w:t>has been some impact, but yeah, not that I can identify off the top of my head</w:t>
      </w:r>
      <w:r w:rsidRPr="00820C89">
        <w:rPr>
          <w:rFonts w:asciiTheme="majorHAnsi" w:hAnsiTheme="majorHAnsi"/>
          <w:i/>
        </w:rPr>
        <w:t>.”</w:t>
      </w:r>
      <w:r w:rsidR="00FD7261" w:rsidRPr="00820C89">
        <w:rPr>
          <w:rFonts w:asciiTheme="majorHAnsi" w:hAnsiTheme="majorHAnsi"/>
          <w:i/>
        </w:rPr>
        <w:t xml:space="preserve"> (VTEC</w:t>
      </w:r>
      <w:r w:rsidR="000F1B03" w:rsidRPr="00820C89">
        <w:rPr>
          <w:rFonts w:asciiTheme="majorHAnsi" w:hAnsiTheme="majorHAnsi"/>
          <w:i/>
        </w:rPr>
        <w:t xml:space="preserve"> provider</w:t>
      </w:r>
      <w:r w:rsidR="00FD7261" w:rsidRPr="00820C89">
        <w:rPr>
          <w:rFonts w:asciiTheme="majorHAnsi" w:hAnsiTheme="majorHAnsi"/>
          <w:i/>
        </w:rPr>
        <w:t xml:space="preserve">) </w:t>
      </w:r>
    </w:p>
    <w:p w14:paraId="0219B0E7" w14:textId="77777777" w:rsidR="000F1B03" w:rsidRPr="00820C89" w:rsidRDefault="00F156F9" w:rsidP="002076DA">
      <w:pPr>
        <w:pStyle w:val="Heading3"/>
        <w:rPr>
          <w:rFonts w:asciiTheme="majorHAnsi" w:hAnsiTheme="majorHAnsi"/>
        </w:rPr>
      </w:pPr>
      <w:r w:rsidRPr="00820C89">
        <w:rPr>
          <w:rFonts w:asciiTheme="majorHAnsi" w:hAnsiTheme="majorHAnsi"/>
        </w:rPr>
        <w:t>Challenging this impact assessment through an Indigenous lens</w:t>
      </w:r>
    </w:p>
    <w:p w14:paraId="2EA44B36" w14:textId="77777777" w:rsidR="003A157B" w:rsidRPr="00820C89" w:rsidRDefault="00CD1F18" w:rsidP="003A157B">
      <w:pPr>
        <w:rPr>
          <w:rFonts w:asciiTheme="majorHAnsi" w:hAnsiTheme="majorHAnsi"/>
        </w:rPr>
      </w:pPr>
      <w:r w:rsidRPr="00820C89">
        <w:rPr>
          <w:rFonts w:asciiTheme="majorHAnsi" w:hAnsiTheme="majorHAnsi"/>
        </w:rPr>
        <w:t>Within traditional</w:t>
      </w:r>
      <w:r w:rsidR="003A157B" w:rsidRPr="00820C89">
        <w:rPr>
          <w:rFonts w:asciiTheme="majorHAnsi" w:hAnsiTheme="majorHAnsi"/>
        </w:rPr>
        <w:t xml:space="preserve"> Indigenous </w:t>
      </w:r>
      <w:r w:rsidRPr="00820C89">
        <w:rPr>
          <w:rFonts w:asciiTheme="majorHAnsi" w:hAnsiTheme="majorHAnsi"/>
        </w:rPr>
        <w:t>knowledge frameworks</w:t>
      </w:r>
      <w:r w:rsidR="003A157B" w:rsidRPr="00820C89">
        <w:rPr>
          <w:rFonts w:asciiTheme="majorHAnsi" w:hAnsiTheme="majorHAnsi"/>
        </w:rPr>
        <w:t xml:space="preserve">, the concept of sustained and meaningful employment </w:t>
      </w:r>
      <w:r w:rsidR="005E12CC" w:rsidRPr="00820C89">
        <w:rPr>
          <w:rFonts w:asciiTheme="majorHAnsi" w:hAnsiTheme="majorHAnsi"/>
        </w:rPr>
        <w:t xml:space="preserve">cannot be </w:t>
      </w:r>
      <w:r w:rsidRPr="00820C89">
        <w:rPr>
          <w:rFonts w:asciiTheme="majorHAnsi" w:hAnsiTheme="majorHAnsi"/>
        </w:rPr>
        <w:t>disentangled</w:t>
      </w:r>
      <w:r w:rsidR="005E12CC" w:rsidRPr="00820C89">
        <w:rPr>
          <w:rFonts w:asciiTheme="majorHAnsi" w:hAnsiTheme="majorHAnsi"/>
        </w:rPr>
        <w:t xml:space="preserve"> from</w:t>
      </w:r>
      <w:r w:rsidR="003A157B" w:rsidRPr="00820C89">
        <w:rPr>
          <w:rFonts w:asciiTheme="majorHAnsi" w:hAnsiTheme="majorHAnsi"/>
        </w:rPr>
        <w:t xml:space="preserve"> community </w:t>
      </w:r>
      <w:r w:rsidR="00076259" w:rsidRPr="00820C89">
        <w:rPr>
          <w:rFonts w:asciiTheme="majorHAnsi" w:hAnsiTheme="majorHAnsi"/>
        </w:rPr>
        <w:t>outcomes</w:t>
      </w:r>
      <w:r w:rsidR="002824E3" w:rsidRPr="00820C89">
        <w:rPr>
          <w:rFonts w:asciiTheme="majorHAnsi" w:hAnsiTheme="majorHAnsi"/>
        </w:rPr>
        <w:t xml:space="preserve">. </w:t>
      </w:r>
      <w:r w:rsidR="009053FC" w:rsidRPr="00820C89">
        <w:rPr>
          <w:rFonts w:asciiTheme="majorHAnsi" w:hAnsiTheme="majorHAnsi"/>
        </w:rPr>
        <w:t>The literature review found that</w:t>
      </w:r>
      <w:r w:rsidR="00D04E6A" w:rsidRPr="00820C89">
        <w:rPr>
          <w:rFonts w:asciiTheme="majorHAnsi" w:hAnsiTheme="majorHAnsi"/>
        </w:rPr>
        <w:t xml:space="preserve"> programs that allow for Indigenous engagement and self-determination at the local level are community-focused, holistic and tailored to local contexts</w:t>
      </w:r>
      <w:r w:rsidR="003359BA" w:rsidRPr="00820C89">
        <w:rPr>
          <w:rFonts w:asciiTheme="majorHAnsi" w:hAnsiTheme="majorHAnsi"/>
        </w:rPr>
        <w:t>. This</w:t>
      </w:r>
      <w:r w:rsidR="00D04E6A" w:rsidRPr="00820C89">
        <w:rPr>
          <w:rFonts w:asciiTheme="majorHAnsi" w:hAnsiTheme="majorHAnsi"/>
        </w:rPr>
        <w:t xml:space="preserve"> ensure</w:t>
      </w:r>
      <w:r w:rsidR="003359BA" w:rsidRPr="00820C89">
        <w:rPr>
          <w:rFonts w:asciiTheme="majorHAnsi" w:hAnsiTheme="majorHAnsi"/>
        </w:rPr>
        <w:t>s</w:t>
      </w:r>
      <w:r w:rsidR="00D04E6A" w:rsidRPr="00820C89">
        <w:rPr>
          <w:rFonts w:asciiTheme="majorHAnsi" w:hAnsiTheme="majorHAnsi"/>
        </w:rPr>
        <w:t xml:space="preserve"> that the diversity of each community is captured and </w:t>
      </w:r>
      <w:r w:rsidR="003359BA" w:rsidRPr="00820C89">
        <w:rPr>
          <w:rFonts w:asciiTheme="majorHAnsi" w:hAnsiTheme="majorHAnsi"/>
        </w:rPr>
        <w:t>supports</w:t>
      </w:r>
      <w:r w:rsidR="00D04E6A" w:rsidRPr="00820C89">
        <w:rPr>
          <w:rFonts w:asciiTheme="majorHAnsi" w:hAnsiTheme="majorHAnsi"/>
        </w:rPr>
        <w:t xml:space="preserve"> relevance, acceptance and appropriateness, which can, in turn, heighten participant buy-in and enhance long-term employment outcomes.</w:t>
      </w:r>
      <w:r w:rsidR="002824E3" w:rsidRPr="00820C89">
        <w:rPr>
          <w:rFonts w:asciiTheme="majorHAnsi" w:hAnsiTheme="majorHAnsi"/>
        </w:rPr>
        <w:t xml:space="preserve"> </w:t>
      </w:r>
    </w:p>
    <w:p w14:paraId="6FE6206C" w14:textId="77777777" w:rsidR="00F1224F" w:rsidRPr="00820C89" w:rsidRDefault="009053FC" w:rsidP="003A157B">
      <w:pPr>
        <w:rPr>
          <w:rFonts w:asciiTheme="majorHAnsi" w:hAnsiTheme="majorHAnsi"/>
        </w:rPr>
      </w:pPr>
      <w:r w:rsidRPr="00820C89">
        <w:rPr>
          <w:rFonts w:asciiTheme="majorHAnsi" w:hAnsiTheme="majorHAnsi"/>
        </w:rPr>
        <w:t xml:space="preserve">Extending beyond this, </w:t>
      </w:r>
      <w:r w:rsidR="00D5714C" w:rsidRPr="00820C89">
        <w:rPr>
          <w:rFonts w:asciiTheme="majorHAnsi" w:hAnsiTheme="majorHAnsi"/>
        </w:rPr>
        <w:t xml:space="preserve">and linking to the discussion in Section </w:t>
      </w:r>
      <w:r w:rsidR="003051E3" w:rsidRPr="00820C89">
        <w:rPr>
          <w:rFonts w:asciiTheme="majorHAnsi" w:hAnsiTheme="majorHAnsi"/>
        </w:rPr>
        <w:t>4.4.2, it follows the employment opportunities that are locally d</w:t>
      </w:r>
      <w:r w:rsidR="00B04713" w:rsidRPr="00820C89">
        <w:rPr>
          <w:rFonts w:asciiTheme="majorHAnsi" w:hAnsiTheme="majorHAnsi"/>
        </w:rPr>
        <w:t xml:space="preserve">elivered, self-determined, culturally </w:t>
      </w:r>
      <w:r w:rsidR="0026708E" w:rsidRPr="00820C89">
        <w:rPr>
          <w:rFonts w:asciiTheme="majorHAnsi" w:hAnsiTheme="majorHAnsi"/>
        </w:rPr>
        <w:t>meaningful</w:t>
      </w:r>
      <w:r w:rsidR="00B04713" w:rsidRPr="00820C89">
        <w:rPr>
          <w:rFonts w:asciiTheme="majorHAnsi" w:hAnsiTheme="majorHAnsi"/>
        </w:rPr>
        <w:t xml:space="preserve"> and </w:t>
      </w:r>
      <w:r w:rsidR="0026708E" w:rsidRPr="00820C89">
        <w:rPr>
          <w:rFonts w:asciiTheme="majorHAnsi" w:hAnsiTheme="majorHAnsi"/>
        </w:rPr>
        <w:t xml:space="preserve">connected to community will </w:t>
      </w:r>
      <w:r w:rsidR="00C55C45" w:rsidRPr="00820C89">
        <w:rPr>
          <w:rFonts w:asciiTheme="majorHAnsi" w:hAnsiTheme="majorHAnsi"/>
        </w:rPr>
        <w:t xml:space="preserve">hold greater impact than those embedded within Western employment models or that require Indigenous jobseekers </w:t>
      </w:r>
      <w:r w:rsidR="0085100B" w:rsidRPr="00820C89">
        <w:rPr>
          <w:rFonts w:asciiTheme="majorHAnsi" w:hAnsiTheme="majorHAnsi"/>
        </w:rPr>
        <w:t>work away from Country</w:t>
      </w:r>
      <w:r w:rsidR="00705D94" w:rsidRPr="00820C89">
        <w:rPr>
          <w:rFonts w:asciiTheme="majorHAnsi" w:hAnsiTheme="majorHAnsi"/>
        </w:rPr>
        <w:t>.</w:t>
      </w:r>
      <w:r w:rsidR="00783D7F" w:rsidRPr="00820C89">
        <w:rPr>
          <w:rFonts w:asciiTheme="majorHAnsi" w:hAnsiTheme="majorHAnsi"/>
        </w:rPr>
        <w:t xml:space="preserve"> </w:t>
      </w:r>
    </w:p>
    <w:p w14:paraId="6A76BCDA" w14:textId="77777777" w:rsidR="00705D94" w:rsidRPr="00820C89" w:rsidRDefault="00783D7F" w:rsidP="003A157B">
      <w:pPr>
        <w:rPr>
          <w:rFonts w:asciiTheme="majorHAnsi" w:hAnsiTheme="majorHAnsi"/>
        </w:rPr>
      </w:pPr>
      <w:r w:rsidRPr="00820C89">
        <w:rPr>
          <w:rFonts w:asciiTheme="majorHAnsi" w:hAnsiTheme="majorHAnsi"/>
        </w:rPr>
        <w:t xml:space="preserve">For instance, one VTEC provider noted that they focused </w:t>
      </w:r>
      <w:r w:rsidR="009F36D2" w:rsidRPr="00820C89">
        <w:rPr>
          <w:rFonts w:asciiTheme="majorHAnsi" w:hAnsiTheme="majorHAnsi"/>
        </w:rPr>
        <w:t xml:space="preserve">on ensuring that </w:t>
      </w:r>
      <w:r w:rsidR="00E81729" w:rsidRPr="00820C89">
        <w:rPr>
          <w:rFonts w:asciiTheme="majorHAnsi" w:hAnsiTheme="majorHAnsi"/>
        </w:rPr>
        <w:t xml:space="preserve">jobseekers in remote communities were able to </w:t>
      </w:r>
      <w:r w:rsidR="00B73A50" w:rsidRPr="00820C89">
        <w:rPr>
          <w:rFonts w:asciiTheme="majorHAnsi" w:hAnsiTheme="majorHAnsi"/>
        </w:rPr>
        <w:t xml:space="preserve">stay on </w:t>
      </w:r>
      <w:r w:rsidR="00D35C6D" w:rsidRPr="00820C89">
        <w:rPr>
          <w:rFonts w:asciiTheme="majorHAnsi" w:hAnsiTheme="majorHAnsi"/>
        </w:rPr>
        <w:t>C</w:t>
      </w:r>
      <w:r w:rsidR="00B73A50" w:rsidRPr="00820C89">
        <w:rPr>
          <w:rFonts w:asciiTheme="majorHAnsi" w:hAnsiTheme="majorHAnsi"/>
        </w:rPr>
        <w:t xml:space="preserve">ountry </w:t>
      </w:r>
      <w:r w:rsidR="00AF2DFD" w:rsidRPr="00820C89">
        <w:rPr>
          <w:rFonts w:asciiTheme="majorHAnsi" w:hAnsiTheme="majorHAnsi"/>
        </w:rPr>
        <w:t>if they wished to remain in and give back to their community.</w:t>
      </w:r>
      <w:r w:rsidR="00EB137C" w:rsidRPr="00820C89">
        <w:rPr>
          <w:rFonts w:asciiTheme="majorHAnsi" w:hAnsiTheme="majorHAnsi"/>
        </w:rPr>
        <w:t xml:space="preserve"> Th</w:t>
      </w:r>
      <w:r w:rsidR="00E25146" w:rsidRPr="00820C89">
        <w:rPr>
          <w:rFonts w:asciiTheme="majorHAnsi" w:hAnsiTheme="majorHAnsi"/>
        </w:rPr>
        <w:t xml:space="preserve">is provider </w:t>
      </w:r>
      <w:r w:rsidR="00C65B29" w:rsidRPr="00820C89">
        <w:rPr>
          <w:rFonts w:asciiTheme="majorHAnsi" w:hAnsiTheme="majorHAnsi"/>
        </w:rPr>
        <w:t xml:space="preserve">utilised </w:t>
      </w:r>
      <w:r w:rsidR="00E25146" w:rsidRPr="00820C89">
        <w:rPr>
          <w:rFonts w:asciiTheme="majorHAnsi" w:hAnsiTheme="majorHAnsi"/>
        </w:rPr>
        <w:t>trained and hired a number of case managers</w:t>
      </w:r>
      <w:r w:rsidR="00C65B29" w:rsidRPr="00820C89">
        <w:rPr>
          <w:rFonts w:asciiTheme="majorHAnsi" w:hAnsiTheme="majorHAnsi"/>
        </w:rPr>
        <w:t xml:space="preserve"> </w:t>
      </w:r>
      <w:r w:rsidR="00033731" w:rsidRPr="00820C89">
        <w:rPr>
          <w:rFonts w:asciiTheme="majorHAnsi" w:hAnsiTheme="majorHAnsi"/>
        </w:rPr>
        <w:t xml:space="preserve">to work in their own </w:t>
      </w:r>
      <w:r w:rsidR="00033731" w:rsidRPr="00820C89">
        <w:rPr>
          <w:rFonts w:asciiTheme="majorHAnsi" w:hAnsiTheme="majorHAnsi"/>
        </w:rPr>
        <w:lastRenderedPageBreak/>
        <w:t>remote communities</w:t>
      </w:r>
      <w:r w:rsidR="0055450D" w:rsidRPr="00820C89">
        <w:rPr>
          <w:rFonts w:asciiTheme="majorHAnsi" w:hAnsiTheme="majorHAnsi"/>
        </w:rPr>
        <w:t xml:space="preserve"> </w:t>
      </w:r>
      <w:r w:rsidR="00C164EC" w:rsidRPr="00820C89">
        <w:rPr>
          <w:rFonts w:asciiTheme="majorHAnsi" w:hAnsiTheme="majorHAnsi"/>
        </w:rPr>
        <w:t xml:space="preserve">to </w:t>
      </w:r>
      <w:r w:rsidR="004A71EB" w:rsidRPr="00820C89">
        <w:rPr>
          <w:rFonts w:asciiTheme="majorHAnsi" w:hAnsiTheme="majorHAnsi"/>
        </w:rPr>
        <w:t xml:space="preserve">avoid </w:t>
      </w:r>
      <w:r w:rsidR="002A7AA8" w:rsidRPr="00820C89">
        <w:rPr>
          <w:rFonts w:asciiTheme="majorHAnsi" w:hAnsiTheme="majorHAnsi"/>
        </w:rPr>
        <w:t>continuing to employ</w:t>
      </w:r>
      <w:r w:rsidR="004A71EB" w:rsidRPr="00820C89">
        <w:rPr>
          <w:rFonts w:asciiTheme="majorHAnsi" w:hAnsiTheme="majorHAnsi"/>
        </w:rPr>
        <w:t xml:space="preserve"> ‘drive in and drive out’ workers and instead train</w:t>
      </w:r>
      <w:r w:rsidR="00E25973" w:rsidRPr="00820C89">
        <w:rPr>
          <w:rFonts w:asciiTheme="majorHAnsi" w:hAnsiTheme="majorHAnsi"/>
        </w:rPr>
        <w:t xml:space="preserve"> and employ Indigenous people to support </w:t>
      </w:r>
      <w:r w:rsidR="00053D30" w:rsidRPr="00820C89">
        <w:rPr>
          <w:rFonts w:asciiTheme="majorHAnsi" w:hAnsiTheme="majorHAnsi"/>
        </w:rPr>
        <w:t>others</w:t>
      </w:r>
      <w:r w:rsidR="00E25973" w:rsidRPr="00820C89">
        <w:rPr>
          <w:rFonts w:asciiTheme="majorHAnsi" w:hAnsiTheme="majorHAnsi"/>
        </w:rPr>
        <w:t xml:space="preserve">. </w:t>
      </w:r>
      <w:r w:rsidR="00BD1983" w:rsidRPr="00820C89">
        <w:rPr>
          <w:rFonts w:asciiTheme="majorHAnsi" w:hAnsiTheme="majorHAnsi"/>
        </w:rPr>
        <w:t>For this provide</w:t>
      </w:r>
      <w:r w:rsidR="0052713F" w:rsidRPr="00820C89">
        <w:rPr>
          <w:rFonts w:asciiTheme="majorHAnsi" w:hAnsiTheme="majorHAnsi"/>
        </w:rPr>
        <w:t>r,</w:t>
      </w:r>
      <w:r w:rsidR="00736DF4" w:rsidRPr="00820C89">
        <w:rPr>
          <w:rFonts w:asciiTheme="majorHAnsi" w:hAnsiTheme="majorHAnsi"/>
        </w:rPr>
        <w:t xml:space="preserve"> this was a deliberate community-led approach which </w:t>
      </w:r>
      <w:r w:rsidR="00E32A7D" w:rsidRPr="00820C89">
        <w:rPr>
          <w:rFonts w:asciiTheme="majorHAnsi" w:hAnsiTheme="majorHAnsi"/>
        </w:rPr>
        <w:t>centred on ensuring Indigenous jobseekers could remain within their community</w:t>
      </w:r>
      <w:r w:rsidR="00641844" w:rsidRPr="00820C89">
        <w:rPr>
          <w:rFonts w:asciiTheme="majorHAnsi" w:hAnsiTheme="majorHAnsi"/>
        </w:rPr>
        <w:t>.</w:t>
      </w:r>
    </w:p>
    <w:p w14:paraId="6837ED81" w14:textId="77777777" w:rsidR="00516E87" w:rsidRPr="00820C89" w:rsidRDefault="00516E87" w:rsidP="00516E87">
      <w:pPr>
        <w:rPr>
          <w:rFonts w:asciiTheme="majorHAnsi" w:hAnsiTheme="majorHAnsi"/>
        </w:rPr>
      </w:pPr>
      <w:r w:rsidRPr="00820C89">
        <w:rPr>
          <w:rFonts w:asciiTheme="majorHAnsi" w:hAnsiTheme="majorHAnsi"/>
        </w:rPr>
        <w:t xml:space="preserve">One EPI employer observed that the success of their employment program in recruiting strong Indigenous candidates from particular communities to work on-site had the unintended consequence of draining </w:t>
      </w:r>
      <w:r w:rsidR="001E037B" w:rsidRPr="00820C89">
        <w:rPr>
          <w:rFonts w:asciiTheme="majorHAnsi" w:hAnsiTheme="majorHAnsi"/>
        </w:rPr>
        <w:t>these communities</w:t>
      </w:r>
      <w:r w:rsidRPr="00820C89">
        <w:rPr>
          <w:rFonts w:asciiTheme="majorHAnsi" w:hAnsiTheme="majorHAnsi"/>
        </w:rPr>
        <w:t xml:space="preserve"> of social capital. This employer was considering program extensions that saw community leaders supported to return home and invest back in their community. </w:t>
      </w:r>
    </w:p>
    <w:p w14:paraId="449F66CC" w14:textId="77777777" w:rsidR="003359BA" w:rsidRPr="00820C89" w:rsidRDefault="00C55C45" w:rsidP="003A157B">
      <w:pPr>
        <w:rPr>
          <w:rFonts w:asciiTheme="majorHAnsi" w:hAnsiTheme="majorHAnsi"/>
        </w:rPr>
      </w:pPr>
      <w:r w:rsidRPr="00820C89">
        <w:rPr>
          <w:rFonts w:asciiTheme="majorHAnsi" w:hAnsiTheme="majorHAnsi"/>
        </w:rPr>
        <w:t xml:space="preserve">Given </w:t>
      </w:r>
      <w:r w:rsidR="003B2C9D" w:rsidRPr="00820C89">
        <w:rPr>
          <w:rFonts w:asciiTheme="majorHAnsi" w:hAnsiTheme="majorHAnsi"/>
        </w:rPr>
        <w:t>the IEP is</w:t>
      </w:r>
      <w:r w:rsidRPr="00820C89">
        <w:rPr>
          <w:rFonts w:asciiTheme="majorHAnsi" w:hAnsiTheme="majorHAnsi"/>
        </w:rPr>
        <w:t xml:space="preserve"> primarily focussed on jobseekers or large corporate employers, rather than local Indigenous business stimulation, there is </w:t>
      </w:r>
      <w:r w:rsidR="00F71995" w:rsidRPr="00820C89">
        <w:rPr>
          <w:rFonts w:asciiTheme="majorHAnsi" w:hAnsiTheme="majorHAnsi"/>
        </w:rPr>
        <w:t xml:space="preserve">a risk that while TAEGs and VTECs may deliver culturally centred programs within community, the </w:t>
      </w:r>
      <w:r w:rsidR="006668B8" w:rsidRPr="00820C89">
        <w:rPr>
          <w:rFonts w:asciiTheme="majorHAnsi" w:hAnsiTheme="majorHAnsi"/>
        </w:rPr>
        <w:t xml:space="preserve">follow-on link to an appropriate employment opportunity is not </w:t>
      </w:r>
      <w:r w:rsidR="00F406A8" w:rsidRPr="00820C89">
        <w:rPr>
          <w:rFonts w:asciiTheme="majorHAnsi" w:hAnsiTheme="majorHAnsi"/>
        </w:rPr>
        <w:t>consistently available locally</w:t>
      </w:r>
      <w:r w:rsidR="006668B8" w:rsidRPr="00820C89">
        <w:rPr>
          <w:rFonts w:asciiTheme="majorHAnsi" w:hAnsiTheme="majorHAnsi"/>
        </w:rPr>
        <w:t>.</w:t>
      </w:r>
    </w:p>
    <w:p w14:paraId="32378065" w14:textId="6F613EDE" w:rsidR="00E22A38" w:rsidRPr="00820C89" w:rsidRDefault="001F2A4E" w:rsidP="0041777D">
      <w:pPr>
        <w:pStyle w:val="Heading2"/>
        <w:spacing w:after="60"/>
        <w:rPr>
          <w:rFonts w:eastAsiaTheme="minorHAnsi" w:cstheme="minorBidi"/>
          <w:b w:val="0"/>
          <w:color w:val="auto"/>
          <w:sz w:val="18"/>
          <w:szCs w:val="18"/>
        </w:rPr>
      </w:pPr>
      <w:bookmarkStart w:id="177" w:name="_Toc57022899"/>
      <w:bookmarkStart w:id="178" w:name="_Toc82710790"/>
      <w:bookmarkStart w:id="179" w:name="_Toc101343309"/>
      <w:r w:rsidRPr="00820C89">
        <w:rPr>
          <w:rFonts w:asciiTheme="majorHAnsi" w:hAnsiTheme="majorHAnsi"/>
        </w:rPr>
        <w:t>Societal impact</w:t>
      </w:r>
      <w:bookmarkEnd w:id="177"/>
      <w:bookmarkEnd w:id="178"/>
      <w:bookmarkEnd w:id="179"/>
    </w:p>
    <w:p w14:paraId="7F1E16BA" w14:textId="77777777" w:rsidR="006A04F6" w:rsidRPr="00BC7EC7" w:rsidRDefault="006A04F6" w:rsidP="0041777D">
      <w:p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spacing w:after="60"/>
        <w:rPr>
          <w:b/>
          <w:bCs/>
          <w:i/>
          <w:iCs/>
          <w:color w:val="62B5E5" w:themeColor="accent3"/>
        </w:rPr>
      </w:pPr>
      <w:r>
        <w:rPr>
          <w:b/>
          <w:bCs/>
          <w:i/>
          <w:iCs/>
          <w:color w:val="62B5E5" w:themeColor="accent3"/>
        </w:rPr>
        <w:t>Key finding</w:t>
      </w:r>
    </w:p>
    <w:p w14:paraId="32C5374E" w14:textId="7FAB9A35" w:rsidR="006A04F6" w:rsidRPr="006A04F6" w:rsidRDefault="006A04F6" w:rsidP="00715F70">
      <w:pPr>
        <w:pStyle w:val="ListParagraph"/>
        <w:numPr>
          <w:ilvl w:val="0"/>
          <w:numId w:val="92"/>
        </w:numPr>
        <w:pBdr>
          <w:top w:val="single" w:sz="24" w:space="1" w:color="62B5E5" w:themeColor="accent3"/>
          <w:left w:val="single" w:sz="24" w:space="4" w:color="62B5E5" w:themeColor="accent3"/>
          <w:bottom w:val="single" w:sz="24" w:space="1" w:color="62B5E5" w:themeColor="accent3"/>
          <w:right w:val="single" w:sz="24" w:space="4" w:color="62B5E5" w:themeColor="accent3"/>
        </w:pBdr>
        <w:shd w:val="clear" w:color="auto" w:fill="FFFFFF" w:themeFill="background1"/>
        <w:rPr>
          <w:b/>
          <w:bCs/>
          <w:i/>
          <w:iCs/>
          <w:color w:val="62B5E5" w:themeColor="accent3"/>
        </w:rPr>
      </w:pPr>
      <w:r>
        <w:rPr>
          <w:b/>
          <w:bCs/>
          <w:i/>
          <w:iCs/>
          <w:color w:val="62B5E5" w:themeColor="accent3"/>
        </w:rPr>
        <w:t>The IEP has the capacity to have a positive societal impact by reducing welfare expenditure and helping overcome the structural inequities that Indigenous Australians face.</w:t>
      </w:r>
    </w:p>
    <w:p w14:paraId="164565D4" w14:textId="6DF3886A" w:rsidR="00B260F2" w:rsidRPr="00820C89" w:rsidRDefault="004C3AA3" w:rsidP="00E5535E">
      <w:pPr>
        <w:rPr>
          <w:rFonts w:asciiTheme="majorHAnsi" w:hAnsiTheme="majorHAnsi"/>
        </w:rPr>
      </w:pPr>
      <w:r w:rsidRPr="00820C89">
        <w:rPr>
          <w:rFonts w:asciiTheme="majorHAnsi" w:hAnsiTheme="majorHAnsi"/>
        </w:rPr>
        <w:t xml:space="preserve">As identified in the preceding sections, the collective impact of the </w:t>
      </w:r>
      <w:r w:rsidR="003B2C9D" w:rsidRPr="00820C89">
        <w:rPr>
          <w:rFonts w:asciiTheme="majorHAnsi" w:hAnsiTheme="majorHAnsi"/>
        </w:rPr>
        <w:t>sub-programs are</w:t>
      </w:r>
      <w:r w:rsidRPr="00820C89">
        <w:rPr>
          <w:rFonts w:asciiTheme="majorHAnsi" w:hAnsiTheme="majorHAnsi"/>
        </w:rPr>
        <w:t xml:space="preserve"> associated with </w:t>
      </w:r>
      <w:r w:rsidR="00EA4E14" w:rsidRPr="00820C89">
        <w:rPr>
          <w:rFonts w:asciiTheme="majorHAnsi" w:hAnsiTheme="majorHAnsi"/>
        </w:rPr>
        <w:t xml:space="preserve">a range of economic, health, social and cultural benefits that flow onto broader Australian society. </w:t>
      </w:r>
    </w:p>
    <w:p w14:paraId="7F604643" w14:textId="77777777" w:rsidR="00E5535E" w:rsidRPr="00820C89" w:rsidRDefault="00EA4E14" w:rsidP="00E5535E">
      <w:pPr>
        <w:rPr>
          <w:rFonts w:asciiTheme="majorHAnsi" w:hAnsiTheme="majorHAnsi"/>
        </w:rPr>
      </w:pPr>
      <w:r w:rsidRPr="00820C89">
        <w:rPr>
          <w:rFonts w:asciiTheme="majorHAnsi" w:hAnsiTheme="majorHAnsi"/>
        </w:rPr>
        <w:t xml:space="preserve">At a basic level, the fiscal impact of </w:t>
      </w:r>
      <w:r w:rsidR="00C12337" w:rsidRPr="00820C89">
        <w:rPr>
          <w:rFonts w:asciiTheme="majorHAnsi" w:hAnsiTheme="majorHAnsi"/>
        </w:rPr>
        <w:t>the IEP</w:t>
      </w:r>
      <w:r w:rsidRPr="00820C89">
        <w:rPr>
          <w:rFonts w:asciiTheme="majorHAnsi" w:hAnsiTheme="majorHAnsi"/>
        </w:rPr>
        <w:t xml:space="preserve"> for society is determined by an assessment of the costs of program delivery (funded by tax-payers) in comparison to </w:t>
      </w:r>
      <w:r w:rsidR="00A4333D" w:rsidRPr="00820C89">
        <w:rPr>
          <w:rFonts w:asciiTheme="majorHAnsi" w:hAnsiTheme="majorHAnsi"/>
        </w:rPr>
        <w:t xml:space="preserve">government </w:t>
      </w:r>
      <w:r w:rsidR="00BE6BB7" w:rsidRPr="00820C89">
        <w:rPr>
          <w:rFonts w:asciiTheme="majorHAnsi" w:hAnsiTheme="majorHAnsi"/>
        </w:rPr>
        <w:t xml:space="preserve">expenditure avoided (driven by reduced welfare costs, health costs and crime costs associated with increased employment) and government revenue gained (through increased taxation). </w:t>
      </w:r>
    </w:p>
    <w:p w14:paraId="2B7466C9" w14:textId="77777777" w:rsidR="00EA4E14" w:rsidRPr="00820C89" w:rsidRDefault="00914650" w:rsidP="00E5535E">
      <w:pPr>
        <w:rPr>
          <w:rFonts w:asciiTheme="majorHAnsi" w:hAnsiTheme="majorHAnsi"/>
        </w:rPr>
      </w:pPr>
      <w:r w:rsidRPr="00820C89">
        <w:rPr>
          <w:rFonts w:asciiTheme="majorHAnsi" w:hAnsiTheme="majorHAnsi"/>
        </w:rPr>
        <w:t xml:space="preserve">More broadly, however, against the historical backdrop of </w:t>
      </w:r>
      <w:r w:rsidR="002E5897" w:rsidRPr="00820C89">
        <w:rPr>
          <w:rFonts w:asciiTheme="majorHAnsi" w:hAnsiTheme="majorHAnsi"/>
        </w:rPr>
        <w:t xml:space="preserve">colonialism and entrenched </w:t>
      </w:r>
      <w:r w:rsidR="00BD72F5" w:rsidRPr="00820C89">
        <w:rPr>
          <w:rFonts w:asciiTheme="majorHAnsi" w:hAnsiTheme="majorHAnsi"/>
        </w:rPr>
        <w:t xml:space="preserve">inequity </w:t>
      </w:r>
      <w:r w:rsidR="002E5897" w:rsidRPr="00820C89">
        <w:rPr>
          <w:rFonts w:asciiTheme="majorHAnsi" w:hAnsiTheme="majorHAnsi"/>
        </w:rPr>
        <w:t xml:space="preserve">between Indigenous and non-Indigenous Australians, the potential social impact associated with progress towards parity in opportunity in employment and </w:t>
      </w:r>
      <w:r w:rsidR="0074218A" w:rsidRPr="00820C89">
        <w:rPr>
          <w:rFonts w:asciiTheme="majorHAnsi" w:hAnsiTheme="majorHAnsi"/>
        </w:rPr>
        <w:t xml:space="preserve">its associated impacts is large. </w:t>
      </w:r>
    </w:p>
    <w:p w14:paraId="2B97FCF8" w14:textId="77777777" w:rsidR="00EA4E14" w:rsidRPr="00820C89" w:rsidRDefault="0074218A" w:rsidP="00E5535E">
      <w:pPr>
        <w:rPr>
          <w:rFonts w:asciiTheme="majorHAnsi" w:hAnsiTheme="majorHAnsi"/>
        </w:rPr>
      </w:pPr>
      <w:r w:rsidRPr="00820C89">
        <w:rPr>
          <w:rFonts w:asciiTheme="majorHAnsi" w:hAnsiTheme="majorHAnsi"/>
        </w:rPr>
        <w:t xml:space="preserve">The evaluation has heard of the power of education and employment, when realised in line with individual, community and cultural aspirations, to transform not only the lives of jobseekers but also families and communities. To the extent that </w:t>
      </w:r>
      <w:r w:rsidR="00C12337" w:rsidRPr="00820C89">
        <w:rPr>
          <w:rFonts w:asciiTheme="majorHAnsi" w:hAnsiTheme="majorHAnsi"/>
        </w:rPr>
        <w:t>sub-programs</w:t>
      </w:r>
      <w:r w:rsidRPr="00820C89">
        <w:rPr>
          <w:rFonts w:asciiTheme="majorHAnsi" w:hAnsiTheme="majorHAnsi"/>
        </w:rPr>
        <w:t xml:space="preserve"> support this </w:t>
      </w:r>
      <w:r w:rsidR="00FB46FF" w:rsidRPr="00820C89">
        <w:rPr>
          <w:rFonts w:asciiTheme="majorHAnsi" w:hAnsiTheme="majorHAnsi"/>
        </w:rPr>
        <w:t>journey through:</w:t>
      </w:r>
    </w:p>
    <w:p w14:paraId="00D088AB" w14:textId="77777777" w:rsidR="00FB46FF" w:rsidRPr="00820C89" w:rsidRDefault="00FB46FF" w:rsidP="00715F70">
      <w:pPr>
        <w:pStyle w:val="ListParagraph"/>
        <w:numPr>
          <w:ilvl w:val="0"/>
          <w:numId w:val="27"/>
        </w:numPr>
        <w:spacing w:before="60" w:after="60"/>
        <w:ind w:left="357" w:hanging="357"/>
        <w:contextualSpacing w:val="0"/>
        <w:rPr>
          <w:rFonts w:asciiTheme="majorHAnsi" w:hAnsiTheme="majorHAnsi"/>
        </w:rPr>
      </w:pPr>
      <w:r w:rsidRPr="00820C89">
        <w:rPr>
          <w:rFonts w:asciiTheme="majorHAnsi" w:hAnsiTheme="majorHAnsi"/>
        </w:rPr>
        <w:t xml:space="preserve">supporting Indigenous jobseekers to connect with and remain in employment </w:t>
      </w:r>
    </w:p>
    <w:p w14:paraId="5B17C20A" w14:textId="77777777" w:rsidR="00FB46FF" w:rsidRPr="00820C89" w:rsidRDefault="00FB46FF" w:rsidP="00715F70">
      <w:pPr>
        <w:pStyle w:val="ListParagraph"/>
        <w:numPr>
          <w:ilvl w:val="0"/>
          <w:numId w:val="27"/>
        </w:numPr>
        <w:spacing w:before="60" w:after="60"/>
        <w:ind w:left="357" w:hanging="357"/>
        <w:contextualSpacing w:val="0"/>
        <w:rPr>
          <w:rFonts w:asciiTheme="majorHAnsi" w:hAnsiTheme="majorHAnsi"/>
        </w:rPr>
      </w:pPr>
      <w:r w:rsidRPr="00820C89">
        <w:rPr>
          <w:rFonts w:asciiTheme="majorHAnsi" w:hAnsiTheme="majorHAnsi"/>
        </w:rPr>
        <w:t xml:space="preserve">facilitating and upskilling employers in the recruitment and retention of an Indigenous workforce </w:t>
      </w:r>
    </w:p>
    <w:p w14:paraId="397BE322" w14:textId="77777777" w:rsidR="00924FB1" w:rsidRPr="00820C89" w:rsidRDefault="00924FB1" w:rsidP="00715F70">
      <w:pPr>
        <w:pStyle w:val="ListParagraph"/>
        <w:numPr>
          <w:ilvl w:val="0"/>
          <w:numId w:val="27"/>
        </w:numPr>
        <w:spacing w:before="60" w:after="60"/>
        <w:ind w:left="357" w:hanging="357"/>
        <w:contextualSpacing w:val="0"/>
        <w:rPr>
          <w:rFonts w:asciiTheme="majorHAnsi" w:hAnsiTheme="majorHAnsi"/>
        </w:rPr>
      </w:pPr>
      <w:r w:rsidRPr="00820C89">
        <w:rPr>
          <w:rFonts w:asciiTheme="majorHAnsi" w:hAnsiTheme="majorHAnsi"/>
        </w:rPr>
        <w:t>incubating and sharing best practice strategies for employers to lift their employment of Indigenous people</w:t>
      </w:r>
      <w:r w:rsidR="004A7E12" w:rsidRPr="00820C89">
        <w:rPr>
          <w:rFonts w:asciiTheme="majorHAnsi" w:hAnsiTheme="majorHAnsi"/>
        </w:rPr>
        <w:t>, and</w:t>
      </w:r>
    </w:p>
    <w:p w14:paraId="60C56B10" w14:textId="77777777" w:rsidR="00004B6B" w:rsidRPr="00820C89" w:rsidRDefault="00FB46FF" w:rsidP="00715F70">
      <w:pPr>
        <w:pStyle w:val="ListParagraph"/>
        <w:numPr>
          <w:ilvl w:val="0"/>
          <w:numId w:val="27"/>
        </w:numPr>
        <w:spacing w:before="60" w:after="60"/>
        <w:ind w:left="357" w:hanging="357"/>
        <w:contextualSpacing w:val="0"/>
        <w:rPr>
          <w:rFonts w:asciiTheme="majorHAnsi" w:hAnsiTheme="majorHAnsi"/>
        </w:rPr>
      </w:pPr>
      <w:r w:rsidRPr="00820C89">
        <w:rPr>
          <w:rFonts w:asciiTheme="majorHAnsi" w:hAnsiTheme="majorHAnsi"/>
        </w:rPr>
        <w:t>growing a recognition and understanding of the benefits of Indigenous perspectives in the workplace</w:t>
      </w:r>
      <w:r w:rsidR="00BD47F6" w:rsidRPr="00820C89">
        <w:rPr>
          <w:rFonts w:asciiTheme="majorHAnsi" w:hAnsiTheme="majorHAnsi"/>
        </w:rPr>
        <w:t xml:space="preserve"> that,</w:t>
      </w:r>
      <w:r w:rsidRPr="00820C89">
        <w:rPr>
          <w:rFonts w:asciiTheme="majorHAnsi" w:hAnsiTheme="majorHAnsi"/>
        </w:rPr>
        <w:t xml:space="preserve"> </w:t>
      </w:r>
      <w:r w:rsidR="00924FB1" w:rsidRPr="00820C89">
        <w:rPr>
          <w:rFonts w:asciiTheme="majorHAnsi" w:hAnsiTheme="majorHAnsi"/>
        </w:rPr>
        <w:t>overtime</w:t>
      </w:r>
      <w:r w:rsidR="00BD47F6" w:rsidRPr="00820C89">
        <w:rPr>
          <w:rFonts w:asciiTheme="majorHAnsi" w:hAnsiTheme="majorHAnsi"/>
        </w:rPr>
        <w:t>,</w:t>
      </w:r>
      <w:r w:rsidR="00924FB1" w:rsidRPr="00820C89">
        <w:rPr>
          <w:rFonts w:asciiTheme="majorHAnsi" w:hAnsiTheme="majorHAnsi"/>
        </w:rPr>
        <w:t xml:space="preserve"> </w:t>
      </w:r>
      <w:r w:rsidR="00BD47F6" w:rsidRPr="00820C89">
        <w:rPr>
          <w:rFonts w:asciiTheme="majorHAnsi" w:hAnsiTheme="majorHAnsi"/>
        </w:rPr>
        <w:t>reduces</w:t>
      </w:r>
      <w:r w:rsidR="00924FB1" w:rsidRPr="00820C89">
        <w:rPr>
          <w:rFonts w:asciiTheme="majorHAnsi" w:hAnsiTheme="majorHAnsi"/>
        </w:rPr>
        <w:t xml:space="preserve"> the structural barriers to employment for Indigenous Australians through an increasingly culturally centred and capable business landscape</w:t>
      </w:r>
      <w:r w:rsidR="00320DE3" w:rsidRPr="00820C89">
        <w:rPr>
          <w:rFonts w:asciiTheme="majorHAnsi" w:hAnsiTheme="majorHAnsi"/>
        </w:rPr>
        <w:t>.</w:t>
      </w:r>
    </w:p>
    <w:p w14:paraId="44ECA89D" w14:textId="6B228509" w:rsidR="00741A84" w:rsidRPr="00820C89" w:rsidRDefault="00081BEA" w:rsidP="00E24E28">
      <w:pPr>
        <w:spacing w:before="170"/>
        <w:rPr>
          <w:rFonts w:asciiTheme="majorHAnsi" w:hAnsiTheme="majorHAnsi"/>
        </w:rPr>
      </w:pPr>
      <w:r w:rsidRPr="00820C89">
        <w:rPr>
          <w:rFonts w:asciiTheme="majorHAnsi" w:hAnsiTheme="majorHAnsi"/>
        </w:rPr>
        <w:t xml:space="preserve">This </w:t>
      </w:r>
      <w:r w:rsidR="004F6DD0" w:rsidRPr="00820C89">
        <w:rPr>
          <w:rFonts w:asciiTheme="majorHAnsi" w:hAnsiTheme="majorHAnsi"/>
        </w:rPr>
        <w:t>suggests</w:t>
      </w:r>
      <w:r w:rsidR="00E239DD" w:rsidRPr="00820C89">
        <w:rPr>
          <w:rFonts w:asciiTheme="majorHAnsi" w:hAnsiTheme="majorHAnsi"/>
        </w:rPr>
        <w:t xml:space="preserve"> that</w:t>
      </w:r>
      <w:r w:rsidR="004F6DD0" w:rsidRPr="00820C89">
        <w:rPr>
          <w:rFonts w:asciiTheme="majorHAnsi" w:hAnsiTheme="majorHAnsi"/>
        </w:rPr>
        <w:t xml:space="preserve"> </w:t>
      </w:r>
      <w:r w:rsidR="00C12337" w:rsidRPr="00820C89">
        <w:rPr>
          <w:rFonts w:asciiTheme="majorHAnsi" w:hAnsiTheme="majorHAnsi"/>
        </w:rPr>
        <w:t>the IEP</w:t>
      </w:r>
      <w:r w:rsidR="00682AF8" w:rsidRPr="00820C89">
        <w:rPr>
          <w:rFonts w:asciiTheme="majorHAnsi" w:hAnsiTheme="majorHAnsi"/>
        </w:rPr>
        <w:t xml:space="preserve"> clearly has the capacity </w:t>
      </w:r>
      <w:r w:rsidR="007F40AE" w:rsidRPr="00820C89">
        <w:rPr>
          <w:rFonts w:asciiTheme="majorHAnsi" w:hAnsiTheme="majorHAnsi"/>
        </w:rPr>
        <w:t xml:space="preserve">to support the </w:t>
      </w:r>
      <w:r w:rsidR="00087F9F" w:rsidRPr="00820C89">
        <w:rPr>
          <w:rFonts w:asciiTheme="majorHAnsi" w:hAnsiTheme="majorHAnsi"/>
        </w:rPr>
        <w:t xml:space="preserve">government </w:t>
      </w:r>
      <w:r w:rsidR="007F40AE" w:rsidRPr="00820C89">
        <w:rPr>
          <w:rFonts w:asciiTheme="majorHAnsi" w:hAnsiTheme="majorHAnsi"/>
        </w:rPr>
        <w:t xml:space="preserve">objectives </w:t>
      </w:r>
      <w:r w:rsidR="000F69AB" w:rsidRPr="00820C89">
        <w:rPr>
          <w:rFonts w:asciiTheme="majorHAnsi" w:hAnsiTheme="majorHAnsi"/>
        </w:rPr>
        <w:t>around</w:t>
      </w:r>
      <w:r w:rsidR="007F40AE" w:rsidRPr="00820C89">
        <w:rPr>
          <w:rFonts w:asciiTheme="majorHAnsi" w:hAnsiTheme="majorHAnsi"/>
        </w:rPr>
        <w:t xml:space="preserve"> national reconciliation and improving the lives of </w:t>
      </w:r>
      <w:r w:rsidR="001B2570" w:rsidRPr="00820C89">
        <w:rPr>
          <w:rFonts w:asciiTheme="majorHAnsi" w:hAnsiTheme="majorHAnsi"/>
        </w:rPr>
        <w:t xml:space="preserve">Indigenous </w:t>
      </w:r>
      <w:r w:rsidR="007F40AE" w:rsidRPr="00820C89">
        <w:rPr>
          <w:rFonts w:asciiTheme="majorHAnsi" w:hAnsiTheme="majorHAnsi"/>
        </w:rPr>
        <w:t xml:space="preserve">Australians. </w:t>
      </w:r>
      <w:r w:rsidR="00C94149" w:rsidRPr="00820C89">
        <w:rPr>
          <w:rFonts w:asciiTheme="majorHAnsi" w:hAnsiTheme="majorHAnsi"/>
        </w:rPr>
        <w:t>However, as this evaluation has noted</w:t>
      </w:r>
      <w:r w:rsidR="0041052C" w:rsidRPr="00820C89">
        <w:rPr>
          <w:rFonts w:asciiTheme="majorHAnsi" w:hAnsiTheme="majorHAnsi"/>
        </w:rPr>
        <w:t xml:space="preserve"> throughout, there are clear</w:t>
      </w:r>
      <w:r w:rsidR="00C81CEF" w:rsidRPr="00820C89">
        <w:rPr>
          <w:rFonts w:asciiTheme="majorHAnsi" w:hAnsiTheme="majorHAnsi"/>
        </w:rPr>
        <w:t xml:space="preserve"> opportunities to re-imagine and re-design the </w:t>
      </w:r>
      <w:r w:rsidR="00EE099F" w:rsidRPr="00820C89">
        <w:rPr>
          <w:rFonts w:asciiTheme="majorHAnsi" w:hAnsiTheme="majorHAnsi"/>
        </w:rPr>
        <w:t>way in which this is achieved.</w:t>
      </w:r>
      <w:bookmarkStart w:id="180" w:name="_Toc54966965"/>
      <w:bookmarkStart w:id="181" w:name="_Toc55495140"/>
    </w:p>
    <w:p w14:paraId="460D66A0" w14:textId="77777777" w:rsidR="00741A84" w:rsidRPr="00820C89" w:rsidRDefault="00741A84">
      <w:pPr>
        <w:spacing w:after="0"/>
        <w:rPr>
          <w:rFonts w:asciiTheme="majorHAnsi" w:hAnsiTheme="majorHAnsi"/>
        </w:rPr>
      </w:pPr>
      <w:r w:rsidRPr="00820C89">
        <w:rPr>
          <w:rFonts w:asciiTheme="majorHAnsi" w:hAnsiTheme="majorHAnsi"/>
        </w:rPr>
        <w:br w:type="page"/>
      </w:r>
    </w:p>
    <w:p w14:paraId="0B26EEEE" w14:textId="77777777" w:rsidR="00741A84" w:rsidRPr="00820C89" w:rsidRDefault="00741A84" w:rsidP="003B3198">
      <w:pPr>
        <w:pStyle w:val="Heading11"/>
      </w:pPr>
      <w:bookmarkStart w:id="182" w:name="_Toc82710791"/>
      <w:bookmarkStart w:id="183" w:name="_Toc101343310"/>
      <w:r w:rsidRPr="00820C89">
        <w:lastRenderedPageBreak/>
        <w:t>References</w:t>
      </w:r>
      <w:bookmarkEnd w:id="182"/>
      <w:bookmarkEnd w:id="183"/>
    </w:p>
    <w:p w14:paraId="6FA8DC07" w14:textId="77777777" w:rsidR="00CA14BF" w:rsidRPr="00820C89" w:rsidRDefault="00CA14BF" w:rsidP="00CA14BF">
      <w:pPr>
        <w:pStyle w:val="FootnoteText"/>
        <w:rPr>
          <w:sz w:val="18"/>
          <w:szCs w:val="18"/>
        </w:rPr>
      </w:pPr>
      <w:r w:rsidRPr="00820C89">
        <w:rPr>
          <w:sz w:val="18"/>
          <w:szCs w:val="18"/>
        </w:rPr>
        <w:t xml:space="preserve">Allam, L. (2019). ‘Government releases damning review of its own Aboriginal work-for-the-dole scheme’. Accessed from:  </w:t>
      </w:r>
      <w:r w:rsidR="00FC268B" w:rsidRPr="00820C89">
        <w:rPr>
          <w:sz w:val="18"/>
          <w:szCs w:val="18"/>
        </w:rPr>
        <w:t>https://www.theguardian.com/australia-news/2019/feb/06/a-third-of-remote-aboriginal-work-for-the-dole-participants-say-community-worse-off.</w:t>
      </w:r>
    </w:p>
    <w:p w14:paraId="3C0DE1E5" w14:textId="77777777" w:rsidR="00FC268B" w:rsidRPr="00820C89" w:rsidRDefault="00FC268B" w:rsidP="00CA14BF">
      <w:pPr>
        <w:pStyle w:val="FootnoteText"/>
        <w:rPr>
          <w:sz w:val="18"/>
          <w:szCs w:val="18"/>
        </w:rPr>
      </w:pPr>
    </w:p>
    <w:p w14:paraId="7B9FD0A6" w14:textId="77777777" w:rsidR="00CA14BF" w:rsidRPr="00820C89" w:rsidRDefault="00CA14BF" w:rsidP="00CA14BF">
      <w:r w:rsidRPr="00820C89">
        <w:t>Altma, J.C., Gray, M.C. and Levitus, R. (2005). ‘Policy Issues for the Community Development Employment Projects Scheme in Rural and Remote Australia’. Accessed from: https://caepr.cass.anu.edu.au/sites/default/files/docs/2005_DP271_0.pdf</w:t>
      </w:r>
    </w:p>
    <w:p w14:paraId="3D1474EE" w14:textId="77777777" w:rsidR="00CA14BF" w:rsidRPr="00820C89" w:rsidRDefault="00CA14BF" w:rsidP="00CA14BF">
      <w:pPr>
        <w:pStyle w:val="FootnoteText"/>
        <w:rPr>
          <w:sz w:val="18"/>
          <w:szCs w:val="18"/>
        </w:rPr>
      </w:pPr>
      <w:r w:rsidRPr="00820C89">
        <w:rPr>
          <w:sz w:val="18"/>
          <w:szCs w:val="18"/>
        </w:rPr>
        <w:t xml:space="preserve">Altman, J. (2005). ‘CDEP 2005: A New Home and New Objectives for a Very Old Program?’. Accessed from: </w:t>
      </w:r>
      <w:r w:rsidR="00FC268B" w:rsidRPr="00820C89">
        <w:rPr>
          <w:sz w:val="18"/>
          <w:szCs w:val="18"/>
        </w:rPr>
        <w:t>https://openresearch-repository.anu.edu.au/bitstream/1885/148933/1/Altman_CDEP_2005_0.pdf</w:t>
      </w:r>
    </w:p>
    <w:p w14:paraId="54D6956B" w14:textId="77777777" w:rsidR="00CA14BF" w:rsidRPr="00820C89" w:rsidRDefault="00CA14BF" w:rsidP="00CA14BF">
      <w:pPr>
        <w:pStyle w:val="FootnoteText"/>
        <w:rPr>
          <w:sz w:val="18"/>
          <w:szCs w:val="18"/>
        </w:rPr>
      </w:pPr>
    </w:p>
    <w:p w14:paraId="472F043C" w14:textId="77777777" w:rsidR="00CA14BF" w:rsidRPr="00820C89" w:rsidRDefault="00CA14BF" w:rsidP="00CA14BF">
      <w:pPr>
        <w:pStyle w:val="FootnoteText"/>
        <w:rPr>
          <w:i/>
          <w:iCs/>
          <w:sz w:val="18"/>
          <w:szCs w:val="18"/>
        </w:rPr>
      </w:pPr>
      <w:r w:rsidRPr="00820C89">
        <w:rPr>
          <w:sz w:val="18"/>
          <w:szCs w:val="18"/>
        </w:rPr>
        <w:t xml:space="preserve">Altman, J.C. (2007). ‘Scrapping CDEP is just plain dumb,’ </w:t>
      </w:r>
      <w:r w:rsidRPr="00820C89">
        <w:rPr>
          <w:i/>
          <w:iCs/>
          <w:sz w:val="18"/>
          <w:szCs w:val="18"/>
        </w:rPr>
        <w:t>Centre of Aboriginal Economic Policy Research, Australian National University.</w:t>
      </w:r>
    </w:p>
    <w:p w14:paraId="71C24DE2" w14:textId="77777777" w:rsidR="00CA14BF" w:rsidRPr="00820C89" w:rsidRDefault="00CA14BF" w:rsidP="00CA14BF">
      <w:pPr>
        <w:pStyle w:val="FootnoteText"/>
        <w:rPr>
          <w:i/>
          <w:iCs/>
          <w:sz w:val="18"/>
          <w:szCs w:val="18"/>
        </w:rPr>
      </w:pPr>
    </w:p>
    <w:p w14:paraId="4632BA02" w14:textId="77777777" w:rsidR="00CA14BF" w:rsidRPr="00820C89" w:rsidRDefault="00CA14BF" w:rsidP="00CA14BF">
      <w:pPr>
        <w:pStyle w:val="FootnoteText"/>
        <w:rPr>
          <w:sz w:val="18"/>
          <w:szCs w:val="18"/>
        </w:rPr>
      </w:pPr>
      <w:r w:rsidRPr="00820C89">
        <w:rPr>
          <w:sz w:val="18"/>
          <w:szCs w:val="18"/>
        </w:rPr>
        <w:t xml:space="preserve">Andrew Forrest (2014), </w:t>
      </w:r>
      <w:r w:rsidRPr="00820C89">
        <w:rPr>
          <w:i/>
          <w:iCs/>
          <w:sz w:val="18"/>
          <w:szCs w:val="18"/>
        </w:rPr>
        <w:t>The Forrest Review: Creating Parity</w:t>
      </w:r>
      <w:r w:rsidRPr="00820C89">
        <w:rPr>
          <w:sz w:val="18"/>
          <w:szCs w:val="18"/>
        </w:rPr>
        <w:t>.</w:t>
      </w:r>
    </w:p>
    <w:p w14:paraId="2316AF94" w14:textId="77777777" w:rsidR="00CA14BF" w:rsidRPr="00820C89" w:rsidRDefault="00CA14BF" w:rsidP="00CA14BF">
      <w:pPr>
        <w:pStyle w:val="FootnoteText"/>
        <w:rPr>
          <w:sz w:val="18"/>
          <w:szCs w:val="18"/>
        </w:rPr>
      </w:pPr>
      <w:r w:rsidRPr="00820C89">
        <w:rPr>
          <w:sz w:val="18"/>
          <w:szCs w:val="18"/>
        </w:rPr>
        <w:t>Argyle, M. Causes and correlates of happiness. In: D Kahneman, E Diener, N Schwarz (Eds.) Well-being: the foundations of hedonic psychology. New York: Russell Sage Foundation; 1999:307–322:353–373.</w:t>
      </w:r>
    </w:p>
    <w:p w14:paraId="385A73DE" w14:textId="77777777" w:rsidR="00CA14BF" w:rsidRPr="00820C89" w:rsidRDefault="00CA14BF" w:rsidP="00CA14BF">
      <w:pPr>
        <w:pStyle w:val="FootnoteText"/>
        <w:rPr>
          <w:sz w:val="18"/>
          <w:szCs w:val="18"/>
        </w:rPr>
      </w:pPr>
    </w:p>
    <w:p w14:paraId="011BE0D9" w14:textId="77777777" w:rsidR="00CA14BF" w:rsidRPr="00820C89" w:rsidRDefault="00CA14BF" w:rsidP="00CA14BF">
      <w:pPr>
        <w:pStyle w:val="FootnoteText"/>
        <w:rPr>
          <w:sz w:val="18"/>
          <w:szCs w:val="18"/>
        </w:rPr>
      </w:pPr>
      <w:r w:rsidRPr="00820C89">
        <w:rPr>
          <w:sz w:val="18"/>
          <w:szCs w:val="18"/>
        </w:rPr>
        <w:t xml:space="preserve">Atkinson, J. et al. (2010). ‘Trauma, Transgenerational Transfer and Effects on Community Wellbeing.’ Accessed from: </w:t>
      </w:r>
      <w:hyperlink r:id="rId53" w:history="1">
        <w:r w:rsidRPr="00820C89">
          <w:rPr>
            <w:rStyle w:val="Hyperlink"/>
            <w:color w:val="auto"/>
            <w:sz w:val="18"/>
            <w:szCs w:val="18"/>
            <w:u w:val="none"/>
          </w:rPr>
          <w:t>https://communitylegalqld.org.au/sites/default/files/downloads/pages/working_with_first_nations_people_-_trauma_transgenerational_transfer_and_effects_on_community_wellbeing.pdf</w:t>
        </w:r>
      </w:hyperlink>
      <w:r w:rsidRPr="00820C89">
        <w:rPr>
          <w:sz w:val="18"/>
          <w:szCs w:val="18"/>
        </w:rPr>
        <w:t>.</w:t>
      </w:r>
    </w:p>
    <w:p w14:paraId="258D861A" w14:textId="77777777" w:rsidR="00CA14BF" w:rsidRPr="00820C89" w:rsidRDefault="00CA14BF" w:rsidP="00CA14BF">
      <w:pPr>
        <w:pStyle w:val="FootnoteText"/>
        <w:rPr>
          <w:sz w:val="18"/>
          <w:szCs w:val="18"/>
        </w:rPr>
      </w:pPr>
    </w:p>
    <w:p w14:paraId="415E5FCC" w14:textId="77777777" w:rsidR="00CA14BF" w:rsidRPr="00820C89" w:rsidRDefault="00CA14BF" w:rsidP="00CA14BF">
      <w:pPr>
        <w:pStyle w:val="FootnoteText"/>
        <w:rPr>
          <w:sz w:val="18"/>
          <w:szCs w:val="18"/>
        </w:rPr>
      </w:pPr>
      <w:r w:rsidRPr="00820C89">
        <w:rPr>
          <w:sz w:val="18"/>
          <w:szCs w:val="18"/>
        </w:rPr>
        <w:t xml:space="preserve">Auspoll. (2012). ‘Evaluating the effectiveness of Reconciliation Action Plans’. Accessed from: </w:t>
      </w:r>
      <w:hyperlink r:id="rId54" w:history="1">
        <w:r w:rsidRPr="00820C89">
          <w:rPr>
            <w:rStyle w:val="Hyperlink"/>
            <w:color w:val="auto"/>
            <w:sz w:val="18"/>
            <w:szCs w:val="18"/>
            <w:u w:val="none"/>
          </w:rPr>
          <w:t>https://www.reconciliation.org.au/wp-content/uploads/2017/11/Auspolls-Evaluating-the-effectiveess-of-Reconciliation-Action-Plans-Overall-analysis.pdf</w:t>
        </w:r>
      </w:hyperlink>
      <w:r w:rsidRPr="00820C89">
        <w:rPr>
          <w:sz w:val="18"/>
          <w:szCs w:val="18"/>
        </w:rPr>
        <w:t>.</w:t>
      </w:r>
    </w:p>
    <w:p w14:paraId="5C8DFDF8" w14:textId="77777777" w:rsidR="00CA14BF" w:rsidRPr="00820C89" w:rsidRDefault="00CA14BF" w:rsidP="00CA14BF">
      <w:r w:rsidRPr="00820C89">
        <w:t xml:space="preserve">Austin-Broos, D. (2006). “’Working for’ and ‘working among’ Western Arrente in central Australia (1), </w:t>
      </w:r>
      <w:r w:rsidRPr="00820C89">
        <w:rPr>
          <w:i/>
          <w:iCs/>
        </w:rPr>
        <w:t xml:space="preserve">Oceania </w:t>
      </w:r>
      <w:r w:rsidRPr="00820C89">
        <w:t>76(1).</w:t>
      </w:r>
    </w:p>
    <w:p w14:paraId="4E5507FB" w14:textId="77777777" w:rsidR="00CA14BF" w:rsidRPr="00820C89" w:rsidRDefault="00CA14BF" w:rsidP="00CA14BF">
      <w:pPr>
        <w:pStyle w:val="FootnoteText"/>
        <w:rPr>
          <w:rStyle w:val="Hyperlink"/>
          <w:color w:val="auto"/>
          <w:sz w:val="18"/>
          <w:szCs w:val="18"/>
          <w:u w:val="none"/>
        </w:rPr>
      </w:pPr>
      <w:r w:rsidRPr="00820C89">
        <w:rPr>
          <w:sz w:val="18"/>
          <w:szCs w:val="18"/>
        </w:rPr>
        <w:t>Australian Bureau of Statistics (2019), ‘National Aboriginal and Torres Strait Islander Health Survey’. Accessed from: https://www.abs.gov.au/AUSSTATS/abs@.nsf/Lookup/4715.0Explanatory%20Notes12018-19?OpenDocument.</w:t>
      </w:r>
    </w:p>
    <w:p w14:paraId="2F200FD0" w14:textId="77777777" w:rsidR="00CA14BF" w:rsidRPr="00820C89" w:rsidRDefault="00CA14BF" w:rsidP="00CA14BF">
      <w:pPr>
        <w:pStyle w:val="FootnoteText"/>
        <w:rPr>
          <w:sz w:val="18"/>
          <w:szCs w:val="18"/>
        </w:rPr>
      </w:pPr>
    </w:p>
    <w:p w14:paraId="7C0B5A0D" w14:textId="77777777" w:rsidR="00CA14BF" w:rsidRPr="00820C89" w:rsidRDefault="00CA14BF" w:rsidP="00CA14BF">
      <w:pPr>
        <w:pStyle w:val="FootnoteText"/>
        <w:rPr>
          <w:sz w:val="18"/>
          <w:szCs w:val="18"/>
        </w:rPr>
      </w:pPr>
      <w:r w:rsidRPr="00820C89">
        <w:rPr>
          <w:sz w:val="18"/>
          <w:szCs w:val="18"/>
        </w:rPr>
        <w:t xml:space="preserve">Australian Government – Department of Education Skills and Employment. (2018). ‘Indigenous employment service being trialled in Yarrabah’. Accessed from &lt; </w:t>
      </w:r>
      <w:hyperlink r:id="rId55" w:history="1">
        <w:r w:rsidRPr="00820C89">
          <w:rPr>
            <w:rStyle w:val="Hyperlink"/>
            <w:color w:val="auto"/>
            <w:sz w:val="18"/>
            <w:szCs w:val="18"/>
            <w:u w:val="none"/>
          </w:rPr>
          <w:t>https://www.employment.gov.au/newsroom/indigenous-employment-service-being-trialled-yarrabah</w:t>
        </w:r>
      </w:hyperlink>
      <w:r w:rsidRPr="00820C89">
        <w:rPr>
          <w:sz w:val="18"/>
          <w:szCs w:val="18"/>
        </w:rPr>
        <w:t>&gt;.</w:t>
      </w:r>
    </w:p>
    <w:p w14:paraId="5A8AAD77" w14:textId="77777777" w:rsidR="0046425F" w:rsidRPr="00820C89" w:rsidRDefault="0046425F" w:rsidP="00CA14BF">
      <w:pPr>
        <w:pStyle w:val="FootnoteText"/>
        <w:rPr>
          <w:sz w:val="18"/>
          <w:szCs w:val="18"/>
        </w:rPr>
      </w:pPr>
    </w:p>
    <w:p w14:paraId="152D9B1B" w14:textId="77777777" w:rsidR="00CA14BF" w:rsidRPr="00820C89" w:rsidRDefault="00CA14BF" w:rsidP="00CA14BF">
      <w:r w:rsidRPr="00820C89">
        <w:t>Australian Government, Closing the Gap. (2011) ‘Indigenous Economic Development Strategy’. Accessed from: https://www.ilo.org/dyn/youthpol/en/equest.fileutils.dochandle?p_uploaded_file_id=500</w:t>
      </w:r>
    </w:p>
    <w:p w14:paraId="11A40B5E" w14:textId="77777777" w:rsidR="00CA14BF" w:rsidRPr="00820C89" w:rsidRDefault="00CA14BF" w:rsidP="00CA14BF">
      <w:pPr>
        <w:pStyle w:val="FootnoteText"/>
        <w:rPr>
          <w:rStyle w:val="Hyperlink"/>
          <w:color w:val="auto"/>
          <w:sz w:val="18"/>
          <w:szCs w:val="18"/>
        </w:rPr>
      </w:pPr>
      <w:r w:rsidRPr="00820C89">
        <w:rPr>
          <w:sz w:val="18"/>
          <w:szCs w:val="18"/>
        </w:rPr>
        <w:t xml:space="preserve">Australian Government, Department of Education, Employment and Workplace Relations. (2012). ‘Good Practice in Job Services Australia.’ Accessed from: </w:t>
      </w:r>
      <w:hyperlink r:id="rId56" w:history="1">
        <w:r w:rsidRPr="00820C89">
          <w:rPr>
            <w:rStyle w:val="Hyperlink"/>
            <w:color w:val="auto"/>
            <w:sz w:val="18"/>
            <w:szCs w:val="18"/>
            <w:u w:val="none"/>
          </w:rPr>
          <w:t>https://docs.employment.gov.au/system/files/doc/other/good_practice_in_job_services_australia.pdf</w:t>
        </w:r>
      </w:hyperlink>
      <w:r w:rsidR="00BC5558" w:rsidRPr="00820C89">
        <w:rPr>
          <w:rStyle w:val="Hyperlink"/>
          <w:color w:val="auto"/>
          <w:sz w:val="18"/>
          <w:szCs w:val="18"/>
          <w:u w:val="none"/>
        </w:rPr>
        <w:t>.</w:t>
      </w:r>
    </w:p>
    <w:p w14:paraId="5D54BD3C" w14:textId="77777777" w:rsidR="00CA14BF" w:rsidRPr="00820C89" w:rsidRDefault="00CA14BF" w:rsidP="00CA14BF">
      <w:pPr>
        <w:pStyle w:val="FootnoteText"/>
        <w:rPr>
          <w:rStyle w:val="Hyperlink"/>
          <w:color w:val="auto"/>
          <w:sz w:val="18"/>
          <w:szCs w:val="18"/>
          <w:u w:val="none"/>
        </w:rPr>
      </w:pPr>
    </w:p>
    <w:p w14:paraId="16EC8775" w14:textId="77777777" w:rsidR="00CA14BF" w:rsidRPr="00820C89" w:rsidRDefault="00CA14BF" w:rsidP="00CA14BF">
      <w:pPr>
        <w:pStyle w:val="FootnoteText"/>
        <w:rPr>
          <w:sz w:val="18"/>
          <w:szCs w:val="18"/>
        </w:rPr>
      </w:pPr>
      <w:r w:rsidRPr="00820C89">
        <w:rPr>
          <w:sz w:val="18"/>
          <w:szCs w:val="18"/>
        </w:rPr>
        <w:t xml:space="preserve">Australian Government, Department of Employment, Skills, Small and Family Business. (2012). </w:t>
      </w:r>
      <w:r w:rsidRPr="00820C89">
        <w:rPr>
          <w:i/>
          <w:iCs/>
          <w:sz w:val="18"/>
          <w:szCs w:val="18"/>
        </w:rPr>
        <w:t xml:space="preserve">The Evaluation of Job Services Australia 2009-2012. </w:t>
      </w:r>
      <w:r w:rsidRPr="00820C89">
        <w:rPr>
          <w:sz w:val="18"/>
          <w:szCs w:val="18"/>
        </w:rPr>
        <w:t xml:space="preserve">Accessed from: </w:t>
      </w:r>
      <w:hyperlink r:id="rId57" w:history="1">
        <w:r w:rsidRPr="00820C89">
          <w:rPr>
            <w:rStyle w:val="Hyperlink"/>
            <w:color w:val="auto"/>
            <w:sz w:val="18"/>
            <w:szCs w:val="18"/>
            <w:u w:val="none"/>
          </w:rPr>
          <w:t>https://docs.employment.gov.au/system/files/doc/other/the_evaluation_of_jsa_2009-2012_1.pdf</w:t>
        </w:r>
      </w:hyperlink>
      <w:r w:rsidRPr="00820C89">
        <w:rPr>
          <w:sz w:val="18"/>
          <w:szCs w:val="18"/>
        </w:rPr>
        <w:t>&gt;</w:t>
      </w:r>
    </w:p>
    <w:p w14:paraId="0B15531F" w14:textId="77777777" w:rsidR="00CA14BF" w:rsidRPr="00820C89" w:rsidRDefault="00CA14BF" w:rsidP="00CA14BF">
      <w:pPr>
        <w:pStyle w:val="FootnoteText"/>
        <w:rPr>
          <w:sz w:val="18"/>
          <w:szCs w:val="18"/>
        </w:rPr>
      </w:pPr>
    </w:p>
    <w:p w14:paraId="4C2287E7" w14:textId="77777777" w:rsidR="00CA14BF" w:rsidRPr="00820C89" w:rsidRDefault="00CA14BF" w:rsidP="00CA14BF">
      <w:pPr>
        <w:pStyle w:val="FootnoteText"/>
        <w:rPr>
          <w:sz w:val="18"/>
          <w:szCs w:val="18"/>
        </w:rPr>
      </w:pPr>
      <w:r w:rsidRPr="00820C89">
        <w:rPr>
          <w:sz w:val="18"/>
          <w:szCs w:val="18"/>
        </w:rPr>
        <w:t xml:space="preserve">Australian Government, Department of Employment, Skills, Small and Family Business. (2017). ‘Evaluation of jobactive: Interim Report; ‘Commonwealth of Australia. ‘Jobactive: failing those it is intended to serve’, </w:t>
      </w:r>
      <w:r w:rsidRPr="00820C89">
        <w:rPr>
          <w:i/>
          <w:iCs/>
          <w:sz w:val="18"/>
          <w:szCs w:val="18"/>
        </w:rPr>
        <w:t>Education and Employment References Committee</w:t>
      </w:r>
      <w:r w:rsidRPr="00820C89">
        <w:rPr>
          <w:sz w:val="18"/>
          <w:szCs w:val="18"/>
        </w:rPr>
        <w:t>.</w:t>
      </w:r>
    </w:p>
    <w:p w14:paraId="63C4993C" w14:textId="77777777" w:rsidR="00CA14BF" w:rsidRPr="00820C89" w:rsidRDefault="00CA14BF" w:rsidP="00CA14BF">
      <w:pPr>
        <w:rPr>
          <w:rStyle w:val="Hyperlink"/>
          <w:color w:val="auto"/>
          <w:u w:val="none"/>
        </w:rPr>
      </w:pPr>
      <w:r w:rsidRPr="00820C89">
        <w:lastRenderedPageBreak/>
        <w:t xml:space="preserve">Australian Government, Department of the Prime Minister and Cabinet (2018) ‘The Community Development Programme: Evaluation of Participation and Employment Outcomes’. Accessed from: </w:t>
      </w:r>
      <w:hyperlink r:id="rId58" w:history="1">
        <w:r w:rsidRPr="00820C89">
          <w:rPr>
            <w:rStyle w:val="Hyperlink"/>
            <w:color w:val="auto"/>
            <w:u w:val="none"/>
          </w:rPr>
          <w:t>https://www.niaa.gov.au/resource-centre/indigenous-affairs/2019-2020-annual-evaluation-work-plan</w:t>
        </w:r>
      </w:hyperlink>
    </w:p>
    <w:p w14:paraId="0837775B" w14:textId="77777777" w:rsidR="00CA14BF" w:rsidRPr="00820C89" w:rsidRDefault="00CA14BF" w:rsidP="00CA14BF">
      <w:pPr>
        <w:pStyle w:val="FootnoteText"/>
        <w:rPr>
          <w:sz w:val="18"/>
          <w:szCs w:val="18"/>
        </w:rPr>
      </w:pPr>
      <w:r w:rsidRPr="00820C89">
        <w:rPr>
          <w:sz w:val="18"/>
          <w:szCs w:val="18"/>
        </w:rPr>
        <w:t xml:space="preserve">Australian Government. (2011) ‘Indigenous Economic Development Strategy’. Accessed from: </w:t>
      </w:r>
      <w:hyperlink r:id="rId59" w:history="1">
        <w:r w:rsidRPr="00820C89">
          <w:rPr>
            <w:rStyle w:val="Hyperlink"/>
            <w:color w:val="auto"/>
            <w:sz w:val="18"/>
            <w:szCs w:val="18"/>
            <w:u w:val="none"/>
          </w:rPr>
          <w:t>https://www.ilo.org/dyn/youthpol/en/equest.fileutils.dochandle?p_uploaded_file_id=500</w:t>
        </w:r>
      </w:hyperlink>
      <w:r w:rsidRPr="00820C89">
        <w:rPr>
          <w:sz w:val="18"/>
          <w:szCs w:val="18"/>
        </w:rPr>
        <w:t>.</w:t>
      </w:r>
    </w:p>
    <w:p w14:paraId="52EA8864" w14:textId="77777777" w:rsidR="00CA14BF" w:rsidRPr="00820C89" w:rsidRDefault="00CA14BF" w:rsidP="00CA14BF">
      <w:pPr>
        <w:pStyle w:val="FootnoteText"/>
        <w:rPr>
          <w:sz w:val="18"/>
          <w:szCs w:val="18"/>
        </w:rPr>
      </w:pPr>
    </w:p>
    <w:p w14:paraId="0A7F5639" w14:textId="77777777" w:rsidR="00CA14BF" w:rsidRPr="00820C89" w:rsidRDefault="00CA14BF" w:rsidP="00CA14BF">
      <w:pPr>
        <w:pStyle w:val="FootnoteText"/>
        <w:rPr>
          <w:sz w:val="18"/>
          <w:szCs w:val="18"/>
        </w:rPr>
      </w:pPr>
      <w:r w:rsidRPr="00820C89">
        <w:rPr>
          <w:sz w:val="18"/>
          <w:szCs w:val="18"/>
        </w:rPr>
        <w:t xml:space="preserve">Australian Government. (2020). ‘Closing the Gap Report 2020’. Accessed from: </w:t>
      </w:r>
      <w:hyperlink r:id="rId60" w:history="1">
        <w:r w:rsidRPr="00820C89">
          <w:rPr>
            <w:rStyle w:val="Hyperlink"/>
            <w:color w:val="auto"/>
            <w:sz w:val="18"/>
            <w:szCs w:val="18"/>
            <w:u w:val="none"/>
          </w:rPr>
          <w:t>https://ctgreport.niaa.gov.au/employment</w:t>
        </w:r>
      </w:hyperlink>
      <w:r w:rsidRPr="00820C89">
        <w:rPr>
          <w:sz w:val="18"/>
          <w:szCs w:val="18"/>
        </w:rPr>
        <w:t>.</w:t>
      </w:r>
    </w:p>
    <w:p w14:paraId="521B7FC7" w14:textId="77777777" w:rsidR="00BC5558" w:rsidRPr="00820C89" w:rsidRDefault="00BC5558" w:rsidP="00CA14BF">
      <w:pPr>
        <w:pStyle w:val="FootnoteText"/>
        <w:rPr>
          <w:sz w:val="18"/>
          <w:szCs w:val="18"/>
        </w:rPr>
      </w:pPr>
    </w:p>
    <w:p w14:paraId="0401E28B" w14:textId="77777777" w:rsidR="00CA14BF" w:rsidRPr="00820C89" w:rsidRDefault="00CA14BF" w:rsidP="00CA14BF">
      <w:r w:rsidRPr="00820C89">
        <w:t xml:space="preserve">Australian Government. (2020). </w:t>
      </w:r>
      <w:r w:rsidRPr="00820C89">
        <w:rPr>
          <w:i/>
          <w:iCs/>
        </w:rPr>
        <w:t xml:space="preserve">Jobactive: </w:t>
      </w:r>
      <w:r w:rsidRPr="00820C89">
        <w:t xml:space="preserve">Wage subsidies. Accessed from: </w:t>
      </w:r>
      <w:hyperlink r:id="rId61" w:history="1">
        <w:r w:rsidRPr="00820C89">
          <w:rPr>
            <w:rStyle w:val="Hyperlink"/>
            <w:color w:val="auto"/>
            <w:u w:val="none"/>
          </w:rPr>
          <w:t>https://docs.employment.gov.au/system/files/doc/other/wage_subsides_factsheet_update_oct_20.pdf</w:t>
        </w:r>
      </w:hyperlink>
      <w:r w:rsidRPr="00820C89">
        <w:t xml:space="preserve"> </w:t>
      </w:r>
    </w:p>
    <w:p w14:paraId="575C9B87" w14:textId="77777777" w:rsidR="00CA14BF" w:rsidRPr="00820C89" w:rsidRDefault="00CA14BF" w:rsidP="00CA14BF">
      <w:pPr>
        <w:pStyle w:val="FootnoteText"/>
        <w:rPr>
          <w:sz w:val="18"/>
          <w:szCs w:val="18"/>
        </w:rPr>
      </w:pPr>
      <w:r w:rsidRPr="00820C89">
        <w:rPr>
          <w:sz w:val="18"/>
          <w:szCs w:val="18"/>
        </w:rPr>
        <w:t xml:space="preserve">Australian Institute of Health and Welfare (2019), ‘Indigenous income and finance ‘. Accessed from: </w:t>
      </w:r>
      <w:hyperlink r:id="rId62" w:history="1">
        <w:r w:rsidRPr="00820C89">
          <w:rPr>
            <w:rStyle w:val="Hyperlink"/>
            <w:color w:val="auto"/>
            <w:sz w:val="18"/>
            <w:szCs w:val="18"/>
            <w:u w:val="none"/>
          </w:rPr>
          <w:t>https://www.aihw.gov.au/reports/australias-welfare/indigenous-income-and-finance</w:t>
        </w:r>
      </w:hyperlink>
      <w:r w:rsidRPr="00820C89">
        <w:rPr>
          <w:sz w:val="18"/>
          <w:szCs w:val="18"/>
        </w:rPr>
        <w:t>.</w:t>
      </w:r>
    </w:p>
    <w:p w14:paraId="16C76A41" w14:textId="77777777" w:rsidR="00CA14BF" w:rsidRPr="00820C89" w:rsidRDefault="00CA14BF" w:rsidP="00CA14BF">
      <w:pPr>
        <w:pStyle w:val="FootnoteText"/>
        <w:rPr>
          <w:sz w:val="18"/>
          <w:szCs w:val="18"/>
        </w:rPr>
      </w:pPr>
    </w:p>
    <w:p w14:paraId="7B43FBC7" w14:textId="77777777" w:rsidR="00CA14BF" w:rsidRPr="00820C89" w:rsidRDefault="00CA14BF" w:rsidP="00CA14BF">
      <w:pPr>
        <w:pStyle w:val="FootnoteText"/>
        <w:rPr>
          <w:sz w:val="18"/>
          <w:szCs w:val="18"/>
        </w:rPr>
      </w:pPr>
      <w:r w:rsidRPr="00820C89">
        <w:rPr>
          <w:sz w:val="18"/>
          <w:szCs w:val="18"/>
        </w:rPr>
        <w:t xml:space="preserve">Australian Public Service Commission, </w:t>
      </w:r>
      <w:r w:rsidRPr="00820C89">
        <w:rPr>
          <w:i/>
          <w:iCs/>
          <w:sz w:val="18"/>
          <w:szCs w:val="18"/>
        </w:rPr>
        <w:t>Policy implementation through devolved government</w:t>
      </w:r>
      <w:r w:rsidRPr="00820C89">
        <w:rPr>
          <w:sz w:val="18"/>
          <w:szCs w:val="18"/>
        </w:rPr>
        <w:t xml:space="preserve"> (2019).</w:t>
      </w:r>
    </w:p>
    <w:p w14:paraId="7A1EFC06" w14:textId="77777777" w:rsidR="00CA14BF" w:rsidRPr="00820C89" w:rsidRDefault="00CA14BF" w:rsidP="00CA14BF">
      <w:r w:rsidRPr="00820C89">
        <w:t xml:space="preserve">Borland, J., Considine, M., Kalb, G. and Ribar, D. (2019). ‘What Are Best-Practice Programs for Jobseekers Facing High Barriers to Employment.’ </w:t>
      </w:r>
      <w:r w:rsidRPr="00820C89">
        <w:rPr>
          <w:i/>
          <w:iCs/>
        </w:rPr>
        <w:t xml:space="preserve">The Melbourne Institute Policy Briefs Series.  </w:t>
      </w:r>
    </w:p>
    <w:p w14:paraId="11B76067" w14:textId="77777777" w:rsidR="00CA14BF" w:rsidRPr="00820C89" w:rsidRDefault="00CA14BF" w:rsidP="00CA14BF">
      <w:pPr>
        <w:pStyle w:val="FootnoteText"/>
        <w:rPr>
          <w:sz w:val="18"/>
          <w:szCs w:val="18"/>
        </w:rPr>
      </w:pPr>
      <w:r w:rsidRPr="00820C89">
        <w:rPr>
          <w:sz w:val="18"/>
          <w:szCs w:val="18"/>
        </w:rPr>
        <w:t xml:space="preserve">Burgess, J. and Dyer, S. (2009). ‘Workplace mentoring for indigenous Australians: a case study.’ </w:t>
      </w:r>
      <w:r w:rsidRPr="00820C89">
        <w:rPr>
          <w:i/>
          <w:iCs/>
          <w:sz w:val="18"/>
          <w:szCs w:val="18"/>
        </w:rPr>
        <w:t xml:space="preserve">Equal opportunities International </w:t>
      </w:r>
      <w:r w:rsidRPr="00820C89">
        <w:rPr>
          <w:sz w:val="18"/>
          <w:szCs w:val="18"/>
        </w:rPr>
        <w:t xml:space="preserve">28 (6), pp. 465-485. </w:t>
      </w:r>
    </w:p>
    <w:p w14:paraId="42FA0A63" w14:textId="77777777" w:rsidR="00CA14BF" w:rsidRPr="00820C89" w:rsidRDefault="00CA14BF" w:rsidP="00CA14BF">
      <w:pPr>
        <w:pStyle w:val="FootnoteText"/>
        <w:rPr>
          <w:sz w:val="18"/>
          <w:szCs w:val="18"/>
        </w:rPr>
      </w:pPr>
    </w:p>
    <w:p w14:paraId="0D6D4FEF" w14:textId="77777777" w:rsidR="00CA14BF" w:rsidRPr="00820C89" w:rsidRDefault="00CA14BF" w:rsidP="00CA14BF">
      <w:pPr>
        <w:pStyle w:val="FootnoteText"/>
        <w:rPr>
          <w:i/>
          <w:iCs/>
          <w:sz w:val="18"/>
          <w:szCs w:val="18"/>
        </w:rPr>
      </w:pPr>
      <w:r w:rsidRPr="00820C89">
        <w:rPr>
          <w:sz w:val="18"/>
          <w:szCs w:val="18"/>
        </w:rPr>
        <w:t xml:space="preserve">Caddy, I. and Mortimer, D. (2012). ‘’Solving’ Unemployment: An analysis of two Australian policy initiatives’, </w:t>
      </w:r>
      <w:r w:rsidRPr="00820C89">
        <w:rPr>
          <w:i/>
          <w:iCs/>
          <w:sz w:val="18"/>
          <w:szCs w:val="18"/>
        </w:rPr>
        <w:t>International Employment Relations Review.</w:t>
      </w:r>
    </w:p>
    <w:p w14:paraId="35A040BE" w14:textId="77777777" w:rsidR="007C7766" w:rsidRPr="00820C89" w:rsidRDefault="007C7766" w:rsidP="00CA14BF">
      <w:pPr>
        <w:pStyle w:val="FootnoteText"/>
        <w:rPr>
          <w:i/>
          <w:iCs/>
          <w:sz w:val="18"/>
          <w:szCs w:val="18"/>
        </w:rPr>
      </w:pPr>
    </w:p>
    <w:p w14:paraId="5FE08659" w14:textId="77777777" w:rsidR="00CA14BF" w:rsidRPr="00820C89" w:rsidRDefault="00CA14BF" w:rsidP="00CA14BF">
      <w:pPr>
        <w:rPr>
          <w:i/>
          <w:iCs/>
        </w:rPr>
      </w:pPr>
      <w:r w:rsidRPr="00820C89">
        <w:t xml:space="preserve">Card, D., Kluve, J. and Weber, A. (2016). ‘Active labour market policies and long-term unemployment’, </w:t>
      </w:r>
      <w:r w:rsidRPr="00820C89">
        <w:rPr>
          <w:i/>
          <w:iCs/>
        </w:rPr>
        <w:t xml:space="preserve">Centre for Economic Policy Research. </w:t>
      </w:r>
    </w:p>
    <w:p w14:paraId="438EEF8E" w14:textId="77777777" w:rsidR="00CA14BF" w:rsidRPr="00820C89" w:rsidRDefault="00CA14BF" w:rsidP="00CA14BF">
      <w:pPr>
        <w:pStyle w:val="FootnoteText"/>
        <w:rPr>
          <w:sz w:val="18"/>
          <w:szCs w:val="18"/>
        </w:rPr>
      </w:pPr>
      <w:r w:rsidRPr="00820C89">
        <w:rPr>
          <w:sz w:val="18"/>
          <w:szCs w:val="18"/>
        </w:rPr>
        <w:t>Commonwealth of Australia (2018). ‘The Community Development Programme: Evaluation of Participation and Employment Outcomes’.</w:t>
      </w:r>
    </w:p>
    <w:p w14:paraId="5D88F1A7" w14:textId="77777777" w:rsidR="00CA14BF" w:rsidRPr="00820C89" w:rsidRDefault="00CA14BF" w:rsidP="00CA14BF">
      <w:pPr>
        <w:pStyle w:val="FootnoteText"/>
        <w:rPr>
          <w:sz w:val="18"/>
          <w:szCs w:val="18"/>
        </w:rPr>
      </w:pPr>
    </w:p>
    <w:p w14:paraId="69AB700D" w14:textId="77777777" w:rsidR="00CA14BF" w:rsidRPr="00820C89" w:rsidRDefault="00CA14BF" w:rsidP="00CA14BF">
      <w:pPr>
        <w:pStyle w:val="FootnoteText"/>
        <w:rPr>
          <w:sz w:val="18"/>
          <w:szCs w:val="18"/>
        </w:rPr>
      </w:pPr>
      <w:r w:rsidRPr="00820C89">
        <w:rPr>
          <w:sz w:val="18"/>
          <w:szCs w:val="18"/>
        </w:rPr>
        <w:t xml:space="preserve">Commonwealth of Australia. (2015). ‘The Forrest Review (2014): Creating Parity’. Accessed from: </w:t>
      </w:r>
      <w:hyperlink r:id="rId63" w:history="1">
        <w:r w:rsidRPr="00820C89">
          <w:rPr>
            <w:rStyle w:val="Hyperlink"/>
            <w:color w:val="auto"/>
            <w:sz w:val="18"/>
            <w:szCs w:val="18"/>
            <w:u w:val="none"/>
          </w:rPr>
          <w:t>https://www.niaa.gov.au/sites/default/files/publications/Forrest-Review.pdf</w:t>
        </w:r>
      </w:hyperlink>
      <w:r w:rsidRPr="00820C89">
        <w:rPr>
          <w:sz w:val="18"/>
          <w:szCs w:val="18"/>
        </w:rPr>
        <w:t>.</w:t>
      </w:r>
    </w:p>
    <w:p w14:paraId="70F6A180" w14:textId="77777777" w:rsidR="00CA14BF" w:rsidRPr="00820C89" w:rsidRDefault="00CA14BF" w:rsidP="00CA14BF">
      <w:pPr>
        <w:pStyle w:val="FootnoteText"/>
        <w:rPr>
          <w:sz w:val="18"/>
          <w:szCs w:val="18"/>
        </w:rPr>
      </w:pPr>
    </w:p>
    <w:p w14:paraId="409E923A" w14:textId="77777777" w:rsidR="00CA14BF" w:rsidRPr="00820C89" w:rsidRDefault="00CA14BF" w:rsidP="00CA14BF">
      <w:pPr>
        <w:pStyle w:val="FootnoteText"/>
        <w:rPr>
          <w:sz w:val="18"/>
          <w:szCs w:val="18"/>
        </w:rPr>
      </w:pPr>
      <w:r w:rsidRPr="00820C89">
        <w:rPr>
          <w:sz w:val="18"/>
          <w:szCs w:val="18"/>
        </w:rPr>
        <w:t xml:space="preserve">Commonwealth of Australia. (2020). ‘Indigenous Advancement Strategy’. Accessed from: </w:t>
      </w:r>
      <w:hyperlink r:id="rId64" w:history="1">
        <w:r w:rsidRPr="00820C89">
          <w:rPr>
            <w:rStyle w:val="Hyperlink"/>
            <w:color w:val="auto"/>
            <w:sz w:val="18"/>
            <w:szCs w:val="18"/>
            <w:u w:val="none"/>
          </w:rPr>
          <w:t>https://www.indigenous.gov.au/indigenous-advancement-strategy</w:t>
        </w:r>
      </w:hyperlink>
      <w:r w:rsidRPr="00820C89">
        <w:rPr>
          <w:sz w:val="18"/>
          <w:szCs w:val="18"/>
        </w:rPr>
        <w:t>.</w:t>
      </w:r>
    </w:p>
    <w:p w14:paraId="1E5C961C" w14:textId="77777777" w:rsidR="00CA14BF" w:rsidRPr="00820C89" w:rsidRDefault="00CA14BF" w:rsidP="00CA14BF">
      <w:pPr>
        <w:pStyle w:val="FootnoteText"/>
        <w:rPr>
          <w:sz w:val="18"/>
          <w:szCs w:val="18"/>
        </w:rPr>
      </w:pPr>
    </w:p>
    <w:p w14:paraId="60F77E3F" w14:textId="77777777" w:rsidR="00CA14BF" w:rsidRPr="00820C89" w:rsidRDefault="00CA14BF" w:rsidP="00CA14BF">
      <w:pPr>
        <w:pStyle w:val="FootnoteText"/>
        <w:rPr>
          <w:i/>
          <w:iCs/>
          <w:sz w:val="18"/>
          <w:szCs w:val="18"/>
        </w:rPr>
      </w:pPr>
      <w:r w:rsidRPr="00820C89">
        <w:rPr>
          <w:sz w:val="18"/>
          <w:szCs w:val="18"/>
        </w:rPr>
        <w:t xml:space="preserve">Commonwealth of Australia. ‘Jobactive: failing those it is intended to serve’, </w:t>
      </w:r>
      <w:r w:rsidRPr="00820C89">
        <w:rPr>
          <w:i/>
          <w:iCs/>
          <w:sz w:val="18"/>
          <w:szCs w:val="18"/>
        </w:rPr>
        <w:t>Education and Employment References Committee.</w:t>
      </w:r>
    </w:p>
    <w:p w14:paraId="11B31B12" w14:textId="77777777" w:rsidR="00CA14BF" w:rsidRPr="00820C89" w:rsidRDefault="00CA14BF" w:rsidP="00CA14BF">
      <w:pPr>
        <w:pStyle w:val="FootnoteText"/>
        <w:rPr>
          <w:i/>
          <w:iCs/>
          <w:sz w:val="18"/>
          <w:szCs w:val="18"/>
        </w:rPr>
      </w:pPr>
    </w:p>
    <w:p w14:paraId="1F222F66" w14:textId="77777777" w:rsidR="00CA14BF" w:rsidRPr="00820C89" w:rsidRDefault="00CA14BF" w:rsidP="00CA14BF">
      <w:pPr>
        <w:pStyle w:val="FootnoteText"/>
        <w:rPr>
          <w:sz w:val="18"/>
          <w:szCs w:val="18"/>
        </w:rPr>
      </w:pPr>
      <w:r w:rsidRPr="00820C89">
        <w:rPr>
          <w:sz w:val="18"/>
          <w:szCs w:val="18"/>
        </w:rPr>
        <w:t>Constable, J. (2009). ‘Engaging Aboriginal Australians in the Private Sector: A Consultative Report into Aboriginal Employment Strategies and Initiatives’.</w:t>
      </w:r>
    </w:p>
    <w:p w14:paraId="7D8115D2" w14:textId="77777777" w:rsidR="00CA14BF" w:rsidRPr="00820C89" w:rsidRDefault="00CA14BF" w:rsidP="00CA14BF">
      <w:pPr>
        <w:pStyle w:val="FootnoteText"/>
        <w:rPr>
          <w:sz w:val="18"/>
          <w:szCs w:val="18"/>
        </w:rPr>
      </w:pPr>
    </w:p>
    <w:p w14:paraId="5C2F1B37" w14:textId="77777777" w:rsidR="00CA14BF" w:rsidRPr="00820C89" w:rsidRDefault="00CA14BF" w:rsidP="00CA14BF">
      <w:pPr>
        <w:pStyle w:val="FootnoteText"/>
        <w:rPr>
          <w:i/>
          <w:iCs/>
          <w:sz w:val="18"/>
          <w:szCs w:val="18"/>
        </w:rPr>
      </w:pPr>
      <w:r w:rsidRPr="00820C89">
        <w:rPr>
          <w:sz w:val="18"/>
          <w:szCs w:val="18"/>
        </w:rPr>
        <w:t xml:space="preserve">Daly, A., Gebremedhin, T. and Sayem, M. (2013). ‘A Case Study of Affirmative Action Australian-style for Indigenous People,’ </w:t>
      </w:r>
      <w:r w:rsidRPr="00820C89">
        <w:rPr>
          <w:i/>
          <w:iCs/>
          <w:sz w:val="18"/>
          <w:szCs w:val="18"/>
        </w:rPr>
        <w:t xml:space="preserve">Australian Journal of Labour Economics. </w:t>
      </w:r>
    </w:p>
    <w:p w14:paraId="1633E5A0" w14:textId="77777777" w:rsidR="00CA14BF" w:rsidRPr="00820C89" w:rsidRDefault="00CA14BF" w:rsidP="00CA14BF">
      <w:pPr>
        <w:pStyle w:val="FootnoteText"/>
        <w:rPr>
          <w:sz w:val="18"/>
          <w:szCs w:val="18"/>
        </w:rPr>
      </w:pPr>
    </w:p>
    <w:p w14:paraId="5FFCDA07" w14:textId="77777777" w:rsidR="00CA14BF" w:rsidRPr="00820C89" w:rsidRDefault="00CA14BF" w:rsidP="00CA14BF">
      <w:pPr>
        <w:pStyle w:val="FootnoteText"/>
        <w:rPr>
          <w:sz w:val="18"/>
          <w:szCs w:val="18"/>
        </w:rPr>
      </w:pPr>
      <w:r w:rsidRPr="00820C89">
        <w:rPr>
          <w:sz w:val="18"/>
          <w:szCs w:val="18"/>
        </w:rPr>
        <w:t>Deloitte Access Economics, Evaluation of Skilling Queenslanders for Work (2012) &lt;https://www.employment.gov.au/how-see-helps-job-seekers&gt;.</w:t>
      </w:r>
    </w:p>
    <w:p w14:paraId="02453383" w14:textId="77777777" w:rsidR="00CA14BF" w:rsidRPr="00820C89" w:rsidRDefault="00CA14BF" w:rsidP="00CA14BF">
      <w:pPr>
        <w:pStyle w:val="FootnoteText"/>
        <w:rPr>
          <w:sz w:val="18"/>
          <w:szCs w:val="18"/>
        </w:rPr>
      </w:pPr>
    </w:p>
    <w:p w14:paraId="33D5CA75" w14:textId="77777777" w:rsidR="00CA14BF" w:rsidRPr="00820C89" w:rsidRDefault="00CA14BF" w:rsidP="00CA14BF">
      <w:pPr>
        <w:pStyle w:val="FootnoteText"/>
        <w:rPr>
          <w:sz w:val="18"/>
          <w:szCs w:val="18"/>
        </w:rPr>
      </w:pPr>
      <w:r w:rsidRPr="00820C89">
        <w:rPr>
          <w:sz w:val="18"/>
          <w:szCs w:val="18"/>
        </w:rPr>
        <w:t xml:space="preserve">Deloitte Access Economics, </w:t>
      </w:r>
      <w:r w:rsidRPr="00820C89">
        <w:rPr>
          <w:i/>
          <w:iCs/>
          <w:sz w:val="18"/>
          <w:szCs w:val="18"/>
        </w:rPr>
        <w:t xml:space="preserve">Research Report – Toward Gender Parity: Women on Boards Initiative </w:t>
      </w:r>
      <w:r w:rsidRPr="00820C89">
        <w:rPr>
          <w:sz w:val="18"/>
          <w:szCs w:val="18"/>
        </w:rPr>
        <w:t xml:space="preserve">(2016); Department of the Prime Minister and Cabinet, </w:t>
      </w:r>
      <w:r w:rsidRPr="00820C89">
        <w:rPr>
          <w:i/>
          <w:iCs/>
          <w:sz w:val="18"/>
          <w:szCs w:val="18"/>
        </w:rPr>
        <w:t xml:space="preserve">Employment Parity Initiative – Questions and Answers; </w:t>
      </w:r>
      <w:r w:rsidRPr="00820C89">
        <w:rPr>
          <w:sz w:val="18"/>
          <w:szCs w:val="18"/>
        </w:rPr>
        <w:t>(2019).Silva Goncalves, J. et al. (2016).</w:t>
      </w:r>
    </w:p>
    <w:p w14:paraId="2BC4C83E" w14:textId="77777777" w:rsidR="00CA14BF" w:rsidRPr="00820C89" w:rsidRDefault="00CA14BF" w:rsidP="00CA14BF">
      <w:pPr>
        <w:pStyle w:val="FootnoteText"/>
        <w:rPr>
          <w:sz w:val="18"/>
          <w:szCs w:val="18"/>
        </w:rPr>
      </w:pPr>
    </w:p>
    <w:p w14:paraId="3742C5EB" w14:textId="77777777" w:rsidR="00CA14BF" w:rsidRPr="00820C89" w:rsidRDefault="00CA14BF" w:rsidP="00CA14BF">
      <w:pPr>
        <w:pStyle w:val="FootnoteText"/>
        <w:contextualSpacing/>
        <w:rPr>
          <w:rFonts w:cs="Calibri"/>
          <w:sz w:val="18"/>
          <w:szCs w:val="18"/>
        </w:rPr>
      </w:pPr>
      <w:r w:rsidRPr="00820C89">
        <w:rPr>
          <w:rFonts w:cs="Calibri"/>
          <w:sz w:val="18"/>
          <w:szCs w:val="18"/>
        </w:rPr>
        <w:t xml:space="preserve">Department of Education and Training. </w:t>
      </w:r>
      <w:r w:rsidRPr="00820C89">
        <w:rPr>
          <w:rFonts w:cs="Calibri"/>
          <w:i/>
          <w:iCs/>
          <w:sz w:val="18"/>
          <w:szCs w:val="18"/>
        </w:rPr>
        <w:t>National Foundation Skills Strategy for Adults</w:t>
      </w:r>
      <w:r w:rsidRPr="00820C89">
        <w:rPr>
          <w:rFonts w:cs="Calibri"/>
          <w:sz w:val="18"/>
          <w:szCs w:val="18"/>
        </w:rPr>
        <w:t xml:space="preserve"> (2012). &lt;https://docs.employment.gov.au/system/files/doc/other/national-foundation-skills-strategy-for-adults_0.pdf&gt;.</w:t>
      </w:r>
    </w:p>
    <w:p w14:paraId="17AFA895" w14:textId="77777777" w:rsidR="00CA14BF" w:rsidRPr="00820C89" w:rsidRDefault="00CA14BF" w:rsidP="00CA14BF">
      <w:pPr>
        <w:pStyle w:val="FootnoteText"/>
        <w:contextualSpacing/>
        <w:rPr>
          <w:rFonts w:cs="Calibri"/>
          <w:sz w:val="18"/>
          <w:szCs w:val="18"/>
        </w:rPr>
      </w:pPr>
    </w:p>
    <w:p w14:paraId="48E3184C" w14:textId="77777777" w:rsidR="00CA14BF" w:rsidRPr="00820C89" w:rsidRDefault="00CA14BF" w:rsidP="00CA14BF">
      <w:pPr>
        <w:pStyle w:val="FootnoteText"/>
        <w:rPr>
          <w:sz w:val="18"/>
          <w:szCs w:val="18"/>
        </w:rPr>
      </w:pPr>
      <w:r w:rsidRPr="00820C89">
        <w:rPr>
          <w:sz w:val="18"/>
          <w:szCs w:val="18"/>
        </w:rPr>
        <w:t xml:space="preserve">Department of Education, Skills and Employment. </w:t>
      </w:r>
      <w:r w:rsidRPr="00820C89">
        <w:rPr>
          <w:i/>
          <w:iCs/>
          <w:sz w:val="18"/>
          <w:szCs w:val="18"/>
        </w:rPr>
        <w:t xml:space="preserve">Benefits of Educational Attainment </w:t>
      </w:r>
      <w:r w:rsidRPr="00820C89">
        <w:rPr>
          <w:sz w:val="18"/>
          <w:szCs w:val="18"/>
        </w:rPr>
        <w:t>(2019) &lt;https://docs.education.gov.au/node/53004&gt;.</w:t>
      </w:r>
    </w:p>
    <w:p w14:paraId="4B27EFFA" w14:textId="77777777" w:rsidR="00CA14BF" w:rsidRPr="00820C89" w:rsidRDefault="00CA14BF" w:rsidP="00CA14BF">
      <w:pPr>
        <w:pStyle w:val="FootnoteText"/>
        <w:rPr>
          <w:sz w:val="18"/>
          <w:szCs w:val="18"/>
        </w:rPr>
      </w:pPr>
      <w:r w:rsidRPr="00820C89">
        <w:rPr>
          <w:sz w:val="18"/>
          <w:szCs w:val="18"/>
        </w:rPr>
        <w:lastRenderedPageBreak/>
        <w:t>Department of Finance and Deregulation: Office of Evaluation and Audit. (2009). ‘Evaluation of the Community Development Employment Projects (CDEP) Program.</w:t>
      </w:r>
    </w:p>
    <w:p w14:paraId="562E37E4" w14:textId="77777777" w:rsidR="00CA14BF" w:rsidRPr="00820C89" w:rsidRDefault="00CA14BF" w:rsidP="00CA14BF">
      <w:pPr>
        <w:pStyle w:val="FootnoteText"/>
        <w:rPr>
          <w:sz w:val="18"/>
          <w:szCs w:val="18"/>
        </w:rPr>
      </w:pPr>
    </w:p>
    <w:p w14:paraId="4622F926" w14:textId="77777777" w:rsidR="00CA14BF" w:rsidRPr="00820C89" w:rsidRDefault="00CA14BF" w:rsidP="00CA14BF">
      <w:pPr>
        <w:pStyle w:val="FootnoteText"/>
        <w:rPr>
          <w:sz w:val="18"/>
          <w:szCs w:val="18"/>
        </w:rPr>
      </w:pPr>
      <w:r w:rsidRPr="00820C89">
        <w:rPr>
          <w:sz w:val="18"/>
          <w:szCs w:val="18"/>
        </w:rPr>
        <w:t xml:space="preserve">Department of Prime Minister and Cabinet (2018), </w:t>
      </w:r>
      <w:r w:rsidRPr="00820C89">
        <w:rPr>
          <w:i/>
          <w:iCs/>
          <w:sz w:val="18"/>
          <w:szCs w:val="18"/>
        </w:rPr>
        <w:t>Indigenous Advancement Strategy: Evaluation Framework</w:t>
      </w:r>
      <w:r w:rsidRPr="00820C89">
        <w:rPr>
          <w:sz w:val="18"/>
          <w:szCs w:val="18"/>
        </w:rPr>
        <w:t>.</w:t>
      </w:r>
    </w:p>
    <w:p w14:paraId="46BD000B" w14:textId="77777777" w:rsidR="00CA14BF" w:rsidRPr="00820C89" w:rsidRDefault="00CA14BF" w:rsidP="00CA14BF">
      <w:pPr>
        <w:pStyle w:val="FootnoteText"/>
        <w:rPr>
          <w:sz w:val="18"/>
          <w:szCs w:val="18"/>
        </w:rPr>
      </w:pPr>
    </w:p>
    <w:p w14:paraId="5BB78CA6" w14:textId="77777777" w:rsidR="00CA14BF" w:rsidRPr="00820C89" w:rsidRDefault="00CA14BF" w:rsidP="00CA14BF">
      <w:pPr>
        <w:pStyle w:val="FootnoteText"/>
        <w:rPr>
          <w:sz w:val="18"/>
          <w:szCs w:val="18"/>
        </w:rPr>
      </w:pPr>
      <w:r w:rsidRPr="00820C89">
        <w:rPr>
          <w:sz w:val="18"/>
          <w:szCs w:val="18"/>
        </w:rPr>
        <w:t xml:space="preserve">Devins, D., Bickerstaffe, T., Nunn, A. and Mitchell, B. (2011). ‘The role of skills from worklessness to sustainable employment with progression’, </w:t>
      </w:r>
      <w:r w:rsidRPr="00820C89">
        <w:rPr>
          <w:i/>
          <w:sz w:val="18"/>
          <w:szCs w:val="18"/>
        </w:rPr>
        <w:t xml:space="preserve">UK Commission for Employment and Skills. </w:t>
      </w:r>
      <w:r w:rsidRPr="00820C89">
        <w:rPr>
          <w:sz w:val="18"/>
          <w:szCs w:val="18"/>
        </w:rPr>
        <w:t>Accessed from:</w:t>
      </w:r>
      <w:hyperlink r:id="rId65" w:history="1">
        <w:r w:rsidRPr="00820C89">
          <w:rPr>
            <w:rStyle w:val="Hyperlink"/>
            <w:color w:val="auto"/>
            <w:sz w:val="18"/>
            <w:szCs w:val="18"/>
            <w:u w:val="none"/>
          </w:rPr>
          <w:t>https://assets.publishing.service.gov.uk/government/uploads/system/uploads/attachment_data/file/306143/Worklessness_to_sustainable_employment__the_role_of_skills.pdf</w:t>
        </w:r>
      </w:hyperlink>
      <w:r w:rsidRPr="00820C89">
        <w:rPr>
          <w:sz w:val="18"/>
          <w:szCs w:val="18"/>
        </w:rPr>
        <w:t>.</w:t>
      </w:r>
    </w:p>
    <w:p w14:paraId="2B9B904D" w14:textId="77777777" w:rsidR="007C7766" w:rsidRPr="00820C89" w:rsidRDefault="007C7766" w:rsidP="00CA14BF">
      <w:pPr>
        <w:pStyle w:val="FootnoteText"/>
        <w:rPr>
          <w:sz w:val="18"/>
          <w:szCs w:val="18"/>
        </w:rPr>
      </w:pPr>
    </w:p>
    <w:p w14:paraId="09FBA534" w14:textId="77777777" w:rsidR="00CA14BF" w:rsidRPr="00820C89" w:rsidRDefault="00CA14BF" w:rsidP="00CA14BF">
      <w:r w:rsidRPr="00820C89">
        <w:t xml:space="preserve">Di Giorgio, A. V. and Habibis, D. (2019). ‘Governing pluralistic liberal democratic societies and metis knowledge: The problem of Indigenous unemployment.’ </w:t>
      </w:r>
      <w:r w:rsidRPr="00820C89">
        <w:rPr>
          <w:i/>
          <w:iCs/>
        </w:rPr>
        <w:t xml:space="preserve">Journal of </w:t>
      </w:r>
      <w:r w:rsidRPr="00820C89">
        <w:t>Sociology 55(1), 37-53;</w:t>
      </w:r>
    </w:p>
    <w:p w14:paraId="15FD7D75" w14:textId="77777777" w:rsidR="00CA14BF" w:rsidRPr="00820C89" w:rsidRDefault="00CA14BF" w:rsidP="00CA14BF">
      <w:pPr>
        <w:pStyle w:val="FootnoteText"/>
        <w:rPr>
          <w:sz w:val="18"/>
          <w:szCs w:val="18"/>
        </w:rPr>
      </w:pPr>
      <w:r w:rsidRPr="00820C89">
        <w:rPr>
          <w:sz w:val="18"/>
          <w:szCs w:val="18"/>
        </w:rPr>
        <w:t xml:space="preserve">Dillon, A. (2015). ‘Valuing work: Beyond the economic benefits of employment’, </w:t>
      </w:r>
      <w:r w:rsidRPr="00820C89">
        <w:rPr>
          <w:i/>
          <w:iCs/>
          <w:sz w:val="18"/>
          <w:szCs w:val="18"/>
        </w:rPr>
        <w:t>Policy</w:t>
      </w:r>
      <w:r w:rsidRPr="00820C89">
        <w:rPr>
          <w:sz w:val="18"/>
          <w:szCs w:val="18"/>
        </w:rPr>
        <w:t xml:space="preserve"> 32 (1).</w:t>
      </w:r>
    </w:p>
    <w:p w14:paraId="38C2A282" w14:textId="77777777" w:rsidR="00CA14BF" w:rsidRPr="00820C89" w:rsidRDefault="00CA14BF" w:rsidP="00CA14BF">
      <w:pPr>
        <w:pStyle w:val="FootnoteText"/>
        <w:rPr>
          <w:sz w:val="18"/>
          <w:szCs w:val="18"/>
        </w:rPr>
      </w:pPr>
    </w:p>
    <w:p w14:paraId="1DE12720" w14:textId="77777777" w:rsidR="00CA14BF" w:rsidRPr="00820C89" w:rsidRDefault="00CA14BF" w:rsidP="00CA14BF">
      <w:pPr>
        <w:pStyle w:val="FootnoteText"/>
        <w:rPr>
          <w:sz w:val="18"/>
          <w:szCs w:val="18"/>
        </w:rPr>
      </w:pPr>
      <w:r w:rsidRPr="00820C89">
        <w:rPr>
          <w:sz w:val="18"/>
          <w:szCs w:val="18"/>
        </w:rPr>
        <w:t xml:space="preserve">Diversity Council Australia (2020). ‘Gari Yala – Speak the Truth’, Synopsis report. Accessed from: </w:t>
      </w:r>
      <w:hyperlink r:id="rId66" w:history="1">
        <w:r w:rsidRPr="00820C89">
          <w:rPr>
            <w:rStyle w:val="Hyperlink"/>
            <w:color w:val="auto"/>
            <w:sz w:val="18"/>
            <w:szCs w:val="18"/>
            <w:u w:val="none"/>
          </w:rPr>
          <w:t>https://www.dca.org.au/sites/default/files/dca_synopsisreport_web_0.pdf</w:t>
        </w:r>
      </w:hyperlink>
      <w:r w:rsidRPr="00820C89">
        <w:rPr>
          <w:sz w:val="18"/>
          <w:szCs w:val="18"/>
        </w:rPr>
        <w:t>.</w:t>
      </w:r>
    </w:p>
    <w:p w14:paraId="61A6BE8E" w14:textId="77777777" w:rsidR="00CA14BF" w:rsidRPr="00820C89" w:rsidRDefault="00CA14BF" w:rsidP="00CA14BF">
      <w:pPr>
        <w:pStyle w:val="FootnoteText"/>
        <w:rPr>
          <w:i/>
          <w:iCs/>
          <w:sz w:val="18"/>
          <w:szCs w:val="18"/>
        </w:rPr>
      </w:pPr>
    </w:p>
    <w:p w14:paraId="54E935CF" w14:textId="77777777" w:rsidR="00CA14BF" w:rsidRPr="00820C89" w:rsidRDefault="00CA14BF" w:rsidP="00CA14BF">
      <w:pPr>
        <w:pStyle w:val="FootnoteText"/>
        <w:rPr>
          <w:sz w:val="18"/>
          <w:szCs w:val="18"/>
        </w:rPr>
      </w:pPr>
      <w:r w:rsidRPr="00820C89">
        <w:rPr>
          <w:sz w:val="18"/>
          <w:szCs w:val="18"/>
        </w:rPr>
        <w:t>Failla, V. et al. (2017) ‘Entrepreneurship and employment stability — Job matching, labour market value, and personal commitment’. </w:t>
      </w:r>
      <w:r w:rsidRPr="00820C89">
        <w:rPr>
          <w:i/>
          <w:iCs/>
          <w:sz w:val="18"/>
          <w:szCs w:val="18"/>
        </w:rPr>
        <w:t>Journal of Business Venturing</w:t>
      </w:r>
      <w:r w:rsidRPr="00820C89">
        <w:rPr>
          <w:sz w:val="18"/>
          <w:szCs w:val="18"/>
        </w:rPr>
        <w:t>. 32 (2), 162–177.</w:t>
      </w:r>
    </w:p>
    <w:p w14:paraId="11C23971" w14:textId="77777777" w:rsidR="0044333E" w:rsidRPr="00820C89" w:rsidRDefault="0044333E" w:rsidP="00CA14BF">
      <w:pPr>
        <w:pStyle w:val="FootnoteText"/>
        <w:rPr>
          <w:sz w:val="18"/>
          <w:szCs w:val="18"/>
        </w:rPr>
      </w:pPr>
    </w:p>
    <w:p w14:paraId="63226576" w14:textId="77777777" w:rsidR="00CA14BF" w:rsidRPr="00820C89" w:rsidRDefault="00CA14BF" w:rsidP="00CA14BF">
      <w:r w:rsidRPr="00820C89">
        <w:t>Fowkes, L. and JinJing, L. (2019). ‘Designing a remote employment program: Lessons from the past and a proposal for the future.’</w:t>
      </w:r>
    </w:p>
    <w:p w14:paraId="399B4FA9" w14:textId="77777777" w:rsidR="00CA14BF" w:rsidRPr="00820C89" w:rsidRDefault="00CA14BF" w:rsidP="00CA14BF">
      <w:pPr>
        <w:rPr>
          <w:i/>
          <w:iCs/>
        </w:rPr>
      </w:pPr>
      <w:r w:rsidRPr="00820C89">
        <w:t xml:space="preserve">Gariner-Garden, J. (2020). ‘Closing the Gap.’ Accessed from: </w:t>
      </w:r>
      <w:hyperlink r:id="rId67" w:history="1">
        <w:r w:rsidRPr="00820C89">
          <w:rPr>
            <w:rStyle w:val="Hyperlink"/>
            <w:color w:val="auto"/>
            <w:u w:val="none"/>
          </w:rPr>
          <w:t>https://www.aph.gov.au/About_Parliament/Parliamentary_Departments/Parliamentary_Library/pubs/BriefingBook44p/ClosingGap</w:t>
        </w:r>
      </w:hyperlink>
    </w:p>
    <w:p w14:paraId="164BE089" w14:textId="77777777" w:rsidR="00CA14BF" w:rsidRPr="00820C89" w:rsidRDefault="00CA14BF" w:rsidP="00CA14BF">
      <w:r w:rsidRPr="00820C89">
        <w:t xml:space="preserve">Gelade, S. and Stehlik, T. (2004). ‘Exploring locality: The impact of context on Indigenous vocational education and training operations and outcomes.’ </w:t>
      </w:r>
      <w:r w:rsidRPr="00820C89">
        <w:rPr>
          <w:i/>
          <w:iCs/>
        </w:rPr>
        <w:t>NCVER</w:t>
      </w:r>
      <w:r w:rsidRPr="00820C89">
        <w:t xml:space="preserve">; Schwab, R.G. (2006). ‘Kids, Skidoos and Caribou: The Junior Canadian Ranger Program as a Model for Re-engaging Indigenous Youth in Remote Areas.’ </w:t>
      </w:r>
      <w:r w:rsidRPr="00820C89">
        <w:rPr>
          <w:i/>
          <w:iCs/>
        </w:rPr>
        <w:t>Centre for Aboriginal Economic Policy Research – Australian National University</w:t>
      </w:r>
    </w:p>
    <w:p w14:paraId="77F1AEF3" w14:textId="77777777" w:rsidR="00CA14BF" w:rsidRPr="00820C89" w:rsidRDefault="00CA14BF" w:rsidP="00CA14BF">
      <w:pPr>
        <w:pStyle w:val="FootnoteText"/>
        <w:rPr>
          <w:sz w:val="18"/>
          <w:szCs w:val="18"/>
        </w:rPr>
      </w:pPr>
      <w:r w:rsidRPr="00820C89">
        <w:rPr>
          <w:sz w:val="18"/>
          <w:szCs w:val="18"/>
        </w:rPr>
        <w:t>GenerationOne. (2011). ‘Walk in My Shoes: Employer experiences of barriers and drivers in the employment cycle for Indigenous Australians’.</w:t>
      </w:r>
    </w:p>
    <w:p w14:paraId="0DD18F8D" w14:textId="77777777" w:rsidR="00CA14BF" w:rsidRPr="00820C89" w:rsidRDefault="00CA14BF" w:rsidP="00CA14BF">
      <w:r w:rsidRPr="00820C89">
        <w:t xml:space="preserve">Gorman, J. and Vemuri, S. (2012). ‘Social implications of bridging the gap through ‘caring for country’ in remote Indigenous communities of the Northern Territory, Australia.’ </w:t>
      </w:r>
      <w:r w:rsidRPr="00820C89">
        <w:rPr>
          <w:i/>
          <w:iCs/>
        </w:rPr>
        <w:t xml:space="preserve">The Rangeland Journal </w:t>
      </w:r>
      <w:r w:rsidRPr="00820C89">
        <w:t>34, 63-73.</w:t>
      </w:r>
    </w:p>
    <w:p w14:paraId="3B7CBDA9" w14:textId="77777777" w:rsidR="00CA14BF" w:rsidRPr="00820C89" w:rsidRDefault="00CA14BF" w:rsidP="00CA14BF">
      <w:pPr>
        <w:pStyle w:val="FootnoteText"/>
        <w:rPr>
          <w:sz w:val="18"/>
          <w:szCs w:val="18"/>
        </w:rPr>
      </w:pPr>
      <w:r w:rsidRPr="00820C89">
        <w:rPr>
          <w:sz w:val="18"/>
          <w:szCs w:val="18"/>
        </w:rPr>
        <w:t xml:space="preserve">Gray, M., Hunder, B. and Lohoar, S. (2012). ‘Increasing Indigenous employment rates’, Issues paper np. 3, Closing the Gap Clearninghouse. Accessed from: </w:t>
      </w:r>
      <w:hyperlink r:id="rId68" w:history="1">
        <w:r w:rsidRPr="00820C89">
          <w:rPr>
            <w:sz w:val="18"/>
            <w:szCs w:val="18"/>
          </w:rPr>
          <w:t>https://www.aihw.gov.au/getmedia/71bb346a-1b83-4038-a2f7-647e65a21445/ctg-ip03.pdf</w:t>
        </w:r>
      </w:hyperlink>
      <w:r w:rsidRPr="00820C89">
        <w:rPr>
          <w:sz w:val="18"/>
          <w:szCs w:val="18"/>
        </w:rPr>
        <w:t>.</w:t>
      </w:r>
    </w:p>
    <w:p w14:paraId="3B84C108" w14:textId="77777777" w:rsidR="00CA14BF" w:rsidRPr="00820C89" w:rsidRDefault="00CA14BF" w:rsidP="00CA14BF">
      <w:pPr>
        <w:pStyle w:val="FootnoteText"/>
        <w:rPr>
          <w:sz w:val="18"/>
          <w:szCs w:val="18"/>
        </w:rPr>
      </w:pPr>
    </w:p>
    <w:p w14:paraId="6EEE1211" w14:textId="77777777" w:rsidR="00CA14BF" w:rsidRPr="00820C89" w:rsidRDefault="00CA14BF" w:rsidP="00CA14BF">
      <w:pPr>
        <w:pStyle w:val="FootnoteText"/>
        <w:rPr>
          <w:i/>
          <w:iCs/>
          <w:sz w:val="18"/>
          <w:szCs w:val="18"/>
        </w:rPr>
      </w:pPr>
      <w:r w:rsidRPr="00820C89">
        <w:rPr>
          <w:sz w:val="18"/>
          <w:szCs w:val="18"/>
        </w:rPr>
        <w:t xml:space="preserve">Hudson, S. (2008). ‘CDEP: Help or Hindrance? The community Development Employment Program and its Impact on Indigenous Australians,’ </w:t>
      </w:r>
      <w:r w:rsidRPr="00820C89">
        <w:rPr>
          <w:i/>
          <w:iCs/>
          <w:sz w:val="18"/>
          <w:szCs w:val="18"/>
        </w:rPr>
        <w:t xml:space="preserve">The Centre for Independent Studies. </w:t>
      </w:r>
    </w:p>
    <w:p w14:paraId="3E37FEED" w14:textId="77777777" w:rsidR="00CA14BF" w:rsidRPr="00820C89" w:rsidRDefault="00CA14BF" w:rsidP="00CA14BF">
      <w:pPr>
        <w:pStyle w:val="FootnoteText"/>
        <w:rPr>
          <w:i/>
          <w:iCs/>
          <w:sz w:val="18"/>
          <w:szCs w:val="18"/>
        </w:rPr>
      </w:pPr>
    </w:p>
    <w:p w14:paraId="053BA18B" w14:textId="77777777" w:rsidR="00CA14BF" w:rsidRPr="00820C89" w:rsidRDefault="00CA14BF" w:rsidP="00CA14BF">
      <w:pPr>
        <w:pStyle w:val="FootnoteText"/>
        <w:rPr>
          <w:sz w:val="18"/>
          <w:szCs w:val="18"/>
        </w:rPr>
      </w:pPr>
      <w:r w:rsidRPr="00820C89">
        <w:rPr>
          <w:sz w:val="18"/>
          <w:szCs w:val="18"/>
        </w:rPr>
        <w:t xml:space="preserve">Human Rights and Equal Opportunity Commission. (2005). ‘Social Justice Report’. Accessed from: </w:t>
      </w:r>
      <w:hyperlink r:id="rId69" w:history="1">
        <w:r w:rsidRPr="00820C89">
          <w:rPr>
            <w:rStyle w:val="Hyperlink"/>
            <w:color w:val="auto"/>
            <w:sz w:val="18"/>
            <w:szCs w:val="18"/>
            <w:u w:val="none"/>
          </w:rPr>
          <w:t>https://humanrights.gov.au/sites/default/files/content/social_justice/sj_report/sjreport05/pdf/SocialJustice2005.pdf</w:t>
        </w:r>
      </w:hyperlink>
      <w:r w:rsidRPr="00820C89">
        <w:rPr>
          <w:sz w:val="18"/>
          <w:szCs w:val="18"/>
        </w:rPr>
        <w:t xml:space="preserve">; Gariner-Garden, J. (2020). ‘Closing the Gap.’ </w:t>
      </w:r>
    </w:p>
    <w:p w14:paraId="5BB103FF" w14:textId="77777777" w:rsidR="00CA14BF" w:rsidRPr="00820C89" w:rsidRDefault="00CA14BF" w:rsidP="00CA14BF">
      <w:pPr>
        <w:pStyle w:val="FootnoteText"/>
        <w:rPr>
          <w:sz w:val="18"/>
          <w:szCs w:val="18"/>
        </w:rPr>
      </w:pPr>
    </w:p>
    <w:p w14:paraId="30F337D0" w14:textId="77777777" w:rsidR="00CA14BF" w:rsidRPr="00820C89" w:rsidRDefault="00CA14BF" w:rsidP="00CA14BF">
      <w:pPr>
        <w:pStyle w:val="FootnoteText"/>
        <w:rPr>
          <w:sz w:val="18"/>
          <w:szCs w:val="18"/>
        </w:rPr>
      </w:pPr>
      <w:r w:rsidRPr="00820C89">
        <w:rPr>
          <w:sz w:val="18"/>
          <w:szCs w:val="18"/>
        </w:rPr>
        <w:t xml:space="preserve">Isherwood, L., Moskos, M., King, D., Walker, R. and Brown, L. (2017). ‘Multiple disadvantage, service delivery and client outcomes in a strengths-based employment program’, </w:t>
      </w:r>
      <w:r w:rsidRPr="00820C89">
        <w:rPr>
          <w:i/>
          <w:iCs/>
          <w:sz w:val="18"/>
          <w:szCs w:val="18"/>
        </w:rPr>
        <w:t xml:space="preserve">ABL </w:t>
      </w:r>
      <w:r w:rsidRPr="00820C89">
        <w:rPr>
          <w:sz w:val="18"/>
          <w:szCs w:val="18"/>
        </w:rPr>
        <w:t>43(1) 1-20.</w:t>
      </w:r>
    </w:p>
    <w:p w14:paraId="7DB0E8CC" w14:textId="77777777" w:rsidR="00CA14BF" w:rsidRPr="00820C89" w:rsidRDefault="00CA14BF" w:rsidP="00CA14BF">
      <w:pPr>
        <w:pStyle w:val="FootnoteText"/>
        <w:rPr>
          <w:sz w:val="18"/>
          <w:szCs w:val="18"/>
        </w:rPr>
      </w:pPr>
    </w:p>
    <w:p w14:paraId="06DFC9D5" w14:textId="77777777" w:rsidR="00CA14BF" w:rsidRPr="00820C89" w:rsidRDefault="00CA14BF" w:rsidP="00CA14BF">
      <w:pPr>
        <w:pStyle w:val="FootnoteText"/>
        <w:rPr>
          <w:sz w:val="18"/>
          <w:szCs w:val="18"/>
        </w:rPr>
      </w:pPr>
      <w:r w:rsidRPr="00820C89">
        <w:rPr>
          <w:sz w:val="18"/>
          <w:szCs w:val="18"/>
        </w:rPr>
        <w:t xml:space="preserve">Jordan, K. (2014). ‘Andrew Forrest’s Indigenous employment project: Do the arguments stack up?’ </w:t>
      </w:r>
      <w:r w:rsidRPr="00820C89">
        <w:rPr>
          <w:i/>
          <w:iCs/>
          <w:sz w:val="18"/>
          <w:szCs w:val="18"/>
        </w:rPr>
        <w:t>The Australian National University</w:t>
      </w:r>
      <w:r w:rsidRPr="00820C89">
        <w:rPr>
          <w:sz w:val="18"/>
          <w:szCs w:val="18"/>
        </w:rPr>
        <w:t>; Jordan, K</w:t>
      </w:r>
      <w:r w:rsidRPr="00820C89">
        <w:rPr>
          <w:i/>
          <w:iCs/>
          <w:sz w:val="18"/>
          <w:szCs w:val="18"/>
        </w:rPr>
        <w:t xml:space="preserve">. </w:t>
      </w:r>
      <w:r w:rsidRPr="00820C89">
        <w:rPr>
          <w:sz w:val="18"/>
          <w:szCs w:val="18"/>
        </w:rPr>
        <w:t>(2011). ‘The Australian Employment Covenant: A research update.</w:t>
      </w:r>
    </w:p>
    <w:p w14:paraId="524E9D43" w14:textId="77777777" w:rsidR="0044333E" w:rsidRPr="00820C89" w:rsidRDefault="0044333E" w:rsidP="00CA14BF">
      <w:pPr>
        <w:pStyle w:val="FootnoteText"/>
        <w:rPr>
          <w:sz w:val="18"/>
          <w:szCs w:val="18"/>
        </w:rPr>
      </w:pPr>
    </w:p>
    <w:p w14:paraId="2CF3E59D" w14:textId="77777777" w:rsidR="00CA14BF" w:rsidRPr="00820C89" w:rsidRDefault="00CA14BF" w:rsidP="00CA14BF">
      <w:pPr>
        <w:rPr>
          <w:i/>
          <w:iCs/>
        </w:rPr>
      </w:pPr>
      <w:r w:rsidRPr="00820C89">
        <w:t xml:space="preserve">Kerins, S. and Jordan, K. (2010). ‘Indigenous Economic Development through Community-Based Enterprise,’ </w:t>
      </w:r>
      <w:r w:rsidRPr="00820C89">
        <w:rPr>
          <w:i/>
          <w:iCs/>
        </w:rPr>
        <w:t>Centre for Aboriginal Economic Policy Research, The Australian National University.</w:t>
      </w:r>
    </w:p>
    <w:p w14:paraId="23BC7C72" w14:textId="77777777" w:rsidR="00CA14BF" w:rsidRPr="00820C89" w:rsidRDefault="00CA14BF" w:rsidP="00CA14BF">
      <w:pPr>
        <w:pStyle w:val="FootnoteText"/>
        <w:rPr>
          <w:i/>
          <w:iCs/>
          <w:sz w:val="18"/>
          <w:szCs w:val="18"/>
        </w:rPr>
      </w:pPr>
      <w:r w:rsidRPr="00820C89">
        <w:rPr>
          <w:sz w:val="18"/>
          <w:szCs w:val="18"/>
        </w:rPr>
        <w:lastRenderedPageBreak/>
        <w:t xml:space="preserve">Kirrily, J. (2014). ‘Andrew Forrest’s Indigenous employment project: Do the arguments stack up?’ </w:t>
      </w:r>
      <w:r w:rsidRPr="00820C89">
        <w:rPr>
          <w:i/>
          <w:iCs/>
          <w:sz w:val="18"/>
          <w:szCs w:val="18"/>
        </w:rPr>
        <w:t>The Australian National University.</w:t>
      </w:r>
    </w:p>
    <w:p w14:paraId="10FEF50A" w14:textId="77777777" w:rsidR="00CA14BF" w:rsidRPr="00820C89" w:rsidRDefault="00CA14BF" w:rsidP="00CA14BF">
      <w:pPr>
        <w:pStyle w:val="FootnoteText"/>
        <w:rPr>
          <w:rStyle w:val="Hyperlink"/>
          <w:color w:val="auto"/>
          <w:sz w:val="18"/>
          <w:szCs w:val="18"/>
          <w:u w:val="none"/>
        </w:rPr>
      </w:pPr>
    </w:p>
    <w:p w14:paraId="200B2905" w14:textId="77777777" w:rsidR="00CA14BF" w:rsidRPr="00820C89" w:rsidRDefault="00CA14BF" w:rsidP="00CA14BF">
      <w:pPr>
        <w:pStyle w:val="FootnoteText"/>
        <w:rPr>
          <w:sz w:val="18"/>
          <w:szCs w:val="18"/>
        </w:rPr>
      </w:pPr>
      <w:r w:rsidRPr="00820C89">
        <w:rPr>
          <w:sz w:val="18"/>
          <w:szCs w:val="18"/>
        </w:rPr>
        <w:t xml:space="preserve">Klein, E. (2014). ‘Academic Perspectives on the Forrest Review (2014): Creating Parity.’ Accessed from: </w:t>
      </w:r>
      <w:hyperlink r:id="rId70" w:history="1">
        <w:r w:rsidRPr="00820C89">
          <w:rPr>
            <w:rStyle w:val="Hyperlink"/>
            <w:color w:val="auto"/>
            <w:sz w:val="18"/>
            <w:szCs w:val="18"/>
            <w:u w:val="none"/>
          </w:rPr>
          <w:t>https://caepr.cass.anu.edu.au/research/publications/academic-perspectives-forrest-review-creating-parity</w:t>
        </w:r>
      </w:hyperlink>
      <w:r w:rsidRPr="00820C89">
        <w:rPr>
          <w:sz w:val="18"/>
          <w:szCs w:val="18"/>
        </w:rPr>
        <w:t>.</w:t>
      </w:r>
    </w:p>
    <w:p w14:paraId="67317AFB" w14:textId="77777777" w:rsidR="00CA14BF" w:rsidRPr="00820C89" w:rsidRDefault="00CA14BF" w:rsidP="00CA14BF">
      <w:pPr>
        <w:pStyle w:val="FootnoteText"/>
        <w:rPr>
          <w:i/>
          <w:iCs/>
          <w:sz w:val="18"/>
          <w:szCs w:val="18"/>
        </w:rPr>
      </w:pPr>
    </w:p>
    <w:p w14:paraId="7047EB0A" w14:textId="77777777" w:rsidR="00CA14BF" w:rsidRPr="00820C89" w:rsidRDefault="00CA14BF" w:rsidP="00CA14BF">
      <w:pPr>
        <w:pStyle w:val="FootnoteText"/>
        <w:rPr>
          <w:sz w:val="18"/>
          <w:szCs w:val="18"/>
        </w:rPr>
      </w:pPr>
      <w:r w:rsidRPr="00820C89">
        <w:rPr>
          <w:sz w:val="18"/>
          <w:szCs w:val="18"/>
        </w:rPr>
        <w:t>Kramar, R. et al., (2013) Human resource management : strategy, people, performance, (Fifth edition. North Ryde, N.S.W: McGraw-Hill Education).</w:t>
      </w:r>
    </w:p>
    <w:p w14:paraId="1210C224" w14:textId="77777777" w:rsidR="00CA14BF" w:rsidRPr="00820C89" w:rsidRDefault="00CA14BF" w:rsidP="00CA14BF">
      <w:pPr>
        <w:pStyle w:val="FootnoteText"/>
        <w:rPr>
          <w:sz w:val="18"/>
          <w:szCs w:val="18"/>
        </w:rPr>
      </w:pPr>
    </w:p>
    <w:p w14:paraId="27F49AF3" w14:textId="77777777" w:rsidR="00CA14BF" w:rsidRPr="00820C89" w:rsidRDefault="00CA14BF" w:rsidP="00CA14BF">
      <w:pPr>
        <w:pStyle w:val="FootnoteText"/>
        <w:rPr>
          <w:sz w:val="18"/>
          <w:szCs w:val="18"/>
        </w:rPr>
      </w:pPr>
      <w:r w:rsidRPr="00820C89">
        <w:rPr>
          <w:sz w:val="18"/>
          <w:szCs w:val="18"/>
        </w:rPr>
        <w:t xml:space="preserve">Kurtulus, F.A. (2016). ‘The Impact of Affirmative Action on the Employment of Minorities and Women: A Longitudinal Analysis Using Three Decades of EEO-1 Filings’, </w:t>
      </w:r>
      <w:r w:rsidRPr="00820C89">
        <w:rPr>
          <w:i/>
          <w:iCs/>
          <w:sz w:val="18"/>
          <w:szCs w:val="18"/>
        </w:rPr>
        <w:t>Journal of Policy Analysis and Management</w:t>
      </w:r>
      <w:r w:rsidRPr="00820C89">
        <w:rPr>
          <w:sz w:val="18"/>
          <w:szCs w:val="18"/>
        </w:rPr>
        <w:t xml:space="preserve"> 35(1), 34-66.</w:t>
      </w:r>
    </w:p>
    <w:p w14:paraId="6DE914C5" w14:textId="77777777" w:rsidR="00CA14BF" w:rsidRPr="00820C89" w:rsidRDefault="00CA14BF" w:rsidP="00CA14BF">
      <w:pPr>
        <w:pStyle w:val="FootnoteText"/>
        <w:rPr>
          <w:sz w:val="18"/>
          <w:szCs w:val="18"/>
        </w:rPr>
      </w:pPr>
    </w:p>
    <w:p w14:paraId="21CEC81F" w14:textId="77777777" w:rsidR="00CA14BF" w:rsidRPr="00820C89" w:rsidRDefault="00CA14BF" w:rsidP="00CA14BF">
      <w:pPr>
        <w:pStyle w:val="FootnoteText"/>
        <w:rPr>
          <w:sz w:val="18"/>
          <w:szCs w:val="18"/>
        </w:rPr>
      </w:pPr>
      <w:r w:rsidRPr="00820C89">
        <w:rPr>
          <w:sz w:val="18"/>
          <w:szCs w:val="18"/>
        </w:rPr>
        <w:t xml:space="preserve">Macquarie University, </w:t>
      </w:r>
      <w:r w:rsidRPr="00820C89">
        <w:rPr>
          <w:i/>
          <w:iCs/>
          <w:sz w:val="18"/>
          <w:szCs w:val="18"/>
        </w:rPr>
        <w:t>The use and usefulness of outcomes based funding for hospitals</w:t>
      </w:r>
      <w:r w:rsidRPr="00820C89">
        <w:rPr>
          <w:sz w:val="18"/>
          <w:szCs w:val="18"/>
        </w:rPr>
        <w:t xml:space="preserve"> (2019).</w:t>
      </w:r>
    </w:p>
    <w:p w14:paraId="14E01F29" w14:textId="77777777" w:rsidR="0044333E" w:rsidRPr="00820C89" w:rsidRDefault="0044333E" w:rsidP="00CA14BF">
      <w:pPr>
        <w:pStyle w:val="FootnoteText"/>
        <w:rPr>
          <w:sz w:val="18"/>
          <w:szCs w:val="18"/>
        </w:rPr>
      </w:pPr>
    </w:p>
    <w:p w14:paraId="75182FD3" w14:textId="77777777" w:rsidR="00CA14BF" w:rsidRPr="00820C89" w:rsidRDefault="00CA14BF" w:rsidP="00CA14BF">
      <w:pPr>
        <w:pStyle w:val="FootnoteText"/>
        <w:rPr>
          <w:i/>
          <w:iCs/>
          <w:sz w:val="18"/>
          <w:szCs w:val="18"/>
        </w:rPr>
      </w:pPr>
      <w:r w:rsidRPr="00820C89">
        <w:rPr>
          <w:sz w:val="18"/>
          <w:szCs w:val="18"/>
        </w:rPr>
        <w:t xml:space="preserve">McCalman, J., Bainbridge, R., Percival, N. and Tsey, K. (2016). ‘The effectiveness of implementation in Indigenous Australian healthcare: an overview of literature reviews.’ </w:t>
      </w:r>
      <w:r w:rsidRPr="00820C89">
        <w:rPr>
          <w:i/>
          <w:iCs/>
          <w:sz w:val="18"/>
          <w:szCs w:val="18"/>
        </w:rPr>
        <w:t>International Journal for Equity in Health.</w:t>
      </w:r>
    </w:p>
    <w:p w14:paraId="3BEF99E1" w14:textId="77777777" w:rsidR="0044333E" w:rsidRPr="00820C89" w:rsidRDefault="0044333E" w:rsidP="00CA14BF">
      <w:pPr>
        <w:pStyle w:val="FootnoteText"/>
        <w:rPr>
          <w:i/>
          <w:iCs/>
          <w:sz w:val="18"/>
          <w:szCs w:val="18"/>
        </w:rPr>
      </w:pPr>
    </w:p>
    <w:p w14:paraId="71EF19B0" w14:textId="77777777" w:rsidR="00CA14BF" w:rsidRPr="00820C89" w:rsidRDefault="00CA14BF" w:rsidP="00CA14BF">
      <w:pPr>
        <w:rPr>
          <w:i/>
          <w:iCs/>
        </w:rPr>
      </w:pPr>
      <w:r w:rsidRPr="00820C89">
        <w:t>Melbourne Institute of Applied Economic and Social Research, University of Melbourne. (2017). ‘Report for the Review of the Aboriginal Employment Strategy.’</w:t>
      </w:r>
    </w:p>
    <w:p w14:paraId="7CB963AE" w14:textId="77777777" w:rsidR="00CA14BF" w:rsidRPr="00820C89" w:rsidRDefault="00CA14BF" w:rsidP="00CA14BF">
      <w:r w:rsidRPr="00820C89">
        <w:t>Miles Morgan Australia. (2015). ‘Progress Evaluation of the Vocational Training and Employment Centre Programme.’</w:t>
      </w:r>
    </w:p>
    <w:p w14:paraId="6F31F608" w14:textId="77777777" w:rsidR="00CA14BF" w:rsidRPr="00820C89" w:rsidRDefault="00CA14BF" w:rsidP="00CA14BF">
      <w:pPr>
        <w:pStyle w:val="FootnoteText"/>
        <w:rPr>
          <w:sz w:val="18"/>
          <w:szCs w:val="18"/>
        </w:rPr>
      </w:pPr>
      <w:r w:rsidRPr="00820C89">
        <w:rPr>
          <w:sz w:val="18"/>
          <w:szCs w:val="18"/>
        </w:rPr>
        <w:t>Millen et al. (2002), ‘Understanding the benefits and costs of communities of practice’,</w:t>
      </w:r>
      <w:r w:rsidRPr="00820C89">
        <w:rPr>
          <w:i/>
          <w:iCs/>
          <w:sz w:val="18"/>
          <w:szCs w:val="18"/>
        </w:rPr>
        <w:t xml:space="preserve"> Communications of the ACM, </w:t>
      </w:r>
      <w:r w:rsidRPr="00820C89">
        <w:rPr>
          <w:sz w:val="18"/>
          <w:szCs w:val="18"/>
        </w:rPr>
        <w:t xml:space="preserve"> 45(4), p 69-73. Accessed from: </w:t>
      </w:r>
      <w:hyperlink r:id="rId71" w:history="1">
        <w:r w:rsidRPr="00820C89">
          <w:rPr>
            <w:rStyle w:val="Hyperlink"/>
            <w:color w:val="auto"/>
            <w:sz w:val="18"/>
            <w:szCs w:val="18"/>
            <w:u w:val="none"/>
          </w:rPr>
          <w:t>https://www.researchgate.net/publication/220423803_Understanding_the_benefit_and_costs_of_communities_of_practice</w:t>
        </w:r>
      </w:hyperlink>
      <w:r w:rsidRPr="00820C89">
        <w:rPr>
          <w:sz w:val="18"/>
          <w:szCs w:val="18"/>
        </w:rPr>
        <w:t>.</w:t>
      </w:r>
    </w:p>
    <w:p w14:paraId="6AB8796E" w14:textId="77777777" w:rsidR="0044333E" w:rsidRPr="00820C89" w:rsidRDefault="0044333E" w:rsidP="00CA14BF">
      <w:pPr>
        <w:pStyle w:val="FootnoteText"/>
        <w:rPr>
          <w:sz w:val="18"/>
          <w:szCs w:val="18"/>
        </w:rPr>
      </w:pPr>
    </w:p>
    <w:p w14:paraId="421759C9" w14:textId="77777777" w:rsidR="00CA14BF" w:rsidRPr="00820C89" w:rsidRDefault="00CA14BF" w:rsidP="00CA14BF">
      <w:r w:rsidRPr="00820C89">
        <w:t xml:space="preserve">Miller, M. (1985). Aboriginal employment and training programs: report to the Committee of Review. Accessed from: </w:t>
      </w:r>
      <w:hyperlink r:id="rId72" w:history="1">
        <w:r w:rsidRPr="00820C89">
          <w:rPr>
            <w:rStyle w:val="Hyperlink"/>
            <w:color w:val="auto"/>
            <w:u w:val="none"/>
          </w:rPr>
          <w:t>https://www.voced.edu.au/content/ngv%3A29210</w:t>
        </w:r>
      </w:hyperlink>
    </w:p>
    <w:p w14:paraId="14DC5248" w14:textId="77777777" w:rsidR="00CA14BF" w:rsidRPr="00820C89" w:rsidRDefault="00CA14BF" w:rsidP="00CA14BF">
      <w:r w:rsidRPr="00820C89">
        <w:t xml:space="preserve">Misko, J, </w:t>
      </w:r>
      <w:r w:rsidRPr="00820C89">
        <w:rPr>
          <w:i/>
          <w:iCs/>
        </w:rPr>
        <w:t>Country background report: Assessing the training and assessment needs of adults with low basic skills in Australia</w:t>
      </w:r>
      <w:r w:rsidRPr="00820C89">
        <w:t xml:space="preserve"> (n.d.) &lt;https://www.oecd.org/education/ceri/40015669.pdf&gt;.</w:t>
      </w:r>
    </w:p>
    <w:p w14:paraId="634D5AF6" w14:textId="77777777" w:rsidR="00CA14BF" w:rsidRPr="00820C89" w:rsidRDefault="00CA14BF" w:rsidP="00CA14BF">
      <w:pPr>
        <w:pStyle w:val="FootnoteText"/>
        <w:rPr>
          <w:i/>
          <w:iCs/>
          <w:sz w:val="18"/>
          <w:szCs w:val="18"/>
        </w:rPr>
      </w:pPr>
      <w:r w:rsidRPr="00820C89">
        <w:rPr>
          <w:i/>
          <w:iCs/>
          <w:sz w:val="18"/>
          <w:szCs w:val="18"/>
        </w:rPr>
        <w:t>NCVER</w:t>
      </w:r>
      <w:r w:rsidRPr="00820C89">
        <w:rPr>
          <w:sz w:val="18"/>
          <w:szCs w:val="18"/>
        </w:rPr>
        <w:t xml:space="preserve">; Schwab, R.G. (2006). ‘Kids, Skidoos and Caribou: The Junior Canadian Ranger Program as a Model for Re-engaging Indigenous Youth in Remote Areas.’ </w:t>
      </w:r>
      <w:r w:rsidRPr="00820C89">
        <w:rPr>
          <w:i/>
          <w:iCs/>
          <w:sz w:val="18"/>
          <w:szCs w:val="18"/>
        </w:rPr>
        <w:t>Centre for Aboriginal Economic Policy Research – Australian National University.</w:t>
      </w:r>
    </w:p>
    <w:p w14:paraId="29A78229" w14:textId="77777777" w:rsidR="00CA14BF" w:rsidRPr="00820C89" w:rsidRDefault="00CA14BF" w:rsidP="00CA14BF">
      <w:pPr>
        <w:pStyle w:val="FootnoteText"/>
        <w:rPr>
          <w:sz w:val="18"/>
          <w:szCs w:val="18"/>
        </w:rPr>
      </w:pPr>
    </w:p>
    <w:p w14:paraId="1A391CDD" w14:textId="77777777" w:rsidR="00CA14BF" w:rsidRPr="00820C89" w:rsidRDefault="00CA14BF" w:rsidP="00CA14BF">
      <w:pPr>
        <w:pStyle w:val="FootnoteText"/>
        <w:rPr>
          <w:sz w:val="18"/>
          <w:szCs w:val="18"/>
        </w:rPr>
      </w:pPr>
      <w:r w:rsidRPr="00820C89">
        <w:rPr>
          <w:sz w:val="18"/>
          <w:szCs w:val="18"/>
        </w:rPr>
        <w:t xml:space="preserve">NSW Department of Education, </w:t>
      </w:r>
      <w:r w:rsidRPr="00820C89">
        <w:rPr>
          <w:i/>
          <w:iCs/>
          <w:sz w:val="18"/>
          <w:szCs w:val="18"/>
        </w:rPr>
        <w:t>Needs-based funding</w:t>
      </w:r>
      <w:r w:rsidRPr="00820C89">
        <w:rPr>
          <w:sz w:val="18"/>
          <w:szCs w:val="18"/>
        </w:rPr>
        <w:t xml:space="preserve"> (2020). Available at: </w:t>
      </w:r>
      <w:hyperlink r:id="rId73" w:history="1">
        <w:r w:rsidRPr="00820C89">
          <w:rPr>
            <w:rStyle w:val="Hyperlink"/>
            <w:color w:val="auto"/>
            <w:sz w:val="18"/>
            <w:szCs w:val="18"/>
            <w:u w:val="none"/>
          </w:rPr>
          <w:t>https://education.nsw.gov.au/teaching-and-learning/school-excellence-and-accountability/2021-school-excellence-in-action/effective-use-of-funding-and-resources/needs-based-funding</w:t>
        </w:r>
      </w:hyperlink>
      <w:r w:rsidRPr="00820C89">
        <w:rPr>
          <w:sz w:val="18"/>
          <w:szCs w:val="18"/>
        </w:rPr>
        <w:t>.</w:t>
      </w:r>
    </w:p>
    <w:p w14:paraId="1C150615" w14:textId="77777777" w:rsidR="00CA14BF" w:rsidRPr="00820C89" w:rsidRDefault="00CA14BF" w:rsidP="00CA14BF">
      <w:pPr>
        <w:pStyle w:val="FootnoteText"/>
        <w:rPr>
          <w:sz w:val="18"/>
          <w:szCs w:val="18"/>
        </w:rPr>
      </w:pPr>
    </w:p>
    <w:p w14:paraId="6D970527" w14:textId="77777777" w:rsidR="00CA14BF" w:rsidRPr="00820C89" w:rsidRDefault="00CA14BF" w:rsidP="00CA14BF">
      <w:pPr>
        <w:pStyle w:val="FootnoteText"/>
        <w:rPr>
          <w:sz w:val="18"/>
          <w:szCs w:val="18"/>
        </w:rPr>
      </w:pPr>
      <w:r w:rsidRPr="00820C89">
        <w:rPr>
          <w:sz w:val="18"/>
          <w:szCs w:val="18"/>
        </w:rPr>
        <w:t xml:space="preserve">OECD, </w:t>
      </w:r>
      <w:r w:rsidRPr="00820C89">
        <w:rPr>
          <w:i/>
          <w:iCs/>
          <w:sz w:val="18"/>
          <w:szCs w:val="18"/>
        </w:rPr>
        <w:t>Improving Governance with Policy Evaluation : Lessons From Country Experiences</w:t>
      </w:r>
      <w:r w:rsidRPr="00820C89">
        <w:rPr>
          <w:sz w:val="18"/>
          <w:szCs w:val="18"/>
        </w:rPr>
        <w:t xml:space="preserve"> (2021).</w:t>
      </w:r>
    </w:p>
    <w:p w14:paraId="55ADABD8" w14:textId="77777777" w:rsidR="00CA14BF" w:rsidRPr="00820C89" w:rsidRDefault="00CA14BF" w:rsidP="00CA14BF">
      <w:pPr>
        <w:pStyle w:val="FootnoteText"/>
        <w:rPr>
          <w:sz w:val="18"/>
          <w:szCs w:val="18"/>
        </w:rPr>
      </w:pPr>
    </w:p>
    <w:p w14:paraId="02A64EEB" w14:textId="77777777" w:rsidR="00CA14BF" w:rsidRPr="00820C89" w:rsidRDefault="00CA14BF" w:rsidP="00CA14BF">
      <w:pPr>
        <w:pStyle w:val="FootnoteText"/>
        <w:rPr>
          <w:sz w:val="18"/>
          <w:szCs w:val="18"/>
        </w:rPr>
      </w:pPr>
      <w:r w:rsidRPr="00820C89">
        <w:rPr>
          <w:sz w:val="18"/>
          <w:szCs w:val="18"/>
        </w:rPr>
        <w:t>Parra-Luna, F. (2020). The role of systems theory in political science: The case of unemployment in Spain. Acta Europeana Systemica , 7(1), 137-152.</w:t>
      </w:r>
    </w:p>
    <w:p w14:paraId="412E51DB" w14:textId="77777777" w:rsidR="00CA14BF" w:rsidRPr="00820C89" w:rsidRDefault="00CA14BF" w:rsidP="00CA14BF">
      <w:pPr>
        <w:pStyle w:val="FootnoteText"/>
        <w:rPr>
          <w:sz w:val="18"/>
          <w:szCs w:val="18"/>
        </w:rPr>
      </w:pPr>
    </w:p>
    <w:p w14:paraId="29071927" w14:textId="77777777" w:rsidR="00CA14BF" w:rsidRPr="00820C89" w:rsidRDefault="00CA14BF" w:rsidP="00CA14BF">
      <w:pPr>
        <w:pStyle w:val="FootnoteText"/>
        <w:rPr>
          <w:sz w:val="18"/>
          <w:szCs w:val="18"/>
        </w:rPr>
      </w:pPr>
      <w:r w:rsidRPr="00820C89">
        <w:rPr>
          <w:sz w:val="18"/>
          <w:szCs w:val="18"/>
        </w:rPr>
        <w:t xml:space="preserve">Productivity Commission (2020), </w:t>
      </w:r>
      <w:r w:rsidRPr="00820C89">
        <w:rPr>
          <w:i/>
          <w:iCs/>
          <w:sz w:val="18"/>
          <w:szCs w:val="18"/>
        </w:rPr>
        <w:t xml:space="preserve">Indigenous Evaluation Strategy, </w:t>
      </w:r>
      <w:r w:rsidRPr="00820C89">
        <w:rPr>
          <w:sz w:val="18"/>
          <w:szCs w:val="18"/>
        </w:rPr>
        <w:t>Australian Government,</w:t>
      </w:r>
    </w:p>
    <w:p w14:paraId="105CA871" w14:textId="77777777" w:rsidR="00CA14BF" w:rsidRPr="00820C89" w:rsidRDefault="00CA14BF" w:rsidP="00CA14BF">
      <w:pPr>
        <w:pStyle w:val="FootnoteText"/>
        <w:rPr>
          <w:sz w:val="18"/>
          <w:szCs w:val="18"/>
        </w:rPr>
      </w:pPr>
    </w:p>
    <w:p w14:paraId="4DB69E2A" w14:textId="77777777" w:rsidR="00CA14BF" w:rsidRPr="00820C89" w:rsidRDefault="00CA14BF" w:rsidP="00CA14BF">
      <w:pPr>
        <w:pStyle w:val="FootnoteText"/>
        <w:rPr>
          <w:sz w:val="18"/>
          <w:szCs w:val="18"/>
        </w:rPr>
      </w:pPr>
      <w:r w:rsidRPr="00820C89">
        <w:rPr>
          <w:sz w:val="18"/>
          <w:szCs w:val="18"/>
        </w:rPr>
        <w:t xml:space="preserve">Productivity Commission. (2009). ‘Independent Review of the Job Network.’ Accessed from: </w:t>
      </w:r>
      <w:hyperlink r:id="rId74" w:history="1">
        <w:r w:rsidRPr="00820C89">
          <w:rPr>
            <w:rStyle w:val="Hyperlink"/>
            <w:color w:val="auto"/>
            <w:sz w:val="18"/>
            <w:szCs w:val="18"/>
            <w:u w:val="none"/>
          </w:rPr>
          <w:t>https://www.pc.gov.au/inquiries/completed/job-network/report/jobnetwork.pdf</w:t>
        </w:r>
      </w:hyperlink>
      <w:r w:rsidRPr="00820C89">
        <w:rPr>
          <w:sz w:val="18"/>
          <w:szCs w:val="18"/>
        </w:rPr>
        <w:t>.</w:t>
      </w:r>
    </w:p>
    <w:p w14:paraId="71DE840D" w14:textId="77777777" w:rsidR="00CA14BF" w:rsidRPr="00820C89" w:rsidRDefault="00CA14BF" w:rsidP="00CA14BF">
      <w:pPr>
        <w:pStyle w:val="FootnoteText"/>
        <w:rPr>
          <w:sz w:val="18"/>
          <w:szCs w:val="18"/>
        </w:rPr>
      </w:pPr>
    </w:p>
    <w:p w14:paraId="007CDBEA" w14:textId="77777777" w:rsidR="00CA14BF" w:rsidRPr="00820C89" w:rsidRDefault="00CA14BF" w:rsidP="00CA14BF">
      <w:pPr>
        <w:pStyle w:val="FootnoteText"/>
        <w:rPr>
          <w:sz w:val="18"/>
          <w:szCs w:val="18"/>
        </w:rPr>
      </w:pPr>
      <w:r w:rsidRPr="00820C89">
        <w:rPr>
          <w:sz w:val="18"/>
          <w:szCs w:val="18"/>
        </w:rPr>
        <w:t xml:space="preserve">Reserve Bank of Australia, </w:t>
      </w:r>
      <w:r w:rsidRPr="00820C89">
        <w:rPr>
          <w:i/>
          <w:iCs/>
          <w:sz w:val="18"/>
          <w:szCs w:val="18"/>
        </w:rPr>
        <w:t xml:space="preserve">Factors Affecting an Individual’s Future Labour Market Status </w:t>
      </w:r>
      <w:r w:rsidRPr="00820C89">
        <w:rPr>
          <w:sz w:val="18"/>
          <w:szCs w:val="18"/>
        </w:rPr>
        <w:t>(2016).</w:t>
      </w:r>
    </w:p>
    <w:p w14:paraId="510D56C8" w14:textId="77777777" w:rsidR="00CA14BF" w:rsidRPr="00820C89" w:rsidRDefault="00CA14BF" w:rsidP="00CA14BF">
      <w:pPr>
        <w:pStyle w:val="FootnoteText"/>
        <w:rPr>
          <w:sz w:val="18"/>
          <w:szCs w:val="18"/>
        </w:rPr>
      </w:pPr>
    </w:p>
    <w:p w14:paraId="07C70809" w14:textId="77777777" w:rsidR="00CA14BF" w:rsidRPr="00820C89" w:rsidRDefault="00CA14BF" w:rsidP="00CA14BF">
      <w:pPr>
        <w:pStyle w:val="FootnoteText"/>
        <w:rPr>
          <w:sz w:val="18"/>
          <w:szCs w:val="18"/>
        </w:rPr>
      </w:pPr>
      <w:r w:rsidRPr="00820C89">
        <w:rPr>
          <w:sz w:val="18"/>
          <w:szCs w:val="18"/>
        </w:rPr>
        <w:t xml:space="preserve">SafeWork (n.d). ‘Culturally Safe Workplaces’. NSW Government. Accessed from: </w:t>
      </w:r>
      <w:hyperlink r:id="rId75" w:history="1">
        <w:r w:rsidRPr="00820C89">
          <w:rPr>
            <w:rStyle w:val="Hyperlink"/>
            <w:color w:val="auto"/>
            <w:sz w:val="18"/>
            <w:szCs w:val="18"/>
            <w:u w:val="none"/>
          </w:rPr>
          <w:t>https://www.safework.nsw.gov.au/safety-starts-here/our-aboriginal-program/culturally-safe-workplaces/</w:t>
        </w:r>
      </w:hyperlink>
      <w:r w:rsidRPr="00820C89">
        <w:rPr>
          <w:sz w:val="18"/>
          <w:szCs w:val="18"/>
        </w:rPr>
        <w:t>.</w:t>
      </w:r>
    </w:p>
    <w:p w14:paraId="798BE3E2" w14:textId="77777777" w:rsidR="00CA14BF" w:rsidRPr="00820C89" w:rsidRDefault="00CA14BF" w:rsidP="00CA14BF">
      <w:pPr>
        <w:pStyle w:val="FootnoteText"/>
        <w:rPr>
          <w:sz w:val="18"/>
          <w:szCs w:val="18"/>
        </w:rPr>
      </w:pPr>
    </w:p>
    <w:p w14:paraId="06B25229" w14:textId="77777777" w:rsidR="00CA14BF" w:rsidRPr="00820C89" w:rsidRDefault="00CA14BF" w:rsidP="00CA14BF">
      <w:pPr>
        <w:pStyle w:val="FootnoteText"/>
        <w:rPr>
          <w:sz w:val="18"/>
          <w:szCs w:val="18"/>
        </w:rPr>
      </w:pPr>
      <w:r w:rsidRPr="00820C89">
        <w:rPr>
          <w:sz w:val="18"/>
          <w:szCs w:val="18"/>
        </w:rPr>
        <w:t>Sanders, E. 2014. ‘Perspectives on Participation in Design.’</w:t>
      </w:r>
    </w:p>
    <w:p w14:paraId="0206A885" w14:textId="77777777" w:rsidR="00CA14BF" w:rsidRPr="00820C89" w:rsidRDefault="00CA14BF" w:rsidP="00CA14BF">
      <w:pPr>
        <w:pStyle w:val="FootnoteText"/>
        <w:rPr>
          <w:sz w:val="18"/>
          <w:szCs w:val="18"/>
        </w:rPr>
      </w:pPr>
    </w:p>
    <w:p w14:paraId="547B9D94" w14:textId="77777777" w:rsidR="00CA14BF" w:rsidRPr="00820C89" w:rsidRDefault="00CA14BF" w:rsidP="00CA14BF">
      <w:pPr>
        <w:pStyle w:val="FootnoteText"/>
        <w:rPr>
          <w:sz w:val="18"/>
          <w:szCs w:val="18"/>
        </w:rPr>
      </w:pPr>
      <w:r w:rsidRPr="00820C89">
        <w:rPr>
          <w:sz w:val="18"/>
          <w:szCs w:val="18"/>
        </w:rPr>
        <w:t xml:space="preserve">Spender, P. (2015). ‘Gender Quotas on Boards – Is it Time for Australia to Lean in?’ </w:t>
      </w:r>
      <w:r w:rsidRPr="00820C89">
        <w:rPr>
          <w:i/>
          <w:iCs/>
          <w:sz w:val="18"/>
          <w:szCs w:val="18"/>
        </w:rPr>
        <w:t xml:space="preserve">Deakin Law Review </w:t>
      </w:r>
      <w:r w:rsidRPr="00820C89">
        <w:rPr>
          <w:sz w:val="18"/>
          <w:szCs w:val="18"/>
        </w:rPr>
        <w:t xml:space="preserve">20(1). </w:t>
      </w:r>
    </w:p>
    <w:p w14:paraId="25591781" w14:textId="77777777" w:rsidR="00CA14BF" w:rsidRPr="00820C89" w:rsidRDefault="00CA14BF" w:rsidP="00CA14BF">
      <w:pPr>
        <w:pStyle w:val="FootnoteText"/>
        <w:rPr>
          <w:sz w:val="18"/>
          <w:szCs w:val="18"/>
        </w:rPr>
      </w:pPr>
    </w:p>
    <w:p w14:paraId="65E76715" w14:textId="77777777" w:rsidR="00CA14BF" w:rsidRPr="00820C89" w:rsidRDefault="00CA14BF" w:rsidP="00CA14BF">
      <w:pPr>
        <w:pStyle w:val="FootnoteText"/>
        <w:rPr>
          <w:sz w:val="18"/>
          <w:szCs w:val="18"/>
        </w:rPr>
      </w:pPr>
      <w:r w:rsidRPr="00820C89">
        <w:rPr>
          <w:sz w:val="18"/>
          <w:szCs w:val="18"/>
        </w:rPr>
        <w:t>UN General Assembly, United Nations Declaration on the Rights of Indigenous Peoples : resolution / adopted by the General Assembly, 2 October 2007, A/RES/61/295, available at: https://www.refworld.org/docid/471355a82.html [accessed 20 November 2020].</w:t>
      </w:r>
    </w:p>
    <w:p w14:paraId="796A8BCF" w14:textId="77777777" w:rsidR="00CA14BF" w:rsidRPr="00820C89" w:rsidRDefault="00CA14BF" w:rsidP="00CA14BF">
      <w:r w:rsidRPr="00820C89">
        <w:t xml:space="preserve">Venn, D. and Biddle, N. (2018). ‘Recent trends in indigenous employment’ </w:t>
      </w:r>
      <w:r w:rsidRPr="00820C89">
        <w:rPr>
          <w:i/>
          <w:iCs/>
        </w:rPr>
        <w:t>Journal of Australian Political Economy.</w:t>
      </w:r>
    </w:p>
    <w:p w14:paraId="078275B8" w14:textId="77777777" w:rsidR="00CA14BF" w:rsidRPr="00820C89" w:rsidRDefault="00CA14BF" w:rsidP="00CA14BF">
      <w:pPr>
        <w:pStyle w:val="FootnoteText"/>
        <w:rPr>
          <w:sz w:val="18"/>
          <w:szCs w:val="18"/>
        </w:rPr>
      </w:pPr>
      <w:r w:rsidRPr="00820C89">
        <w:rPr>
          <w:sz w:val="18"/>
          <w:szCs w:val="18"/>
        </w:rPr>
        <w:t xml:space="preserve">Victorian Government. (2020). ‘A framework for place-based approaches’. Accessed from: </w:t>
      </w:r>
      <w:hyperlink r:id="rId76" w:anchor="executive-summary" w:history="1">
        <w:r w:rsidRPr="00820C89">
          <w:rPr>
            <w:rStyle w:val="Hyperlink"/>
            <w:color w:val="auto"/>
            <w:sz w:val="18"/>
            <w:szCs w:val="18"/>
            <w:u w:val="none"/>
          </w:rPr>
          <w:t>https://www.vic.gov.au/framework-place-based-approaches/print-all#executive-summary</w:t>
        </w:r>
      </w:hyperlink>
      <w:r w:rsidRPr="00820C89">
        <w:rPr>
          <w:sz w:val="18"/>
          <w:szCs w:val="18"/>
        </w:rPr>
        <w:t>.</w:t>
      </w:r>
    </w:p>
    <w:p w14:paraId="32EACE84" w14:textId="77777777" w:rsidR="00CA14BF" w:rsidRPr="00820C89" w:rsidRDefault="00CA14BF" w:rsidP="00CA14BF">
      <w:r w:rsidRPr="00820C89">
        <w:t xml:space="preserve">Waghorn, G., Dias, S. and Parletta, V. (2019). ‘The Influence of Wage Subsidies on Open Employment of People with Disabilities.’ </w:t>
      </w:r>
      <w:r w:rsidRPr="00820C89">
        <w:rPr>
          <w:i/>
          <w:iCs/>
        </w:rPr>
        <w:t xml:space="preserve">Journal of Rehabilitation </w:t>
      </w:r>
      <w:r w:rsidRPr="00820C89">
        <w:t>85(4), 24-32.</w:t>
      </w:r>
    </w:p>
    <w:p w14:paraId="75015A0B" w14:textId="77777777" w:rsidR="00CA14BF" w:rsidRPr="00820C89" w:rsidRDefault="00CA14BF" w:rsidP="00CA14BF">
      <w:pPr>
        <w:pStyle w:val="FootnoteText"/>
        <w:rPr>
          <w:sz w:val="18"/>
          <w:szCs w:val="18"/>
        </w:rPr>
      </w:pPr>
      <w:r w:rsidRPr="00820C89">
        <w:rPr>
          <w:sz w:val="18"/>
          <w:szCs w:val="18"/>
        </w:rPr>
        <w:t>Warr P. Well-being in the workplace. In: D Kahneman , E Diener, N Schwarz (eds.) Well-Being: The foundations of hedonic psychology. New York: Russell Sage Foundation Publications; 2003:392–412.</w:t>
      </w:r>
    </w:p>
    <w:p w14:paraId="4FE84BC2" w14:textId="77777777" w:rsidR="00CA14BF" w:rsidRPr="00820C89" w:rsidRDefault="00CA14BF" w:rsidP="00CA14BF">
      <w:pPr>
        <w:pStyle w:val="FootnoteText"/>
        <w:rPr>
          <w:sz w:val="18"/>
          <w:szCs w:val="18"/>
        </w:rPr>
      </w:pPr>
    </w:p>
    <w:p w14:paraId="1DAF43BF" w14:textId="77777777" w:rsidR="00CA14BF" w:rsidRPr="00820C89" w:rsidRDefault="00CA14BF" w:rsidP="00CA14BF">
      <w:pPr>
        <w:pStyle w:val="FootnoteText"/>
        <w:rPr>
          <w:rStyle w:val="Hyperlink"/>
          <w:color w:val="auto"/>
          <w:sz w:val="18"/>
          <w:szCs w:val="18"/>
          <w:u w:val="none"/>
        </w:rPr>
      </w:pPr>
      <w:r w:rsidRPr="00820C89">
        <w:rPr>
          <w:sz w:val="18"/>
          <w:szCs w:val="18"/>
        </w:rPr>
        <w:t xml:space="preserve">Wendt, R. (2008). ‘Indigenous governance: does it improve indigenous employment outcomes? And if so how? </w:t>
      </w:r>
      <w:r w:rsidRPr="00820C89">
        <w:rPr>
          <w:i/>
          <w:iCs/>
          <w:sz w:val="18"/>
          <w:szCs w:val="18"/>
        </w:rPr>
        <w:t xml:space="preserve">Queensland University of Technology. </w:t>
      </w:r>
      <w:r w:rsidRPr="00820C89">
        <w:rPr>
          <w:sz w:val="18"/>
          <w:szCs w:val="18"/>
        </w:rPr>
        <w:t xml:space="preserve">Accessed from: </w:t>
      </w:r>
      <w:hyperlink r:id="rId77" w:history="1">
        <w:r w:rsidRPr="00820C89">
          <w:rPr>
            <w:rStyle w:val="Hyperlink"/>
            <w:color w:val="auto"/>
            <w:sz w:val="18"/>
            <w:szCs w:val="18"/>
            <w:u w:val="none"/>
          </w:rPr>
          <w:t>https://eprints.qut.edu.au/17194/1/c17194.pdf</w:t>
        </w:r>
      </w:hyperlink>
      <w:r w:rsidRPr="00820C89">
        <w:rPr>
          <w:sz w:val="18"/>
          <w:szCs w:val="18"/>
        </w:rPr>
        <w:t>.</w:t>
      </w:r>
    </w:p>
    <w:p w14:paraId="67C6A9EF" w14:textId="77777777" w:rsidR="00741A84" w:rsidRPr="00820C89" w:rsidRDefault="00741A84" w:rsidP="00E24E28">
      <w:pPr>
        <w:spacing w:before="170"/>
        <w:rPr>
          <w:rFonts w:asciiTheme="majorHAnsi" w:eastAsia="Verdana" w:hAnsiTheme="majorHAnsi" w:cs="Times New Roman"/>
        </w:rPr>
      </w:pPr>
    </w:p>
    <w:bookmarkEnd w:id="180"/>
    <w:bookmarkEnd w:id="181"/>
    <w:p w14:paraId="4B7234D4" w14:textId="77777777" w:rsidR="00C86626" w:rsidRPr="00820C89" w:rsidRDefault="00C86626" w:rsidP="00C86626">
      <w:pPr>
        <w:rPr>
          <w:rFonts w:asciiTheme="majorHAnsi" w:hAnsiTheme="majorHAnsi"/>
          <w:lang w:val="en-US" w:eastAsia="en-AU"/>
        </w:rPr>
      </w:pPr>
      <w:r w:rsidRPr="00820C89">
        <w:rPr>
          <w:rFonts w:asciiTheme="majorHAnsi" w:hAnsiTheme="majorHAnsi"/>
          <w:lang w:val="en-US" w:eastAsia="en-AU"/>
        </w:rPr>
        <w:br w:type="page"/>
      </w:r>
    </w:p>
    <w:p w14:paraId="77617E48" w14:textId="77777777" w:rsidR="00374C55" w:rsidRPr="00820C89" w:rsidRDefault="00C86626" w:rsidP="00374C55">
      <w:pPr>
        <w:pStyle w:val="Heading11"/>
        <w:rPr>
          <w:rFonts w:asciiTheme="majorHAnsi" w:hAnsiTheme="majorHAnsi"/>
        </w:rPr>
      </w:pPr>
      <w:bookmarkStart w:id="184" w:name="_Toc55495160"/>
      <w:bookmarkStart w:id="185" w:name="_Toc57022919"/>
      <w:bookmarkStart w:id="186" w:name="_Toc82710792"/>
      <w:bookmarkStart w:id="187" w:name="_Toc101343311"/>
      <w:r w:rsidRPr="00820C89">
        <w:rPr>
          <w:rFonts w:eastAsia="Times New Roman" w:cs="Arial"/>
          <w:bCs w:val="0"/>
          <w:szCs w:val="20"/>
        </w:rPr>
        <w:lastRenderedPageBreak/>
        <w:t xml:space="preserve">Appendix </w:t>
      </w:r>
      <w:r w:rsidR="005D649A" w:rsidRPr="00820C89">
        <w:rPr>
          <w:rFonts w:eastAsia="Times New Roman" w:cs="Arial"/>
          <w:bCs w:val="0"/>
          <w:szCs w:val="20"/>
        </w:rPr>
        <w:t>A</w:t>
      </w:r>
      <w:r w:rsidRPr="00820C89">
        <w:rPr>
          <w:rFonts w:asciiTheme="majorHAnsi" w:hAnsiTheme="majorHAnsi"/>
        </w:rPr>
        <w:t>: Literature scan</w:t>
      </w:r>
      <w:bookmarkEnd w:id="184"/>
      <w:bookmarkEnd w:id="185"/>
      <w:bookmarkEnd w:id="186"/>
      <w:bookmarkEnd w:id="187"/>
    </w:p>
    <w:p w14:paraId="1790FDAE" w14:textId="32B0F9B9" w:rsidR="0032229B" w:rsidRPr="001656D4" w:rsidRDefault="00065E15" w:rsidP="001656D4">
      <w:pPr>
        <w:pStyle w:val="Appendixhead2"/>
        <w:numPr>
          <w:ilvl w:val="0"/>
          <w:numId w:val="0"/>
        </w:numPr>
        <w:tabs>
          <w:tab w:val="clear" w:pos="851"/>
        </w:tabs>
        <w:rPr>
          <w:rFonts w:eastAsiaTheme="minorHAnsi" w:cstheme="minorBidi"/>
          <w:bCs/>
          <w:i/>
          <w:iCs/>
          <w:color w:val="auto"/>
          <w:sz w:val="18"/>
          <w:szCs w:val="18"/>
          <w:lang w:eastAsia="en-US"/>
        </w:rPr>
      </w:pPr>
      <w:bookmarkStart w:id="188" w:name="_Toc57053499"/>
      <w:r w:rsidRPr="001656D4">
        <w:rPr>
          <w:rFonts w:eastAsiaTheme="minorHAnsi" w:cstheme="minorBidi"/>
          <w:bCs/>
          <w:i/>
          <w:iCs/>
          <w:color w:val="auto"/>
          <w:sz w:val="18"/>
          <w:szCs w:val="18"/>
          <w:lang w:eastAsia="en-US"/>
        </w:rPr>
        <w:t xml:space="preserve">Note that this literature scan was finalised in November </w:t>
      </w:r>
      <w:r w:rsidR="006839DC" w:rsidRPr="001656D4">
        <w:rPr>
          <w:rFonts w:eastAsiaTheme="minorHAnsi" w:cstheme="minorBidi"/>
          <w:bCs/>
          <w:i/>
          <w:iCs/>
          <w:color w:val="auto"/>
          <w:sz w:val="18"/>
          <w:szCs w:val="18"/>
          <w:lang w:eastAsia="en-US"/>
        </w:rPr>
        <w:t>2020 and has not been updated to reflect any subsequent policy announcements or changes.</w:t>
      </w:r>
    </w:p>
    <w:p w14:paraId="7236851E" w14:textId="0F88B305" w:rsidR="00AA7248" w:rsidRPr="00820C89" w:rsidRDefault="00AA7248" w:rsidP="00E2403C">
      <w:pPr>
        <w:pStyle w:val="Appendixhead2"/>
        <w:ind w:left="794" w:hanging="794"/>
        <w:outlineLvl w:val="1"/>
      </w:pPr>
      <w:r w:rsidRPr="00820C89">
        <w:t>Introduction</w:t>
      </w:r>
      <w:bookmarkEnd w:id="188"/>
      <w:r w:rsidRPr="00820C89">
        <w:t xml:space="preserve"> </w:t>
      </w:r>
    </w:p>
    <w:p w14:paraId="309DBE92" w14:textId="77777777" w:rsidR="00AA7248" w:rsidRPr="00820C89" w:rsidRDefault="00AA7248" w:rsidP="00AA7248">
      <w:r w:rsidRPr="00820C89">
        <w:t xml:space="preserve">This literature scan forms part of the analysis completed for the Indigenous Employment Programs (IEP) evaluation. In scope for this evaluation is a package of three Commonwealth funded IEPs seeking to deliver improved outcomes for Indigenous Australians, including Vocational Training and Employment Centres (VTECs), the Employment Parity Initiative (EPI) and Tailored Assistance Employment Grants (TAEG). These three initiatives have different program designs and are intended to support Indigenous jobseekers/employees, as well as employers, in generating employment outcomes. </w:t>
      </w:r>
    </w:p>
    <w:p w14:paraId="2EA4A575" w14:textId="77777777" w:rsidR="00AA7248" w:rsidRPr="00820C89" w:rsidRDefault="00AA7248" w:rsidP="00AA7248">
      <w:r w:rsidRPr="00820C89">
        <w:t xml:space="preserve">The aim of this literature scan is to identify the key design and implementation features of effective IEPs. This literature scan has been a living document throughout the course of the project engagement. It has been continuously built upon and supplemented with additional sources throughout the evaluation. </w:t>
      </w:r>
    </w:p>
    <w:p w14:paraId="7D6C38BD" w14:textId="77777777" w:rsidR="00AA7248" w:rsidRPr="00820C89" w:rsidRDefault="00AA7248" w:rsidP="00AA7248">
      <w:r w:rsidRPr="00820C89">
        <w:t>The literature scan was guided by key research questions which aim to understand:</w:t>
      </w:r>
    </w:p>
    <w:p w14:paraId="3BC9B68D" w14:textId="77777777" w:rsidR="00AA7248" w:rsidRPr="00820C89" w:rsidRDefault="00AA7248" w:rsidP="00AA7248">
      <w:pPr>
        <w:pStyle w:val="ListBullet"/>
        <w:spacing w:before="60" w:after="60"/>
        <w:contextualSpacing w:val="0"/>
      </w:pPr>
      <w:r w:rsidRPr="00820C89">
        <w:t>key learnings from past Indigenous employment initiatives, with a focus on parity, wrap around support and training and employment.</w:t>
      </w:r>
    </w:p>
    <w:p w14:paraId="446D1DDB" w14:textId="77777777" w:rsidR="00AA7248" w:rsidRPr="00820C89" w:rsidRDefault="00AA7248" w:rsidP="00AA7248">
      <w:pPr>
        <w:pStyle w:val="ListBullet"/>
        <w:spacing w:before="60" w:after="60"/>
        <w:contextualSpacing w:val="0"/>
      </w:pPr>
      <w:r w:rsidRPr="00820C89">
        <w:t>perspectives of Indigenous Australian</w:t>
      </w:r>
      <w:r w:rsidRPr="00820C89">
        <w:rPr>
          <w:rStyle w:val="FootnoteReference"/>
        </w:rPr>
        <w:footnoteReference w:id="73"/>
      </w:r>
      <w:r w:rsidRPr="00820C89">
        <w:t>jobseekers and employees and perspectives of employers regarding their IEP experiences</w:t>
      </w:r>
    </w:p>
    <w:p w14:paraId="291F4436" w14:textId="77777777" w:rsidR="00AA7248" w:rsidRPr="00820C89" w:rsidRDefault="00AA7248" w:rsidP="00AA7248">
      <w:pPr>
        <w:pStyle w:val="ListBullet"/>
        <w:spacing w:before="60" w:after="60"/>
        <w:contextualSpacing w:val="0"/>
      </w:pPr>
      <w:r w:rsidRPr="00820C89">
        <w:t xml:space="preserve">expected outcomes of Government employment programs in general, and how these compare with those designed for Indigenous Australians </w:t>
      </w:r>
    </w:p>
    <w:p w14:paraId="2F888371" w14:textId="77777777" w:rsidR="00AA7248" w:rsidRPr="00820C89" w:rsidRDefault="00AA7248" w:rsidP="00AA7248">
      <w:pPr>
        <w:pStyle w:val="ListBullet"/>
        <w:spacing w:before="60" w:after="60"/>
        <w:contextualSpacing w:val="0"/>
      </w:pPr>
      <w:r w:rsidRPr="00820C89">
        <w:t>key success factors and principles underpinning successful Indigenous Australian initiatives</w:t>
      </w:r>
    </w:p>
    <w:p w14:paraId="232745E4" w14:textId="77777777" w:rsidR="00AA7248" w:rsidRPr="00820C89" w:rsidRDefault="00AA7248" w:rsidP="00AA7248">
      <w:pPr>
        <w:pStyle w:val="ListBullet"/>
        <w:spacing w:before="60" w:after="60"/>
        <w:contextualSpacing w:val="0"/>
      </w:pPr>
      <w:r w:rsidRPr="00820C89">
        <w:t xml:space="preserve">the limitations of existing literature </w:t>
      </w:r>
    </w:p>
    <w:p w14:paraId="34B10C61" w14:textId="77777777" w:rsidR="00AA7248" w:rsidRPr="00820C89" w:rsidRDefault="00AA7248" w:rsidP="00AA7248">
      <w:r w:rsidRPr="00820C89">
        <w:t xml:space="preserve">The search strategy involved gathering literature from a range of academic, employment and Indigenous specific databases and peer-reviewed journals, as well as grey literature. Relevant but broad search terms relating to IEPs, employment initiatives and key success factors for enhancing Indigenous employment were used. </w:t>
      </w:r>
    </w:p>
    <w:p w14:paraId="0734A2D5" w14:textId="77777777" w:rsidR="00AA7248" w:rsidRPr="00820C89" w:rsidRDefault="00AA7248" w:rsidP="00AA7248">
      <w:r w:rsidRPr="00820C89">
        <w:t>The outcomes of the search strategy identified over 50 papers, largely with a focus on qualitative research in relation to general employment initiatives to support Indigenous Australians to access and participate in employment. A large portion of the research was short-term rather than longitudinal, but nonetheless offers insights into trends of success and programmatic features and principles.</w:t>
      </w:r>
    </w:p>
    <w:p w14:paraId="095784B2" w14:textId="77777777" w:rsidR="00AA7248" w:rsidRPr="00820C89" w:rsidRDefault="00AA7248" w:rsidP="00AA7248">
      <w:r w:rsidRPr="00820C89">
        <w:t xml:space="preserve">The search methodology yielded limited results to allow differentiation between types of IEPs (such as those that focus on achieving parity, training or wrap around support). This means that this literature scan presents a generalised discussion of the features of effective IEPs. The literature scan also considers learnings from broader employment programs and successful Indigenous initiatives across sectors. </w:t>
      </w:r>
    </w:p>
    <w:p w14:paraId="7D8A66CB" w14:textId="77777777" w:rsidR="00AA7248" w:rsidRPr="00820C89" w:rsidRDefault="00AA7248" w:rsidP="00AA7248"/>
    <w:p w14:paraId="41967A8C" w14:textId="77777777" w:rsidR="00AA7248" w:rsidRPr="00820C89" w:rsidRDefault="00AA7248" w:rsidP="00AA7248"/>
    <w:p w14:paraId="44E82FFD" w14:textId="77777777" w:rsidR="00AA7248" w:rsidRPr="00820C89" w:rsidRDefault="00AA7248" w:rsidP="00E2403C">
      <w:pPr>
        <w:pStyle w:val="Appendixhead2"/>
        <w:ind w:left="794" w:hanging="794"/>
        <w:outlineLvl w:val="1"/>
      </w:pPr>
      <w:bookmarkStart w:id="189" w:name="_Toc57053500"/>
      <w:r w:rsidRPr="00820C89">
        <w:lastRenderedPageBreak/>
        <w:t>Policy and employment context</w:t>
      </w:r>
      <w:bookmarkEnd w:id="189"/>
    </w:p>
    <w:p w14:paraId="1A85E2AA" w14:textId="77777777" w:rsidR="00AA7248" w:rsidRPr="00820C89" w:rsidRDefault="00AA7248" w:rsidP="00AA7248">
      <w:r w:rsidRPr="00820C89">
        <w:t xml:space="preserve">This section establishes the rationale for Indigenous employment programs and provides a high level overview of past policy responses. </w:t>
      </w:r>
    </w:p>
    <w:p w14:paraId="1D5560DD" w14:textId="77777777" w:rsidR="00AA7248" w:rsidRPr="00820C89" w:rsidRDefault="00AA7248" w:rsidP="0058123A">
      <w:pPr>
        <w:pStyle w:val="Appendixhead3"/>
        <w:outlineLvl w:val="2"/>
      </w:pPr>
      <w:bookmarkStart w:id="190" w:name="_Ref53942133"/>
      <w:bookmarkStart w:id="191" w:name="_Toc57053501"/>
      <w:r w:rsidRPr="00820C89">
        <w:t>The challenge for Australia</w:t>
      </w:r>
      <w:bookmarkEnd w:id="190"/>
      <w:bookmarkEnd w:id="191"/>
      <w:r w:rsidRPr="00820C89">
        <w:t xml:space="preserve"> </w:t>
      </w:r>
    </w:p>
    <w:p w14:paraId="6F71AE3D" w14:textId="77777777" w:rsidR="00AA7248" w:rsidRPr="00820C89" w:rsidRDefault="00AA7248" w:rsidP="00AA7248">
      <w:r w:rsidRPr="00820C89">
        <w:t>When it comes to traditional employment outcomes, Indigenous Australians are among the most disadvantaged cohorts within Australian society. Sources of this disadvantage are numerous and systemic, influenced by historic policies of discrimination, including the removal – and ongoing removal – of Indigenous children and the consequential inter-generational trauma.</w:t>
      </w:r>
      <w:r w:rsidRPr="00820C89">
        <w:rPr>
          <w:rStyle w:val="FootnoteReference"/>
        </w:rPr>
        <w:footnoteReference w:id="74"/>
      </w:r>
      <w:r w:rsidRPr="00820C89">
        <w:t xml:space="preserve"> </w:t>
      </w:r>
    </w:p>
    <w:p w14:paraId="77363D96" w14:textId="77777777" w:rsidR="00AA7248" w:rsidRPr="00820C89" w:rsidRDefault="00AA7248" w:rsidP="00AA7248">
      <w:r w:rsidRPr="00820C89">
        <w:t>For the purposes of this research, disadvantage is reflected in Indigenous Australian’s differentiated access to, and participation in, meaningful employment programs and opportunity. These exclusions result in the participation rates, skills, qualifications and income reported by Indigenous Australians at far below the national average.</w:t>
      </w:r>
      <w:r w:rsidRPr="00820C89">
        <w:rPr>
          <w:rStyle w:val="FootnoteReference"/>
        </w:rPr>
        <w:footnoteReference w:id="75"/>
      </w:r>
      <w:r w:rsidRPr="00820C89">
        <w:t xml:space="preserve"> </w:t>
      </w:r>
    </w:p>
    <w:p w14:paraId="76E5A531" w14:textId="77777777" w:rsidR="00AA7248" w:rsidRPr="00820C89" w:rsidRDefault="00AA7248" w:rsidP="00AA7248">
      <w:r w:rsidRPr="00820C89">
        <w:t xml:space="preserve">Improving the health, education and employment outcomes of Indigenous Australians has been a national priority, particularly since the </w:t>
      </w:r>
      <w:r w:rsidRPr="00820C89">
        <w:rPr>
          <w:i/>
          <w:iCs/>
        </w:rPr>
        <w:t xml:space="preserve">Closing the Gap </w:t>
      </w:r>
      <w:r w:rsidRPr="00820C89">
        <w:t>initiative commenced in 2008. Over the past decade, the gap between Indigenous and non-Indigenous employment rates has slightly decreased (1.3 percentage points).</w:t>
      </w:r>
      <w:r w:rsidRPr="00820C89">
        <w:rPr>
          <w:rStyle w:val="FootnoteReference"/>
        </w:rPr>
        <w:footnoteReference w:id="76"/>
      </w:r>
      <w:r w:rsidRPr="00820C89">
        <w:t xml:space="preserve"> </w:t>
      </w:r>
      <w:r w:rsidRPr="00820C89">
        <w:rPr>
          <w:rStyle w:val="FootnoteReference"/>
        </w:rPr>
        <w:footnoteReference w:id="77"/>
      </w:r>
      <w:r w:rsidRPr="00820C89">
        <w:t xml:space="preserve"> This is due to both an increase in Indigenous employment rates and a slight decrease in non-Indigenous employment rates. The remaining gap, however, is stark, with the Indigenous employment rate at approximately 49 per cent compared to around 75 per cent for non-Indigenous Australians.</w:t>
      </w:r>
      <w:r w:rsidRPr="00820C89">
        <w:rPr>
          <w:rStyle w:val="FootnoteReference"/>
        </w:rPr>
        <w:footnoteReference w:id="78"/>
      </w:r>
      <w:r w:rsidRPr="00820C89">
        <w:t xml:space="preserve"> </w:t>
      </w:r>
      <w:r w:rsidRPr="00820C89">
        <w:rPr>
          <w:rStyle w:val="FootnoteReference"/>
        </w:rPr>
        <w:footnoteReference w:id="79"/>
      </w:r>
      <w:r w:rsidRPr="00820C89">
        <w:t xml:space="preserve"> </w:t>
      </w:r>
    </w:p>
    <w:p w14:paraId="62FF32D3" w14:textId="77777777" w:rsidR="00AA7248" w:rsidRPr="00820C89" w:rsidRDefault="00AA7248" w:rsidP="00AA7248">
      <w:r w:rsidRPr="00820C89">
        <w:t xml:space="preserve">Government funded IEPs have been in place since the 1970s, when the practice of distributing rations to Indigenous Australians ceased. This occurred following the 1967 Referendum, which culminated in a significant amendment to Section 51 or ‘the race power’ of the Constitution, giving the Commonwealth Government – for the first time – the power to make laws for Indigenous Australians, which was previously under State and Territory remit. Unfortunately, the limited impact of employment initiatives on reducing the gap to date indicates that a different approach is required to instigate change. </w:t>
      </w:r>
    </w:p>
    <w:p w14:paraId="734DA363" w14:textId="77777777" w:rsidR="00AA7248" w:rsidRPr="00820C89" w:rsidRDefault="00AA7248" w:rsidP="00AA7248">
      <w:r w:rsidRPr="00820C89">
        <w:t xml:space="preserve">Several intersecting factors are contributing to this low and persistent Indigenous employment rate, with many of these barriers stemming from the cultural attitudes, as well as policies and systems associated with Western colonisation. Despite these commonly experienced barriers to employment, Indigenous Australians should not be perceived as a homogenous group, as there is a significant variation in their culture, language, background and therefore experiences. As reported in the literature, some of these include:  </w:t>
      </w:r>
    </w:p>
    <w:p w14:paraId="04820BE6" w14:textId="77777777" w:rsidR="00AA7248" w:rsidRPr="00820C89" w:rsidRDefault="00AA7248" w:rsidP="00AA7248">
      <w:pPr>
        <w:pStyle w:val="ListBullet"/>
        <w:spacing w:before="60" w:after="60"/>
        <w:contextualSpacing w:val="0"/>
      </w:pPr>
      <w:r w:rsidRPr="00820C89">
        <w:t>persistent low literacy and numeracy, particularly in remote communities, due to sustained barriers to education;</w:t>
      </w:r>
      <w:r w:rsidRPr="00820C89">
        <w:rPr>
          <w:rStyle w:val="FootnoteReference"/>
        </w:rPr>
        <w:footnoteReference w:id="80"/>
      </w:r>
      <w:r w:rsidRPr="00820C89">
        <w:t xml:space="preserve">  </w:t>
      </w:r>
    </w:p>
    <w:p w14:paraId="0C0F1EA5" w14:textId="77777777" w:rsidR="00AA7248" w:rsidRPr="00820C89" w:rsidRDefault="00AA7248" w:rsidP="00AA7248">
      <w:pPr>
        <w:pStyle w:val="ListBullet"/>
        <w:spacing w:before="60" w:after="60"/>
        <w:contextualSpacing w:val="0"/>
      </w:pPr>
      <w:r w:rsidRPr="00820C89">
        <w:t>the tension between ‘mainstream’ employment norms and expectations and pressures with Indigenous family and cultural responsibility, which is often viewed as a primary obligation;</w:t>
      </w:r>
      <w:r w:rsidRPr="00820C89">
        <w:rPr>
          <w:rStyle w:val="FootnoteReference"/>
        </w:rPr>
        <w:footnoteReference w:id="81"/>
      </w:r>
      <w:r w:rsidRPr="00820C89">
        <w:t xml:space="preserve"> and </w:t>
      </w:r>
    </w:p>
    <w:p w14:paraId="3B175A3C" w14:textId="77777777" w:rsidR="00AA7248" w:rsidRPr="00820C89" w:rsidRDefault="00AA7248" w:rsidP="00AA7248">
      <w:pPr>
        <w:pStyle w:val="ListBullet"/>
        <w:spacing w:before="60" w:after="60"/>
        <w:contextualSpacing w:val="0"/>
      </w:pPr>
      <w:r w:rsidRPr="00820C89">
        <w:lastRenderedPageBreak/>
        <w:t>enduring trends of poor health amongst Indigenous Australians, including major chronic diseases and poor self-assessed health status, which have a strong negative relationship with employment participation.</w:t>
      </w:r>
      <w:r w:rsidRPr="00820C89">
        <w:rPr>
          <w:rStyle w:val="FootnoteReference"/>
        </w:rPr>
        <w:footnoteReference w:id="82"/>
      </w:r>
      <w:r w:rsidRPr="00820C89">
        <w:t xml:space="preserve"> </w:t>
      </w:r>
    </w:p>
    <w:p w14:paraId="09ED95C7" w14:textId="77777777" w:rsidR="00AA7248" w:rsidRPr="00820C89" w:rsidRDefault="00AA7248" w:rsidP="00AA7248">
      <w:pPr>
        <w:rPr>
          <w:lang w:val="da-DK"/>
        </w:rPr>
      </w:pPr>
      <w:r w:rsidRPr="00820C89">
        <w:t>Research has highlighted that macroeconomic conditions also influence Indigenous employment outcomes. In Australia, strong macro-economic conditions supported growth in Indigenous employment between 1994-2008</w:t>
      </w:r>
      <w:r w:rsidRPr="00820C89">
        <w:rPr>
          <w:lang w:val="da-DK"/>
        </w:rPr>
        <w:t>.</w:t>
      </w:r>
      <w:r w:rsidRPr="00820C89">
        <w:rPr>
          <w:rStyle w:val="FootnoteReference"/>
        </w:rPr>
        <w:footnoteReference w:id="83"/>
      </w:r>
      <w:r w:rsidRPr="00820C89">
        <w:rPr>
          <w:lang w:val="da-DK"/>
        </w:rPr>
        <w:t xml:space="preserve"> Conversely, Indigenous Australian employment levels are more prone to being impacted by economic downturns when compared to non-Indigenous Australians, largely due to Indigenous Australians having lower levels of human capital (education or skill level).</w:t>
      </w:r>
      <w:r w:rsidRPr="00820C89">
        <w:rPr>
          <w:rStyle w:val="FootnoteReference"/>
        </w:rPr>
        <w:footnoteReference w:id="84"/>
      </w:r>
    </w:p>
    <w:p w14:paraId="7A97AEEF" w14:textId="77777777" w:rsidR="00AA7248" w:rsidRPr="00820C89" w:rsidRDefault="00AA7248" w:rsidP="00AA7248">
      <w:pPr>
        <w:rPr>
          <w:lang w:val="da-DK"/>
        </w:rPr>
      </w:pPr>
      <w:r w:rsidRPr="00820C89">
        <w:rPr>
          <w:lang w:val="da-DK"/>
        </w:rPr>
        <w:t>By the time Indigneous Australian's reach employment age, there is limited opportunity to redress risk factors and barriers. As such, early intervention and prevention strategies - such as those focused in education and pathways, are useful considerations. Educational participation and engagement remains one of the most influential factors to augment the Indigenous employment rate, but these programs have not been considered as part of this literature scan.</w:t>
      </w:r>
      <w:r w:rsidRPr="00820C89">
        <w:rPr>
          <w:rStyle w:val="FootnoteReference"/>
        </w:rPr>
        <w:footnoteReference w:id="85"/>
      </w:r>
      <w:r w:rsidRPr="00820C89">
        <w:rPr>
          <w:lang w:val="da-DK"/>
        </w:rPr>
        <w:t xml:space="preserve"> Studies have demonstrated that education coincides with growth in employment – when Indigneous and non-Indigneous Australians have the same level of education, the employment gap is significantly reduced.</w:t>
      </w:r>
      <w:r w:rsidRPr="00820C89">
        <w:rPr>
          <w:rStyle w:val="FootnoteReference"/>
        </w:rPr>
        <w:footnoteReference w:id="86"/>
      </w:r>
      <w:r w:rsidRPr="00820C89">
        <w:rPr>
          <w:lang w:val="da-DK"/>
        </w:rPr>
        <w:t xml:space="preserve"> </w:t>
      </w:r>
    </w:p>
    <w:p w14:paraId="281EF725" w14:textId="77777777" w:rsidR="00AA7248" w:rsidRPr="00820C89" w:rsidRDefault="00AA7248" w:rsidP="00AA7248">
      <w:pPr>
        <w:rPr>
          <w:lang w:val="da-DK"/>
        </w:rPr>
      </w:pPr>
      <w:r w:rsidRPr="00820C89">
        <w:rPr>
          <w:lang w:val="da-DK"/>
        </w:rPr>
        <w:t xml:space="preserve">However, </w:t>
      </w:r>
      <w:r w:rsidRPr="00820C89">
        <w:t>Indigenous employment and education and training opportunities also vary depending on location.</w:t>
      </w:r>
      <w:r w:rsidRPr="00820C89">
        <w:rPr>
          <w:rStyle w:val="FootnoteReference"/>
        </w:rPr>
        <w:footnoteReference w:id="87"/>
      </w:r>
      <w:r w:rsidRPr="00820C89">
        <w:t xml:space="preserve"> In remote communities, levels of low Indigenous educational attainment are more pronounced, and fewer vocational education and training opportunities are offered in remote communities.</w:t>
      </w:r>
      <w:r w:rsidRPr="00820C89">
        <w:rPr>
          <w:rStyle w:val="FootnoteReference"/>
        </w:rPr>
        <w:footnoteReference w:id="88"/>
      </w:r>
      <w:r w:rsidRPr="00820C89">
        <w:t xml:space="preserve"> Coupled with a weak labour market, remote communities continue to face the highest levels of long-term Indigenous unemployment.</w:t>
      </w:r>
    </w:p>
    <w:p w14:paraId="46FC04B5" w14:textId="77777777" w:rsidR="00AA7248" w:rsidRPr="00820C89" w:rsidRDefault="00AA7248" w:rsidP="00E2403C">
      <w:pPr>
        <w:pStyle w:val="Appendixhead3"/>
        <w:outlineLvl w:val="2"/>
      </w:pPr>
      <w:bookmarkStart w:id="192" w:name="_Toc57053502"/>
      <w:r w:rsidRPr="00820C89">
        <w:t>The response to date</w:t>
      </w:r>
      <w:bookmarkEnd w:id="192"/>
    </w:p>
    <w:p w14:paraId="4D4D6B6B" w14:textId="77777777" w:rsidR="00AA7248" w:rsidRPr="00820C89" w:rsidRDefault="00AA7248" w:rsidP="0058123A">
      <w:pPr>
        <w:pStyle w:val="Heading31"/>
        <w:outlineLvl w:val="3"/>
      </w:pPr>
      <w:bookmarkStart w:id="193" w:name="_Toc57053503"/>
      <w:r w:rsidRPr="00820C89">
        <w:t>Overview of the response</w:t>
      </w:r>
      <w:bookmarkEnd w:id="193"/>
    </w:p>
    <w:p w14:paraId="2E1ED5A4" w14:textId="51C25368" w:rsidR="00AA7248" w:rsidRPr="00820C89" w:rsidRDefault="00AA7248" w:rsidP="00AA7248">
      <w:r w:rsidRPr="00820C89">
        <w:t xml:space="preserve">Since the 1967 Referendum, the Australian Government has prioritised Indigenous employment, with a number of policies and programs being implemented. </w:t>
      </w:r>
      <w:r w:rsidRPr="00820C89">
        <w:fldChar w:fldCharType="begin"/>
      </w:r>
      <w:r w:rsidRPr="00820C89">
        <w:instrText xml:space="preserve"> REF _Ref55929264 \r \h </w:instrText>
      </w:r>
      <w:r w:rsidR="00820C89">
        <w:instrText xml:space="preserve"> \* MERGEFORMAT </w:instrText>
      </w:r>
      <w:r w:rsidRPr="00820C89">
        <w:fldChar w:fldCharType="separate"/>
      </w:r>
      <w:r w:rsidR="008565C8">
        <w:t>Figure A.1</w:t>
      </w:r>
      <w:r w:rsidRPr="00820C89">
        <w:fldChar w:fldCharType="end"/>
      </w:r>
      <w:r w:rsidRPr="00820C89">
        <w:t xml:space="preserve"> outlines the evolution of key Commonwealth employment policies and initiatives – relating to both Indigenous and mainstream cohorts – and includes reference to some of the seminal reviews that informed subsequent shifts in policy. </w:t>
      </w:r>
      <w:r w:rsidR="003062B6" w:rsidRPr="00820C89">
        <w:t xml:space="preserve">Table A.1 </w:t>
      </w:r>
      <w:r w:rsidRPr="00820C89">
        <w:t xml:space="preserve">builds on </w:t>
      </w:r>
      <w:r w:rsidRPr="00820C89">
        <w:fldChar w:fldCharType="begin"/>
      </w:r>
      <w:r w:rsidRPr="00820C89">
        <w:instrText xml:space="preserve"> REF _Ref55929264 \r \h </w:instrText>
      </w:r>
      <w:r w:rsidR="00820C89">
        <w:instrText xml:space="preserve"> \* MERGEFORMAT </w:instrText>
      </w:r>
      <w:r w:rsidRPr="00820C89">
        <w:fldChar w:fldCharType="separate"/>
      </w:r>
      <w:r w:rsidR="008565C8">
        <w:t>Figure A.1</w:t>
      </w:r>
      <w:r w:rsidRPr="00820C89">
        <w:fldChar w:fldCharType="end"/>
      </w:r>
      <w:r w:rsidRPr="00820C89">
        <w:t xml:space="preserve"> by providing a more detailed outline of the key policy/program changes and key features. Having established the key shifts in policy and programs, the subsequent discussion further details the reasoning and rationale for these shifts in policy over time. </w:t>
      </w:r>
    </w:p>
    <w:p w14:paraId="6FF6D263" w14:textId="3C5F6781" w:rsidR="00AA7248" w:rsidRPr="00820C89" w:rsidRDefault="00AA7248" w:rsidP="00AA7248">
      <w:r w:rsidRPr="00820C89">
        <w:rPr>
          <w:b/>
          <w:bCs/>
        </w:rPr>
        <w:t>Current IEPs should be understood as having evolved from long-standing Indigenous employment policies and approaches, which have shifted over time in response to a range of factors</w:t>
      </w:r>
      <w:r w:rsidRPr="00820C89">
        <w:t>, including labour market conditions, evaluations and inquiries, and the direction of mainstream employment programs. The graphic below includes key mainstream services</w:t>
      </w:r>
      <w:r w:rsidR="004D0695" w:rsidRPr="00820C89">
        <w:t xml:space="preserve"> (such as the Job Network and jobactive)</w:t>
      </w:r>
      <w:r w:rsidRPr="00820C89">
        <w:t xml:space="preserve"> in addition to IEPs, noting that while these are not tailored specifically to Indigenous jobseekers, they do provide service to many individuals (including Indigenous Australians), and IEPs are often designed to be complementary to these mainstream services. Jobactive and the Community Development Program (CDP) are the mainstream programs that are currently in operation and the three in-scope IEPs for this evaluation include VTECs, EPI and </w:t>
      </w:r>
      <w:r w:rsidRPr="00820C89">
        <w:lastRenderedPageBreak/>
        <w:t>TAEG. The New Employment Services Model (NESM) is also included in this illustration, as the Australian Government has announced in March 2019 that the NESM would replace jobactive.</w:t>
      </w:r>
    </w:p>
    <w:p w14:paraId="6AF209B0" w14:textId="44BB8D31" w:rsidR="00AA7248" w:rsidRPr="00820C89" w:rsidRDefault="00AA7248" w:rsidP="00AA7248">
      <w:r w:rsidRPr="00820C89">
        <w:t xml:space="preserve">Note that, for visual clarity, the following additional acronyms/initialisms are utilised in the </w:t>
      </w:r>
      <w:r w:rsidRPr="00820C89">
        <w:fldChar w:fldCharType="begin"/>
      </w:r>
      <w:r w:rsidRPr="00820C89">
        <w:instrText xml:space="preserve"> REF _Ref55929264 \r \h </w:instrText>
      </w:r>
      <w:r w:rsidR="00820C89">
        <w:instrText xml:space="preserve"> \* MERGEFORMAT </w:instrText>
      </w:r>
      <w:r w:rsidRPr="00820C89">
        <w:fldChar w:fldCharType="separate"/>
      </w:r>
      <w:r w:rsidR="008565C8">
        <w:t>Figure A.1</w:t>
      </w:r>
      <w:r w:rsidRPr="00820C89">
        <w:fldChar w:fldCharType="end"/>
      </w:r>
      <w:r w:rsidRPr="00820C89">
        <w:t xml:space="preserve"> below:</w:t>
      </w:r>
    </w:p>
    <w:p w14:paraId="626A8A2A" w14:textId="77777777" w:rsidR="00AA7248" w:rsidRPr="00820C89" w:rsidRDefault="00AA7248" w:rsidP="00715F70">
      <w:pPr>
        <w:pStyle w:val="ListParagraph"/>
        <w:numPr>
          <w:ilvl w:val="0"/>
          <w:numId w:val="102"/>
        </w:numPr>
        <w:spacing w:before="170"/>
      </w:pPr>
      <w:r w:rsidRPr="00820C89">
        <w:t>Community Development and Employment Program (CDEP)</w:t>
      </w:r>
    </w:p>
    <w:p w14:paraId="2C435662" w14:textId="77777777" w:rsidR="00AA7248" w:rsidRPr="00820C89" w:rsidRDefault="00AA7248" w:rsidP="00715F70">
      <w:pPr>
        <w:pStyle w:val="ListParagraph"/>
        <w:numPr>
          <w:ilvl w:val="0"/>
          <w:numId w:val="102"/>
        </w:numPr>
        <w:spacing w:before="170"/>
      </w:pPr>
      <w:r w:rsidRPr="00820C89">
        <w:t>Australian Employment Development (AED) Policy</w:t>
      </w:r>
    </w:p>
    <w:p w14:paraId="2E55C15F" w14:textId="77777777" w:rsidR="00AA7248" w:rsidRPr="00820C89" w:rsidRDefault="00AA7248" w:rsidP="00715F70">
      <w:pPr>
        <w:pStyle w:val="ListParagraph"/>
        <w:numPr>
          <w:ilvl w:val="0"/>
          <w:numId w:val="102"/>
        </w:numPr>
        <w:spacing w:before="170"/>
      </w:pPr>
      <w:r w:rsidRPr="00820C89">
        <w:t>Fortescue Metal Group (FMG)</w:t>
      </w:r>
    </w:p>
    <w:p w14:paraId="2AE83633" w14:textId="77777777" w:rsidR="00AA7248" w:rsidRPr="00820C89" w:rsidRDefault="00AA7248" w:rsidP="00715F70">
      <w:pPr>
        <w:pStyle w:val="ListParagraph"/>
        <w:numPr>
          <w:ilvl w:val="0"/>
          <w:numId w:val="102"/>
        </w:numPr>
        <w:spacing w:before="170"/>
      </w:pPr>
      <w:r w:rsidRPr="00820C89">
        <w:t>Australian Employment Covenant (AEC)</w:t>
      </w:r>
    </w:p>
    <w:p w14:paraId="29741074" w14:textId="77777777" w:rsidR="00AA7248" w:rsidRPr="00820C89" w:rsidRDefault="00AA7248" w:rsidP="00715F70">
      <w:pPr>
        <w:pStyle w:val="ListParagraph"/>
        <w:numPr>
          <w:ilvl w:val="0"/>
          <w:numId w:val="102"/>
        </w:numPr>
        <w:spacing w:before="170"/>
      </w:pPr>
      <w:r w:rsidRPr="00820C89">
        <w:t>Job Services Australia (JSA)</w:t>
      </w:r>
    </w:p>
    <w:p w14:paraId="64A80862" w14:textId="77777777" w:rsidR="00AA7248" w:rsidRPr="00820C89" w:rsidRDefault="00AA7248" w:rsidP="00715F70">
      <w:pPr>
        <w:pStyle w:val="ListParagraph"/>
        <w:numPr>
          <w:ilvl w:val="0"/>
          <w:numId w:val="102"/>
        </w:numPr>
        <w:spacing w:before="170"/>
      </w:pPr>
      <w:r w:rsidRPr="00820C89">
        <w:rPr>
          <w:lang w:val="en-GB"/>
        </w:rPr>
        <w:t>Remote Jobs and Communities Program (RJCP)</w:t>
      </w:r>
    </w:p>
    <w:p w14:paraId="1D567411" w14:textId="77777777" w:rsidR="00AA7248" w:rsidRPr="00820C89" w:rsidRDefault="00AA7248" w:rsidP="00715F70">
      <w:pPr>
        <w:pStyle w:val="ListParagraph"/>
        <w:numPr>
          <w:ilvl w:val="0"/>
          <w:numId w:val="102"/>
        </w:numPr>
        <w:spacing w:before="170"/>
      </w:pPr>
      <w:r w:rsidRPr="00820C89">
        <w:t>Indigenous Advancement Strategy (IAS)</w:t>
      </w:r>
    </w:p>
    <w:p w14:paraId="18AF6933" w14:textId="77777777" w:rsidR="00AA7248" w:rsidRPr="00820C89" w:rsidRDefault="00AA7248" w:rsidP="00715F70">
      <w:pPr>
        <w:pStyle w:val="ListParagraph"/>
        <w:numPr>
          <w:ilvl w:val="0"/>
          <w:numId w:val="102"/>
        </w:numPr>
        <w:spacing w:before="170"/>
      </w:pPr>
      <w:r w:rsidRPr="00820C89">
        <w:t>New Employment Services Model (NESM)</w:t>
      </w:r>
    </w:p>
    <w:p w14:paraId="1C6385C6" w14:textId="77777777" w:rsidR="00AA7248" w:rsidRPr="006A04F6" w:rsidRDefault="00AA7248" w:rsidP="00715F70">
      <w:pPr>
        <w:pStyle w:val="AppendixFigureCaption"/>
        <w:outlineLvl w:val="3"/>
      </w:pPr>
      <w:bookmarkStart w:id="194" w:name="_Ref55929264"/>
      <w:r w:rsidRPr="006A04F6">
        <w:t xml:space="preserve">: The evolution of key Commonwealth employment initiatives </w:t>
      </w:r>
      <w:bookmarkEnd w:id="194"/>
    </w:p>
    <w:p w14:paraId="310FB1E8" w14:textId="77777777" w:rsidR="00AA7248" w:rsidRPr="00820C89" w:rsidRDefault="00AA7248" w:rsidP="00AA7248">
      <w:r w:rsidRPr="00820C89">
        <w:rPr>
          <w:noProof/>
          <w:lang w:eastAsia="en-AU"/>
        </w:rPr>
        <w:drawing>
          <wp:inline distT="0" distB="0" distL="0" distR="0" wp14:anchorId="1D25A03A" wp14:editId="1B126AF6">
            <wp:extent cx="5869305" cy="5450840"/>
            <wp:effectExtent l="0" t="0" r="0" b="0"/>
            <wp:docPr id="7" name="Picture 7" descr="Figure A.1 provides a timeline of commonwealth employment initiatives.&#10;&#10;CDEP existed from 1977 to 2013&#10;the AED Policy existed from 1987 to 1999&#10;the working nation initiative existed from 1994 - 1996&#10;Job network existed from 1998 to 2009&#10;the Indigenous Employment policy began in 1999 and is still in effect&#10;the VTEC in operation at FMG existed from 2006 to 2014&#10;The closing the Gap and the Closing the gap refresh existed from 2008 and is still active&#10;the AEC has existed from 2008 and is still active&#10;the JAS existed from 2009 to 2015]&#10;the Indigenous Economic Development Strategy existed from 2011 through to 2018&#10;the RJCP existed from 2013 to 2015&#10;the IAS existed from 2014 and is still active&#10;VTEC began in 2014 and is still active&#10;Jobactive, CDP and EPI began in 2015 and are still active&#10;TAEG began in 2016 and is still active&#10;NESM began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69305" cy="5450840"/>
                    </a:xfrm>
                    <a:prstGeom prst="rect">
                      <a:avLst/>
                    </a:prstGeom>
                    <a:noFill/>
                    <a:ln>
                      <a:noFill/>
                    </a:ln>
                  </pic:spPr>
                </pic:pic>
              </a:graphicData>
            </a:graphic>
          </wp:inline>
        </w:drawing>
      </w:r>
    </w:p>
    <w:p w14:paraId="4228D4DE" w14:textId="77777777" w:rsidR="00AA7248" w:rsidRPr="00820C89" w:rsidRDefault="00AA7248" w:rsidP="004111EA">
      <w:pPr>
        <w:pStyle w:val="Source"/>
      </w:pPr>
      <w:bookmarkStart w:id="195" w:name="_Ref37086441"/>
      <w:r w:rsidRPr="00820C89">
        <w:t>Source: Deloitte Access Economics (2020).</w:t>
      </w:r>
    </w:p>
    <w:p w14:paraId="14FB31B1" w14:textId="2A2F5774" w:rsidR="00AA7248" w:rsidRPr="0058123A" w:rsidRDefault="0058123A" w:rsidP="00AA7248">
      <w:pPr>
        <w:tabs>
          <w:tab w:val="left" w:pos="2760"/>
        </w:tabs>
        <w:rPr>
          <w:iCs/>
          <w:color w:val="75787B" w:themeColor="accent6"/>
          <w:sz w:val="14"/>
        </w:rPr>
        <w:sectPr w:rsidR="00AA7248" w:rsidRPr="0058123A" w:rsidSect="00494038">
          <w:headerReference w:type="even" r:id="rId79"/>
          <w:headerReference w:type="default" r:id="rId80"/>
          <w:footerReference w:type="default" r:id="rId81"/>
          <w:headerReference w:type="first" r:id="rId82"/>
          <w:pgSz w:w="11906" w:h="16838" w:code="9"/>
          <w:pgMar w:top="1985" w:right="1983" w:bottom="1134" w:left="680" w:header="680" w:footer="425" w:gutter="0"/>
          <w:cols w:space="284"/>
          <w:noEndnote/>
          <w:docGrid w:linePitch="360"/>
        </w:sectPr>
      </w:pPr>
      <w:r>
        <w:rPr>
          <w:iCs/>
          <w:color w:val="75787B" w:themeColor="accent6"/>
          <w:sz w:val="14"/>
        </w:rPr>
        <w:tab/>
      </w:r>
    </w:p>
    <w:p w14:paraId="03ADFEFD" w14:textId="47C4AEDA" w:rsidR="00AA7248" w:rsidRPr="00820C89" w:rsidRDefault="00AA7248" w:rsidP="0058123A">
      <w:pPr>
        <w:pStyle w:val="CaptionTable"/>
        <w:numPr>
          <w:ilvl w:val="0"/>
          <w:numId w:val="0"/>
        </w:numPr>
        <w:tabs>
          <w:tab w:val="left" w:pos="2760"/>
        </w:tabs>
      </w:pPr>
      <w:bookmarkStart w:id="196" w:name="_Ref54025280"/>
      <w:bookmarkStart w:id="197" w:name="_Ref55979889"/>
    </w:p>
    <w:p w14:paraId="451BDF6A" w14:textId="77777777" w:rsidR="00AA7248" w:rsidRPr="00820C89" w:rsidRDefault="00AA7248" w:rsidP="00715F70">
      <w:pPr>
        <w:pStyle w:val="AppendixTableCaption"/>
        <w:outlineLvl w:val="3"/>
      </w:pPr>
      <w:r w:rsidRPr="00820C89">
        <w:t>: Evolution of employment policies and policy reviews</w:t>
      </w:r>
      <w:bookmarkEnd w:id="196"/>
      <w:bookmarkEnd w:id="197"/>
      <w:r w:rsidRPr="00820C89">
        <w:t xml:space="preserve"> affecting Indigenous Australians</w:t>
      </w:r>
    </w:p>
    <w:tbl>
      <w:tblPr>
        <w:tblStyle w:val="Deloittetable"/>
        <w:tblW w:w="15451" w:type="dxa"/>
        <w:tblLayout w:type="fixed"/>
        <w:tblCellMar>
          <w:top w:w="0" w:type="dxa"/>
          <w:bottom w:w="0" w:type="dxa"/>
        </w:tblCellMar>
        <w:tblLook w:val="04A0" w:firstRow="1" w:lastRow="0" w:firstColumn="1" w:lastColumn="0" w:noHBand="0" w:noVBand="1"/>
      </w:tblPr>
      <w:tblGrid>
        <w:gridCol w:w="1134"/>
        <w:gridCol w:w="4536"/>
        <w:gridCol w:w="1276"/>
        <w:gridCol w:w="8505"/>
      </w:tblGrid>
      <w:tr w:rsidR="00AA7248" w:rsidRPr="00820C89" w14:paraId="064B317D" w14:textId="77777777" w:rsidTr="00494038">
        <w:trPr>
          <w:cnfStyle w:val="100000000000" w:firstRow="1" w:lastRow="0" w:firstColumn="0" w:lastColumn="0" w:oddVBand="0" w:evenVBand="0" w:oddHBand="0" w:evenHBand="0" w:firstRowFirstColumn="0" w:firstRowLastColumn="0" w:lastRowFirstColumn="0" w:lastRowLastColumn="0"/>
          <w:tblHeader/>
        </w:trPr>
        <w:tc>
          <w:tcPr>
            <w:tcW w:w="1134" w:type="dxa"/>
          </w:tcPr>
          <w:p w14:paraId="5956C57D" w14:textId="77777777" w:rsidR="00AA7248" w:rsidRPr="00820C89" w:rsidRDefault="00AA7248" w:rsidP="00494038">
            <w:pPr>
              <w:rPr>
                <w:b/>
                <w:bCs/>
              </w:rPr>
            </w:pPr>
            <w:r w:rsidRPr="00820C89">
              <w:rPr>
                <w:b/>
                <w:bCs/>
              </w:rPr>
              <w:t xml:space="preserve">Timeline </w:t>
            </w:r>
          </w:p>
        </w:tc>
        <w:tc>
          <w:tcPr>
            <w:tcW w:w="4536" w:type="dxa"/>
          </w:tcPr>
          <w:p w14:paraId="70E34066" w14:textId="77777777" w:rsidR="00AA7248" w:rsidRPr="00820C89" w:rsidRDefault="00AA7248" w:rsidP="00494038">
            <w:pPr>
              <w:rPr>
                <w:b/>
                <w:bCs/>
              </w:rPr>
            </w:pPr>
            <w:r w:rsidRPr="00820C89">
              <w:rPr>
                <w:b/>
                <w:bCs/>
              </w:rPr>
              <w:t xml:space="preserve">Key policies, programs and changes </w:t>
            </w:r>
          </w:p>
        </w:tc>
        <w:tc>
          <w:tcPr>
            <w:tcW w:w="1276" w:type="dxa"/>
          </w:tcPr>
          <w:p w14:paraId="592A69C9" w14:textId="77777777" w:rsidR="00AA7248" w:rsidRPr="00820C89" w:rsidRDefault="00AA7248" w:rsidP="00494038">
            <w:pPr>
              <w:rPr>
                <w:b/>
                <w:bCs/>
              </w:rPr>
            </w:pPr>
            <w:r w:rsidRPr="00820C89">
              <w:rPr>
                <w:b/>
                <w:bCs/>
              </w:rPr>
              <w:t xml:space="preserve">Targeted cohort </w:t>
            </w:r>
          </w:p>
        </w:tc>
        <w:tc>
          <w:tcPr>
            <w:tcW w:w="8505" w:type="dxa"/>
          </w:tcPr>
          <w:p w14:paraId="4B29310A" w14:textId="77777777" w:rsidR="00AA7248" w:rsidRPr="00820C89" w:rsidRDefault="00AA7248" w:rsidP="00494038">
            <w:pPr>
              <w:rPr>
                <w:b/>
                <w:bCs/>
              </w:rPr>
            </w:pPr>
            <w:r w:rsidRPr="00820C89">
              <w:rPr>
                <w:b/>
                <w:bCs/>
              </w:rPr>
              <w:t>Features</w:t>
            </w:r>
          </w:p>
        </w:tc>
      </w:tr>
      <w:tr w:rsidR="00AA7248" w:rsidRPr="00820C89" w14:paraId="6E393082" w14:textId="77777777" w:rsidTr="00494038">
        <w:trPr>
          <w:trHeight w:val="572"/>
        </w:trPr>
        <w:tc>
          <w:tcPr>
            <w:tcW w:w="1134" w:type="dxa"/>
          </w:tcPr>
          <w:p w14:paraId="0DB64E9F" w14:textId="77777777" w:rsidR="00AA7248" w:rsidRPr="00820C89" w:rsidRDefault="00AA7248" w:rsidP="00494038">
            <w:r w:rsidRPr="00820C89">
              <w:t>1967-69</w:t>
            </w:r>
          </w:p>
        </w:tc>
        <w:tc>
          <w:tcPr>
            <w:tcW w:w="4536" w:type="dxa"/>
          </w:tcPr>
          <w:p w14:paraId="25F2E4CF" w14:textId="77777777" w:rsidR="00AA7248" w:rsidRPr="00820C89" w:rsidRDefault="00AA7248" w:rsidP="00494038">
            <w:pPr>
              <w:ind w:left="0"/>
              <w:rPr>
                <w:b/>
                <w:bCs/>
              </w:rPr>
            </w:pPr>
            <w:r w:rsidRPr="00820C89">
              <w:rPr>
                <w:b/>
                <w:bCs/>
              </w:rPr>
              <w:t xml:space="preserve">Revision of Section 51 (xxvi) of the Constitution </w:t>
            </w:r>
          </w:p>
          <w:p w14:paraId="724091C4" w14:textId="77777777" w:rsidR="00AA7248" w:rsidRPr="00820C89" w:rsidRDefault="00AA7248" w:rsidP="00715F70">
            <w:pPr>
              <w:pStyle w:val="ListParagraph"/>
              <w:numPr>
                <w:ilvl w:val="0"/>
                <w:numId w:val="100"/>
              </w:numPr>
              <w:spacing w:before="170"/>
            </w:pPr>
            <w:r w:rsidRPr="00820C89">
              <w:t xml:space="preserve">The Commonwealth Government was now able to develop legislation for Indigenous Australians  </w:t>
            </w:r>
          </w:p>
        </w:tc>
        <w:tc>
          <w:tcPr>
            <w:tcW w:w="1276" w:type="dxa"/>
          </w:tcPr>
          <w:p w14:paraId="322511BA" w14:textId="77777777" w:rsidR="00AA7248" w:rsidRPr="00820C89" w:rsidRDefault="00AA7248" w:rsidP="00494038">
            <w:r w:rsidRPr="00820C89">
              <w:t xml:space="preserve">Indigenous Australians </w:t>
            </w:r>
          </w:p>
        </w:tc>
        <w:tc>
          <w:tcPr>
            <w:tcW w:w="8505" w:type="dxa"/>
          </w:tcPr>
          <w:p w14:paraId="5325DA6C" w14:textId="77777777" w:rsidR="00AA7248" w:rsidRPr="00820C89" w:rsidRDefault="00AA7248" w:rsidP="00715F70">
            <w:pPr>
              <w:pStyle w:val="ListParagraph"/>
              <w:numPr>
                <w:ilvl w:val="0"/>
                <w:numId w:val="100"/>
              </w:numPr>
              <w:spacing w:before="170"/>
            </w:pPr>
            <w:r w:rsidRPr="00820C89">
              <w:t>Following the 1967 Referendum, Section 51 or ‘the race power’ of the Constitution was amended, giving the Commonwealth Government power to make laws for Indigenous Australians, which was previously reserved for States and Territories</w:t>
            </w:r>
          </w:p>
        </w:tc>
      </w:tr>
      <w:tr w:rsidR="00AA7248" w:rsidRPr="00820C89" w14:paraId="0C9D1011" w14:textId="77777777" w:rsidTr="00494038">
        <w:tc>
          <w:tcPr>
            <w:tcW w:w="1134" w:type="dxa"/>
          </w:tcPr>
          <w:p w14:paraId="2306CBD0" w14:textId="77777777" w:rsidR="00AA7248" w:rsidRPr="00820C89" w:rsidRDefault="00AA7248" w:rsidP="00494038">
            <w:r w:rsidRPr="00820C89">
              <w:t>1977</w:t>
            </w:r>
          </w:p>
        </w:tc>
        <w:tc>
          <w:tcPr>
            <w:tcW w:w="4536" w:type="dxa"/>
          </w:tcPr>
          <w:p w14:paraId="56C5A348" w14:textId="77777777" w:rsidR="00AA7248" w:rsidRPr="00820C89" w:rsidRDefault="00AA7248" w:rsidP="00494038">
            <w:pPr>
              <w:ind w:left="0"/>
              <w:jc w:val="center"/>
              <w:rPr>
                <w:b/>
                <w:bCs/>
              </w:rPr>
            </w:pPr>
            <w:r w:rsidRPr="00820C89">
              <w:rPr>
                <w:b/>
                <w:bCs/>
              </w:rPr>
              <w:t>National Employment Strategy for Aborigines (NESA)</w:t>
            </w:r>
          </w:p>
        </w:tc>
        <w:tc>
          <w:tcPr>
            <w:tcW w:w="1276" w:type="dxa"/>
          </w:tcPr>
          <w:p w14:paraId="7715EE40" w14:textId="77777777" w:rsidR="00AA7248" w:rsidRPr="00820C89" w:rsidRDefault="00AA7248" w:rsidP="00494038">
            <w:r w:rsidRPr="00820C89">
              <w:t xml:space="preserve">Indigenous Australians </w:t>
            </w:r>
          </w:p>
        </w:tc>
        <w:tc>
          <w:tcPr>
            <w:tcW w:w="8505" w:type="dxa"/>
          </w:tcPr>
          <w:p w14:paraId="1F61F913" w14:textId="77777777" w:rsidR="00AA7248" w:rsidRPr="00820C89" w:rsidRDefault="00AA7248" w:rsidP="00715F70">
            <w:pPr>
              <w:pStyle w:val="ListParagraph"/>
              <w:numPr>
                <w:ilvl w:val="0"/>
                <w:numId w:val="98"/>
              </w:numPr>
              <w:spacing w:before="170"/>
            </w:pPr>
            <w:r w:rsidRPr="00820C89">
              <w:t xml:space="preserve">The Review of Aboriginal Employment and Training Programs (The Miller Report 1985) found that NESA had not been implemented as a cohesive strategy and achieved only a ‘marginal impact on the overall Aboriginal employment situation’ </w:t>
            </w:r>
          </w:p>
        </w:tc>
      </w:tr>
      <w:tr w:rsidR="00AA7248" w:rsidRPr="00820C89" w14:paraId="13F1AC8E" w14:textId="77777777" w:rsidTr="00494038">
        <w:tc>
          <w:tcPr>
            <w:tcW w:w="1134" w:type="dxa"/>
          </w:tcPr>
          <w:p w14:paraId="007E1E91" w14:textId="77777777" w:rsidR="00AA7248" w:rsidRPr="00820C89" w:rsidRDefault="00AA7248" w:rsidP="00494038">
            <w:r w:rsidRPr="00820C89">
              <w:t>1977-2013</w:t>
            </w:r>
          </w:p>
        </w:tc>
        <w:tc>
          <w:tcPr>
            <w:tcW w:w="4536" w:type="dxa"/>
          </w:tcPr>
          <w:p w14:paraId="0167519C" w14:textId="77777777" w:rsidR="00AA7248" w:rsidRPr="00820C89" w:rsidRDefault="00AA7248" w:rsidP="00494038">
            <w:pPr>
              <w:ind w:left="0"/>
              <w:jc w:val="center"/>
              <w:rPr>
                <w:b/>
                <w:bCs/>
              </w:rPr>
            </w:pPr>
            <w:r w:rsidRPr="00820C89">
              <w:rPr>
                <w:b/>
                <w:bCs/>
              </w:rPr>
              <w:t>Community Development Employment Program (CDEP)</w:t>
            </w:r>
          </w:p>
          <w:p w14:paraId="73B2723C" w14:textId="77777777" w:rsidR="00AA7248" w:rsidRPr="00820C89" w:rsidRDefault="00AA7248" w:rsidP="00715F70">
            <w:pPr>
              <w:pStyle w:val="ListParagraph"/>
              <w:numPr>
                <w:ilvl w:val="0"/>
                <w:numId w:val="98"/>
              </w:numPr>
              <w:spacing w:before="170"/>
              <w:rPr>
                <w:b/>
                <w:bCs/>
              </w:rPr>
            </w:pPr>
            <w:r w:rsidRPr="00820C89">
              <w:t xml:space="preserve">First mutual obligations scheme in Australia </w:t>
            </w:r>
          </w:p>
          <w:p w14:paraId="1FD565B7" w14:textId="77777777" w:rsidR="00AA7248" w:rsidRPr="00820C89" w:rsidRDefault="00AA7248" w:rsidP="00715F70">
            <w:pPr>
              <w:pStyle w:val="ListParagraph"/>
              <w:numPr>
                <w:ilvl w:val="0"/>
                <w:numId w:val="98"/>
              </w:numPr>
              <w:spacing w:before="170"/>
              <w:rPr>
                <w:b/>
                <w:bCs/>
              </w:rPr>
            </w:pPr>
            <w:r w:rsidRPr="00820C89">
              <w:t xml:space="preserve">Participation in community works projects became tied to unemployment support payments  </w:t>
            </w:r>
          </w:p>
          <w:p w14:paraId="58ABD6A6" w14:textId="77777777" w:rsidR="00AA7248" w:rsidRPr="00820C89" w:rsidRDefault="00AA7248" w:rsidP="00715F70">
            <w:pPr>
              <w:pStyle w:val="ListParagraph"/>
              <w:numPr>
                <w:ilvl w:val="0"/>
                <w:numId w:val="98"/>
              </w:numPr>
              <w:spacing w:before="170"/>
              <w:rPr>
                <w:b/>
                <w:bCs/>
              </w:rPr>
            </w:pPr>
            <w:r w:rsidRPr="00820C89">
              <w:t xml:space="preserve">Originally offered flexible employment opportunities and a focus on community development, local control and responsibility </w:t>
            </w:r>
          </w:p>
          <w:p w14:paraId="53568ED9" w14:textId="77777777" w:rsidR="00AA7248" w:rsidRPr="00820C89" w:rsidRDefault="00AA7248" w:rsidP="00715F70">
            <w:pPr>
              <w:pStyle w:val="ListParagraph"/>
              <w:numPr>
                <w:ilvl w:val="0"/>
                <w:numId w:val="98"/>
              </w:numPr>
              <w:spacing w:before="170"/>
              <w:rPr>
                <w:b/>
                <w:bCs/>
              </w:rPr>
            </w:pPr>
            <w:r w:rsidRPr="00820C89">
              <w:t>Major component of the NESA</w:t>
            </w:r>
          </w:p>
        </w:tc>
        <w:tc>
          <w:tcPr>
            <w:tcW w:w="1276" w:type="dxa"/>
          </w:tcPr>
          <w:p w14:paraId="3AB2EDEE" w14:textId="77777777" w:rsidR="00AA7248" w:rsidRPr="00820C89" w:rsidRDefault="00AA7248" w:rsidP="00494038">
            <w:r w:rsidRPr="00820C89">
              <w:t xml:space="preserve">Indigenous job seekers </w:t>
            </w:r>
          </w:p>
        </w:tc>
        <w:tc>
          <w:tcPr>
            <w:tcW w:w="8505" w:type="dxa"/>
          </w:tcPr>
          <w:p w14:paraId="7D5E87CB" w14:textId="77777777" w:rsidR="00AA7248" w:rsidRPr="00820C89" w:rsidRDefault="00AA7248" w:rsidP="00715F70">
            <w:pPr>
              <w:pStyle w:val="ListParagraph"/>
              <w:numPr>
                <w:ilvl w:val="0"/>
                <w:numId w:val="98"/>
              </w:numPr>
              <w:spacing w:before="170"/>
              <w:rPr>
                <w:lang w:val="en-GB"/>
              </w:rPr>
            </w:pPr>
            <w:r w:rsidRPr="00820C89">
              <w:rPr>
                <w:lang w:val="en-GB"/>
              </w:rPr>
              <w:t xml:space="preserve">Creation of employment benefits coupled with the absence of employment prospects in remote communities led to concerns that payments would disincentivise work and be detrimental to recipient motivation and Indigenous communities more broadly </w:t>
            </w:r>
          </w:p>
          <w:p w14:paraId="2E8C69C3" w14:textId="77777777" w:rsidR="00AA7248" w:rsidRPr="00820C89" w:rsidRDefault="00AA7248" w:rsidP="00715F70">
            <w:pPr>
              <w:pStyle w:val="ListParagraph"/>
              <w:numPr>
                <w:ilvl w:val="0"/>
                <w:numId w:val="98"/>
              </w:numPr>
              <w:spacing w:before="170"/>
              <w:rPr>
                <w:lang w:val="en-GB"/>
              </w:rPr>
            </w:pPr>
            <w:r w:rsidRPr="00820C89">
              <w:rPr>
                <w:lang w:val="en-GB"/>
              </w:rPr>
              <w:t>Given its long existence, the CDEP underwent a series of revisions and iterations before being replaced by the</w:t>
            </w:r>
            <w:r w:rsidRPr="00820C89">
              <w:t xml:space="preserve"> </w:t>
            </w:r>
            <w:r w:rsidRPr="00820C89">
              <w:rPr>
                <w:lang w:val="en-GB"/>
              </w:rPr>
              <w:t>Remote Jobs and Communities Program (RJCP) in 2013</w:t>
            </w:r>
          </w:p>
          <w:p w14:paraId="5BC230C9" w14:textId="77777777" w:rsidR="00AA7248" w:rsidRPr="00820C89" w:rsidRDefault="00AA7248" w:rsidP="00715F70">
            <w:pPr>
              <w:pStyle w:val="ListParagraph"/>
              <w:numPr>
                <w:ilvl w:val="0"/>
                <w:numId w:val="98"/>
              </w:numPr>
              <w:spacing w:before="170"/>
              <w:rPr>
                <w:lang w:val="en-GB"/>
              </w:rPr>
            </w:pPr>
            <w:r w:rsidRPr="00820C89">
              <w:rPr>
                <w:lang w:val="en-GB"/>
              </w:rPr>
              <w:t xml:space="preserve">Over time, the scheme became more aligned with mainstream employment programs, such as Job Network, due to criticism that the CDEP was not sufficiently building participant ‘work readiness’ or transitions in sustainable employment   </w:t>
            </w:r>
          </w:p>
          <w:p w14:paraId="43D66BC8" w14:textId="77777777" w:rsidR="00AA7248" w:rsidRPr="00820C89" w:rsidRDefault="00AA7248" w:rsidP="00715F70">
            <w:pPr>
              <w:pStyle w:val="ListParagraph"/>
              <w:numPr>
                <w:ilvl w:val="0"/>
                <w:numId w:val="98"/>
              </w:numPr>
              <w:spacing w:before="170"/>
              <w:rPr>
                <w:lang w:val="en-GB"/>
              </w:rPr>
            </w:pPr>
            <w:r w:rsidRPr="00820C89">
              <w:rPr>
                <w:lang w:val="en-GB"/>
              </w:rPr>
              <w:t>In 2004, The Department of Education, Employment and Workplace Relations (DEEWR) was transferred responsibility of the CDEP from the Aboriginal and Torres Strait Islanders Commission (ATSIC)</w:t>
            </w:r>
          </w:p>
        </w:tc>
      </w:tr>
      <w:tr w:rsidR="00AA7248" w:rsidRPr="00820C89" w14:paraId="3D45C2CA" w14:textId="77777777" w:rsidTr="00494038">
        <w:tc>
          <w:tcPr>
            <w:tcW w:w="1134" w:type="dxa"/>
          </w:tcPr>
          <w:p w14:paraId="39756F58" w14:textId="77777777" w:rsidR="00AA7248" w:rsidRPr="00820C89" w:rsidRDefault="00AA7248" w:rsidP="00494038">
            <w:r w:rsidRPr="00820C89">
              <w:t>1987-99</w:t>
            </w:r>
          </w:p>
        </w:tc>
        <w:tc>
          <w:tcPr>
            <w:tcW w:w="4536" w:type="dxa"/>
          </w:tcPr>
          <w:p w14:paraId="693D5FCD" w14:textId="77777777" w:rsidR="00AA7248" w:rsidRPr="00820C89" w:rsidRDefault="00AA7248" w:rsidP="00494038">
            <w:pPr>
              <w:rPr>
                <w:b/>
                <w:bCs/>
              </w:rPr>
            </w:pPr>
            <w:r w:rsidRPr="00820C89">
              <w:rPr>
                <w:b/>
                <w:bCs/>
              </w:rPr>
              <w:t xml:space="preserve">Aboriginal Employment Development Policy (AEDP) </w:t>
            </w:r>
          </w:p>
          <w:p w14:paraId="72913DB2" w14:textId="77777777" w:rsidR="00AA7248" w:rsidRPr="00820C89" w:rsidRDefault="00AA7248" w:rsidP="00715F70">
            <w:pPr>
              <w:pStyle w:val="ListParagraph"/>
              <w:numPr>
                <w:ilvl w:val="0"/>
                <w:numId w:val="99"/>
              </w:numPr>
              <w:spacing w:before="170"/>
              <w:rPr>
                <w:b/>
                <w:bCs/>
              </w:rPr>
            </w:pPr>
            <w:r w:rsidRPr="00820C89">
              <w:t xml:space="preserve">Major components: Training for Aboriginals Program, and an expansion of the CDEP, including to more regional locations </w:t>
            </w:r>
          </w:p>
        </w:tc>
        <w:tc>
          <w:tcPr>
            <w:tcW w:w="1276" w:type="dxa"/>
          </w:tcPr>
          <w:p w14:paraId="48F8CA07" w14:textId="77777777" w:rsidR="00AA7248" w:rsidRPr="00820C89" w:rsidRDefault="00AA7248" w:rsidP="00494038">
            <w:r w:rsidRPr="00820C89">
              <w:t xml:space="preserve">Indigenous job seekers </w:t>
            </w:r>
          </w:p>
        </w:tc>
        <w:tc>
          <w:tcPr>
            <w:tcW w:w="8505" w:type="dxa"/>
          </w:tcPr>
          <w:p w14:paraId="0B6B4BD5" w14:textId="77777777" w:rsidR="00AA7248" w:rsidRPr="00820C89" w:rsidRDefault="00AA7248" w:rsidP="00715F70">
            <w:pPr>
              <w:pStyle w:val="ListParagraph"/>
              <w:numPr>
                <w:ilvl w:val="0"/>
                <w:numId w:val="99"/>
              </w:numPr>
              <w:spacing w:before="170"/>
            </w:pPr>
            <w:r w:rsidRPr="00820C89">
              <w:t>Developed in response to the review of Aboriginal Employment and Training Programs: The Miller Report (1985)</w:t>
            </w:r>
          </w:p>
          <w:p w14:paraId="2E48E353" w14:textId="77777777" w:rsidR="00AA7248" w:rsidRPr="00820C89" w:rsidRDefault="00AA7248" w:rsidP="00494038">
            <w:pPr>
              <w:ind w:left="0"/>
            </w:pPr>
          </w:p>
        </w:tc>
      </w:tr>
      <w:tr w:rsidR="00AA7248" w:rsidRPr="00820C89" w14:paraId="1DAF9A66" w14:textId="77777777" w:rsidTr="00494038">
        <w:tc>
          <w:tcPr>
            <w:tcW w:w="1134" w:type="dxa"/>
          </w:tcPr>
          <w:p w14:paraId="384E9ED8" w14:textId="77777777" w:rsidR="00AA7248" w:rsidRPr="00820C89" w:rsidRDefault="00AA7248" w:rsidP="00494038">
            <w:r w:rsidRPr="00820C89">
              <w:lastRenderedPageBreak/>
              <w:t>1994-96</w:t>
            </w:r>
          </w:p>
        </w:tc>
        <w:tc>
          <w:tcPr>
            <w:tcW w:w="4536" w:type="dxa"/>
          </w:tcPr>
          <w:p w14:paraId="3B3087AE" w14:textId="77777777" w:rsidR="00AA7248" w:rsidRPr="00820C89" w:rsidRDefault="00AA7248" w:rsidP="00494038">
            <w:pPr>
              <w:rPr>
                <w:b/>
                <w:bCs/>
              </w:rPr>
            </w:pPr>
            <w:r w:rsidRPr="00820C89">
              <w:rPr>
                <w:b/>
                <w:bCs/>
              </w:rPr>
              <w:t>Working Nation Initiative (WNI)</w:t>
            </w:r>
          </w:p>
          <w:p w14:paraId="4FD1F56D" w14:textId="77777777" w:rsidR="00AA7248" w:rsidRPr="00820C89" w:rsidRDefault="00AA7248" w:rsidP="00715F70">
            <w:pPr>
              <w:pStyle w:val="ListParagraph"/>
              <w:numPr>
                <w:ilvl w:val="0"/>
                <w:numId w:val="99"/>
              </w:numPr>
              <w:spacing w:before="170"/>
              <w:rPr>
                <w:b/>
                <w:bCs/>
              </w:rPr>
            </w:pPr>
            <w:r w:rsidRPr="00820C89">
              <w:t xml:space="preserve">Major components: expansion of labour market programs, unemployed case management, a Youth Training Initiative, New Work Opportunities, the Job Compact, and revisions to the social security system </w:t>
            </w:r>
          </w:p>
        </w:tc>
        <w:tc>
          <w:tcPr>
            <w:tcW w:w="1276" w:type="dxa"/>
          </w:tcPr>
          <w:p w14:paraId="44C140EC" w14:textId="77777777" w:rsidR="00AA7248" w:rsidRPr="00820C89" w:rsidRDefault="00AA7248" w:rsidP="00494038">
            <w:r w:rsidRPr="00820C89">
              <w:rPr>
                <w:i/>
                <w:iCs/>
              </w:rPr>
              <w:t xml:space="preserve">All </w:t>
            </w:r>
            <w:r w:rsidRPr="00820C89">
              <w:t xml:space="preserve">job seekers </w:t>
            </w:r>
          </w:p>
        </w:tc>
        <w:tc>
          <w:tcPr>
            <w:tcW w:w="8505" w:type="dxa"/>
          </w:tcPr>
          <w:p w14:paraId="44E46DE8" w14:textId="77777777" w:rsidR="00AA7248" w:rsidRPr="00820C89" w:rsidRDefault="00AA7248" w:rsidP="00715F70">
            <w:pPr>
              <w:pStyle w:val="ListParagraph"/>
              <w:numPr>
                <w:ilvl w:val="0"/>
                <w:numId w:val="99"/>
              </w:numPr>
              <w:spacing w:before="170"/>
            </w:pPr>
            <w:r w:rsidRPr="00820C89">
              <w:t xml:space="preserve">WNI developed in response to recession in the early 1990s and subsequent increase in long-term unemployment </w:t>
            </w:r>
          </w:p>
          <w:p w14:paraId="0A5944C3" w14:textId="77777777" w:rsidR="00AA7248" w:rsidRPr="00820C89" w:rsidRDefault="00AA7248" w:rsidP="00715F70">
            <w:pPr>
              <w:pStyle w:val="ListParagraph"/>
              <w:numPr>
                <w:ilvl w:val="0"/>
                <w:numId w:val="99"/>
              </w:numPr>
              <w:spacing w:before="170"/>
            </w:pPr>
            <w:r w:rsidRPr="00820C89">
              <w:t xml:space="preserve">Disadvantaged job seekers, such as Indigenous jobseekers, were targeted by a large number of placements across program types   </w:t>
            </w:r>
          </w:p>
        </w:tc>
      </w:tr>
      <w:tr w:rsidR="00AA7248" w:rsidRPr="00820C89" w14:paraId="0408F512" w14:textId="77777777" w:rsidTr="00494038">
        <w:tc>
          <w:tcPr>
            <w:tcW w:w="1134" w:type="dxa"/>
          </w:tcPr>
          <w:p w14:paraId="74C2FF50" w14:textId="77777777" w:rsidR="00AA7248" w:rsidRPr="00820C89" w:rsidRDefault="00AA7248" w:rsidP="00494038">
            <w:r w:rsidRPr="00820C89">
              <w:t>1998-2009</w:t>
            </w:r>
          </w:p>
        </w:tc>
        <w:tc>
          <w:tcPr>
            <w:tcW w:w="4536" w:type="dxa"/>
          </w:tcPr>
          <w:p w14:paraId="77C98C1B" w14:textId="77777777" w:rsidR="00AA7248" w:rsidRPr="00820C89" w:rsidRDefault="00AA7248" w:rsidP="00494038">
            <w:pPr>
              <w:rPr>
                <w:b/>
                <w:bCs/>
              </w:rPr>
            </w:pPr>
            <w:r w:rsidRPr="00820C89">
              <w:rPr>
                <w:b/>
                <w:bCs/>
              </w:rPr>
              <w:t xml:space="preserve">Job Network </w:t>
            </w:r>
          </w:p>
          <w:p w14:paraId="0A10E551" w14:textId="331297D5" w:rsidR="00AA7248" w:rsidRPr="00820C89" w:rsidRDefault="00AA7248" w:rsidP="00AA7248">
            <w:pPr>
              <w:pStyle w:val="ListBullet"/>
              <w:spacing w:before="170"/>
            </w:pPr>
            <w:r w:rsidRPr="00820C89">
              <w:t>Provides employment placement assistance to jobseekers in receipt of income support</w:t>
            </w:r>
          </w:p>
        </w:tc>
        <w:tc>
          <w:tcPr>
            <w:tcW w:w="1276" w:type="dxa"/>
          </w:tcPr>
          <w:p w14:paraId="453A117E" w14:textId="77777777" w:rsidR="00AA7248" w:rsidRPr="00820C89" w:rsidRDefault="00AA7248" w:rsidP="00494038">
            <w:r w:rsidRPr="00820C89">
              <w:rPr>
                <w:i/>
                <w:iCs/>
              </w:rPr>
              <w:t xml:space="preserve">All </w:t>
            </w:r>
            <w:r w:rsidRPr="00820C89">
              <w:t xml:space="preserve">job seekers </w:t>
            </w:r>
          </w:p>
        </w:tc>
        <w:tc>
          <w:tcPr>
            <w:tcW w:w="8505" w:type="dxa"/>
          </w:tcPr>
          <w:p w14:paraId="5FBDEA09" w14:textId="77777777" w:rsidR="00AA7248" w:rsidRPr="00820C89" w:rsidRDefault="00AA7248" w:rsidP="00AA7248">
            <w:pPr>
              <w:pStyle w:val="ListBullet"/>
              <w:spacing w:before="170"/>
            </w:pPr>
            <w:r w:rsidRPr="00820C89">
              <w:rPr>
                <w:lang w:val="en-GB"/>
              </w:rPr>
              <w:t xml:space="preserve">Based on a competitive tendering process of Australia-wide community-based and private agencies seeking employment service contracts </w:t>
            </w:r>
          </w:p>
          <w:p w14:paraId="13C83E41" w14:textId="77777777" w:rsidR="00AA7248" w:rsidRPr="00820C89" w:rsidRDefault="00AA7248" w:rsidP="00494038"/>
        </w:tc>
      </w:tr>
      <w:tr w:rsidR="00AA7248" w:rsidRPr="00820C89" w14:paraId="265C555A" w14:textId="77777777" w:rsidTr="00494038">
        <w:tc>
          <w:tcPr>
            <w:tcW w:w="1134" w:type="dxa"/>
          </w:tcPr>
          <w:p w14:paraId="66AE6284" w14:textId="77777777" w:rsidR="00AA7248" w:rsidRPr="00820C89" w:rsidRDefault="00AA7248" w:rsidP="00494038">
            <w:r w:rsidRPr="00820C89">
              <w:t>1999</w:t>
            </w:r>
          </w:p>
        </w:tc>
        <w:tc>
          <w:tcPr>
            <w:tcW w:w="4536" w:type="dxa"/>
          </w:tcPr>
          <w:p w14:paraId="4B065DE2" w14:textId="77777777" w:rsidR="00AA7248" w:rsidRPr="00820C89" w:rsidRDefault="00AA7248" w:rsidP="00494038">
            <w:pPr>
              <w:rPr>
                <w:b/>
                <w:bCs/>
              </w:rPr>
            </w:pPr>
            <w:r w:rsidRPr="00820C89">
              <w:rPr>
                <w:b/>
                <w:bCs/>
              </w:rPr>
              <w:t xml:space="preserve">Indigenous Employment Policy/Program </w:t>
            </w:r>
          </w:p>
          <w:p w14:paraId="4E4C9193" w14:textId="77777777" w:rsidR="00AA7248" w:rsidRPr="00820C89" w:rsidRDefault="00AA7248" w:rsidP="00AA7248">
            <w:pPr>
              <w:pStyle w:val="ListBullet"/>
              <w:spacing w:before="170"/>
              <w:rPr>
                <w:szCs w:val="18"/>
              </w:rPr>
            </w:pPr>
            <w:r w:rsidRPr="00820C89">
              <w:rPr>
                <w:szCs w:val="18"/>
              </w:rPr>
              <w:t xml:space="preserve">Major components: wage assistance, Structured Training and Employment Program (STEP), CDEP Placement Incentive, National Indigenous Cadetship Projects, and Indigenous Employment Centres </w:t>
            </w:r>
          </w:p>
          <w:p w14:paraId="6A799283" w14:textId="77777777" w:rsidR="00AA7248" w:rsidRPr="00820C89" w:rsidRDefault="00AA7248" w:rsidP="00494038">
            <w:pPr>
              <w:pStyle w:val="ListBullet"/>
              <w:numPr>
                <w:ilvl w:val="0"/>
                <w:numId w:val="0"/>
              </w:numPr>
              <w:rPr>
                <w:i/>
                <w:iCs/>
              </w:rPr>
            </w:pPr>
          </w:p>
        </w:tc>
        <w:tc>
          <w:tcPr>
            <w:tcW w:w="1276" w:type="dxa"/>
          </w:tcPr>
          <w:p w14:paraId="54F68AD3" w14:textId="77777777" w:rsidR="00AA7248" w:rsidRPr="00820C89" w:rsidRDefault="00AA7248" w:rsidP="00494038">
            <w:r w:rsidRPr="00820C89">
              <w:t xml:space="preserve">Indigenous job seekers </w:t>
            </w:r>
          </w:p>
        </w:tc>
        <w:tc>
          <w:tcPr>
            <w:tcW w:w="8505" w:type="dxa"/>
          </w:tcPr>
          <w:p w14:paraId="11389553" w14:textId="77777777" w:rsidR="00AA7248" w:rsidRPr="00820C89" w:rsidRDefault="00AA7248" w:rsidP="00AA7248">
            <w:pPr>
              <w:pStyle w:val="ListBullet"/>
              <w:spacing w:before="170"/>
            </w:pPr>
            <w:r w:rsidRPr="00820C89">
              <w:t xml:space="preserve">Sought to encourage private sector employment </w:t>
            </w:r>
          </w:p>
          <w:p w14:paraId="42C54E5E" w14:textId="77777777" w:rsidR="00AA7248" w:rsidRPr="00820C89" w:rsidRDefault="00AA7248" w:rsidP="00AA7248">
            <w:pPr>
              <w:pStyle w:val="ListBullet"/>
              <w:spacing w:before="170"/>
            </w:pPr>
            <w:r w:rsidRPr="00820C89">
              <w:t xml:space="preserve">Underwent some significant revisions in 2009, such as the cessation of CDEP in locations with established economies; the CDEP’s program features shifted towards building skills for non-CDEP employment, reflecting mainstream employment programs; and language and literacy training for participants. </w:t>
            </w:r>
          </w:p>
        </w:tc>
      </w:tr>
      <w:tr w:rsidR="00AA7248" w:rsidRPr="00820C89" w14:paraId="6BC24D9D" w14:textId="77777777" w:rsidTr="00494038">
        <w:tc>
          <w:tcPr>
            <w:tcW w:w="1134" w:type="dxa"/>
          </w:tcPr>
          <w:p w14:paraId="3F431212" w14:textId="77777777" w:rsidR="00AA7248" w:rsidRPr="00820C89" w:rsidRDefault="00AA7248" w:rsidP="00494038">
            <w:r w:rsidRPr="00820C89">
              <w:t xml:space="preserve">2008 </w:t>
            </w:r>
          </w:p>
        </w:tc>
        <w:tc>
          <w:tcPr>
            <w:tcW w:w="4536" w:type="dxa"/>
          </w:tcPr>
          <w:p w14:paraId="0B19151C" w14:textId="77777777" w:rsidR="00AA7248" w:rsidRPr="00820C89" w:rsidRDefault="00AA7248" w:rsidP="00494038">
            <w:pPr>
              <w:rPr>
                <w:b/>
                <w:bCs/>
              </w:rPr>
            </w:pPr>
            <w:r w:rsidRPr="00820C89">
              <w:rPr>
                <w:b/>
                <w:bCs/>
              </w:rPr>
              <w:t xml:space="preserve">Closing the Gap </w:t>
            </w:r>
          </w:p>
        </w:tc>
        <w:tc>
          <w:tcPr>
            <w:tcW w:w="1276" w:type="dxa"/>
          </w:tcPr>
          <w:p w14:paraId="5C4B7B1B" w14:textId="77777777" w:rsidR="00AA7248" w:rsidRPr="00820C89" w:rsidRDefault="00AA7248" w:rsidP="00494038">
            <w:r w:rsidRPr="00820C89">
              <w:t xml:space="preserve">Indigenous Australians </w:t>
            </w:r>
          </w:p>
        </w:tc>
        <w:tc>
          <w:tcPr>
            <w:tcW w:w="8505" w:type="dxa"/>
          </w:tcPr>
          <w:p w14:paraId="56BEB3E4" w14:textId="77777777" w:rsidR="00AA7248" w:rsidRPr="00820C89" w:rsidRDefault="00AA7248" w:rsidP="00AA7248">
            <w:pPr>
              <w:pStyle w:val="ListBullet"/>
              <w:spacing w:before="170"/>
            </w:pPr>
            <w:r w:rsidRPr="00820C89">
              <w:t xml:space="preserve">Tom Calma’s </w:t>
            </w:r>
            <w:r w:rsidRPr="00820C89">
              <w:rPr>
                <w:i/>
                <w:iCs/>
              </w:rPr>
              <w:t xml:space="preserve">Social Justice report 2005 </w:t>
            </w:r>
            <w:r w:rsidRPr="00820C89">
              <w:t xml:space="preserve">urged Australian governments to commit to achieving equality for Indigenous people in health and life expectancy within 25 years. </w:t>
            </w:r>
          </w:p>
          <w:p w14:paraId="6D08200C" w14:textId="77777777" w:rsidR="00AA7248" w:rsidRPr="00820C89" w:rsidRDefault="00AA7248" w:rsidP="00AA7248">
            <w:pPr>
              <w:pStyle w:val="ListBullet"/>
              <w:spacing w:before="170"/>
            </w:pPr>
            <w:r w:rsidRPr="00820C89">
              <w:t xml:space="preserve">The Council of Australian Governments (COAG) pledged to close six </w:t>
            </w:r>
            <w:r w:rsidRPr="00820C89">
              <w:rPr>
                <w:i/>
                <w:iCs/>
              </w:rPr>
              <w:t xml:space="preserve">Closing the Gap </w:t>
            </w:r>
            <w:r w:rsidRPr="00820C89">
              <w:t xml:space="preserve">targets relating to life expectancy, mortality rates for children, early childhood education within remote communities, reading, writing and numeracy outcomes, year 12 attainment, and employment outcomes. </w:t>
            </w:r>
          </w:p>
        </w:tc>
      </w:tr>
      <w:tr w:rsidR="00AA7248" w:rsidRPr="00820C89" w14:paraId="304FEA7C" w14:textId="77777777" w:rsidTr="00494038">
        <w:tc>
          <w:tcPr>
            <w:tcW w:w="1134" w:type="dxa"/>
          </w:tcPr>
          <w:p w14:paraId="1828778C" w14:textId="77777777" w:rsidR="00AA7248" w:rsidRPr="00820C89" w:rsidRDefault="00AA7248" w:rsidP="00494038">
            <w:r w:rsidRPr="00820C89">
              <w:t>2009</w:t>
            </w:r>
          </w:p>
        </w:tc>
        <w:tc>
          <w:tcPr>
            <w:tcW w:w="4536" w:type="dxa"/>
          </w:tcPr>
          <w:p w14:paraId="637F04E8" w14:textId="77777777" w:rsidR="00AA7248" w:rsidRPr="00820C89" w:rsidRDefault="00AA7248" w:rsidP="00494038">
            <w:pPr>
              <w:rPr>
                <w:b/>
                <w:bCs/>
              </w:rPr>
            </w:pPr>
            <w:r w:rsidRPr="00820C89">
              <w:rPr>
                <w:b/>
                <w:bCs/>
              </w:rPr>
              <w:t xml:space="preserve">Job Services Australia (JSA) </w:t>
            </w:r>
          </w:p>
          <w:p w14:paraId="1AEC2A53" w14:textId="77777777" w:rsidR="00AA7248" w:rsidRPr="00820C89" w:rsidRDefault="00AA7248" w:rsidP="00494038">
            <w:r w:rsidRPr="00820C89">
              <w:t>Key changes include: improved links between labour market assistance and apprenticeships, and vocational training and State and Territory government employment and training programs</w:t>
            </w:r>
          </w:p>
        </w:tc>
        <w:tc>
          <w:tcPr>
            <w:tcW w:w="1276" w:type="dxa"/>
          </w:tcPr>
          <w:p w14:paraId="71207729" w14:textId="77777777" w:rsidR="00AA7248" w:rsidRPr="00820C89" w:rsidRDefault="00AA7248" w:rsidP="00494038">
            <w:r w:rsidRPr="00820C89">
              <w:rPr>
                <w:i/>
                <w:iCs/>
              </w:rPr>
              <w:t xml:space="preserve">All </w:t>
            </w:r>
            <w:r w:rsidRPr="00820C89">
              <w:t xml:space="preserve">job seekers </w:t>
            </w:r>
          </w:p>
        </w:tc>
        <w:tc>
          <w:tcPr>
            <w:tcW w:w="8505" w:type="dxa"/>
          </w:tcPr>
          <w:p w14:paraId="058844E7" w14:textId="77777777" w:rsidR="00AA7248" w:rsidRPr="00820C89" w:rsidRDefault="00AA7248" w:rsidP="00AA7248">
            <w:pPr>
              <w:pStyle w:val="ListBullet"/>
              <w:spacing w:before="170"/>
            </w:pPr>
            <w:r w:rsidRPr="00820C89">
              <w:t xml:space="preserve">Replaced the Job Network, JSA became the primary employment program throughout Australia </w:t>
            </w:r>
          </w:p>
          <w:p w14:paraId="57C7FFB3" w14:textId="77777777" w:rsidR="00AA7248" w:rsidRPr="00820C89" w:rsidRDefault="00AA7248" w:rsidP="00AA7248">
            <w:pPr>
              <w:pStyle w:val="ListBullet"/>
              <w:spacing w:before="170"/>
            </w:pPr>
            <w:r w:rsidRPr="00820C89">
              <w:t xml:space="preserve">While not Indigenous-specific, JSA provided job search assistance to the Indigenous population </w:t>
            </w:r>
          </w:p>
          <w:p w14:paraId="2EA94F32" w14:textId="77777777" w:rsidR="00AA7248" w:rsidRPr="00820C89" w:rsidRDefault="00AA7248" w:rsidP="00494038"/>
        </w:tc>
      </w:tr>
      <w:tr w:rsidR="00AA7248" w:rsidRPr="00820C89" w14:paraId="6CD351DD" w14:textId="77777777" w:rsidTr="00494038">
        <w:tc>
          <w:tcPr>
            <w:tcW w:w="1134" w:type="dxa"/>
          </w:tcPr>
          <w:p w14:paraId="04E36F2B" w14:textId="77777777" w:rsidR="00AA7248" w:rsidRPr="00820C89" w:rsidRDefault="00AA7248" w:rsidP="00494038">
            <w:r w:rsidRPr="00820C89">
              <w:lastRenderedPageBreak/>
              <w:t>2011-18</w:t>
            </w:r>
          </w:p>
        </w:tc>
        <w:tc>
          <w:tcPr>
            <w:tcW w:w="4536" w:type="dxa"/>
          </w:tcPr>
          <w:p w14:paraId="242C691D" w14:textId="77777777" w:rsidR="00AA7248" w:rsidRPr="00820C89" w:rsidRDefault="00AA7248" w:rsidP="00494038">
            <w:pPr>
              <w:rPr>
                <w:b/>
                <w:bCs/>
              </w:rPr>
            </w:pPr>
            <w:r w:rsidRPr="00820C89">
              <w:rPr>
                <w:b/>
                <w:bCs/>
              </w:rPr>
              <w:t xml:space="preserve">Indigenous Economic Development Strategy </w:t>
            </w:r>
          </w:p>
          <w:p w14:paraId="56C9429E" w14:textId="77777777" w:rsidR="00AA7248" w:rsidRPr="00820C89" w:rsidRDefault="00AA7248" w:rsidP="00494038"/>
        </w:tc>
        <w:tc>
          <w:tcPr>
            <w:tcW w:w="1276" w:type="dxa"/>
          </w:tcPr>
          <w:p w14:paraId="020D9360" w14:textId="77777777" w:rsidR="00AA7248" w:rsidRPr="00820C89" w:rsidRDefault="00AA7248" w:rsidP="00494038">
            <w:r w:rsidRPr="00820C89">
              <w:t xml:space="preserve">Indigenous Australians </w:t>
            </w:r>
          </w:p>
        </w:tc>
        <w:tc>
          <w:tcPr>
            <w:tcW w:w="8505" w:type="dxa"/>
          </w:tcPr>
          <w:p w14:paraId="5DDB7389" w14:textId="77777777" w:rsidR="00AA7248" w:rsidRPr="00820C89" w:rsidRDefault="00AA7248" w:rsidP="00AA7248">
            <w:pPr>
              <w:pStyle w:val="ListBullet"/>
              <w:spacing w:before="170"/>
            </w:pPr>
            <w:r w:rsidRPr="00820C89">
              <w:t xml:space="preserve">The ultimate objective is to support increased personal and economic wellbeing of Indigenous Australians, through greater participation in the economy </w:t>
            </w:r>
          </w:p>
          <w:p w14:paraId="46EC2850" w14:textId="77777777" w:rsidR="00AA7248" w:rsidRPr="00820C89" w:rsidRDefault="00AA7248" w:rsidP="00AA7248">
            <w:pPr>
              <w:pStyle w:val="ListBullet"/>
              <w:spacing w:before="170"/>
            </w:pPr>
            <w:r w:rsidRPr="00820C89">
              <w:t>Key priorities: strengthen foundations to create an environment that supports economic development; invest in education; improve access to skills development and jobs; and assist individuals and communities to achieve financial security and independence.</w:t>
            </w:r>
          </w:p>
        </w:tc>
      </w:tr>
      <w:tr w:rsidR="00AA7248" w:rsidRPr="00820C89" w14:paraId="63EFC4DA" w14:textId="77777777" w:rsidTr="00494038">
        <w:tc>
          <w:tcPr>
            <w:tcW w:w="1134" w:type="dxa"/>
          </w:tcPr>
          <w:p w14:paraId="01F86C19" w14:textId="77777777" w:rsidR="00AA7248" w:rsidRPr="00820C89" w:rsidRDefault="00AA7248" w:rsidP="00494038">
            <w:r w:rsidRPr="00820C89">
              <w:t xml:space="preserve">2013-15 </w:t>
            </w:r>
          </w:p>
        </w:tc>
        <w:tc>
          <w:tcPr>
            <w:tcW w:w="4536" w:type="dxa"/>
          </w:tcPr>
          <w:p w14:paraId="3257A245" w14:textId="77777777" w:rsidR="00AA7248" w:rsidRPr="00820C89" w:rsidRDefault="00AA7248" w:rsidP="00494038">
            <w:pPr>
              <w:rPr>
                <w:b/>
                <w:bCs/>
              </w:rPr>
            </w:pPr>
            <w:r w:rsidRPr="00820C89">
              <w:rPr>
                <w:b/>
                <w:bCs/>
              </w:rPr>
              <w:t xml:space="preserve">Remote Jobs and Communities Program (RJCP) </w:t>
            </w:r>
          </w:p>
          <w:p w14:paraId="66F90AD5" w14:textId="77777777" w:rsidR="00AA7248" w:rsidRPr="00820C89" w:rsidRDefault="00AA7248" w:rsidP="00494038">
            <w:r w:rsidRPr="00820C89">
              <w:t xml:space="preserve">Key changes from the CDEP include: a stronger focus on linking jobseekers to the formal economy, while also enhancing local economic development; and it’s administration largely reflects non-remote employment programs, such as Work for the Dole’s centralised approach. </w:t>
            </w:r>
          </w:p>
        </w:tc>
        <w:tc>
          <w:tcPr>
            <w:tcW w:w="1276" w:type="dxa"/>
          </w:tcPr>
          <w:p w14:paraId="7B216F15" w14:textId="77777777" w:rsidR="00AA7248" w:rsidRPr="00820C89" w:rsidRDefault="00AA7248" w:rsidP="00494038">
            <w:r w:rsidRPr="00820C89">
              <w:rPr>
                <w:i/>
                <w:iCs/>
              </w:rPr>
              <w:t xml:space="preserve">All </w:t>
            </w:r>
            <w:r w:rsidRPr="00820C89">
              <w:t>job seekers in remote areas (majority Indigenous)</w:t>
            </w:r>
          </w:p>
        </w:tc>
        <w:tc>
          <w:tcPr>
            <w:tcW w:w="8505" w:type="dxa"/>
          </w:tcPr>
          <w:p w14:paraId="4CAF7370" w14:textId="77777777" w:rsidR="00AA7248" w:rsidRPr="00820C89" w:rsidRDefault="00AA7248" w:rsidP="00AA7248">
            <w:pPr>
              <w:pStyle w:val="ListBullet"/>
              <w:spacing w:before="170"/>
            </w:pPr>
            <w:r w:rsidRPr="00820C89">
              <w:t xml:space="preserve">Participants and clients from the CDEP, Job Services Australia, Disability Employment services and the Indigenous Employment Program in remote areas were rolled onto the RJCP. </w:t>
            </w:r>
          </w:p>
          <w:p w14:paraId="01EC5E71" w14:textId="77777777" w:rsidR="00AA7248" w:rsidRPr="00820C89" w:rsidRDefault="00AA7248" w:rsidP="00AA7248">
            <w:pPr>
              <w:pStyle w:val="ListBullet"/>
              <w:spacing w:before="170"/>
            </w:pPr>
            <w:r w:rsidRPr="00820C89">
              <w:t xml:space="preserve">RJCP sought to address the many criticisms of CDEP, such as limited participants not building employable skills or job prospects external to the CDEP, and that work requirements were not being enforced.  </w:t>
            </w:r>
          </w:p>
        </w:tc>
      </w:tr>
      <w:tr w:rsidR="00AA7248" w:rsidRPr="00820C89" w14:paraId="11B4C380" w14:textId="77777777" w:rsidTr="00494038">
        <w:tc>
          <w:tcPr>
            <w:tcW w:w="1134" w:type="dxa"/>
          </w:tcPr>
          <w:p w14:paraId="005FDB0F" w14:textId="77777777" w:rsidR="00AA7248" w:rsidRPr="00820C89" w:rsidRDefault="00AA7248" w:rsidP="00494038">
            <w:r w:rsidRPr="00820C89">
              <w:t xml:space="preserve">2014 </w:t>
            </w:r>
          </w:p>
        </w:tc>
        <w:tc>
          <w:tcPr>
            <w:tcW w:w="4536" w:type="dxa"/>
          </w:tcPr>
          <w:p w14:paraId="78637C3A" w14:textId="77777777" w:rsidR="00AA7248" w:rsidRPr="00820C89" w:rsidRDefault="00AA7248" w:rsidP="00494038">
            <w:pPr>
              <w:rPr>
                <w:b/>
                <w:bCs/>
              </w:rPr>
            </w:pPr>
            <w:r w:rsidRPr="00820C89">
              <w:rPr>
                <w:b/>
                <w:bCs/>
              </w:rPr>
              <w:t xml:space="preserve">Creating Parity: the Forrest Review (2014) </w:t>
            </w:r>
          </w:p>
          <w:p w14:paraId="1BA1BC9A" w14:textId="77777777" w:rsidR="00AA7248" w:rsidRPr="00820C89" w:rsidRDefault="00AA7248" w:rsidP="00494038">
            <w:r w:rsidRPr="00820C89">
              <w:t xml:space="preserve">Pivotal review that informed the refinement of existing and development of new programs designed to achieve parity in outcomes for Indigenous Australians. </w:t>
            </w:r>
          </w:p>
        </w:tc>
        <w:tc>
          <w:tcPr>
            <w:tcW w:w="1276" w:type="dxa"/>
          </w:tcPr>
          <w:p w14:paraId="26CD27A7" w14:textId="77777777" w:rsidR="00AA7248" w:rsidRPr="00820C89" w:rsidRDefault="00AA7248" w:rsidP="00494038">
            <w:r w:rsidRPr="00820C89">
              <w:t xml:space="preserve">Indigenous Australians </w:t>
            </w:r>
          </w:p>
        </w:tc>
        <w:tc>
          <w:tcPr>
            <w:tcW w:w="8505" w:type="dxa"/>
          </w:tcPr>
          <w:p w14:paraId="277704FD" w14:textId="77777777" w:rsidR="00AA7248" w:rsidRPr="00820C89" w:rsidRDefault="00AA7248" w:rsidP="00AA7248">
            <w:pPr>
              <w:pStyle w:val="ListBullet"/>
              <w:spacing w:before="170"/>
            </w:pPr>
            <w:r w:rsidRPr="00820C89">
              <w:t>The Forrest Review (2014) set out 27 independent recommendations which underpinned the development of the VTEC</w:t>
            </w:r>
          </w:p>
          <w:p w14:paraId="1C073727" w14:textId="77777777" w:rsidR="00AA7248" w:rsidRPr="00820C89" w:rsidRDefault="00AA7248" w:rsidP="00AA7248">
            <w:pPr>
              <w:pStyle w:val="ListBullet"/>
              <w:spacing w:before="170"/>
            </w:pPr>
            <w:r w:rsidRPr="00820C89">
              <w:t xml:space="preserve">The recommendations were designed to reduce passive welfare, especially in remote communities, and “provide strong incentives recognising that only first Australians </w:t>
            </w:r>
          </w:p>
          <w:p w14:paraId="5BDB9374" w14:textId="77777777" w:rsidR="00AA7248" w:rsidRPr="00820C89" w:rsidRDefault="00AA7248" w:rsidP="00494038">
            <w:pPr>
              <w:pStyle w:val="ListBullet"/>
              <w:numPr>
                <w:ilvl w:val="0"/>
                <w:numId w:val="0"/>
              </w:numPr>
              <w:ind w:left="340"/>
            </w:pPr>
            <w:r w:rsidRPr="00820C89">
              <w:t xml:space="preserve">themselves can make necessary lifestyle changes, and only employers and the market can deliver real jobs”. </w:t>
            </w:r>
          </w:p>
        </w:tc>
      </w:tr>
      <w:tr w:rsidR="00AA7248" w:rsidRPr="00820C89" w14:paraId="48474242" w14:textId="77777777" w:rsidTr="00494038">
        <w:tc>
          <w:tcPr>
            <w:tcW w:w="1134" w:type="dxa"/>
          </w:tcPr>
          <w:p w14:paraId="5EBCD0BA" w14:textId="77777777" w:rsidR="00AA7248" w:rsidRPr="00820C89" w:rsidRDefault="00AA7248" w:rsidP="00494038">
            <w:r w:rsidRPr="00820C89">
              <w:t xml:space="preserve">2014-present </w:t>
            </w:r>
          </w:p>
        </w:tc>
        <w:tc>
          <w:tcPr>
            <w:tcW w:w="4536" w:type="dxa"/>
          </w:tcPr>
          <w:p w14:paraId="0CA05780" w14:textId="77777777" w:rsidR="00AA7248" w:rsidRPr="00820C89" w:rsidRDefault="00AA7248" w:rsidP="00494038">
            <w:pPr>
              <w:rPr>
                <w:b/>
                <w:bCs/>
              </w:rPr>
            </w:pPr>
            <w:r w:rsidRPr="00820C89">
              <w:rPr>
                <w:b/>
                <w:bCs/>
              </w:rPr>
              <w:t xml:space="preserve">Indigenous Advancement Strategy (IAS) </w:t>
            </w:r>
          </w:p>
          <w:p w14:paraId="7E497A80" w14:textId="77777777" w:rsidR="00AA7248" w:rsidRPr="00820C89" w:rsidRDefault="00AA7248" w:rsidP="00494038">
            <w:r w:rsidRPr="00820C89">
              <w:t xml:space="preserve">This strategy aims to shift the way funding is delivered to ensure it is flexible and better designed to address the needs, priorities and aspirations of individual communities. </w:t>
            </w:r>
          </w:p>
        </w:tc>
        <w:tc>
          <w:tcPr>
            <w:tcW w:w="1276" w:type="dxa"/>
          </w:tcPr>
          <w:p w14:paraId="63ED78C2" w14:textId="77777777" w:rsidR="00AA7248" w:rsidRPr="00820C89" w:rsidRDefault="00AA7248" w:rsidP="00494038">
            <w:r w:rsidRPr="00820C89">
              <w:t xml:space="preserve">Indigenous Australians </w:t>
            </w:r>
          </w:p>
        </w:tc>
        <w:tc>
          <w:tcPr>
            <w:tcW w:w="8505" w:type="dxa"/>
          </w:tcPr>
          <w:p w14:paraId="283E98D9" w14:textId="77777777" w:rsidR="00AA7248" w:rsidRPr="00820C89" w:rsidRDefault="00AA7248" w:rsidP="00AA7248">
            <w:pPr>
              <w:pStyle w:val="ListBullet"/>
              <w:spacing w:before="170"/>
            </w:pPr>
            <w:r w:rsidRPr="00820C89">
              <w:t xml:space="preserve">IAS consolidates the policies and programs delivered by the Government into five key program streams: </w:t>
            </w:r>
          </w:p>
          <w:p w14:paraId="047A85AB" w14:textId="77777777" w:rsidR="00AA7248" w:rsidRPr="00820C89" w:rsidRDefault="00AA7248" w:rsidP="00AA7248">
            <w:pPr>
              <w:pStyle w:val="ListBullet2"/>
              <w:spacing w:before="170"/>
            </w:pPr>
            <w:r w:rsidRPr="00820C89">
              <w:t xml:space="preserve">Jobs, Land and Economy </w:t>
            </w:r>
          </w:p>
          <w:p w14:paraId="6B669383" w14:textId="77777777" w:rsidR="00AA7248" w:rsidRPr="00820C89" w:rsidRDefault="00AA7248" w:rsidP="00AA7248">
            <w:pPr>
              <w:pStyle w:val="ListBullet2"/>
              <w:spacing w:before="170"/>
            </w:pPr>
            <w:r w:rsidRPr="00820C89">
              <w:t>Children and Schooling</w:t>
            </w:r>
          </w:p>
          <w:p w14:paraId="5935F0BD" w14:textId="77777777" w:rsidR="00AA7248" w:rsidRPr="00820C89" w:rsidRDefault="00AA7248" w:rsidP="00AA7248">
            <w:pPr>
              <w:pStyle w:val="ListBullet2"/>
              <w:spacing w:before="170"/>
            </w:pPr>
            <w:r w:rsidRPr="00820C89">
              <w:t xml:space="preserve">Safety and Wellbeing </w:t>
            </w:r>
          </w:p>
          <w:p w14:paraId="05616F16" w14:textId="77777777" w:rsidR="00AA7248" w:rsidRPr="00820C89" w:rsidRDefault="00AA7248" w:rsidP="00AA7248">
            <w:pPr>
              <w:pStyle w:val="ListBullet2"/>
              <w:spacing w:before="170"/>
            </w:pPr>
            <w:r w:rsidRPr="00820C89">
              <w:t xml:space="preserve">Culture and Capability </w:t>
            </w:r>
          </w:p>
          <w:p w14:paraId="05EF4C1A" w14:textId="77777777" w:rsidR="00AA7248" w:rsidRPr="00820C89" w:rsidRDefault="00AA7248" w:rsidP="00AA7248">
            <w:pPr>
              <w:pStyle w:val="ListBullet2"/>
              <w:spacing w:before="170"/>
            </w:pPr>
            <w:r w:rsidRPr="00820C89">
              <w:t xml:space="preserve">Remote Australian Strategies </w:t>
            </w:r>
          </w:p>
        </w:tc>
      </w:tr>
      <w:tr w:rsidR="00AA7248" w:rsidRPr="00820C89" w14:paraId="31250F23" w14:textId="77777777" w:rsidTr="00494038">
        <w:tc>
          <w:tcPr>
            <w:tcW w:w="1134" w:type="dxa"/>
          </w:tcPr>
          <w:p w14:paraId="70C5BC62" w14:textId="77777777" w:rsidR="00AA7248" w:rsidRPr="00820C89" w:rsidRDefault="00AA7248" w:rsidP="00494038">
            <w:r w:rsidRPr="00820C89">
              <w:t xml:space="preserve">2015 – present </w:t>
            </w:r>
          </w:p>
        </w:tc>
        <w:tc>
          <w:tcPr>
            <w:tcW w:w="4536" w:type="dxa"/>
          </w:tcPr>
          <w:p w14:paraId="6CD8F6B5" w14:textId="77777777" w:rsidR="00AA7248" w:rsidRPr="00820C89" w:rsidRDefault="00AA7248" w:rsidP="00494038">
            <w:pPr>
              <w:rPr>
                <w:b/>
                <w:bCs/>
              </w:rPr>
            </w:pPr>
            <w:r w:rsidRPr="00820C89">
              <w:rPr>
                <w:b/>
                <w:bCs/>
              </w:rPr>
              <w:t xml:space="preserve">Jobactive </w:t>
            </w:r>
          </w:p>
          <w:p w14:paraId="5A7D6860" w14:textId="77777777" w:rsidR="00AA7248" w:rsidRPr="00820C89" w:rsidRDefault="00AA7248" w:rsidP="00494038">
            <w:r w:rsidRPr="00820C89">
              <w:t xml:space="preserve">Key changes include: increased focus on building jobseeker skills to meet employer needs; increase </w:t>
            </w:r>
            <w:r w:rsidRPr="00820C89">
              <w:lastRenderedPageBreak/>
              <w:t xml:space="preserve">jobseeker engagement through stronger mutual obligation requirements (MOR); and a reduction in red tape for service providers. </w:t>
            </w:r>
          </w:p>
        </w:tc>
        <w:tc>
          <w:tcPr>
            <w:tcW w:w="1276" w:type="dxa"/>
          </w:tcPr>
          <w:p w14:paraId="181A1700" w14:textId="77777777" w:rsidR="00AA7248" w:rsidRPr="00820C89" w:rsidRDefault="00AA7248" w:rsidP="00494038">
            <w:r w:rsidRPr="00820C89">
              <w:rPr>
                <w:i/>
                <w:iCs/>
              </w:rPr>
              <w:lastRenderedPageBreak/>
              <w:t xml:space="preserve">All </w:t>
            </w:r>
            <w:r w:rsidRPr="00820C89">
              <w:t xml:space="preserve">job seekers </w:t>
            </w:r>
          </w:p>
        </w:tc>
        <w:tc>
          <w:tcPr>
            <w:tcW w:w="8505" w:type="dxa"/>
          </w:tcPr>
          <w:p w14:paraId="3BF11299" w14:textId="77777777" w:rsidR="00AA7248" w:rsidRPr="00820C89" w:rsidRDefault="00AA7248" w:rsidP="00AA7248">
            <w:pPr>
              <w:pStyle w:val="ListBullet"/>
              <w:spacing w:before="170"/>
            </w:pPr>
            <w:r w:rsidRPr="00820C89">
              <w:t xml:space="preserve">Replaced JSA in 2015 as the primary employment program in Australia </w:t>
            </w:r>
          </w:p>
          <w:p w14:paraId="2A6348E2" w14:textId="77777777" w:rsidR="00AA7248" w:rsidRPr="00820C89" w:rsidRDefault="00AA7248" w:rsidP="00AA7248">
            <w:pPr>
              <w:pStyle w:val="ListBullet"/>
              <w:spacing w:before="170"/>
            </w:pPr>
            <w:r w:rsidRPr="00820C89">
              <w:t xml:space="preserve">Participant compliance with MORs includes attendance at appointments, genuine job search efforts and engagement in suitable activities. </w:t>
            </w:r>
          </w:p>
          <w:p w14:paraId="3DEFBCA6" w14:textId="77777777" w:rsidR="00AA7248" w:rsidRPr="00820C89" w:rsidRDefault="00AA7248" w:rsidP="00494038">
            <w:pPr>
              <w:pStyle w:val="ListBullet"/>
              <w:numPr>
                <w:ilvl w:val="0"/>
                <w:numId w:val="0"/>
              </w:numPr>
            </w:pPr>
          </w:p>
        </w:tc>
      </w:tr>
      <w:tr w:rsidR="00AA7248" w:rsidRPr="00820C89" w14:paraId="65579427" w14:textId="77777777" w:rsidTr="00494038">
        <w:tc>
          <w:tcPr>
            <w:tcW w:w="1134" w:type="dxa"/>
          </w:tcPr>
          <w:p w14:paraId="75C27B97" w14:textId="77777777" w:rsidR="00AA7248" w:rsidRPr="00820C89" w:rsidRDefault="00AA7248" w:rsidP="00494038">
            <w:r w:rsidRPr="00820C89">
              <w:lastRenderedPageBreak/>
              <w:t xml:space="preserve">2015-present </w:t>
            </w:r>
          </w:p>
        </w:tc>
        <w:tc>
          <w:tcPr>
            <w:tcW w:w="4536" w:type="dxa"/>
          </w:tcPr>
          <w:p w14:paraId="410C53CE" w14:textId="77777777" w:rsidR="00AA7248" w:rsidRPr="00820C89" w:rsidRDefault="00AA7248" w:rsidP="00494038">
            <w:pPr>
              <w:rPr>
                <w:b/>
                <w:bCs/>
              </w:rPr>
            </w:pPr>
            <w:r w:rsidRPr="00820C89">
              <w:rPr>
                <w:b/>
                <w:bCs/>
              </w:rPr>
              <w:t xml:space="preserve">Community Development Program (CDP) </w:t>
            </w:r>
          </w:p>
          <w:p w14:paraId="10F7DABC" w14:textId="77777777" w:rsidR="00AA7248" w:rsidRPr="00820C89" w:rsidRDefault="00AA7248" w:rsidP="00494038">
            <w:r w:rsidRPr="00820C89">
              <w:t xml:space="preserve">Key changes include: MOR and Continuous Work for the Dole, replacing ‘Structured Activities’, with a 25 hour per week activity requirement </w:t>
            </w:r>
          </w:p>
          <w:p w14:paraId="0F8F0A0F" w14:textId="77777777" w:rsidR="00AA7248" w:rsidRPr="00820C89" w:rsidRDefault="00AA7248" w:rsidP="00494038">
            <w:pPr>
              <w:rPr>
                <w:b/>
                <w:bCs/>
              </w:rPr>
            </w:pPr>
          </w:p>
        </w:tc>
        <w:tc>
          <w:tcPr>
            <w:tcW w:w="1276" w:type="dxa"/>
          </w:tcPr>
          <w:p w14:paraId="7D8197EB" w14:textId="77777777" w:rsidR="00AA7248" w:rsidRPr="00820C89" w:rsidRDefault="00AA7248" w:rsidP="00494038">
            <w:r w:rsidRPr="00820C89">
              <w:rPr>
                <w:i/>
                <w:iCs/>
              </w:rPr>
              <w:t xml:space="preserve">All </w:t>
            </w:r>
            <w:r w:rsidRPr="00820C89">
              <w:t>job seekers in remote areas (majority Indigenous)</w:t>
            </w:r>
          </w:p>
        </w:tc>
        <w:tc>
          <w:tcPr>
            <w:tcW w:w="8505" w:type="dxa"/>
          </w:tcPr>
          <w:p w14:paraId="6FAE1498" w14:textId="77777777" w:rsidR="00AA7248" w:rsidRPr="00820C89" w:rsidRDefault="00AA7248" w:rsidP="00AA7248">
            <w:pPr>
              <w:pStyle w:val="ListBullet"/>
              <w:spacing w:before="170"/>
            </w:pPr>
            <w:r w:rsidRPr="00820C89">
              <w:t>Replacing the RJCP, the CDP was designed to increase participation in work-like activities, improve sustainability of employment transitions and participant employability in remote areas.</w:t>
            </w:r>
          </w:p>
          <w:p w14:paraId="0458FFBC" w14:textId="77777777" w:rsidR="00AA7248" w:rsidRPr="00820C89" w:rsidRDefault="00AA7248" w:rsidP="00494038">
            <w:pPr>
              <w:pStyle w:val="ListBullet"/>
              <w:numPr>
                <w:ilvl w:val="0"/>
                <w:numId w:val="0"/>
              </w:numPr>
            </w:pPr>
          </w:p>
        </w:tc>
      </w:tr>
      <w:tr w:rsidR="00AA7248" w:rsidRPr="00820C89" w14:paraId="26F07A7F" w14:textId="77777777" w:rsidTr="00494038">
        <w:tc>
          <w:tcPr>
            <w:tcW w:w="1134" w:type="dxa"/>
          </w:tcPr>
          <w:p w14:paraId="6BDB9998" w14:textId="77777777" w:rsidR="00AA7248" w:rsidRPr="00820C89" w:rsidRDefault="00AA7248" w:rsidP="00494038">
            <w:r w:rsidRPr="00820C89">
              <w:t xml:space="preserve">2014 – present </w:t>
            </w:r>
          </w:p>
        </w:tc>
        <w:tc>
          <w:tcPr>
            <w:tcW w:w="4536" w:type="dxa"/>
          </w:tcPr>
          <w:p w14:paraId="62A05EF8" w14:textId="77777777" w:rsidR="00AA7248" w:rsidRPr="00820C89" w:rsidRDefault="00AA7248" w:rsidP="00494038">
            <w:pPr>
              <w:rPr>
                <w:b/>
                <w:bCs/>
              </w:rPr>
            </w:pPr>
            <w:r w:rsidRPr="00820C89">
              <w:rPr>
                <w:b/>
                <w:bCs/>
              </w:rPr>
              <w:t xml:space="preserve">Vocational Training and Employment Centre </w:t>
            </w:r>
          </w:p>
        </w:tc>
        <w:tc>
          <w:tcPr>
            <w:tcW w:w="1276" w:type="dxa"/>
          </w:tcPr>
          <w:p w14:paraId="3D682896" w14:textId="77777777" w:rsidR="00AA7248" w:rsidRPr="00820C89" w:rsidRDefault="00AA7248" w:rsidP="00494038"/>
        </w:tc>
        <w:tc>
          <w:tcPr>
            <w:tcW w:w="8505" w:type="dxa"/>
          </w:tcPr>
          <w:p w14:paraId="5FE9C9D3" w14:textId="77777777" w:rsidR="00AA7248" w:rsidRPr="00820C89" w:rsidRDefault="00AA7248" w:rsidP="00AA7248">
            <w:pPr>
              <w:pStyle w:val="ListBullet"/>
              <w:spacing w:before="170"/>
            </w:pPr>
            <w:r w:rsidRPr="00820C89">
              <w:t xml:space="preserve">Using a demand-driven approach, pre-employment training is provided to participants by specialised training providers, linked to a guaranteed job. </w:t>
            </w:r>
          </w:p>
        </w:tc>
      </w:tr>
      <w:tr w:rsidR="00AA7248" w:rsidRPr="00820C89" w14:paraId="6E18A049" w14:textId="77777777" w:rsidTr="00494038">
        <w:tc>
          <w:tcPr>
            <w:tcW w:w="1134" w:type="dxa"/>
          </w:tcPr>
          <w:p w14:paraId="7298219E" w14:textId="77777777" w:rsidR="00AA7248" w:rsidRPr="00820C89" w:rsidRDefault="00AA7248" w:rsidP="00494038">
            <w:r w:rsidRPr="00820C89">
              <w:t xml:space="preserve">2015-present </w:t>
            </w:r>
          </w:p>
        </w:tc>
        <w:tc>
          <w:tcPr>
            <w:tcW w:w="4536" w:type="dxa"/>
          </w:tcPr>
          <w:p w14:paraId="514E8F2D" w14:textId="77777777" w:rsidR="00AA7248" w:rsidRPr="00820C89" w:rsidRDefault="00AA7248" w:rsidP="00494038">
            <w:pPr>
              <w:rPr>
                <w:b/>
                <w:bCs/>
              </w:rPr>
            </w:pPr>
            <w:r w:rsidRPr="00820C89">
              <w:rPr>
                <w:b/>
                <w:bCs/>
              </w:rPr>
              <w:t>Employment Parity Initiative (EPI)</w:t>
            </w:r>
          </w:p>
        </w:tc>
        <w:tc>
          <w:tcPr>
            <w:tcW w:w="1276" w:type="dxa"/>
          </w:tcPr>
          <w:p w14:paraId="4DD79706" w14:textId="77777777" w:rsidR="00AA7248" w:rsidRPr="00820C89" w:rsidRDefault="00AA7248" w:rsidP="00494038"/>
        </w:tc>
        <w:tc>
          <w:tcPr>
            <w:tcW w:w="8505" w:type="dxa"/>
          </w:tcPr>
          <w:p w14:paraId="62C9ADAD" w14:textId="77777777" w:rsidR="00AA7248" w:rsidRPr="00820C89" w:rsidRDefault="00AA7248" w:rsidP="00AA7248">
            <w:pPr>
              <w:pStyle w:val="ListBullet"/>
              <w:spacing w:before="170"/>
            </w:pPr>
            <w:r w:rsidRPr="00820C89">
              <w:t xml:space="preserve">Supports large Australians companies to increase Indigenous representation in their workplace </w:t>
            </w:r>
          </w:p>
        </w:tc>
      </w:tr>
      <w:tr w:rsidR="00AA7248" w:rsidRPr="00820C89" w14:paraId="62DD8257" w14:textId="77777777" w:rsidTr="00494038">
        <w:tc>
          <w:tcPr>
            <w:tcW w:w="1134" w:type="dxa"/>
          </w:tcPr>
          <w:p w14:paraId="41C9F393" w14:textId="77777777" w:rsidR="00AA7248" w:rsidRPr="00820C89" w:rsidRDefault="00AA7248" w:rsidP="00494038">
            <w:r w:rsidRPr="00820C89">
              <w:t xml:space="preserve">2015-present </w:t>
            </w:r>
          </w:p>
        </w:tc>
        <w:tc>
          <w:tcPr>
            <w:tcW w:w="4536" w:type="dxa"/>
          </w:tcPr>
          <w:p w14:paraId="7B922D55" w14:textId="77777777" w:rsidR="00AA7248" w:rsidRPr="00820C89" w:rsidRDefault="00AA7248" w:rsidP="00494038">
            <w:pPr>
              <w:rPr>
                <w:b/>
                <w:bCs/>
              </w:rPr>
            </w:pPr>
            <w:r w:rsidRPr="00820C89">
              <w:rPr>
                <w:b/>
                <w:bCs/>
              </w:rPr>
              <w:t xml:space="preserve">Tailored Assistance Employment Grants (TAEG) </w:t>
            </w:r>
          </w:p>
        </w:tc>
        <w:tc>
          <w:tcPr>
            <w:tcW w:w="1276" w:type="dxa"/>
          </w:tcPr>
          <w:p w14:paraId="31E21B67" w14:textId="77777777" w:rsidR="00AA7248" w:rsidRPr="00820C89" w:rsidRDefault="00AA7248" w:rsidP="00494038"/>
        </w:tc>
        <w:tc>
          <w:tcPr>
            <w:tcW w:w="8505" w:type="dxa"/>
          </w:tcPr>
          <w:p w14:paraId="4A420C45" w14:textId="77777777" w:rsidR="00AA7248" w:rsidRPr="00820C89" w:rsidRDefault="00AA7248" w:rsidP="00AA7248">
            <w:pPr>
              <w:pStyle w:val="ListBullet"/>
              <w:spacing w:before="170"/>
            </w:pPr>
            <w:r w:rsidRPr="00820C89">
              <w:t xml:space="preserve">Funds projects that seek to improve job readiness and employability of Indigenous Australians </w:t>
            </w:r>
          </w:p>
        </w:tc>
      </w:tr>
    </w:tbl>
    <w:p w14:paraId="66DE2430" w14:textId="77777777" w:rsidR="00AA7248" w:rsidRPr="00820C89" w:rsidRDefault="00AA7248" w:rsidP="00AA7248">
      <w:pPr>
        <w:sectPr w:rsidR="00AA7248" w:rsidRPr="00820C89" w:rsidSect="00494038">
          <w:pgSz w:w="16838" w:h="11906" w:orient="landscape" w:code="9"/>
          <w:pgMar w:top="680" w:right="1985" w:bottom="1983" w:left="1134" w:header="680" w:footer="425" w:gutter="0"/>
          <w:cols w:space="284"/>
          <w:noEndnote/>
          <w:docGrid w:linePitch="360"/>
        </w:sectPr>
      </w:pPr>
    </w:p>
    <w:p w14:paraId="0CC60F8B" w14:textId="6AD6C347" w:rsidR="00AA7248" w:rsidRDefault="00AA7248" w:rsidP="006A04F6">
      <w:pPr>
        <w:pStyle w:val="Heading31"/>
        <w:shd w:val="clear" w:color="auto" w:fill="DFF0F9" w:themeFill="accent3" w:themeFillTint="33"/>
      </w:pPr>
      <w:bookmarkStart w:id="198" w:name="_Toc57053504"/>
      <w:bookmarkEnd w:id="195"/>
      <w:r w:rsidRPr="00820C89">
        <w:lastRenderedPageBreak/>
        <w:t>Recent history of Indigenous employment policy</w:t>
      </w:r>
      <w:bookmarkEnd w:id="198"/>
    </w:p>
    <w:p w14:paraId="60F6FCE6" w14:textId="77777777" w:rsidR="008F54A1" w:rsidRPr="00820C89" w:rsidRDefault="008F54A1" w:rsidP="008F54A1">
      <w:pPr>
        <w:shd w:val="clear" w:color="auto" w:fill="DFF0F9" w:themeFill="accent3" w:themeFillTint="33"/>
      </w:pPr>
      <w:r w:rsidRPr="00820C89">
        <w:t xml:space="preserve">This section explores the evolution of Indigenous employment policy over four decades, from the 1970s-2012. For the purposes of this literature scan, this evolution can best be understood in two key timeframes – post the 1967 referendum and 1990/91 recession in Australia. </w:t>
      </w:r>
    </w:p>
    <w:p w14:paraId="7E50E016" w14:textId="77777777" w:rsidR="008F54A1" w:rsidRPr="00820C89" w:rsidRDefault="008F54A1" w:rsidP="008F54A1">
      <w:pPr>
        <w:shd w:val="clear" w:color="auto" w:fill="DFF0F9" w:themeFill="accent3" w:themeFillTint="33"/>
      </w:pPr>
      <w:r w:rsidRPr="00820C89">
        <w:t>At a high-level, the evolution of Indigenous employment policies for this period can be understood considering key shifts in policy direction:</w:t>
      </w:r>
    </w:p>
    <w:p w14:paraId="7FB1B8B4" w14:textId="77777777" w:rsidR="008F54A1" w:rsidRPr="00820C89" w:rsidRDefault="008F54A1" w:rsidP="00715F70">
      <w:pPr>
        <w:pStyle w:val="ListParagraph"/>
        <w:numPr>
          <w:ilvl w:val="0"/>
          <w:numId w:val="101"/>
        </w:numPr>
        <w:shd w:val="clear" w:color="auto" w:fill="DFF0F9" w:themeFill="accent3" w:themeFillTint="33"/>
        <w:spacing w:before="170"/>
      </w:pPr>
      <w:r w:rsidRPr="00820C89">
        <w:t xml:space="preserve">The initial approach to Indigenous employment policy emphasised the importance of a </w:t>
      </w:r>
      <w:r w:rsidRPr="00820C89">
        <w:rPr>
          <w:b/>
          <w:bCs/>
        </w:rPr>
        <w:t>flexible,</w:t>
      </w:r>
      <w:r w:rsidRPr="00820C89">
        <w:t xml:space="preserve"> </w:t>
      </w:r>
      <w:r w:rsidRPr="00820C89">
        <w:rPr>
          <w:b/>
          <w:bCs/>
        </w:rPr>
        <w:t>place-based approach, allowing for self-determination and cultural preservation</w:t>
      </w:r>
      <w:r w:rsidRPr="00820C89">
        <w:t xml:space="preserve">, through the inclusion of Indigenous input into decision-making. This is reflected in the design and implementation of CDEP and the AEDP. </w:t>
      </w:r>
    </w:p>
    <w:p w14:paraId="6007D663" w14:textId="77777777" w:rsidR="008F54A1" w:rsidRPr="00820C89" w:rsidRDefault="008F54A1" w:rsidP="00715F70">
      <w:pPr>
        <w:pStyle w:val="ListParagraph"/>
        <w:numPr>
          <w:ilvl w:val="0"/>
          <w:numId w:val="101"/>
        </w:numPr>
        <w:shd w:val="clear" w:color="auto" w:fill="DFF0F9" w:themeFill="accent3" w:themeFillTint="33"/>
        <w:spacing w:before="170"/>
        <w:rPr>
          <w:b/>
          <w:bCs/>
        </w:rPr>
      </w:pPr>
      <w:r w:rsidRPr="00820C89">
        <w:t xml:space="preserve">The 1990/91 recession was a key turning point in mainstream employment policy strategy, resulting in an </w:t>
      </w:r>
      <w:r w:rsidRPr="00820C89">
        <w:rPr>
          <w:b/>
          <w:bCs/>
        </w:rPr>
        <w:t>increased focus on the privatisation of services or skills/training</w:t>
      </w:r>
      <w:r w:rsidRPr="00820C89">
        <w:t xml:space="preserve">, and an </w:t>
      </w:r>
      <w:r w:rsidRPr="00820C89">
        <w:rPr>
          <w:b/>
          <w:bCs/>
        </w:rPr>
        <w:t xml:space="preserve">increased focus on program activities supporting mainstream job readiness.  </w:t>
      </w:r>
    </w:p>
    <w:p w14:paraId="4C0E78BF" w14:textId="27B87DB1" w:rsidR="008F54A1" w:rsidRPr="008F54A1" w:rsidRDefault="008F54A1" w:rsidP="008F54A1">
      <w:pPr>
        <w:shd w:val="clear" w:color="auto" w:fill="DFF0F9" w:themeFill="accent3" w:themeFillTint="33"/>
      </w:pPr>
      <w:r w:rsidRPr="00820C89">
        <w:t xml:space="preserve">Indigenous employment policy has been shaped by successive governments and overtime </w:t>
      </w:r>
      <w:r w:rsidRPr="00820C89">
        <w:rPr>
          <w:b/>
          <w:bCs/>
        </w:rPr>
        <w:t xml:space="preserve">policy has increasingly been geared towards participation in the mainstream economy and a governance approach that is more centralised. </w:t>
      </w:r>
      <w:r w:rsidRPr="00820C89">
        <w:t>In this way, it appears that the focus on self-determination and cultural preservation based on a differentiated and localised approach was replaced by a more homogenous approach.</w:t>
      </w:r>
    </w:p>
    <w:p w14:paraId="1BCF0849" w14:textId="77777777" w:rsidR="00AA7248" w:rsidRPr="00820C89" w:rsidRDefault="00AA7248" w:rsidP="00AA7248">
      <w:pPr>
        <w:pStyle w:val="Heading4un-numbered"/>
      </w:pPr>
      <w:r w:rsidRPr="00820C89">
        <w:t>Post the 1967 Referendum Program</w:t>
      </w:r>
    </w:p>
    <w:p w14:paraId="707D8C24" w14:textId="77777777" w:rsidR="00AA7248" w:rsidRPr="00820C89" w:rsidRDefault="00AA7248" w:rsidP="00AA7248">
      <w:r w:rsidRPr="00820C89">
        <w:rPr>
          <w:b/>
          <w:bCs/>
        </w:rPr>
        <w:t>The CDEP was the first Indigenous-specific mutual obligations scheme that operated in remote locations.</w:t>
      </w:r>
      <w:r w:rsidRPr="00820C89">
        <w:t xml:space="preserve"> It began in 1977 and continued until 2013– the longest standing employment program to date in Australian history – which was replaced with RJCP in 2013, and then two years later by the CDP. The CDEP addressed the widely held concern that the absence of employment prospects in remote communities, coupled with the creation of unemployment benefits, would disincentivise work and have detrimental effects on job seeker motivation.</w:t>
      </w:r>
      <w:r w:rsidRPr="00820C89">
        <w:rPr>
          <w:rStyle w:val="FootnoteReference"/>
        </w:rPr>
        <w:footnoteReference w:id="89"/>
      </w:r>
      <w:r w:rsidRPr="00820C89">
        <w:t xml:space="preserve"> It established as a mutual obligation scheme where participants worked for welfare entitlements, but over its lifecycle, the objectives expanded to include community development, enterprise development, employment creation and income support.</w:t>
      </w:r>
      <w:r w:rsidRPr="00820C89">
        <w:rPr>
          <w:rStyle w:val="FootnoteReference"/>
        </w:rPr>
        <w:footnoteReference w:id="90"/>
      </w:r>
      <w:r w:rsidRPr="00820C89">
        <w:t xml:space="preserve"> As the vast majority of participants resided in remote and very remote communities, the CDEP was the major labour market in these locations, as limited or no mainstream options existed in these locations.</w:t>
      </w:r>
      <w:r w:rsidRPr="00820C89">
        <w:rPr>
          <w:rStyle w:val="FootnoteReference"/>
        </w:rPr>
        <w:footnoteReference w:id="91"/>
      </w:r>
      <w:r w:rsidRPr="00820C89">
        <w:t xml:space="preserve"> </w:t>
      </w:r>
    </w:p>
    <w:p w14:paraId="1B76470D" w14:textId="77777777" w:rsidR="00AA7248" w:rsidRPr="00820C89" w:rsidRDefault="00AA7248" w:rsidP="00AA7248">
      <w:r w:rsidRPr="00820C89">
        <w:rPr>
          <w:b/>
          <w:bCs/>
        </w:rPr>
        <w:t xml:space="preserve">The CDEP was designed as a place-based approach to providing employment, where Indigenous leaders held decision-making power over what work-like activities would be undertaken within the community. </w:t>
      </w:r>
      <w:r w:rsidRPr="00820C89">
        <w:t>The flexibility of the program design and ability to tailor the program to specific and unique needs, such as flexible work arrangements to attend cultural and family responsibility, was perceived positively by Indigenous communities.</w:t>
      </w:r>
      <w:r w:rsidRPr="00820C89">
        <w:rPr>
          <w:rStyle w:val="FootnoteReference"/>
        </w:rPr>
        <w:footnoteReference w:id="92"/>
      </w:r>
      <w:r w:rsidRPr="00820C89">
        <w:t xml:space="preserve"> This aspect of the CDEP was seen a progressive as it enabled greater flexibility, individual choice and connected employment creation, income support and community development.</w:t>
      </w:r>
      <w:r w:rsidRPr="00820C89">
        <w:rPr>
          <w:rStyle w:val="FootnoteReference"/>
        </w:rPr>
        <w:footnoteReference w:id="93"/>
      </w:r>
      <w:r w:rsidRPr="00820C89">
        <w:t xml:space="preserve"> These characteristics enabled Indigenous participant agency, and the types of activities engaged in reflect that the focus was on participation </w:t>
      </w:r>
      <w:r w:rsidRPr="00820C89">
        <w:lastRenderedPageBreak/>
        <w:t>rather than just mainstream employment.</w:t>
      </w:r>
      <w:r w:rsidRPr="00820C89">
        <w:rPr>
          <w:rStyle w:val="FootnoteReference"/>
        </w:rPr>
        <w:footnoteReference w:id="94"/>
      </w:r>
      <w:r w:rsidRPr="00820C89">
        <w:t xml:space="preserve"> Examples of Indigenous selected activities include arts production and sale and customary (non-market) wildlife harvesting.</w:t>
      </w:r>
      <w:r w:rsidRPr="00820C89">
        <w:rPr>
          <w:rStyle w:val="FootnoteReference"/>
        </w:rPr>
        <w:footnoteReference w:id="95"/>
      </w:r>
      <w:r w:rsidRPr="00820C89">
        <w:t xml:space="preserve"> </w:t>
      </w:r>
    </w:p>
    <w:p w14:paraId="23908EDF" w14:textId="77777777" w:rsidR="00AA7248" w:rsidRPr="00820C89" w:rsidRDefault="00AA7248" w:rsidP="00AA7248">
      <w:r w:rsidRPr="00820C89">
        <w:rPr>
          <w:b/>
          <w:bCs/>
        </w:rPr>
        <w:t xml:space="preserve">The </w:t>
      </w:r>
      <w:r w:rsidRPr="00820C89">
        <w:rPr>
          <w:b/>
          <w:bCs/>
          <w:i/>
          <w:iCs/>
        </w:rPr>
        <w:t xml:space="preserve">Miller Report </w:t>
      </w:r>
      <w:r w:rsidRPr="00820C89">
        <w:rPr>
          <w:b/>
          <w:bCs/>
        </w:rPr>
        <w:t xml:space="preserve">(1985) articulated that the CDEP was successful from a moral and cultural sense, in that Indigenous communities and participants were granted autonomy to select the activities and structure of work in accordance with their lifestyle. </w:t>
      </w:r>
      <w:r w:rsidRPr="00820C89">
        <w:t xml:space="preserve">The </w:t>
      </w:r>
      <w:r w:rsidRPr="00820C89">
        <w:rPr>
          <w:i/>
          <w:iCs/>
        </w:rPr>
        <w:t xml:space="preserve">Miller Report </w:t>
      </w:r>
      <w:r w:rsidRPr="00820C89">
        <w:t>proposed an expansion of the CDEP to more regional and settled locations, and urged the Government to consider a policy of support that “goes beyond the welfare, housing and municipal services industries and which should be directed towards Aboriginal people becoming more independent by enabling them to provide for their own livelihood”.</w:t>
      </w:r>
      <w:r w:rsidRPr="00820C89">
        <w:rPr>
          <w:rStyle w:val="FootnoteReference"/>
        </w:rPr>
        <w:footnoteReference w:id="96"/>
      </w:r>
      <w:r w:rsidRPr="00820C89">
        <w:t xml:space="preserve"> Beyond this, the report also reported that programs that work towards self-determination will be “longer-term, involve real training and result in Aboriginal control of resources, as well as access to jobs in the regular labour market.”</w:t>
      </w:r>
      <w:r w:rsidRPr="00820C89">
        <w:rPr>
          <w:rStyle w:val="FootnoteReference"/>
        </w:rPr>
        <w:footnoteReference w:id="97"/>
      </w:r>
    </w:p>
    <w:p w14:paraId="7BC5CFFC" w14:textId="77777777" w:rsidR="00AA7248" w:rsidRPr="00820C89" w:rsidRDefault="00AA7248" w:rsidP="00AA7248">
      <w:r w:rsidRPr="00820C89">
        <w:rPr>
          <w:b/>
          <w:bCs/>
        </w:rPr>
        <w:t>In addition, because the CDEP supports a majority of participants in remote and very remote areas, the focus on increasing participation in work-like activities was received positively by some, as opportunities for labour market participation were scarce.</w:t>
      </w:r>
      <w:r w:rsidRPr="00820C89">
        <w:rPr>
          <w:rStyle w:val="FootnoteReference"/>
          <w:b/>
          <w:bCs/>
        </w:rPr>
        <w:footnoteReference w:id="98"/>
      </w:r>
      <w:r w:rsidRPr="00820C89">
        <w:rPr>
          <w:b/>
          <w:bCs/>
        </w:rPr>
        <w:t xml:space="preserve"> </w:t>
      </w:r>
      <w:r w:rsidRPr="00820C89">
        <w:t xml:space="preserve">Twenty years after the </w:t>
      </w:r>
      <w:r w:rsidRPr="00820C89">
        <w:rPr>
          <w:i/>
          <w:iCs/>
        </w:rPr>
        <w:t xml:space="preserve">Miller Report, </w:t>
      </w:r>
      <w:r w:rsidRPr="00820C89">
        <w:t>in 2005, Professor Jon Altman’s academic analysis, based on the National Aboriginal and Torres Strait Islander Survey (NATSISS), Aboriginal and Torres Strait Islander Services (ATSIS) and  census data, of the CDEP stated that the scheme was a success in “generating positive economic and community development outcomes at a minimal cost to the Australian taxpayer”.</w:t>
      </w:r>
      <w:r w:rsidRPr="00820C89">
        <w:rPr>
          <w:rStyle w:val="FootnoteReference"/>
        </w:rPr>
        <w:footnoteReference w:id="99"/>
      </w:r>
    </w:p>
    <w:p w14:paraId="6EC8E19E" w14:textId="77777777" w:rsidR="00AA7248" w:rsidRPr="00820C89" w:rsidRDefault="00AA7248" w:rsidP="00AA7248">
      <w:r w:rsidRPr="00820C89">
        <w:rPr>
          <w:b/>
          <w:bCs/>
        </w:rPr>
        <w:t>The CDEP, however, has also received criticism, namely regarding ‘double dipping’ and the program’s limited ability to transition participants into mainstream employment.</w:t>
      </w:r>
      <w:r w:rsidRPr="00820C89">
        <w:t xml:space="preserve"> ‘Double dipping’ can occur because participants can receive CDEP payments alongside other forms of income assistance.</w:t>
      </w:r>
      <w:r w:rsidRPr="00820C89">
        <w:rPr>
          <w:rStyle w:val="FootnoteReference"/>
        </w:rPr>
        <w:footnoteReference w:id="100"/>
      </w:r>
      <w:r w:rsidRPr="00820C89">
        <w:t xml:space="preserve"> Further, the program’s lack of relevancy to ‘real jobs’ and connection to the ‘mainstream’ market economy was considered a weakness by both Indigenous and non-Indigenous policy makers and community members.</w:t>
      </w:r>
      <w:r w:rsidRPr="00820C89">
        <w:rPr>
          <w:rStyle w:val="FootnoteReference"/>
        </w:rPr>
        <w:footnoteReference w:id="101"/>
      </w:r>
      <w:r w:rsidRPr="00820C89">
        <w:t xml:space="preserve"> As a result of this, there was further concern that the absence of engagement with ‘real jobs’ would encourage welfare dependency.</w:t>
      </w:r>
      <w:r w:rsidRPr="00820C89">
        <w:rPr>
          <w:rStyle w:val="FootnoteReference"/>
        </w:rPr>
        <w:footnoteReference w:id="102"/>
      </w:r>
    </w:p>
    <w:p w14:paraId="2B8459F8" w14:textId="77777777" w:rsidR="00AA7248" w:rsidRPr="00820C89" w:rsidRDefault="00AA7248" w:rsidP="00AA7248">
      <w:r w:rsidRPr="00820C89">
        <w:rPr>
          <w:b/>
          <w:bCs/>
        </w:rPr>
        <w:t xml:space="preserve">Following the ten-year operation of the CDEP and the </w:t>
      </w:r>
      <w:r w:rsidRPr="00820C89">
        <w:rPr>
          <w:b/>
          <w:bCs/>
          <w:i/>
          <w:iCs/>
        </w:rPr>
        <w:t xml:space="preserve">Miller Review, </w:t>
      </w:r>
      <w:r w:rsidRPr="00820C89">
        <w:rPr>
          <w:b/>
          <w:bCs/>
        </w:rPr>
        <w:t>the AEDP which was the first Indigenous specific employment policy, was implemented in 1987.</w:t>
      </w:r>
      <w:r w:rsidRPr="00820C89">
        <w:t xml:space="preserve"> The AEDP aimed to increase Indigenous employment and reduce Indigenous welfare dependency, while enhancing self-determination and cultural preservation.</w:t>
      </w:r>
      <w:r w:rsidRPr="00820C89">
        <w:rPr>
          <w:rStyle w:val="FootnoteReference"/>
        </w:rPr>
        <w:footnoteReference w:id="103"/>
      </w:r>
      <w:r w:rsidRPr="00820C89">
        <w:t xml:space="preserve"> In addition, the AEDP recognised the differences in unemployment experiences and employment barriers for those living in remote versus towns with an </w:t>
      </w:r>
      <w:r w:rsidRPr="00820C89">
        <w:lastRenderedPageBreak/>
        <w:t xml:space="preserve">established labour market. As such, programs in established towns were aligned with mainstream approaches, while the CDEP provided in remote areas focussed on community-based employment. </w:t>
      </w:r>
    </w:p>
    <w:p w14:paraId="0F7C4468" w14:textId="77777777" w:rsidR="00AA7248" w:rsidRPr="00820C89" w:rsidRDefault="00AA7248" w:rsidP="00AA7248">
      <w:pPr>
        <w:pStyle w:val="Heading4un-numbered"/>
      </w:pPr>
      <w:r w:rsidRPr="00820C89">
        <w:t xml:space="preserve">Post the 1990/91 recession </w:t>
      </w:r>
    </w:p>
    <w:p w14:paraId="2D58FDEF" w14:textId="77777777" w:rsidR="00AA7248" w:rsidRPr="00820C89" w:rsidRDefault="00AA7248" w:rsidP="00AA7248">
      <w:r w:rsidRPr="00820C89">
        <w:rPr>
          <w:b/>
          <w:bCs/>
        </w:rPr>
        <w:t>A key turning point in Australia’s approach to employment services and program policies occurred in response to the 1990/91 recession and the subsequent increase in Australian unemployment under challenging labour market conditions</w:t>
      </w:r>
      <w:r w:rsidRPr="00820C89">
        <w:t xml:space="preserve">. It is understood that policies and programs from this time onwards typically favoured a ‘work-first’ approach that sought to align jobseeker skill development with the those required in local labour markets and expected by private employers.  </w:t>
      </w:r>
    </w:p>
    <w:p w14:paraId="4A127D7C" w14:textId="77777777" w:rsidR="00AA7248" w:rsidRPr="00820C89" w:rsidRDefault="00AA7248" w:rsidP="00AA7248">
      <w:r w:rsidRPr="00820C89">
        <w:rPr>
          <w:b/>
          <w:bCs/>
        </w:rPr>
        <w:t>The Working Nation Initiative, implemented from 1994-96, was the government’s response to address the impact of the recession on employment opportunities.</w:t>
      </w:r>
      <w:r w:rsidRPr="00820C89">
        <w:t xml:space="preserve"> It involved an expansion of mainstream labour market programs and case management of </w:t>
      </w:r>
      <w:r w:rsidRPr="00820C89">
        <w:rPr>
          <w:i/>
          <w:iCs/>
        </w:rPr>
        <w:t xml:space="preserve">all </w:t>
      </w:r>
      <w:r w:rsidRPr="00820C89">
        <w:t>unemployed individuals.</w:t>
      </w:r>
      <w:r w:rsidRPr="00820C89">
        <w:rPr>
          <w:rStyle w:val="FootnoteReference"/>
        </w:rPr>
        <w:footnoteReference w:id="104"/>
      </w:r>
      <w:r w:rsidRPr="00820C89">
        <w:t xml:space="preserve"> While this initiative was not specifically for Indigenous Australians, it did see a large number of additional program placements for disadvantaged participants, including Indigenous Australians. </w:t>
      </w:r>
    </w:p>
    <w:p w14:paraId="4264D8B6" w14:textId="77777777" w:rsidR="00AA7248" w:rsidRPr="00820C89" w:rsidRDefault="00AA7248" w:rsidP="00AA7248">
      <w:r w:rsidRPr="00820C89">
        <w:rPr>
          <w:b/>
          <w:bCs/>
        </w:rPr>
        <w:t>In 1998, Job Network was created – a mainstream employment program that provides placement assistance to job seekers, who receive income support payments</w:t>
      </w:r>
      <w:r w:rsidRPr="00820C89">
        <w:t>. An integral feature of Job Network that has since become a hallmark of many employment programs was the competitive tendering process of both community and private agencies seeking employment service contracts.</w:t>
      </w:r>
      <w:r w:rsidRPr="00820C89">
        <w:rPr>
          <w:rStyle w:val="FootnoteReference"/>
        </w:rPr>
        <w:footnoteReference w:id="105"/>
      </w:r>
      <w:r w:rsidRPr="00820C89">
        <w:t xml:space="preserve"> It is also understood that Job Network was the first program with outcome milestone payments of 13 and 26 weeks. In existence until 2009, Job Network was replaced by JSA. </w:t>
      </w:r>
    </w:p>
    <w:p w14:paraId="31DA8FB7" w14:textId="77777777" w:rsidR="00AA7248" w:rsidRPr="00820C89" w:rsidRDefault="00AA7248" w:rsidP="00AA7248">
      <w:r w:rsidRPr="00820C89">
        <w:t xml:space="preserve">In 1999, the Indigenous Employment Policy came into effect, replacing the AEDP. </w:t>
      </w:r>
      <w:r w:rsidRPr="00820C89">
        <w:rPr>
          <w:b/>
          <w:bCs/>
        </w:rPr>
        <w:t>With the creation of the Indigenous Employment Policy, Indigenous-specific programs received an increase in funding and the key changes include an increasing emphasis on Indigenous integration and employment in the mainstream economy, particularly in the private sector</w:t>
      </w:r>
      <w:r w:rsidRPr="00820C89">
        <w:t>.</w:t>
      </w:r>
      <w:r w:rsidRPr="00820C89">
        <w:rPr>
          <w:rStyle w:val="FootnoteReference"/>
        </w:rPr>
        <w:footnoteReference w:id="106"/>
      </w:r>
      <w:r w:rsidRPr="00820C89">
        <w:t xml:space="preserve"> The Indigenous Employment Policy extended to several Indigenous employment programs, including STEP, CDEP Placement Incentive, National Indigenous Cadetship Projects, and Indigenous Employment Centres.</w:t>
      </w:r>
      <w:r w:rsidRPr="00820C89">
        <w:rPr>
          <w:rStyle w:val="FootnoteReference"/>
        </w:rPr>
        <w:footnoteReference w:id="107"/>
      </w:r>
      <w:r w:rsidRPr="00820C89">
        <w:t xml:space="preserve"> </w:t>
      </w:r>
    </w:p>
    <w:p w14:paraId="28C831E7" w14:textId="77777777" w:rsidR="00AA7248" w:rsidRPr="00820C89" w:rsidRDefault="00AA7248" w:rsidP="00AA7248">
      <w:r w:rsidRPr="00820C89">
        <w:rPr>
          <w:b/>
          <w:bCs/>
        </w:rPr>
        <w:t xml:space="preserve">Tom Calma’s </w:t>
      </w:r>
      <w:r w:rsidRPr="00820C89">
        <w:rPr>
          <w:b/>
          <w:bCs/>
          <w:i/>
          <w:iCs/>
        </w:rPr>
        <w:t xml:space="preserve">Social Justice report </w:t>
      </w:r>
      <w:r w:rsidRPr="00820C89">
        <w:rPr>
          <w:b/>
          <w:bCs/>
        </w:rPr>
        <w:t>(2005) urged Australian governments to commit to achieving equality for Indigenous people in health and life expectancy within 25 years - a turning point for Indigenous employment policy strategy.</w:t>
      </w:r>
      <w:r w:rsidRPr="00820C89">
        <w:rPr>
          <w:rStyle w:val="FootnoteReference"/>
          <w:b/>
          <w:bCs/>
        </w:rPr>
        <w:footnoteReference w:id="108"/>
      </w:r>
      <w:r w:rsidRPr="00820C89">
        <w:t xml:space="preserve"> This report spurred the creation of </w:t>
      </w:r>
      <w:r w:rsidRPr="00820C89">
        <w:rPr>
          <w:i/>
          <w:iCs/>
        </w:rPr>
        <w:t xml:space="preserve">Closing the Gap </w:t>
      </w:r>
      <w:r w:rsidRPr="00820C89">
        <w:t xml:space="preserve">in 2008 in which COAG pledged to achieve six </w:t>
      </w:r>
      <w:r w:rsidRPr="00820C89">
        <w:rPr>
          <w:i/>
          <w:iCs/>
        </w:rPr>
        <w:t xml:space="preserve">Closing the Gap </w:t>
      </w:r>
      <w:r w:rsidRPr="00820C89">
        <w:t xml:space="preserve">targets, with one specific to employment outcomes. </w:t>
      </w:r>
    </w:p>
    <w:p w14:paraId="232F3D44" w14:textId="77777777" w:rsidR="00AA7248" w:rsidRPr="00820C89" w:rsidRDefault="00AA7248" w:rsidP="00AA7248">
      <w:r w:rsidRPr="00820C89">
        <w:t xml:space="preserve">JSA was the primary employment program in Australian for the first seven years of </w:t>
      </w:r>
      <w:r w:rsidRPr="00820C89">
        <w:rPr>
          <w:i/>
          <w:iCs/>
        </w:rPr>
        <w:t xml:space="preserve">Closing the Gap. </w:t>
      </w:r>
      <w:r w:rsidRPr="00820C89">
        <w:t xml:space="preserve">Between 2009-15, JSA supported a mainstream cohort and while it was not Indigenous-specific, it provided job search assistance to Indigenous job seekers. </w:t>
      </w:r>
      <w:r w:rsidRPr="00820C89">
        <w:rPr>
          <w:b/>
          <w:bCs/>
        </w:rPr>
        <w:t>JSA sought to enhance jobseekers ‘job readiness’ for the labour market</w:t>
      </w:r>
      <w:r w:rsidRPr="00820C89">
        <w:t xml:space="preserve"> by ensuring that job search assistance, apprenticeships, vocational training and State and Territory government employment and training programs are </w:t>
      </w:r>
      <w:r w:rsidRPr="00820C89">
        <w:lastRenderedPageBreak/>
        <w:t>geared towards improving the skills of participants to engage in the labour market.</w:t>
      </w:r>
      <w:r w:rsidRPr="00820C89">
        <w:rPr>
          <w:rStyle w:val="FootnoteReference"/>
        </w:rPr>
        <w:footnoteReference w:id="109"/>
      </w:r>
      <w:r w:rsidRPr="00820C89">
        <w:t xml:space="preserve"> It is understood that the JSA was the first employment program that included milestone payments for 26-week employment outcomes. This evidence basis for this exists internally with DESE where analysis reportedly demonstrated that this feature has a positive impact on participant employment outcomes. </w:t>
      </w:r>
    </w:p>
    <w:p w14:paraId="664E2514" w14:textId="77777777" w:rsidR="00AA7248" w:rsidRPr="00820C89" w:rsidRDefault="00AA7248" w:rsidP="00AA7248">
      <w:r w:rsidRPr="00820C89">
        <w:t xml:space="preserve">In 2009, the Indigenous Employment Policy was refined, and </w:t>
      </w:r>
      <w:r w:rsidRPr="00820C89">
        <w:rPr>
          <w:b/>
          <w:bCs/>
        </w:rPr>
        <w:t>program features became increasingly geared towards building skills for the mainstream labour market and achieving short-term employment outcomes</w:t>
      </w:r>
      <w:r w:rsidRPr="00820C89">
        <w:t xml:space="preserve">. </w:t>
      </w:r>
    </w:p>
    <w:p w14:paraId="5EF16620" w14:textId="77777777" w:rsidR="00AA7248" w:rsidRPr="00820C89" w:rsidRDefault="00AA7248" w:rsidP="00AA7248">
      <w:r w:rsidRPr="00820C89">
        <w:t>The Indigenous Economic Development Strategy came into effect in 2011, with the aim to support increased wellbeing – in both the personal and financial sense – of Indigenous Australians though greater participation in the economy.</w:t>
      </w:r>
      <w:r w:rsidRPr="00820C89">
        <w:rPr>
          <w:rStyle w:val="FootnoteReference"/>
        </w:rPr>
        <w:footnoteReference w:id="110"/>
      </w:r>
      <w:r w:rsidRPr="00820C89">
        <w:t xml:space="preserve"> </w:t>
      </w:r>
    </w:p>
    <w:p w14:paraId="6DE7CF1C" w14:textId="77777777" w:rsidR="00AA7248" w:rsidRPr="00820C89" w:rsidRDefault="00AA7248" w:rsidP="00AA7248">
      <w:pPr>
        <w:rPr>
          <w:b/>
          <w:bCs/>
        </w:rPr>
      </w:pPr>
      <w:r w:rsidRPr="00820C89">
        <w:t xml:space="preserve">Following this in 2012, </w:t>
      </w:r>
      <w:r w:rsidRPr="00820C89">
        <w:rPr>
          <w:b/>
          <w:bCs/>
        </w:rPr>
        <w:t>the RJCP came into effect resulting in participants and clients from a range of existing projects being rolled onto the RJCP</w:t>
      </w:r>
      <w:r w:rsidRPr="00820C89">
        <w:t>. These programs included the CDEP, JSA, the Indigenous Employment Program and Disability Employment Services.</w:t>
      </w:r>
      <w:r w:rsidRPr="00820C89">
        <w:rPr>
          <w:rStyle w:val="FootnoteReference"/>
        </w:rPr>
        <w:footnoteReference w:id="111"/>
      </w:r>
      <w:r w:rsidRPr="00820C89">
        <w:t xml:space="preserve"> A key distinction of the RJCP from previous programs is that the </w:t>
      </w:r>
      <w:r w:rsidRPr="00820C89">
        <w:rPr>
          <w:b/>
          <w:bCs/>
        </w:rPr>
        <w:t>RJCP had a stronger focus on linking jobseekers to the formal economy and it was administered in a largely similar way to non-remote employment programs, such as Work for the Dole.</w:t>
      </w:r>
    </w:p>
    <w:p w14:paraId="71015E2E" w14:textId="4AEBFE97" w:rsidR="00AA7248" w:rsidRDefault="00AA7248" w:rsidP="008F54A1">
      <w:pPr>
        <w:pStyle w:val="Heading31"/>
        <w:shd w:val="clear" w:color="auto" w:fill="DFF0F9" w:themeFill="accent3" w:themeFillTint="33"/>
      </w:pPr>
      <w:bookmarkStart w:id="199" w:name="_Toc57053505"/>
      <w:r w:rsidRPr="00820C89">
        <w:t>Current Commonwealth government Indigenous employment policy</w:t>
      </w:r>
      <w:bookmarkEnd w:id="199"/>
    </w:p>
    <w:p w14:paraId="62925721" w14:textId="77777777" w:rsidR="008F54A1" w:rsidRPr="00820C89" w:rsidRDefault="008F54A1" w:rsidP="008F54A1">
      <w:pPr>
        <w:shd w:val="clear" w:color="auto" w:fill="DFF0F9" w:themeFill="accent3" w:themeFillTint="33"/>
      </w:pPr>
      <w:r w:rsidRPr="00820C89">
        <w:t xml:space="preserve">This section explores the evolution of Indigenous employment policy from 2014 to present. </w:t>
      </w:r>
    </w:p>
    <w:p w14:paraId="23258254" w14:textId="77777777" w:rsidR="008F54A1" w:rsidRPr="00820C89" w:rsidRDefault="008F54A1" w:rsidP="008F54A1">
      <w:pPr>
        <w:shd w:val="clear" w:color="auto" w:fill="DFF0F9" w:themeFill="accent3" w:themeFillTint="33"/>
      </w:pPr>
      <w:r w:rsidRPr="00820C89">
        <w:t>At a high-level, the evolution of Indigenous employment policies for this period can be understood considering key shifts in policy direction:</w:t>
      </w:r>
    </w:p>
    <w:p w14:paraId="71059539" w14:textId="77777777" w:rsidR="008F54A1" w:rsidRPr="00820C89" w:rsidRDefault="008F54A1" w:rsidP="00715F70">
      <w:pPr>
        <w:pStyle w:val="ListParagraph"/>
        <w:numPr>
          <w:ilvl w:val="0"/>
          <w:numId w:val="101"/>
        </w:numPr>
        <w:shd w:val="clear" w:color="auto" w:fill="DFF0F9" w:themeFill="accent3" w:themeFillTint="33"/>
        <w:spacing w:before="170"/>
      </w:pPr>
      <w:r w:rsidRPr="00820C89">
        <w:t xml:space="preserve">The Creating Parity: </w:t>
      </w:r>
      <w:r w:rsidRPr="00820C89">
        <w:rPr>
          <w:i/>
          <w:iCs/>
        </w:rPr>
        <w:t xml:space="preserve">Forrest Review </w:t>
      </w:r>
      <w:r w:rsidRPr="00820C89">
        <w:t xml:space="preserve">(2014) is a seminal report that informed the current direction of Indigenous employment policy and provides a rationale for the roll-out of the VTEC model and EPI and refinement of TAEG. </w:t>
      </w:r>
    </w:p>
    <w:p w14:paraId="7E3A9B32" w14:textId="77777777" w:rsidR="008F54A1" w:rsidRPr="00820C89" w:rsidRDefault="008F54A1" w:rsidP="00715F70">
      <w:pPr>
        <w:pStyle w:val="ListParagraph"/>
        <w:numPr>
          <w:ilvl w:val="0"/>
          <w:numId w:val="101"/>
        </w:numPr>
        <w:shd w:val="clear" w:color="auto" w:fill="DFF0F9" w:themeFill="accent3" w:themeFillTint="33"/>
        <w:spacing w:before="170"/>
      </w:pPr>
      <w:r w:rsidRPr="00820C89">
        <w:t xml:space="preserve">The </w:t>
      </w:r>
      <w:r w:rsidRPr="00820C89">
        <w:rPr>
          <w:i/>
          <w:iCs/>
        </w:rPr>
        <w:t xml:space="preserve">Forrest Review </w:t>
      </w:r>
      <w:r w:rsidRPr="00820C89">
        <w:rPr>
          <w:b/>
          <w:bCs/>
        </w:rPr>
        <w:t xml:space="preserve">argued that existing employment programs’ incentives were weighted too heavily towards process rather than employment outcomes, </w:t>
      </w:r>
      <w:r w:rsidRPr="00820C89">
        <w:t xml:space="preserve">which the review stated perpetuated the cycle of “training for training’s sake”. </w:t>
      </w:r>
      <w:r w:rsidRPr="00820C89">
        <w:rPr>
          <w:b/>
          <w:bCs/>
        </w:rPr>
        <w:t xml:space="preserve"> </w:t>
      </w:r>
    </w:p>
    <w:p w14:paraId="5A92B1EF" w14:textId="2960D828" w:rsidR="008F54A1" w:rsidRPr="008F54A1" w:rsidRDefault="008F54A1" w:rsidP="008F54A1">
      <w:pPr>
        <w:shd w:val="clear" w:color="auto" w:fill="DFF0F9" w:themeFill="accent3" w:themeFillTint="33"/>
      </w:pPr>
      <w:r w:rsidRPr="00820C89">
        <w:t xml:space="preserve">The recommendations within the </w:t>
      </w:r>
      <w:r w:rsidRPr="00820C89">
        <w:rPr>
          <w:i/>
          <w:iCs/>
        </w:rPr>
        <w:t xml:space="preserve">Forrest Review </w:t>
      </w:r>
      <w:r w:rsidRPr="00820C89">
        <w:t xml:space="preserve">ushered in an era of Indigenous employment policy that is </w:t>
      </w:r>
      <w:r w:rsidRPr="00820C89">
        <w:rPr>
          <w:b/>
          <w:bCs/>
        </w:rPr>
        <w:t>currently focussed on a demand-drive approach that ensures jobseekers have the skills required and desired by employers to enable sustained employment in the mainstream market.</w:t>
      </w:r>
    </w:p>
    <w:p w14:paraId="3AF048B9" w14:textId="77777777" w:rsidR="00AA7248" w:rsidRPr="00820C89" w:rsidRDefault="00AA7248" w:rsidP="00AA7248">
      <w:pPr>
        <w:pStyle w:val="Heading4un-numbered"/>
      </w:pPr>
      <w:r w:rsidRPr="00820C89">
        <w:t xml:space="preserve">The Forrest Review </w:t>
      </w:r>
    </w:p>
    <w:p w14:paraId="2F22C649" w14:textId="77777777" w:rsidR="00AA7248" w:rsidRPr="00820C89" w:rsidRDefault="00AA7248" w:rsidP="00AA7248">
      <w:r w:rsidRPr="00820C89">
        <w:t xml:space="preserve">In 2014, the </w:t>
      </w:r>
      <w:r w:rsidRPr="00820C89">
        <w:rPr>
          <w:i/>
          <w:iCs/>
        </w:rPr>
        <w:t>Forrest Review</w:t>
      </w:r>
      <w:r w:rsidRPr="00820C89">
        <w:t xml:space="preserve"> set out 27 independent recommendations, building on past evaluations and reviews, which underpinned the development of employment programs supporting Indigenous Australians.</w:t>
      </w:r>
      <w:r w:rsidRPr="00820C89">
        <w:rPr>
          <w:rStyle w:val="FootnoteReference"/>
        </w:rPr>
        <w:footnoteReference w:id="112"/>
      </w:r>
      <w:r w:rsidRPr="00820C89">
        <w:t xml:space="preserve"> The recommendations sought to address criticisms of past programs, including reducing passive welfare (particularly in remote communities) and increasing participation in the mainstream economy.</w:t>
      </w:r>
      <w:r w:rsidRPr="00820C89">
        <w:rPr>
          <w:rStyle w:val="FootnoteReference"/>
        </w:rPr>
        <w:footnoteReference w:id="113"/>
      </w:r>
      <w:r w:rsidRPr="00820C89">
        <w:t xml:space="preserve"> In particular, the recommendations were designed to “provide strong </w:t>
      </w:r>
      <w:r w:rsidRPr="00820C89">
        <w:lastRenderedPageBreak/>
        <w:t>incentives recognising that only Indigenous Australians themselves can make necessary lifestyle changes, and only employers and the market can deliver real jobs”.</w:t>
      </w:r>
      <w:r w:rsidRPr="00820C89">
        <w:rPr>
          <w:rStyle w:val="FootnoteReference"/>
        </w:rPr>
        <w:footnoteReference w:id="114"/>
      </w:r>
      <w:r w:rsidRPr="00820C89">
        <w:t xml:space="preserve"> </w:t>
      </w:r>
    </w:p>
    <w:p w14:paraId="641DB9A1" w14:textId="77777777" w:rsidR="00AA7248" w:rsidRPr="00820C89" w:rsidRDefault="00AA7248" w:rsidP="00AA7248">
      <w:r w:rsidRPr="00820C89">
        <w:rPr>
          <w:b/>
          <w:bCs/>
        </w:rPr>
        <w:t xml:space="preserve">The </w:t>
      </w:r>
      <w:r w:rsidRPr="00820C89">
        <w:rPr>
          <w:b/>
          <w:bCs/>
          <w:i/>
          <w:iCs/>
        </w:rPr>
        <w:t>Forrest Review</w:t>
      </w:r>
      <w:r w:rsidRPr="00820C89">
        <w:rPr>
          <w:b/>
          <w:bCs/>
        </w:rPr>
        <w:t xml:space="preserve"> promoted a strictly demand-driven approach to employment services that focused on sustainable employment outcomes, as opposed to training outcomes</w:t>
      </w:r>
      <w:r w:rsidRPr="00820C89">
        <w:t>.</w:t>
      </w:r>
      <w:r w:rsidRPr="00820C89">
        <w:rPr>
          <w:rStyle w:val="FootnoteReference"/>
        </w:rPr>
        <w:footnoteReference w:id="115"/>
      </w:r>
      <w:r w:rsidRPr="00820C89">
        <w:t xml:space="preserve"> Key shifts in the proposed features of employment services providing support for Indigenous Australians include: </w:t>
      </w:r>
    </w:p>
    <w:p w14:paraId="636750E5" w14:textId="77777777" w:rsidR="00AA7248" w:rsidRPr="00820C89" w:rsidRDefault="00AA7248" w:rsidP="00AA7248">
      <w:pPr>
        <w:pStyle w:val="ListBullet"/>
        <w:spacing w:before="170"/>
      </w:pPr>
      <w:r w:rsidRPr="00820C89">
        <w:t>the removal of potential provider “vested interests” through payments that are “heavily weighted towards achieving 26-week employment outcome”;</w:t>
      </w:r>
    </w:p>
    <w:p w14:paraId="0D974141" w14:textId="77777777" w:rsidR="00AA7248" w:rsidRPr="00820C89" w:rsidRDefault="00AA7248" w:rsidP="00AA7248">
      <w:pPr>
        <w:pStyle w:val="ListBullet"/>
        <w:spacing w:before="170"/>
      </w:pPr>
      <w:r w:rsidRPr="00820C89">
        <w:t>rigorously applying job seeker obligations, “with exceptions and directions strictly limited”, to enhance participant motivation;</w:t>
      </w:r>
    </w:p>
    <w:p w14:paraId="7EAF08D7" w14:textId="77777777" w:rsidR="00AA7248" w:rsidRPr="00820C89" w:rsidRDefault="00AA7248" w:rsidP="00AA7248">
      <w:pPr>
        <w:pStyle w:val="ListBullet"/>
        <w:spacing w:before="170"/>
      </w:pPr>
      <w:r w:rsidRPr="00820C89">
        <w:t>provision of case management support to “build employability skills and address issues, such as drug dependence, with in-job support wherever possible;</w:t>
      </w:r>
    </w:p>
    <w:p w14:paraId="1BF32315" w14:textId="77777777" w:rsidR="00AA7248" w:rsidRPr="00820C89" w:rsidRDefault="00AA7248" w:rsidP="00AA7248">
      <w:pPr>
        <w:pStyle w:val="ListBullet"/>
        <w:spacing w:before="170"/>
      </w:pPr>
      <w:r w:rsidRPr="00820C89">
        <w:t xml:space="preserve">implementing activities that reflect “real workplace pressures and requirements”, such as those from Work for the Dole; </w:t>
      </w:r>
    </w:p>
    <w:p w14:paraId="5995A396" w14:textId="77777777" w:rsidR="00AA7248" w:rsidRPr="00820C89" w:rsidRDefault="00AA7248" w:rsidP="00AA7248">
      <w:pPr>
        <w:pStyle w:val="ListBullet"/>
        <w:spacing w:before="170"/>
      </w:pPr>
      <w:r w:rsidRPr="00820C89">
        <w:t>removal of “training for training sake” by only funding providers of programs that are recognised by employers and linked to a guaranteed job.</w:t>
      </w:r>
      <w:r w:rsidRPr="00820C89">
        <w:rPr>
          <w:rStyle w:val="FootnoteReference"/>
        </w:rPr>
        <w:footnoteReference w:id="116"/>
      </w:r>
      <w:r w:rsidRPr="00820C89">
        <w:t xml:space="preserve"> </w:t>
      </w:r>
    </w:p>
    <w:p w14:paraId="5CB18BDB" w14:textId="77777777" w:rsidR="00AA7248" w:rsidRPr="00820C89" w:rsidRDefault="00AA7248" w:rsidP="00AA7248">
      <w:r w:rsidRPr="00820C89">
        <w:rPr>
          <w:b/>
          <w:bCs/>
        </w:rPr>
        <w:t xml:space="preserve">It is important to note that the </w:t>
      </w:r>
      <w:r w:rsidRPr="00820C89">
        <w:rPr>
          <w:b/>
          <w:bCs/>
          <w:i/>
          <w:iCs/>
        </w:rPr>
        <w:t xml:space="preserve">Forrest Review </w:t>
      </w:r>
      <w:r w:rsidRPr="00820C89">
        <w:rPr>
          <w:b/>
          <w:bCs/>
        </w:rPr>
        <w:t>has come under heavy scrutiny and criticism from academic and Indigenous leaders</w:t>
      </w:r>
      <w:r w:rsidRPr="00820C89">
        <w:t xml:space="preserve">, as evidenced by </w:t>
      </w:r>
      <w:r w:rsidRPr="00820C89">
        <w:rPr>
          <w:i/>
          <w:iCs/>
        </w:rPr>
        <w:t xml:space="preserve">Academic Perspectives on the Forrest Review: Creating Parity, </w:t>
      </w:r>
      <w:r w:rsidRPr="00820C89">
        <w:t xml:space="preserve">published by the Centre for Aboriginal Economic Policy Research (CAEPR). The key criticisms highlighted in the paper are: </w:t>
      </w:r>
    </w:p>
    <w:p w14:paraId="224F2CA6" w14:textId="77777777" w:rsidR="00AA7248" w:rsidRPr="00820C89" w:rsidRDefault="00AA7248" w:rsidP="00AA7248">
      <w:pPr>
        <w:pStyle w:val="ListBullet"/>
        <w:spacing w:before="170"/>
      </w:pPr>
      <w:r w:rsidRPr="00820C89">
        <w:t>there is “no recognition of the potential conflict of interest in the Review being led by the Chairman of a major corporation who has publicly lobbied for a very particular form of employment and training service (the VTEC model) for several years prior to the Review being undertaken”;</w:t>
      </w:r>
    </w:p>
    <w:p w14:paraId="527098D9" w14:textId="77777777" w:rsidR="00AA7248" w:rsidRPr="00820C89" w:rsidRDefault="00AA7248" w:rsidP="00AA7248">
      <w:pPr>
        <w:pStyle w:val="ListBullet"/>
        <w:spacing w:before="170"/>
      </w:pPr>
      <w:r w:rsidRPr="00820C89">
        <w:t>opportunities for self-determination have been wound back, due to the prioritisation of the “voices of unelected political activities”, which has meant the “input from a broad range of Indigenous people to ensure the policy is sensible, and has a high probability of success” has been overlooked;</w:t>
      </w:r>
    </w:p>
    <w:p w14:paraId="44A48DAE" w14:textId="77777777" w:rsidR="00AA7248" w:rsidRPr="00820C89" w:rsidRDefault="00AA7248" w:rsidP="00AA7248">
      <w:pPr>
        <w:pStyle w:val="ListBullet"/>
        <w:spacing w:before="170"/>
      </w:pPr>
      <w:r w:rsidRPr="00820C89">
        <w:t>the approach and recommendations ignore the “cultural character of economic activity among Indigenous people”, and instead polarises the issue as ‘real’ or ‘mainstream’ economic activity versus welfare dependency;</w:t>
      </w:r>
    </w:p>
    <w:p w14:paraId="77DC25AC" w14:textId="77777777" w:rsidR="00AA7248" w:rsidRPr="00820C89" w:rsidRDefault="00AA7248" w:rsidP="00AA7248">
      <w:pPr>
        <w:pStyle w:val="ListBullet"/>
        <w:spacing w:before="170"/>
      </w:pPr>
      <w:r w:rsidRPr="00820C89">
        <w:t>there is “little space for creative and community-based strategies to emerge, and for Indigenous agency, self-determination, aspirations or alternative development propositions to flourish”;</w:t>
      </w:r>
    </w:p>
    <w:p w14:paraId="539E330A" w14:textId="77777777" w:rsidR="00AA7248" w:rsidRPr="00820C89" w:rsidRDefault="00AA7248" w:rsidP="00AA7248">
      <w:pPr>
        <w:pStyle w:val="ListBullet"/>
        <w:spacing w:before="170"/>
      </w:pPr>
      <w:r w:rsidRPr="00820C89">
        <w:t xml:space="preserve">the </w:t>
      </w:r>
      <w:r w:rsidRPr="00820C89">
        <w:rPr>
          <w:i/>
          <w:iCs/>
        </w:rPr>
        <w:t xml:space="preserve">Forrest Review </w:t>
      </w:r>
      <w:r w:rsidRPr="00820C89">
        <w:t>presents “an imagined utopia of sameness”, ignoring the multitude of cultural and social differences within the Indigenous population.</w:t>
      </w:r>
      <w:r w:rsidRPr="00820C89">
        <w:rPr>
          <w:rStyle w:val="FootnoteReference"/>
        </w:rPr>
        <w:footnoteReference w:id="117"/>
      </w:r>
      <w:r w:rsidRPr="00820C89">
        <w:t xml:space="preserve"> </w:t>
      </w:r>
    </w:p>
    <w:p w14:paraId="7718F4B3" w14:textId="77777777" w:rsidR="00AA7248" w:rsidRPr="00820C89" w:rsidRDefault="00AA7248" w:rsidP="00AA7248">
      <w:r w:rsidRPr="00820C89">
        <w:t>The Indigenous Advancement Strategy (IAS), released in the same year as the Forrest Review, set out to ensure that the way funding is delivered to programs across sectors is flexible to meet the aspirations, needs and priorities of individuals and communities.</w:t>
      </w:r>
      <w:r w:rsidRPr="00820C89">
        <w:rPr>
          <w:rStyle w:val="FootnoteReference"/>
        </w:rPr>
        <w:footnoteReference w:id="118"/>
      </w:r>
    </w:p>
    <w:p w14:paraId="137070B7" w14:textId="77777777" w:rsidR="00AA7248" w:rsidRPr="00820C89" w:rsidRDefault="00AA7248" w:rsidP="00AA7248">
      <w:pPr>
        <w:pStyle w:val="Heading4un-numbered"/>
      </w:pPr>
      <w:r w:rsidRPr="00820C89">
        <w:t xml:space="preserve">Jobactive </w:t>
      </w:r>
    </w:p>
    <w:p w14:paraId="5BA0CF5B" w14:textId="77777777" w:rsidR="00AA7248" w:rsidRPr="00820C89" w:rsidRDefault="00AA7248" w:rsidP="00AA7248">
      <w:r w:rsidRPr="00820C89">
        <w:rPr>
          <w:b/>
          <w:bCs/>
        </w:rPr>
        <w:t xml:space="preserve">In 2015, jobactive came into being and is the current key employment program designed for </w:t>
      </w:r>
      <w:r w:rsidRPr="00820C89">
        <w:rPr>
          <w:b/>
          <w:bCs/>
          <w:i/>
          <w:iCs/>
        </w:rPr>
        <w:t xml:space="preserve">all </w:t>
      </w:r>
      <w:r w:rsidRPr="00820C89">
        <w:rPr>
          <w:b/>
          <w:bCs/>
        </w:rPr>
        <w:t>jobseekers, including a sizeable number of Indigenous jobseekers.</w:t>
      </w:r>
      <w:r w:rsidRPr="00820C89">
        <w:t xml:space="preserve"> This program comprises a network of service providers across 1700 locations in Australia, enabling local labour market insight to be incorporated into the delivery of services. Participants are streamed into four group, each with their own requirements and activities. </w:t>
      </w:r>
    </w:p>
    <w:p w14:paraId="433FBCB6" w14:textId="77777777" w:rsidR="00AA7248" w:rsidRPr="00820C89" w:rsidRDefault="00AA7248" w:rsidP="00AA7248">
      <w:r w:rsidRPr="00820C89">
        <w:lastRenderedPageBreak/>
        <w:t xml:space="preserve">The Senate inquiry entitled </w:t>
      </w:r>
      <w:r w:rsidRPr="00820C89">
        <w:rPr>
          <w:i/>
          <w:iCs/>
        </w:rPr>
        <w:t xml:space="preserve">Jobactive: failing those it is intended serve </w:t>
      </w:r>
      <w:r w:rsidRPr="00820C89">
        <w:t>(2019) reported that “through the evidence the committee received, it became clear that the jobactive program is not fit for purpose”. While it is true that the program has achieved more than 1.2 million job placements, the inquiry challenged the alignment of these placements with the participant and the sustainability of employment.</w:t>
      </w:r>
      <w:r w:rsidRPr="00820C89">
        <w:rPr>
          <w:rStyle w:val="FootnoteReference"/>
        </w:rPr>
        <w:footnoteReference w:id="119"/>
      </w:r>
      <w:r w:rsidRPr="00820C89">
        <w:t xml:space="preserve"> </w:t>
      </w:r>
      <w:r w:rsidRPr="00820C89">
        <w:rPr>
          <w:b/>
          <w:bCs/>
        </w:rPr>
        <w:t>The inquiry found fundamental issues with respect to jobactive appropriateness and effectiveness,</w:t>
      </w:r>
      <w:r w:rsidRPr="00820C89">
        <w:t xml:space="preserve"> with four key themes emerging that disproportionately impacted the most disadvantaged jobseekers.</w:t>
      </w:r>
      <w:r w:rsidRPr="00820C89">
        <w:rPr>
          <w:rStyle w:val="FootnoteReference"/>
        </w:rPr>
        <w:footnoteReference w:id="120"/>
      </w:r>
    </w:p>
    <w:p w14:paraId="7F37661C" w14:textId="77777777" w:rsidR="00AA7248" w:rsidRPr="00820C89" w:rsidRDefault="00AA7248" w:rsidP="00AA7248">
      <w:pPr>
        <w:pStyle w:val="ListBullet"/>
        <w:spacing w:before="170"/>
      </w:pPr>
      <w:r w:rsidRPr="00820C89">
        <w:rPr>
          <w:b/>
          <w:bCs/>
        </w:rPr>
        <w:t>There is insufficient support for job seekers experiencing multiple serious barriers to employment</w:t>
      </w:r>
      <w:r w:rsidRPr="00820C89">
        <w:t xml:space="preserve"> – this is in part a result of people being incorrectly assessed as ‘job ready’ and because consultants reportedly have such large caseloads they are unable to provide tailored individualised support by linking to appropriate services. </w:t>
      </w:r>
    </w:p>
    <w:p w14:paraId="0B5531C4" w14:textId="77777777" w:rsidR="00AA7248" w:rsidRPr="00820C89" w:rsidRDefault="00AA7248" w:rsidP="00AA7248">
      <w:pPr>
        <w:pStyle w:val="ListBullet"/>
        <w:spacing w:before="170"/>
      </w:pPr>
      <w:r w:rsidRPr="00820C89">
        <w:rPr>
          <w:b/>
          <w:bCs/>
        </w:rPr>
        <w:t>Job search and other mutual obligation requirements are poorly designed and often inappropriate</w:t>
      </w:r>
      <w:r w:rsidRPr="00820C89">
        <w:t xml:space="preserve">. For example, in locations with a small labour market, participants approach the same employers again and again; and some participants have missed paid employment to attend compulsory appointments with their jobactive provider. </w:t>
      </w:r>
    </w:p>
    <w:p w14:paraId="5E62EDC4" w14:textId="77777777" w:rsidR="00AA7248" w:rsidRPr="00820C89" w:rsidRDefault="00AA7248" w:rsidP="00AA7248">
      <w:pPr>
        <w:pStyle w:val="ListBullet"/>
        <w:spacing w:before="170"/>
      </w:pPr>
      <w:r w:rsidRPr="00820C89">
        <w:rPr>
          <w:b/>
          <w:bCs/>
        </w:rPr>
        <w:t>The Targeted Compliance Framework is punitive and unfair</w:t>
      </w:r>
      <w:r w:rsidRPr="00820C89">
        <w:t xml:space="preserve">. Homeless participants and Indigenous Australians are among the largest cohorts that experience payment suspensions, due to a breach of their mutual obligation requirements. </w:t>
      </w:r>
    </w:p>
    <w:p w14:paraId="14484F93" w14:textId="77777777" w:rsidR="00AA7248" w:rsidRPr="00820C89" w:rsidRDefault="00AA7248" w:rsidP="00AA7248">
      <w:pPr>
        <w:pStyle w:val="ListBullet"/>
        <w:spacing w:before="170"/>
      </w:pPr>
      <w:r w:rsidRPr="00820C89">
        <w:rPr>
          <w:b/>
          <w:bCs/>
        </w:rPr>
        <w:t>Administrative errors have resulted in participants wrongfully having their payments suspended</w:t>
      </w:r>
      <w:r w:rsidRPr="00820C89">
        <w:t>.</w:t>
      </w:r>
      <w:r w:rsidRPr="00820C89">
        <w:rPr>
          <w:rStyle w:val="FootnoteReference"/>
        </w:rPr>
        <w:footnoteReference w:id="121"/>
      </w:r>
      <w:r w:rsidRPr="00820C89">
        <w:t xml:space="preserve"> </w:t>
      </w:r>
    </w:p>
    <w:p w14:paraId="352165F0" w14:textId="77777777" w:rsidR="00AA7248" w:rsidRPr="00820C89" w:rsidRDefault="00AA7248" w:rsidP="00AA7248">
      <w:r w:rsidRPr="00820C89">
        <w:t xml:space="preserve">OECD research indicates that </w:t>
      </w:r>
      <w:r w:rsidRPr="00820C89">
        <w:rPr>
          <w:b/>
          <w:bCs/>
        </w:rPr>
        <w:t>jobactive</w:t>
      </w:r>
      <w:r w:rsidRPr="00820C89">
        <w:rPr>
          <w:b/>
          <w:bCs/>
          <w:i/>
          <w:iCs/>
        </w:rPr>
        <w:t xml:space="preserve"> </w:t>
      </w:r>
      <w:r w:rsidRPr="00820C89">
        <w:rPr>
          <w:b/>
          <w:bCs/>
        </w:rPr>
        <w:t>appears less effective for Indigenous Australians than non-Indigenous Australians</w:t>
      </w:r>
      <w:r w:rsidRPr="00820C89">
        <w:t>.</w:t>
      </w:r>
      <w:r w:rsidRPr="00820C89">
        <w:rPr>
          <w:rStyle w:val="FootnoteReference"/>
        </w:rPr>
        <w:footnoteReference w:id="122"/>
      </w:r>
      <w:r w:rsidRPr="00820C89">
        <w:t xml:space="preserve"> According to the OECD, the number of Indigenous caseloads (numbers not in work) has continued increasing since 2015, while the number of caseloads for non-Indigenous Australians has decreased. It is understood that a reason for this is Indigenous population growth. There is also evidence that Indigenous Australians remain within the </w:t>
      </w:r>
      <w:r w:rsidRPr="00820C89">
        <w:rPr>
          <w:i/>
          <w:iCs/>
        </w:rPr>
        <w:t xml:space="preserve">jobactive </w:t>
      </w:r>
      <w:r w:rsidRPr="00820C89">
        <w:t>program for longer than non-Indigenous jobseekers.</w:t>
      </w:r>
      <w:r w:rsidRPr="00820C89">
        <w:rPr>
          <w:rStyle w:val="FootnoteReference"/>
        </w:rPr>
        <w:footnoteReference w:id="123"/>
      </w:r>
      <w:r w:rsidRPr="00820C89">
        <w:t xml:space="preserve"> The reasons for this may be the short-term focus of the </w:t>
      </w:r>
      <w:r w:rsidRPr="00820C89">
        <w:rPr>
          <w:i/>
          <w:iCs/>
        </w:rPr>
        <w:t xml:space="preserve">jobactive </w:t>
      </w:r>
      <w:r w:rsidRPr="00820C89">
        <w:t xml:space="preserve">program. </w:t>
      </w:r>
      <w:r w:rsidRPr="00820C89">
        <w:rPr>
          <w:i/>
          <w:iCs/>
        </w:rPr>
        <w:t xml:space="preserve">Jobactive </w:t>
      </w:r>
      <w:r w:rsidRPr="00820C89">
        <w:t>primarily provides job-readiness support and assistance with employability skills and employment applications to jobseekers.</w:t>
      </w:r>
      <w:r w:rsidRPr="00820C89">
        <w:rPr>
          <w:rStyle w:val="FootnoteReference"/>
        </w:rPr>
        <w:footnoteReference w:id="124"/>
      </w:r>
      <w:r w:rsidRPr="00820C89">
        <w:t xml:space="preserve"> As such, Indigenous Australians, who face – on average – more complex barriers to job-readiness, may be less suited to the program. </w:t>
      </w:r>
    </w:p>
    <w:p w14:paraId="5D50701E" w14:textId="77777777" w:rsidR="00AA7248" w:rsidRPr="00820C89" w:rsidRDefault="00AA7248" w:rsidP="00AA7248">
      <w:pPr>
        <w:pStyle w:val="Heading4un-numbered"/>
      </w:pPr>
      <w:r w:rsidRPr="00820C89">
        <w:t>Community Development Program</w:t>
      </w:r>
    </w:p>
    <w:p w14:paraId="71EA171F" w14:textId="77777777" w:rsidR="00AA7248" w:rsidRPr="00820C89" w:rsidRDefault="00AA7248" w:rsidP="00AA7248">
      <w:r w:rsidRPr="00820C89">
        <w:t>The same year jobactive was introduced, the CDP replaced the RJCP with the objective to “increase participation in work-like activities, improve sustainability of employment transitions and participant employability in remote areas.” The CDP provides support to a majority Indigenous cohort (83 per cent) and operates in more than 1000 remote communities nationwide.</w:t>
      </w:r>
      <w:r w:rsidRPr="00820C89">
        <w:rPr>
          <w:rStyle w:val="FootnoteReference"/>
        </w:rPr>
        <w:footnoteReference w:id="125"/>
      </w:r>
      <w:r w:rsidRPr="00820C89">
        <w:t xml:space="preserve"> In these locations, labour market opportunities are often limited.</w:t>
      </w:r>
      <w:r w:rsidRPr="00820C89">
        <w:rPr>
          <w:rStyle w:val="FootnoteReference"/>
        </w:rPr>
        <w:footnoteReference w:id="126"/>
      </w:r>
      <w:r w:rsidRPr="00820C89">
        <w:t xml:space="preserve"> As such, work-like activities can include “work for the dole activities, community and cultural activities, and undertaking training and other support activities” that address barriers to employment and community participation.</w:t>
      </w:r>
      <w:r w:rsidRPr="00820C89">
        <w:rPr>
          <w:rStyle w:val="FootnoteReference"/>
        </w:rPr>
        <w:footnoteReference w:id="127"/>
      </w:r>
      <w:r w:rsidRPr="00820C89">
        <w:t xml:space="preserve"> </w:t>
      </w:r>
    </w:p>
    <w:p w14:paraId="3C85F381" w14:textId="77777777" w:rsidR="00AA7248" w:rsidRPr="00820C89" w:rsidRDefault="00AA7248" w:rsidP="00AA7248">
      <w:r w:rsidRPr="00820C89">
        <w:t xml:space="preserve">The 2018 Senate Inquiry report on the appropriateness and effectiveness of the CDP shed light on several issues with CDP design, and </w:t>
      </w:r>
      <w:r w:rsidRPr="00820C89">
        <w:rPr>
          <w:b/>
          <w:bCs/>
        </w:rPr>
        <w:t xml:space="preserve">there was no conclusive evidence for the positive effect </w:t>
      </w:r>
      <w:r w:rsidRPr="00820C89">
        <w:rPr>
          <w:b/>
          <w:bCs/>
        </w:rPr>
        <w:lastRenderedPageBreak/>
        <w:t>on job placements and 13-week outcomes.</w:t>
      </w:r>
      <w:r w:rsidRPr="00820C89">
        <w:rPr>
          <w:rStyle w:val="FootnoteReference"/>
          <w:b/>
          <w:bCs/>
        </w:rPr>
        <w:footnoteReference w:id="128"/>
      </w:r>
      <w:r w:rsidRPr="00820C89">
        <w:rPr>
          <w:b/>
          <w:bCs/>
        </w:rPr>
        <w:t xml:space="preserve"> </w:t>
      </w:r>
      <w:r w:rsidRPr="00820C89">
        <w:t>In addition, the report found that social problems increased since the CDP was introduced in remote locations, including an increase in domestic violence and an increase in mental health challenges, sleep deprivation and feelings of shame.</w:t>
      </w:r>
      <w:r w:rsidRPr="00820C89">
        <w:rPr>
          <w:rStyle w:val="FootnoteReference"/>
        </w:rPr>
        <w:footnoteReference w:id="129"/>
      </w:r>
      <w:r w:rsidRPr="00820C89">
        <w:t xml:space="preserve"> The committee reported that in their view the “</w:t>
      </w:r>
      <w:r w:rsidRPr="00820C89">
        <w:rPr>
          <w:b/>
          <w:bCs/>
        </w:rPr>
        <w:t>CDP cannot and should not continue in its current form</w:t>
      </w:r>
      <w:r w:rsidRPr="00820C89">
        <w:t>”.</w:t>
      </w:r>
      <w:r w:rsidRPr="00820C89">
        <w:rPr>
          <w:rStyle w:val="FootnoteReference"/>
        </w:rPr>
        <w:footnoteReference w:id="130"/>
      </w:r>
      <w:r w:rsidRPr="00820C89">
        <w:t xml:space="preserve"> Box 1 below outlines some of the key findings from the Senate Inquiry, supported by additional academic and Indigenous perspectives from the CAEPR. </w:t>
      </w:r>
    </w:p>
    <w:p w14:paraId="5058DB6D" w14:textId="77777777" w:rsidR="008F54A1" w:rsidRPr="00820C89" w:rsidRDefault="008F54A1" w:rsidP="008F54A1">
      <w:pPr>
        <w:keepNext/>
        <w:shd w:val="clear" w:color="auto" w:fill="DFF0F9" w:themeFill="accent3" w:themeFillTint="33"/>
        <w:rPr>
          <w:b/>
          <w:bCs/>
        </w:rPr>
      </w:pPr>
      <w:r w:rsidRPr="00820C89">
        <w:rPr>
          <w:b/>
          <w:bCs/>
        </w:rPr>
        <w:t xml:space="preserve">Box 1: Perspectives on the CDP </w:t>
      </w:r>
    </w:p>
    <w:p w14:paraId="7BE6B7B1" w14:textId="77777777" w:rsidR="008F54A1" w:rsidRPr="00820C89" w:rsidRDefault="008F54A1" w:rsidP="008F54A1">
      <w:pPr>
        <w:keepNext/>
        <w:shd w:val="clear" w:color="auto" w:fill="DFF0F9" w:themeFill="accent3" w:themeFillTint="33"/>
      </w:pPr>
      <w:r w:rsidRPr="00820C89">
        <w:rPr>
          <w:b/>
          <w:bCs/>
        </w:rPr>
        <w:t xml:space="preserve">The CDP has received some criticism with respect to its design, implementation and effectiveness, </w:t>
      </w:r>
      <w:r w:rsidRPr="00820C89">
        <w:t xml:space="preserve">as evidenced in the Senate Inquiry and the </w:t>
      </w:r>
      <w:r w:rsidRPr="00820C89">
        <w:rPr>
          <w:i/>
          <w:iCs/>
        </w:rPr>
        <w:t>Aboriginal and Torres Strait Islander employment policy and Welfare to Work: The Community Development Programme and the need for new narratives, new alliances and new institutions</w:t>
      </w:r>
      <w:r w:rsidRPr="00820C89">
        <w:t xml:space="preserve"> by the CAEPR. </w:t>
      </w:r>
    </w:p>
    <w:p w14:paraId="5D21EBFF" w14:textId="77777777" w:rsidR="008F54A1" w:rsidRPr="00820C89" w:rsidRDefault="008F54A1" w:rsidP="008F54A1">
      <w:pPr>
        <w:pStyle w:val="ListBullet"/>
        <w:shd w:val="clear" w:color="auto" w:fill="DFF0F9" w:themeFill="accent3" w:themeFillTint="33"/>
        <w:spacing w:before="170"/>
      </w:pPr>
      <w:r w:rsidRPr="00820C89">
        <w:rPr>
          <w:b/>
          <w:bCs/>
        </w:rPr>
        <w:t>The work-first orientation of the CDP has received scrutiny as the program is intended to cater for participants in remote and very remote areas where labour market opportunities are scarce.</w:t>
      </w:r>
      <w:r w:rsidRPr="00820C89">
        <w:rPr>
          <w:rStyle w:val="FootnoteReference"/>
        </w:rPr>
        <w:t xml:space="preserve"> </w:t>
      </w:r>
      <w:r w:rsidRPr="00820C89">
        <w:rPr>
          <w:rStyle w:val="FootnoteReference"/>
        </w:rPr>
        <w:footnoteReference w:id="131"/>
      </w:r>
      <w:r w:rsidRPr="00820C89">
        <w:rPr>
          <w:rStyle w:val="FootnoteReference"/>
        </w:rPr>
        <w:t xml:space="preserve">  </w:t>
      </w:r>
      <w:r w:rsidRPr="00820C89">
        <w:t>For example, according to the Senate Inquiry, the CDP supports nineteen out of Australia’s twenty most disadvantaged and remote locations, where employment prospects are more sporadic and short-term.</w:t>
      </w:r>
      <w:r w:rsidRPr="00820C89">
        <w:rPr>
          <w:rStyle w:val="FootnoteReference"/>
        </w:rPr>
        <w:footnoteReference w:id="132"/>
      </w:r>
      <w:r w:rsidRPr="00820C89">
        <w:t xml:space="preserve"> </w:t>
      </w:r>
    </w:p>
    <w:p w14:paraId="796788A6" w14:textId="77777777" w:rsidR="008F54A1" w:rsidRPr="00820C89" w:rsidRDefault="008F54A1" w:rsidP="008F54A1">
      <w:pPr>
        <w:pStyle w:val="ListBullet"/>
        <w:shd w:val="clear" w:color="auto" w:fill="DFF0F9" w:themeFill="accent3" w:themeFillTint="33"/>
        <w:spacing w:before="170"/>
      </w:pPr>
      <w:r w:rsidRPr="00820C89">
        <w:rPr>
          <w:b/>
          <w:bCs/>
        </w:rPr>
        <w:t>The centralised governance approach has been criticised as inflexible and there are reportedly fewer opportunities for Indigenous community members to engage in decision-making regarding the type of work-activities undertaken.</w:t>
      </w:r>
      <w:r w:rsidRPr="00820C89">
        <w:rPr>
          <w:rStyle w:val="FootnoteReference"/>
          <w:b/>
          <w:bCs/>
        </w:rPr>
        <w:footnoteReference w:id="133"/>
      </w:r>
      <w:r w:rsidRPr="00820C89">
        <w:rPr>
          <w:b/>
          <w:bCs/>
        </w:rPr>
        <w:t xml:space="preserve"> </w:t>
      </w:r>
      <w:r w:rsidRPr="00820C89">
        <w:t>The Senate Inquiry, for instance, reported that “a new program needs to be developed which moves away from a centralised, top-down administration in which communities are told what to do and move towards a model where the local communities are empowered to make decisions that are best for them”.</w:t>
      </w:r>
      <w:r w:rsidRPr="00820C89">
        <w:rPr>
          <w:rStyle w:val="FootnoteReference"/>
        </w:rPr>
        <w:footnoteReference w:id="134"/>
      </w:r>
    </w:p>
    <w:p w14:paraId="13F2418B" w14:textId="77777777" w:rsidR="008F54A1" w:rsidRPr="00820C89" w:rsidRDefault="008F54A1" w:rsidP="008F54A1">
      <w:pPr>
        <w:pStyle w:val="ListBullet"/>
        <w:shd w:val="clear" w:color="auto" w:fill="DFF0F9" w:themeFill="accent3" w:themeFillTint="33"/>
        <w:spacing w:before="170"/>
      </w:pPr>
      <w:r w:rsidRPr="00820C89">
        <w:rPr>
          <w:b/>
          <w:bCs/>
        </w:rPr>
        <w:t>With respect to implementation, the program has been criticised for the limited engagement with local community members to adapt the program at the ground level, reducing opportunities for self-determination.</w:t>
      </w:r>
      <w:r w:rsidRPr="00820C89">
        <w:rPr>
          <w:rStyle w:val="FootnoteReference"/>
          <w:b/>
          <w:bCs/>
        </w:rPr>
        <w:footnoteReference w:id="135"/>
      </w:r>
      <w:r w:rsidRPr="00820C89">
        <w:t xml:space="preserve"> This was of particular concern since the majority of participants are Indigenous, making up 80 per cent of the CDP cohort, with 76 per cent of these Indigenous Australians living in very remote Australia, where labour market opportunities are very limited.</w:t>
      </w:r>
      <w:r w:rsidRPr="00820C89">
        <w:rPr>
          <w:rStyle w:val="FootnoteReference"/>
        </w:rPr>
        <w:footnoteReference w:id="136"/>
      </w:r>
      <w:r w:rsidRPr="00820C89">
        <w:t xml:space="preserve"> </w:t>
      </w:r>
    </w:p>
    <w:p w14:paraId="4FC92113" w14:textId="77777777" w:rsidR="008F54A1" w:rsidRPr="00820C89" w:rsidRDefault="008F54A1" w:rsidP="008F54A1">
      <w:pPr>
        <w:pStyle w:val="ListBullet"/>
        <w:shd w:val="clear" w:color="auto" w:fill="DFF0F9" w:themeFill="accent3" w:themeFillTint="33"/>
        <w:spacing w:before="170"/>
      </w:pPr>
      <w:r w:rsidRPr="00820C89">
        <w:rPr>
          <w:b/>
          <w:bCs/>
        </w:rPr>
        <w:t>Implementation revealed that participants facing higher barriers experience more penalties compared with participants who face low barriers.</w:t>
      </w:r>
      <w:r w:rsidRPr="00820C89">
        <w:rPr>
          <w:rStyle w:val="FootnoteReference"/>
          <w:b/>
          <w:bCs/>
        </w:rPr>
        <w:footnoteReference w:id="137"/>
      </w:r>
      <w:r w:rsidRPr="00820C89">
        <w:t xml:space="preserve"> In total, 60 per cent of participants in any one quarter recorded at least one suspension, and a third were penalised during the 2016-18 period.</w:t>
      </w:r>
      <w:r w:rsidRPr="00820C89">
        <w:rPr>
          <w:rStyle w:val="FootnoteReference"/>
        </w:rPr>
        <w:footnoteReference w:id="138"/>
      </w:r>
      <w:r w:rsidRPr="00820C89">
        <w:t xml:space="preserve"> </w:t>
      </w:r>
    </w:p>
    <w:p w14:paraId="7206BCDA" w14:textId="77777777" w:rsidR="008F54A1" w:rsidRPr="00820C89" w:rsidRDefault="008F54A1" w:rsidP="008F54A1">
      <w:pPr>
        <w:pStyle w:val="ListBullet"/>
        <w:shd w:val="clear" w:color="auto" w:fill="DFF0F9" w:themeFill="accent3" w:themeFillTint="33"/>
        <w:spacing w:before="170"/>
      </w:pPr>
      <w:r w:rsidRPr="00820C89">
        <w:rPr>
          <w:b/>
          <w:bCs/>
        </w:rPr>
        <w:t>With respect to employment outcomes, there was a one percentage point improvement on 26-week outcomes when comparing participants under the RCJP compared to the CDP.</w:t>
      </w:r>
      <w:r w:rsidRPr="00820C89">
        <w:t xml:space="preserve"> This is a very minor outcome, particularly when factoring in the high rate of penalties and subsequent suspension of payments. In addition, stakeholder perceptions on whether </w:t>
      </w:r>
      <w:r w:rsidRPr="00820C89">
        <w:lastRenderedPageBreak/>
        <w:t>communities had improved since the roll out of the CDP varied significantly, with 21 per cent of stakeholders felt the community was better off since CDP was introduced, while 36 per cent felt the community was worse.</w:t>
      </w:r>
      <w:r w:rsidRPr="00820C89">
        <w:rPr>
          <w:rStyle w:val="FootnoteReference"/>
        </w:rPr>
        <w:footnoteReference w:id="139"/>
      </w:r>
    </w:p>
    <w:p w14:paraId="79DB5D6C" w14:textId="0787E711" w:rsidR="00AA7248" w:rsidRPr="00820C89" w:rsidRDefault="008F54A1" w:rsidP="008F54A1">
      <w:pPr>
        <w:shd w:val="clear" w:color="auto" w:fill="DFF0F9" w:themeFill="accent3" w:themeFillTint="33"/>
      </w:pPr>
      <w:r w:rsidRPr="00820C89">
        <w:rPr>
          <w:b/>
          <w:bCs/>
        </w:rPr>
        <w:t xml:space="preserve">The outcomes being measures reflect those in mainstream employment programs and does not sufficiently take into account the specific community context. </w:t>
      </w:r>
      <w:r w:rsidRPr="00820C89">
        <w:t>For instance, the Senate Inquiry identified that the provision of provider flexibility to negotiate how employment outcomes are defined, measured and paid for could lead to improved employment outcomes, as it will enable the local labour market condition, community context and local culture to be taken into account.</w:t>
      </w:r>
      <w:r w:rsidRPr="00820C89">
        <w:rPr>
          <w:rStyle w:val="FootnoteReference"/>
        </w:rPr>
        <w:footnoteReference w:id="140"/>
      </w:r>
    </w:p>
    <w:p w14:paraId="26D9C602" w14:textId="77777777" w:rsidR="00AA7248" w:rsidRPr="00820C89" w:rsidRDefault="00AA7248" w:rsidP="00AA7248"/>
    <w:p w14:paraId="0B8E06A2" w14:textId="77777777" w:rsidR="00AA7248" w:rsidRPr="00820C89" w:rsidRDefault="00AA7248" w:rsidP="00AA7248">
      <w:pPr>
        <w:pStyle w:val="Heading4un-numbered"/>
      </w:pPr>
      <w:r w:rsidRPr="00820C89">
        <w:t xml:space="preserve">Closing the Gap refresh </w:t>
      </w:r>
    </w:p>
    <w:p w14:paraId="62A12867" w14:textId="0F4D4796" w:rsidR="00AA7248" w:rsidRPr="00820C89" w:rsidRDefault="00AA7248" w:rsidP="00AA7248">
      <w:r w:rsidRPr="00820C89">
        <w:t xml:space="preserve">As noted in Section </w:t>
      </w:r>
      <w:r w:rsidRPr="00820C89">
        <w:fldChar w:fldCharType="begin"/>
      </w:r>
      <w:r w:rsidRPr="00820C89">
        <w:instrText xml:space="preserve"> REF _Ref53942133 \r \h </w:instrText>
      </w:r>
      <w:r w:rsidR="00820C89">
        <w:instrText xml:space="preserve"> \* MERGEFORMAT </w:instrText>
      </w:r>
      <w:r w:rsidRPr="00820C89">
        <w:fldChar w:fldCharType="separate"/>
      </w:r>
      <w:r w:rsidR="008565C8">
        <w:t>A.2.1</w:t>
      </w:r>
      <w:r w:rsidRPr="00820C89">
        <w:fldChar w:fldCharType="end"/>
      </w:r>
      <w:r w:rsidRPr="00820C89">
        <w:t xml:space="preserve">, ten years after its introduction, Closing the Gap had not achieved its targets. In response the Australian Government released a Closing the Gap refresh in 2018, stating that </w:t>
      </w:r>
      <w:r w:rsidRPr="00820C89">
        <w:rPr>
          <w:b/>
          <w:bCs/>
        </w:rPr>
        <w:t>the priority of the Closing the Gap refresh is to work more closely Indigenous Australians to co-design and set revised aspirations</w:t>
      </w:r>
      <w:r w:rsidRPr="00820C89">
        <w:t>.</w:t>
      </w:r>
      <w:r w:rsidRPr="00820C89">
        <w:rPr>
          <w:rStyle w:val="FootnoteReference"/>
        </w:rPr>
        <w:footnoteReference w:id="141"/>
      </w:r>
      <w:r w:rsidRPr="00820C89">
        <w:t xml:space="preserve"> Partnerships with Indigenous Australians, guided by key principles of empowerment and self-determination, are emphasised as key. </w:t>
      </w:r>
    </w:p>
    <w:p w14:paraId="5B97D00F" w14:textId="77777777" w:rsidR="00AA7248" w:rsidRPr="00820C89" w:rsidRDefault="00AA7248" w:rsidP="00AA7248">
      <w:pPr>
        <w:pStyle w:val="Heading4un-numbered"/>
      </w:pPr>
      <w:r w:rsidRPr="00820C89">
        <w:t xml:space="preserve">The Indigenous Employment Programs </w:t>
      </w:r>
    </w:p>
    <w:p w14:paraId="6A15A4B7" w14:textId="77777777" w:rsidR="00AA7248" w:rsidRPr="00820C89" w:rsidRDefault="00AA7248" w:rsidP="00AA7248">
      <w:r w:rsidRPr="00820C89">
        <w:t>It is with this background and within this context that the TAEG, EPI and VTEC programs were created and continue to operate. These three programs function as follows:</w:t>
      </w:r>
    </w:p>
    <w:p w14:paraId="5B5CF571" w14:textId="77777777" w:rsidR="00AA7248" w:rsidRPr="00820C89" w:rsidRDefault="00AA7248" w:rsidP="00AA7248">
      <w:pPr>
        <w:pStyle w:val="ListBullet"/>
        <w:spacing w:before="60" w:after="60"/>
        <w:contextualSpacing w:val="0"/>
      </w:pPr>
      <w:r w:rsidRPr="00820C89">
        <w:rPr>
          <w:b/>
          <w:bCs/>
        </w:rPr>
        <w:t xml:space="preserve">TAEG – </w:t>
      </w:r>
      <w:r w:rsidRPr="00820C89">
        <w:t>this program provides supports activities that seek to support Indigenous jobseekers with sustainable jobs, through funding cadetships and providing employer support to assist with attracting and retaining Indigenous Australians.</w:t>
      </w:r>
      <w:r w:rsidRPr="00820C89">
        <w:rPr>
          <w:rStyle w:val="FootnoteReference"/>
        </w:rPr>
        <w:footnoteReference w:id="142"/>
      </w:r>
    </w:p>
    <w:p w14:paraId="1840DEA6" w14:textId="77777777" w:rsidR="00AA7248" w:rsidRPr="00820C89" w:rsidRDefault="00AA7248" w:rsidP="00AA7248">
      <w:pPr>
        <w:pStyle w:val="ListBullet"/>
        <w:spacing w:before="60" w:after="60"/>
        <w:contextualSpacing w:val="0"/>
      </w:pPr>
      <w:r w:rsidRPr="00820C89">
        <w:rPr>
          <w:b/>
          <w:bCs/>
        </w:rPr>
        <w:t xml:space="preserve">EPI </w:t>
      </w:r>
      <w:r w:rsidRPr="00820C89">
        <w:t>– this initiative works alongside large Australian companies, encouraging them to commit to Indigenous workforce targets.</w:t>
      </w:r>
      <w:r w:rsidRPr="00820C89">
        <w:rPr>
          <w:rStyle w:val="FootnoteReference"/>
        </w:rPr>
        <w:footnoteReference w:id="143"/>
      </w:r>
    </w:p>
    <w:p w14:paraId="0BAA3DAE" w14:textId="77777777" w:rsidR="00AA7248" w:rsidRPr="00820C89" w:rsidRDefault="00AA7248" w:rsidP="00AA7248">
      <w:pPr>
        <w:pStyle w:val="ListBullet"/>
        <w:spacing w:before="60" w:after="60"/>
        <w:contextualSpacing w:val="0"/>
      </w:pPr>
      <w:r w:rsidRPr="00820C89">
        <w:rPr>
          <w:b/>
          <w:bCs/>
        </w:rPr>
        <w:t>VTEC –</w:t>
      </w:r>
      <w:r w:rsidRPr="00820C89">
        <w:t>this initiative seeks to connect Indigenous jobseekers with guaranteed employment by providing necessary support services to prepare jobseekers for long-term employment, as well as training through industry employers.</w:t>
      </w:r>
      <w:r w:rsidRPr="00820C89">
        <w:rPr>
          <w:rStyle w:val="FootnoteReference"/>
        </w:rPr>
        <w:footnoteReference w:id="144"/>
      </w:r>
      <w:r w:rsidRPr="00820C89">
        <w:t xml:space="preserve"> </w:t>
      </w:r>
    </w:p>
    <w:p w14:paraId="1D0CF89B" w14:textId="77777777" w:rsidR="00AA7248" w:rsidRPr="00820C89" w:rsidRDefault="00AA7248" w:rsidP="00AA7248">
      <w:pPr>
        <w:pStyle w:val="Heading4un-numbered"/>
      </w:pPr>
      <w:r w:rsidRPr="00820C89">
        <w:t xml:space="preserve">VTEC </w:t>
      </w:r>
    </w:p>
    <w:p w14:paraId="15AA1539" w14:textId="77777777" w:rsidR="00AA7248" w:rsidRPr="00820C89" w:rsidRDefault="00AA7248" w:rsidP="00AA7248">
      <w:r w:rsidRPr="00820C89">
        <w:rPr>
          <w:b/>
          <w:bCs/>
        </w:rPr>
        <w:t>The VTEC model was first developed in 2006 within Fortescue Metals Group (FMG),</w:t>
      </w:r>
      <w:r w:rsidRPr="00820C89">
        <w:t xml:space="preserve"> </w:t>
      </w:r>
      <w:r w:rsidRPr="00820C89">
        <w:rPr>
          <w:b/>
          <w:bCs/>
        </w:rPr>
        <w:t>of which Andrew Forrest was then CEO, as a way to facilitate Indigenous employment within FMG and its contractors in the Pilbara</w:t>
      </w:r>
      <w:r w:rsidRPr="00820C89">
        <w:t>. Having developed the VTEC model within FMG, Forrest then launched the Australian Employment Covenant (AEC) alongside then Prime Minister Kevin Rudd. The AEC had the goal of placing 50,000 Indigenous Australians into jobs within two years and focused on securing job pledges from a wide range of employers.</w:t>
      </w:r>
      <w:r w:rsidRPr="00820C89">
        <w:rPr>
          <w:rStyle w:val="FootnoteReference"/>
        </w:rPr>
        <w:footnoteReference w:id="145"/>
      </w:r>
    </w:p>
    <w:p w14:paraId="38FCE70D" w14:textId="77777777" w:rsidR="00AA7248" w:rsidRPr="00820C89" w:rsidRDefault="00AA7248" w:rsidP="00AA7248">
      <w:r w:rsidRPr="00820C89">
        <w:t xml:space="preserve">By the time of the </w:t>
      </w:r>
      <w:r w:rsidRPr="00820C89">
        <w:rPr>
          <w:i/>
          <w:iCs/>
        </w:rPr>
        <w:t>Forrest Review</w:t>
      </w:r>
      <w:r w:rsidRPr="00820C89">
        <w:t>’s publication the AEC was a programme led by GenerationOne - an organisation established by Forrest to focus on advocating for changes to employment and training services for Indigenous Australians – and had over 60,000 jobs committed from nearly 350 companies.</w:t>
      </w:r>
      <w:r w:rsidRPr="00820C89">
        <w:rPr>
          <w:rStyle w:val="FootnoteReference"/>
        </w:rPr>
        <w:footnoteReference w:id="146"/>
      </w:r>
      <w:r w:rsidRPr="00820C89">
        <w:t xml:space="preserve"> The AEC drove a significant shift in Indigenous employment and training policy </w:t>
      </w:r>
      <w:r w:rsidRPr="00820C89">
        <w:lastRenderedPageBreak/>
        <w:t>towards employers taking on a greater role in contributing to improving Indigenous employment rates.</w:t>
      </w:r>
      <w:r w:rsidRPr="00820C89">
        <w:rPr>
          <w:rStyle w:val="FootnoteReference"/>
        </w:rPr>
        <w:footnoteReference w:id="147"/>
      </w:r>
    </w:p>
    <w:p w14:paraId="5938B22A" w14:textId="77777777" w:rsidR="00AA7248" w:rsidRPr="00820C89" w:rsidRDefault="00AA7248" w:rsidP="00AA7248">
      <w:r w:rsidRPr="00820C89">
        <w:rPr>
          <w:b/>
          <w:bCs/>
        </w:rPr>
        <w:t xml:space="preserve">The </w:t>
      </w:r>
      <w:r w:rsidRPr="00820C89">
        <w:rPr>
          <w:b/>
          <w:bCs/>
          <w:i/>
          <w:iCs/>
        </w:rPr>
        <w:t>Forrest Review</w:t>
      </w:r>
      <w:r w:rsidRPr="00820C89">
        <w:rPr>
          <w:b/>
          <w:bCs/>
        </w:rPr>
        <w:t xml:space="preserve"> endorsed a nationwide scale-up of the VTEC and the AEC was an important part of this policy, as VTECs would support and train Indigenous jobseekers for the jobs committed to in the AEC.</w:t>
      </w:r>
      <w:r w:rsidRPr="00820C89">
        <w:rPr>
          <w:rStyle w:val="FootnoteReference"/>
          <w:b/>
          <w:bCs/>
        </w:rPr>
        <w:footnoteReference w:id="148"/>
      </w:r>
      <w:r w:rsidRPr="00820C89">
        <w:t xml:space="preserve"> By the time the </w:t>
      </w:r>
      <w:r w:rsidRPr="00820C89">
        <w:rPr>
          <w:i/>
          <w:iCs/>
        </w:rPr>
        <w:t xml:space="preserve">Forrest Review </w:t>
      </w:r>
      <w:r w:rsidRPr="00820C89">
        <w:t>was published (2014), the Commonwealth Government led by Prime Minister Tony Abbott had committed to funding 21 VTECs nation-wide.</w:t>
      </w:r>
      <w:r w:rsidRPr="00820C89">
        <w:rPr>
          <w:rStyle w:val="FootnoteReference"/>
        </w:rPr>
        <w:footnoteReference w:id="149"/>
      </w:r>
    </w:p>
    <w:p w14:paraId="6F17EA4B" w14:textId="77777777" w:rsidR="00AA7248" w:rsidRPr="00820C89" w:rsidRDefault="00AA7248" w:rsidP="00AA7248">
      <w:r w:rsidRPr="00820C89">
        <w:t xml:space="preserve">To date, there has been one progress evaluation of VTECs, and the key findings from this report are presented in Box 2 below. </w:t>
      </w:r>
    </w:p>
    <w:p w14:paraId="038434D0" w14:textId="77777777" w:rsidR="00AA7248" w:rsidRPr="00820C89" w:rsidRDefault="00AA7248" w:rsidP="00AA7248">
      <w:pPr>
        <w:pStyle w:val="Heading4un-numbered"/>
      </w:pPr>
      <w:r w:rsidRPr="00820C89">
        <w:t>EPI</w:t>
      </w:r>
    </w:p>
    <w:p w14:paraId="01EAC2E4" w14:textId="77777777" w:rsidR="00AA7248" w:rsidRPr="00820C89" w:rsidRDefault="00AA7248" w:rsidP="00AA7248">
      <w:r w:rsidRPr="00820C89">
        <w:t xml:space="preserve">The EPI also had its origins in the </w:t>
      </w:r>
      <w:r w:rsidRPr="00820C89">
        <w:rPr>
          <w:i/>
          <w:iCs/>
        </w:rPr>
        <w:t xml:space="preserve">Forrest Review, </w:t>
      </w:r>
      <w:r w:rsidRPr="00820C89">
        <w:t xml:space="preserve">as </w:t>
      </w:r>
      <w:r w:rsidRPr="00820C89">
        <w:rPr>
          <w:b/>
          <w:bCs/>
        </w:rPr>
        <w:t>the report recommended that the ‘Commonwealth Government provide the top 200 companies in Australia and those with a strong track record of first Australian employment,</w:t>
      </w:r>
      <w:r w:rsidRPr="00820C89">
        <w:t xml:space="preserve"> with tailored contracts to increase the proportion of first Australians among their employees’.</w:t>
      </w:r>
      <w:r w:rsidRPr="00820C89">
        <w:rPr>
          <w:rStyle w:val="FootnoteReference"/>
        </w:rPr>
        <w:footnoteReference w:id="150"/>
      </w:r>
      <w:r w:rsidRPr="00820C89">
        <w:t xml:space="preserve"> </w:t>
      </w:r>
    </w:p>
    <w:p w14:paraId="26436891" w14:textId="77777777" w:rsidR="00AA7248" w:rsidRPr="00820C89" w:rsidRDefault="00AA7248" w:rsidP="00AA7248">
      <w:r w:rsidRPr="00820C89">
        <w:t xml:space="preserve">The </w:t>
      </w:r>
      <w:r w:rsidRPr="00820C89">
        <w:rPr>
          <w:i/>
          <w:iCs/>
        </w:rPr>
        <w:t xml:space="preserve">Forrest Review </w:t>
      </w:r>
      <w:r w:rsidRPr="00820C89">
        <w:t>had the ambitious goal of reaching employment parity in Australia,</w:t>
      </w:r>
      <w:r w:rsidRPr="00820C89">
        <w:rPr>
          <w:rStyle w:val="FootnoteReference"/>
        </w:rPr>
        <w:footnoteReference w:id="151"/>
      </w:r>
      <w:r w:rsidRPr="00820C89">
        <w:t xml:space="preserve"> which would require the working Indigenous population to double in size.  </w:t>
      </w:r>
      <w:r w:rsidRPr="00820C89">
        <w:rPr>
          <w:b/>
          <w:bCs/>
        </w:rPr>
        <w:t>As large businesses employ a significant number of Australians, these businesses had the scale to employ a large number of Indigenous Australians.</w:t>
      </w:r>
      <w:r w:rsidRPr="00820C89">
        <w:rPr>
          <w:rStyle w:val="FootnoteReference"/>
          <w:b/>
          <w:bCs/>
        </w:rPr>
        <w:footnoteReference w:id="152"/>
      </w:r>
      <w:r w:rsidRPr="00820C89">
        <w:rPr>
          <w:b/>
          <w:bCs/>
        </w:rPr>
        <w:t xml:space="preserve"> </w:t>
      </w:r>
      <w:r w:rsidRPr="00820C89">
        <w:t>Moreover, census data demonstrated that there was very low incidence of private sector employment of Indigenous Australians in non-mining industries, which meant that these industries should be targeted to grow their Indigenous workforce.</w:t>
      </w:r>
      <w:r w:rsidRPr="00820C89">
        <w:rPr>
          <w:rStyle w:val="FootnoteReference"/>
        </w:rPr>
        <w:footnoteReference w:id="153"/>
      </w:r>
    </w:p>
    <w:p w14:paraId="030F3DF3" w14:textId="77777777" w:rsidR="00AA7248" w:rsidRPr="00820C89" w:rsidRDefault="00AA7248" w:rsidP="00AA7248">
      <w:r w:rsidRPr="00820C89">
        <w:t xml:space="preserve">At the same time, the </w:t>
      </w:r>
      <w:r w:rsidRPr="00820C89">
        <w:rPr>
          <w:i/>
          <w:iCs/>
        </w:rPr>
        <w:t xml:space="preserve">Forrest Review </w:t>
      </w:r>
      <w:r w:rsidRPr="00820C89">
        <w:t xml:space="preserve">looked to the high number of AEC job commitments as evidence that employers were willing to invest in growing their Indigenous workforce. </w:t>
      </w:r>
      <w:r w:rsidRPr="00820C89">
        <w:rPr>
          <w:b/>
          <w:bCs/>
        </w:rPr>
        <w:t xml:space="preserve">The </w:t>
      </w:r>
      <w:r w:rsidRPr="00820C89">
        <w:rPr>
          <w:b/>
          <w:bCs/>
          <w:i/>
          <w:iCs/>
        </w:rPr>
        <w:t xml:space="preserve">Forrest Review </w:t>
      </w:r>
      <w:r w:rsidRPr="00820C89">
        <w:rPr>
          <w:b/>
          <w:bCs/>
        </w:rPr>
        <w:t>reported that employers had long been frustrated by the inability for employment services to deliver job-ready jobseekers who had undertaken appropriate training and the unnecessary red tape that makes processes overly complex.</w:t>
      </w:r>
      <w:r w:rsidRPr="00820C89">
        <w:rPr>
          <w:rStyle w:val="FootnoteReference"/>
          <w:b/>
          <w:bCs/>
        </w:rPr>
        <w:footnoteReference w:id="154"/>
      </w:r>
      <w:r w:rsidRPr="00820C89">
        <w:t xml:space="preserve"> The funding required by these business needs to be flexible and responsive to allow employers to develop their own employment strategies.</w:t>
      </w:r>
    </w:p>
    <w:p w14:paraId="7AC85164" w14:textId="77777777" w:rsidR="00AA7248" w:rsidRPr="00820C89" w:rsidRDefault="00AA7248" w:rsidP="00AA7248">
      <w:pPr>
        <w:pStyle w:val="Heading4un-numbered"/>
      </w:pPr>
      <w:r w:rsidRPr="00820C89">
        <w:t>TAEG</w:t>
      </w:r>
    </w:p>
    <w:p w14:paraId="71E7596C" w14:textId="77777777" w:rsidR="00AA7248" w:rsidRPr="00820C89" w:rsidRDefault="00AA7248" w:rsidP="00AA7248">
      <w:r w:rsidRPr="00820C89">
        <w:t xml:space="preserve">As with VTEC and EPI, the TAEG program has been shaped by the </w:t>
      </w:r>
      <w:r w:rsidRPr="00820C89">
        <w:rPr>
          <w:i/>
          <w:iCs/>
        </w:rPr>
        <w:t>Forrest Review.</w:t>
      </w:r>
      <w:r w:rsidRPr="00820C89">
        <w:t xml:space="preserve"> While the TAEG program has existed in its current form since 2016, </w:t>
      </w:r>
      <w:r w:rsidRPr="00820C89">
        <w:rPr>
          <w:b/>
          <w:bCs/>
        </w:rPr>
        <w:t>it has evolved overtime and was previously a part of the Indigenous Employment Programme,</w:t>
      </w:r>
      <w:r w:rsidRPr="00820C89">
        <w:t xml:space="preserve"> which came into effect in 1999 and included several other employment programs. </w:t>
      </w:r>
      <w:r w:rsidRPr="00820C89">
        <w:rPr>
          <w:b/>
          <w:bCs/>
        </w:rPr>
        <w:t xml:space="preserve">Within the </w:t>
      </w:r>
      <w:r w:rsidRPr="00820C89">
        <w:rPr>
          <w:b/>
          <w:bCs/>
          <w:i/>
          <w:iCs/>
        </w:rPr>
        <w:t xml:space="preserve">Forrest Review, </w:t>
      </w:r>
      <w:r w:rsidRPr="00820C89">
        <w:rPr>
          <w:b/>
          <w:bCs/>
        </w:rPr>
        <w:t>the Indigenous Employment Programme was viewed positively because of its demand-driven approach to providing tailored support to recruit and retain Indigenous employees.</w:t>
      </w:r>
    </w:p>
    <w:p w14:paraId="535E6AF6" w14:textId="77777777" w:rsidR="00AA7248" w:rsidRPr="00820C89" w:rsidRDefault="00AA7248" w:rsidP="00AA7248">
      <w:r w:rsidRPr="00820C89">
        <w:t xml:space="preserve">The </w:t>
      </w:r>
      <w:r w:rsidRPr="00820C89">
        <w:rPr>
          <w:i/>
          <w:iCs/>
        </w:rPr>
        <w:t xml:space="preserve">Forrest Review </w:t>
      </w:r>
      <w:r w:rsidRPr="00820C89">
        <w:t xml:space="preserve">notes that the employment outcomes for the Indigenous Employment Programme are 55 per cent higher than for mainstream employment services. Reflecting employers’ views, the </w:t>
      </w:r>
      <w:r w:rsidRPr="00820C89">
        <w:rPr>
          <w:i/>
          <w:iCs/>
        </w:rPr>
        <w:t xml:space="preserve">Forrest Review </w:t>
      </w:r>
      <w:r w:rsidRPr="00820C89">
        <w:t>did recommend that changes be made to reduce red tape and make navigating the programs easier.</w:t>
      </w:r>
    </w:p>
    <w:p w14:paraId="683A3A67" w14:textId="3119E6FE" w:rsidR="00AA7248" w:rsidRDefault="00AA7248" w:rsidP="00AA7248">
      <w:r w:rsidRPr="00820C89">
        <w:lastRenderedPageBreak/>
        <w:t xml:space="preserve">While the </w:t>
      </w:r>
      <w:r w:rsidRPr="00820C89">
        <w:rPr>
          <w:i/>
          <w:iCs/>
        </w:rPr>
        <w:t xml:space="preserve">Forrest Review </w:t>
      </w:r>
      <w:r w:rsidRPr="00820C89">
        <w:t xml:space="preserve">gives a basis for understanding what the rationale was behind the design of the current IEPs, </w:t>
      </w:r>
      <w:r w:rsidRPr="00820C89">
        <w:rPr>
          <w:b/>
          <w:bCs/>
        </w:rPr>
        <w:t>there does not appear to be further policy documentation and rationale for the design of the programs</w:t>
      </w:r>
      <w:r w:rsidRPr="00820C89">
        <w:t>. A detailed policy rationale, inclusive of an initiatives theory of change and the expected causal logic, sets out the rationale for investment and how an initiative is expected to function and reach outcomes. Without this detail, it is difficult to tell what evidence was utilised to design specific features of the IEPs.</w:t>
      </w:r>
    </w:p>
    <w:p w14:paraId="383C8074" w14:textId="77777777" w:rsidR="008F54A1" w:rsidRPr="00820C89" w:rsidRDefault="008F54A1" w:rsidP="008F54A1">
      <w:pPr>
        <w:keepNext/>
        <w:shd w:val="clear" w:color="auto" w:fill="DFF0F9" w:themeFill="accent3" w:themeFillTint="33"/>
        <w:rPr>
          <w:b/>
          <w:bCs/>
        </w:rPr>
      </w:pPr>
      <w:r w:rsidRPr="00820C89">
        <w:rPr>
          <w:b/>
          <w:bCs/>
        </w:rPr>
        <w:t xml:space="preserve">Box 2: Key findings from the </w:t>
      </w:r>
      <w:r w:rsidRPr="00820C89">
        <w:rPr>
          <w:b/>
          <w:bCs/>
          <w:i/>
          <w:iCs/>
        </w:rPr>
        <w:t xml:space="preserve">Progress Evaluation of the Vocational Training and Employment Centre Programme </w:t>
      </w:r>
      <w:r w:rsidRPr="00820C89">
        <w:rPr>
          <w:b/>
          <w:bCs/>
        </w:rPr>
        <w:t xml:space="preserve">(2015)  </w:t>
      </w:r>
    </w:p>
    <w:p w14:paraId="0418C4D3" w14:textId="77777777" w:rsidR="008F54A1" w:rsidRPr="00820C89" w:rsidRDefault="008F54A1" w:rsidP="008F54A1">
      <w:pPr>
        <w:keepNext/>
        <w:shd w:val="clear" w:color="auto" w:fill="DFF0F9" w:themeFill="accent3" w:themeFillTint="33"/>
      </w:pPr>
      <w:r w:rsidRPr="00820C89">
        <w:t xml:space="preserve">This evaluation provides some insights into the design, implementation and early outcomes of VTECs after one year of operation. In sum, the overarching findings include the following points. </w:t>
      </w:r>
    </w:p>
    <w:p w14:paraId="45438E98" w14:textId="77777777" w:rsidR="008F54A1" w:rsidRPr="00820C89" w:rsidRDefault="008F54A1" w:rsidP="00715F70">
      <w:pPr>
        <w:pStyle w:val="ListParagraph"/>
        <w:keepNext/>
        <w:numPr>
          <w:ilvl w:val="0"/>
          <w:numId w:val="42"/>
        </w:numPr>
        <w:shd w:val="clear" w:color="auto" w:fill="DFF0F9" w:themeFill="accent3" w:themeFillTint="33"/>
        <w:spacing w:before="170"/>
      </w:pPr>
      <w:r w:rsidRPr="00820C89">
        <w:rPr>
          <w:b/>
          <w:bCs/>
        </w:rPr>
        <w:t>The VTEC programme has resulted in some positive social outcomes,</w:t>
      </w:r>
      <w:r w:rsidRPr="00820C89">
        <w:t xml:space="preserve"> with 71% of respondents to the service for service providers agreeing that the program has improved family and community relationships.</w:t>
      </w:r>
      <w:r w:rsidRPr="00820C89">
        <w:rPr>
          <w:rStyle w:val="FootnoteReference"/>
        </w:rPr>
        <w:footnoteReference w:id="155"/>
      </w:r>
    </w:p>
    <w:p w14:paraId="4BC2430C" w14:textId="77777777" w:rsidR="008F54A1" w:rsidRPr="00820C89" w:rsidRDefault="008F54A1" w:rsidP="00715F70">
      <w:pPr>
        <w:pStyle w:val="ListParagraph"/>
        <w:keepNext/>
        <w:numPr>
          <w:ilvl w:val="0"/>
          <w:numId w:val="42"/>
        </w:numPr>
        <w:shd w:val="clear" w:color="auto" w:fill="DFF0F9" w:themeFill="accent3" w:themeFillTint="33"/>
        <w:spacing w:before="170"/>
      </w:pPr>
      <w:r w:rsidRPr="00820C89">
        <w:rPr>
          <w:b/>
          <w:bCs/>
        </w:rPr>
        <w:t xml:space="preserve">A key advantage of the VTEC program is the provision of mentoring and advocacy, </w:t>
      </w:r>
      <w:r w:rsidRPr="00820C89">
        <w:t>through “strong, authentic links with the Indigenous community”.</w:t>
      </w:r>
      <w:r w:rsidRPr="00820C89">
        <w:rPr>
          <w:rStyle w:val="FootnoteReference"/>
        </w:rPr>
        <w:footnoteReference w:id="156"/>
      </w:r>
    </w:p>
    <w:p w14:paraId="7692F76D" w14:textId="77777777" w:rsidR="008F54A1" w:rsidRPr="00820C89" w:rsidRDefault="008F54A1" w:rsidP="00715F70">
      <w:pPr>
        <w:pStyle w:val="ListParagraph"/>
        <w:keepNext/>
        <w:numPr>
          <w:ilvl w:val="0"/>
          <w:numId w:val="42"/>
        </w:numPr>
        <w:shd w:val="clear" w:color="auto" w:fill="DFF0F9" w:themeFill="accent3" w:themeFillTint="33"/>
        <w:spacing w:before="170"/>
      </w:pPr>
      <w:r w:rsidRPr="00820C89">
        <w:rPr>
          <w:b/>
          <w:bCs/>
        </w:rPr>
        <w:t xml:space="preserve">Insufficient support is provided to participants experiencing long-term structural unemployment, </w:t>
      </w:r>
      <w:r w:rsidRPr="00820C89">
        <w:t xml:space="preserve">particularly those living in remote areas where opportunities to engage in a local labour market are scarce. </w:t>
      </w:r>
      <w:r w:rsidRPr="00820C89">
        <w:rPr>
          <w:rStyle w:val="FootnoteReference"/>
        </w:rPr>
        <w:footnoteReference w:id="157"/>
      </w:r>
      <w:r w:rsidRPr="00820C89">
        <w:t xml:space="preserve"> </w:t>
      </w:r>
    </w:p>
    <w:p w14:paraId="7F2B0927" w14:textId="77777777" w:rsidR="008F54A1" w:rsidRPr="00820C89" w:rsidRDefault="008F54A1" w:rsidP="00715F70">
      <w:pPr>
        <w:pStyle w:val="ListParagraph"/>
        <w:keepNext/>
        <w:numPr>
          <w:ilvl w:val="0"/>
          <w:numId w:val="42"/>
        </w:numPr>
        <w:shd w:val="clear" w:color="auto" w:fill="DFF0F9" w:themeFill="accent3" w:themeFillTint="33"/>
        <w:spacing w:before="170"/>
      </w:pPr>
      <w:r w:rsidRPr="00820C89">
        <w:rPr>
          <w:b/>
          <w:bCs/>
        </w:rPr>
        <w:t xml:space="preserve">The streaming process does not always stream participants appropriately, </w:t>
      </w:r>
      <w:r w:rsidRPr="00820C89">
        <w:t xml:space="preserve">resulting in some participants not receiving the necessary supports and training. This is reportedly due to a range of cultural and institutional issues. </w:t>
      </w:r>
    </w:p>
    <w:p w14:paraId="310B2769" w14:textId="77777777" w:rsidR="008F54A1" w:rsidRPr="00820C89" w:rsidRDefault="008F54A1" w:rsidP="00715F70">
      <w:pPr>
        <w:pStyle w:val="ListParagraph"/>
        <w:keepNext/>
        <w:numPr>
          <w:ilvl w:val="0"/>
          <w:numId w:val="42"/>
        </w:numPr>
        <w:shd w:val="clear" w:color="auto" w:fill="DFF0F9" w:themeFill="accent3" w:themeFillTint="33"/>
        <w:spacing w:before="170"/>
      </w:pPr>
      <w:r w:rsidRPr="00820C89">
        <w:rPr>
          <w:b/>
          <w:bCs/>
        </w:rPr>
        <w:t xml:space="preserve">The provision of training is not always aligned with the background and specific needs of individuals. </w:t>
      </w:r>
      <w:r w:rsidRPr="00820C89">
        <w:t xml:space="preserve">This finding resulted in the evaluation recommending the development of an employability skills needs assessment tool. </w:t>
      </w:r>
    </w:p>
    <w:p w14:paraId="13F3C5EF" w14:textId="77777777" w:rsidR="008F54A1" w:rsidRPr="00820C89" w:rsidRDefault="008F54A1" w:rsidP="00715F70">
      <w:pPr>
        <w:pStyle w:val="ListParagraph"/>
        <w:keepNext/>
        <w:numPr>
          <w:ilvl w:val="0"/>
          <w:numId w:val="42"/>
        </w:numPr>
        <w:shd w:val="clear" w:color="auto" w:fill="DFF0F9" w:themeFill="accent3" w:themeFillTint="33"/>
        <w:spacing w:before="170"/>
      </w:pPr>
      <w:r w:rsidRPr="00820C89">
        <w:rPr>
          <w:b/>
          <w:bCs/>
        </w:rPr>
        <w:t>Engagement between VTEC</w:t>
      </w:r>
      <w:r w:rsidRPr="00820C89">
        <w:rPr>
          <w:rStyle w:val="CommentReference"/>
          <w:b/>
          <w:bCs/>
        </w:rPr>
        <w:t xml:space="preserve">, </w:t>
      </w:r>
      <w:r w:rsidRPr="00820C89">
        <w:rPr>
          <w:b/>
          <w:bCs/>
        </w:rPr>
        <w:t>community and industry varies</w:t>
      </w:r>
      <w:r w:rsidRPr="00820C89">
        <w:t xml:space="preserve"> with VTECs with established relationships with Indigenous communities experiencing advantages in respect to cultural approach supports and processes.</w:t>
      </w:r>
    </w:p>
    <w:p w14:paraId="09FD0CB0" w14:textId="77777777" w:rsidR="008F54A1" w:rsidRPr="00820C89" w:rsidRDefault="008F54A1" w:rsidP="00715F70">
      <w:pPr>
        <w:pStyle w:val="ListParagraph"/>
        <w:keepNext/>
        <w:numPr>
          <w:ilvl w:val="0"/>
          <w:numId w:val="42"/>
        </w:numPr>
        <w:shd w:val="clear" w:color="auto" w:fill="DFF0F9" w:themeFill="accent3" w:themeFillTint="33"/>
        <w:spacing w:before="170"/>
      </w:pPr>
      <w:r w:rsidRPr="00820C89">
        <w:rPr>
          <w:b/>
          <w:bCs/>
        </w:rPr>
        <w:t>There is at risk of competition with complementary services</w:t>
      </w:r>
      <w:r w:rsidRPr="00820C89">
        <w:t>, such as the EPI, resulting in concern that service providers are competing for eligible jobseekers.</w:t>
      </w:r>
    </w:p>
    <w:p w14:paraId="4BDC6B84" w14:textId="77777777" w:rsidR="008F54A1" w:rsidRPr="00820C89" w:rsidRDefault="008F54A1" w:rsidP="00715F70">
      <w:pPr>
        <w:pStyle w:val="ListParagraph"/>
        <w:keepNext/>
        <w:numPr>
          <w:ilvl w:val="0"/>
          <w:numId w:val="42"/>
        </w:numPr>
        <w:shd w:val="clear" w:color="auto" w:fill="DFF0F9" w:themeFill="accent3" w:themeFillTint="33"/>
        <w:spacing w:before="170"/>
      </w:pPr>
      <w:r w:rsidRPr="00820C89">
        <w:rPr>
          <w:b/>
          <w:bCs/>
        </w:rPr>
        <w:t xml:space="preserve">There is a lack of readiness to take on Indigenous jobseekers in some workforces. </w:t>
      </w:r>
      <w:r w:rsidRPr="00820C89">
        <w:t xml:space="preserve">This finding prompted the recommendation for improved delivery of effective cross-cultural training in workplaces. </w:t>
      </w:r>
    </w:p>
    <w:p w14:paraId="62158DE7" w14:textId="77777777" w:rsidR="008F54A1" w:rsidRPr="00820C89" w:rsidRDefault="008F54A1" w:rsidP="00715F70">
      <w:pPr>
        <w:pStyle w:val="ListParagraph"/>
        <w:keepNext/>
        <w:numPr>
          <w:ilvl w:val="0"/>
          <w:numId w:val="42"/>
        </w:numPr>
        <w:shd w:val="clear" w:color="auto" w:fill="DFF0F9" w:themeFill="accent3" w:themeFillTint="33"/>
        <w:spacing w:before="170"/>
      </w:pPr>
      <w:r w:rsidRPr="00820C89">
        <w:rPr>
          <w:b/>
          <w:bCs/>
        </w:rPr>
        <w:t xml:space="preserve">Participant outcomes differ significantly and are deeply contextually specific and contingent, </w:t>
      </w:r>
      <w:r w:rsidRPr="00820C89">
        <w:t>with the most disadvantaged streams of cohorts yielded the lowest employment outcomes based on the 26-week milestone.</w:t>
      </w:r>
      <w:r w:rsidRPr="00820C89">
        <w:rPr>
          <w:b/>
          <w:bCs/>
        </w:rPr>
        <w:t xml:space="preserve"> </w:t>
      </w:r>
      <w:r w:rsidRPr="00820C89">
        <w:t>Of the population sample used in this evaluation (2,912 jobseekers) 74.5% transitioned into employment, falling short of the 90% target.</w:t>
      </w:r>
    </w:p>
    <w:p w14:paraId="49BF7A83" w14:textId="6FF1C6C9" w:rsidR="008F54A1" w:rsidRPr="00820C89" w:rsidRDefault="008F54A1" w:rsidP="008F54A1">
      <w:pPr>
        <w:shd w:val="clear" w:color="auto" w:fill="DFF0F9" w:themeFill="accent3" w:themeFillTint="33"/>
      </w:pPr>
      <w:r w:rsidRPr="00820C89">
        <w:rPr>
          <w:b/>
          <w:bCs/>
        </w:rPr>
        <w:t>The majority of jobs were not sourced through the AEC register (74</w:t>
      </w:r>
      <w:r w:rsidRPr="00820C89">
        <w:t>.</w:t>
      </w:r>
      <w:r w:rsidRPr="00820C89">
        <w:rPr>
          <w:b/>
          <w:bCs/>
        </w:rPr>
        <w:t xml:space="preserve">2%). </w:t>
      </w:r>
      <w:r w:rsidRPr="00820C89">
        <w:t>As such, the evaluation found that the AEC was of limited value.</w:t>
      </w:r>
      <w:r w:rsidRPr="00820C89">
        <w:rPr>
          <w:rStyle w:val="FootnoteReference"/>
        </w:rPr>
        <w:footnoteReference w:id="158"/>
      </w:r>
    </w:p>
    <w:p w14:paraId="3DF9994B" w14:textId="77777777" w:rsidR="00AA7248" w:rsidRPr="00820C89" w:rsidRDefault="00AA7248" w:rsidP="00715F70">
      <w:pPr>
        <w:pStyle w:val="Heading3"/>
        <w:numPr>
          <w:ilvl w:val="2"/>
          <w:numId w:val="69"/>
        </w:numPr>
      </w:pPr>
      <w:bookmarkStart w:id="200" w:name="_Ref55308324"/>
      <w:bookmarkStart w:id="201" w:name="_Toc57053506"/>
      <w:r w:rsidRPr="00820C89">
        <w:t>Other services that support Indigenous Australians</w:t>
      </w:r>
      <w:bookmarkEnd w:id="200"/>
      <w:bookmarkEnd w:id="201"/>
    </w:p>
    <w:p w14:paraId="2B7AA066" w14:textId="77777777" w:rsidR="00AA7248" w:rsidRPr="00820C89" w:rsidRDefault="00AA7248" w:rsidP="00AA7248">
      <w:r w:rsidRPr="00820C89">
        <w:t>Employment programs do not operate in isolation, and participants, especially disadvantaged participants with multiple barriers, access supports from a range of services. For example, the current IEPs are designed to be complementary to, rather than instead of, mainstream programs. The Commonwealth provides a number of services for Indigenous Australians comprises several and varied support programs. Some of which include:</w:t>
      </w:r>
    </w:p>
    <w:p w14:paraId="1A682DD7" w14:textId="77777777" w:rsidR="00AA7248" w:rsidRPr="00820C89" w:rsidRDefault="00AA7248" w:rsidP="00AA7248">
      <w:pPr>
        <w:pStyle w:val="ListBullet"/>
        <w:spacing w:before="170"/>
      </w:pPr>
      <w:r w:rsidRPr="00820C89">
        <w:rPr>
          <w:b/>
          <w:bCs/>
        </w:rPr>
        <w:t>Transition to work</w:t>
      </w:r>
      <w:r w:rsidRPr="00820C89">
        <w:t xml:space="preserve"> – provides support to young people to enter employment or complete education through intensive, pre-employment support to improve their work-readiness. </w:t>
      </w:r>
    </w:p>
    <w:p w14:paraId="29B36135" w14:textId="77777777" w:rsidR="00AA7248" w:rsidRPr="00820C89" w:rsidRDefault="00AA7248" w:rsidP="00AA7248">
      <w:pPr>
        <w:pStyle w:val="ListBullet"/>
        <w:spacing w:before="170"/>
      </w:pPr>
      <w:r w:rsidRPr="00820C89">
        <w:rPr>
          <w:b/>
          <w:bCs/>
        </w:rPr>
        <w:lastRenderedPageBreak/>
        <w:t xml:space="preserve">ParentsNext </w:t>
      </w:r>
      <w:r w:rsidRPr="00820C89">
        <w:t xml:space="preserve">– provides a range of supports to eligible parents, including assistance in finding a course or work experience; help arranging financial support for childcare and study; and connects parents to local services for counselling, emotional support and domestic and family violence. </w:t>
      </w:r>
    </w:p>
    <w:p w14:paraId="61A4E866" w14:textId="77777777" w:rsidR="00AA7248" w:rsidRPr="00820C89" w:rsidRDefault="00AA7248" w:rsidP="00AA7248">
      <w:pPr>
        <w:pStyle w:val="ListBullet"/>
        <w:spacing w:before="170"/>
      </w:pPr>
      <w:r w:rsidRPr="00820C89">
        <w:rPr>
          <w:b/>
          <w:bCs/>
        </w:rPr>
        <w:t>Time to Work Employment Service –</w:t>
      </w:r>
      <w:r w:rsidRPr="00820C89">
        <w:t xml:space="preserve"> a program that provides intensive and tailored wrap around support for adult, sentenced Indigenous prisoners to prepare them to find employment and reintegrate into the community.</w:t>
      </w:r>
    </w:p>
    <w:p w14:paraId="0E746919" w14:textId="77777777" w:rsidR="00AA7248" w:rsidRPr="00820C89" w:rsidRDefault="00AA7248" w:rsidP="00AA7248">
      <w:pPr>
        <w:pStyle w:val="ListBullet"/>
        <w:numPr>
          <w:ilvl w:val="0"/>
          <w:numId w:val="0"/>
        </w:numPr>
        <w:spacing w:before="60" w:after="60"/>
        <w:contextualSpacing w:val="0"/>
      </w:pPr>
    </w:p>
    <w:p w14:paraId="22F0A7F8" w14:textId="77777777" w:rsidR="004111EA" w:rsidRPr="00820C89" w:rsidRDefault="00AA7248" w:rsidP="00AA7248">
      <w:pPr>
        <w:pStyle w:val="ListBullet"/>
        <w:numPr>
          <w:ilvl w:val="0"/>
          <w:numId w:val="0"/>
        </w:numPr>
        <w:spacing w:before="60" w:after="60"/>
        <w:contextualSpacing w:val="0"/>
      </w:pPr>
      <w:r w:rsidRPr="00820C89">
        <w:t>Further, there is an intersection between Commonwealth and state remit when it comes to implementing employment programs, with states and territories also delivering employment assistance initiatives. This is because the Commonwealth has assumed primary responsible for Indigenous affairs, while it shares responsibility and goals with the States and Territories for employment and training. The evaluation considers these intersections, but the literature review has not systematically reviewed state-based programs</w:t>
      </w:r>
      <w:r w:rsidR="00144FDD" w:rsidRPr="00820C89">
        <w:t>.</w:t>
      </w:r>
    </w:p>
    <w:p w14:paraId="05689E4D" w14:textId="77777777" w:rsidR="00AA7248" w:rsidRPr="00820C89" w:rsidRDefault="00AA7248" w:rsidP="00144FDD">
      <w:pPr>
        <w:pStyle w:val="Appendixhead2"/>
      </w:pPr>
      <w:bookmarkStart w:id="202" w:name="_Toc57053507"/>
      <w:r w:rsidRPr="00820C89">
        <w:t>Perspectives on IEPs</w:t>
      </w:r>
      <w:bookmarkEnd w:id="202"/>
      <w:r w:rsidRPr="00820C89">
        <w:t xml:space="preserve"> </w:t>
      </w:r>
    </w:p>
    <w:p w14:paraId="198DB536" w14:textId="77777777" w:rsidR="00AA7248" w:rsidRPr="00820C89" w:rsidRDefault="00AA7248" w:rsidP="00AA7248">
      <w:r w:rsidRPr="00820C89">
        <w:t>This section explores key learnings from the perspective of Indigenous Australians and employers in relation to IEPs or other related programs or services. This discussion largely relies on three key qualitative studies involving interviews, focus groups and case studies with employers and Indigenous employees. An important caveat is that none of these studies is a strict academic analysis and is linked to ether policy goals or advocacy. Consequently, this material has been further supplemented with peer reviewed literature relating to effective program elements, such as mentoring. The three studies include:</w:t>
      </w:r>
    </w:p>
    <w:p w14:paraId="6C6D85CC" w14:textId="77777777" w:rsidR="00AA7248" w:rsidRPr="00820C89" w:rsidRDefault="00AA7248" w:rsidP="00AA7248">
      <w:pPr>
        <w:pStyle w:val="ListBullet"/>
        <w:spacing w:before="60" w:after="60"/>
        <w:contextualSpacing w:val="0"/>
      </w:pPr>
      <w:r w:rsidRPr="00820C89">
        <w:rPr>
          <w:i/>
          <w:iCs/>
        </w:rPr>
        <w:t xml:space="preserve">Walk in My Shoes, </w:t>
      </w:r>
      <w:r w:rsidRPr="00820C89">
        <w:t xml:space="preserve">a report commissioned by GenerationOne in 2011, which synthesises key employment program success factors from the perspectives of Indigenous employment managers from a range of sectors, including mining, hospitality, banking, retail and community services. </w:t>
      </w:r>
    </w:p>
    <w:p w14:paraId="40B2D141" w14:textId="77777777" w:rsidR="00AA7248" w:rsidRPr="00820C89" w:rsidRDefault="00AA7248" w:rsidP="00AA7248">
      <w:pPr>
        <w:pStyle w:val="ListBullet"/>
        <w:spacing w:before="60" w:after="60"/>
        <w:contextualSpacing w:val="0"/>
      </w:pPr>
      <w:r w:rsidRPr="00820C89">
        <w:rPr>
          <w:i/>
          <w:iCs/>
        </w:rPr>
        <w:t xml:space="preserve">Increasing Indigenous employment rates, </w:t>
      </w:r>
      <w:r w:rsidRPr="00820C89">
        <w:t xml:space="preserve">an issues paper for Closing the Gap Clearinghouse in 2012, which synthesises available research to date on the what is known and unknown regarding how to enhance Indigenous employment rates, and includes perspectives of both employers and employees from a range of sectors. </w:t>
      </w:r>
    </w:p>
    <w:p w14:paraId="2712850E" w14:textId="77777777" w:rsidR="00AA7248" w:rsidRPr="00820C89" w:rsidRDefault="00AA7248" w:rsidP="00AA7248">
      <w:pPr>
        <w:pStyle w:val="ListBullet"/>
        <w:spacing w:before="60" w:after="60"/>
        <w:contextualSpacing w:val="0"/>
      </w:pPr>
      <w:r w:rsidRPr="00820C89">
        <w:rPr>
          <w:i/>
          <w:iCs/>
        </w:rPr>
        <w:t>Engaging Aboriginal Australians in the Private Sector</w:t>
      </w:r>
      <w:r w:rsidRPr="00820C89">
        <w:t xml:space="preserve"> is a consultative report created for </w:t>
      </w:r>
      <w:r w:rsidRPr="00820C89">
        <w:rPr>
          <w:i/>
          <w:iCs/>
        </w:rPr>
        <w:t xml:space="preserve">Diversity Council Australia </w:t>
      </w:r>
      <w:r w:rsidRPr="00820C89">
        <w:t xml:space="preserve">that collates Indigenous employee and non-Indigenous employer perspectives on private sector initiatives, across sectors, through focus groups and face-to-face interviews. </w:t>
      </w:r>
    </w:p>
    <w:p w14:paraId="0C8726C8" w14:textId="77777777" w:rsidR="00AA7248" w:rsidRPr="00820C89" w:rsidRDefault="00AA7248" w:rsidP="00AA7248">
      <w:r w:rsidRPr="00820C89">
        <w:t xml:space="preserve">Before exploring the findings from these research papers, it is useful to summarise the multiple, and often compounding, barriers that are referred to in the following sections. These factors were frequently referenced in the research, by both employers and Indigenous employees, as presenting significant barriers to attracting and retaining employment. It is important to note that these barriers are not exclusive to Indigenous cohorts are also faced by disadvantaged and vulnerable cohorts. </w:t>
      </w:r>
    </w:p>
    <w:p w14:paraId="37E77F14" w14:textId="77777777" w:rsidR="00AA7248" w:rsidRPr="00820C89" w:rsidRDefault="00AA7248" w:rsidP="00AA7248">
      <w:pPr>
        <w:pStyle w:val="ListBullet"/>
        <w:spacing w:before="60" w:after="60"/>
        <w:contextualSpacing w:val="0"/>
      </w:pPr>
      <w:r w:rsidRPr="00820C89">
        <w:t xml:space="preserve">Stereotypes and stigmas associated with Indigenous Australians </w:t>
      </w:r>
    </w:p>
    <w:p w14:paraId="4702F37D" w14:textId="77777777" w:rsidR="00AA7248" w:rsidRPr="00820C89" w:rsidRDefault="00AA7248" w:rsidP="00AA7248">
      <w:pPr>
        <w:pStyle w:val="ListBullet"/>
        <w:spacing w:before="60" w:after="60"/>
        <w:contextualSpacing w:val="0"/>
      </w:pPr>
      <w:r w:rsidRPr="00820C89">
        <w:t xml:space="preserve">Limited literacy and numeracy skills as a result of interrupted education </w:t>
      </w:r>
    </w:p>
    <w:p w14:paraId="5743D85A" w14:textId="77777777" w:rsidR="00AA7248" w:rsidRPr="00820C89" w:rsidRDefault="00AA7248" w:rsidP="00AA7248">
      <w:pPr>
        <w:pStyle w:val="ListBullet"/>
        <w:spacing w:before="60" w:after="60"/>
        <w:contextualSpacing w:val="0"/>
      </w:pPr>
      <w:r w:rsidRPr="00820C89">
        <w:t xml:space="preserve">Past criminal record </w:t>
      </w:r>
    </w:p>
    <w:p w14:paraId="60CFDBA5" w14:textId="77777777" w:rsidR="00AA7248" w:rsidRPr="00820C89" w:rsidRDefault="00AA7248" w:rsidP="00AA7248">
      <w:pPr>
        <w:pStyle w:val="ListBullet"/>
        <w:spacing w:before="60" w:after="60"/>
        <w:contextualSpacing w:val="0"/>
      </w:pPr>
      <w:r w:rsidRPr="00820C89">
        <w:t xml:space="preserve">Intergenerational effects of past child removal policies </w:t>
      </w:r>
    </w:p>
    <w:p w14:paraId="212A38D0" w14:textId="77777777" w:rsidR="00AA7248" w:rsidRPr="00820C89" w:rsidRDefault="00AA7248" w:rsidP="00AA7248">
      <w:pPr>
        <w:pStyle w:val="ListBullet"/>
        <w:spacing w:before="60" w:after="60"/>
        <w:contextualSpacing w:val="0"/>
      </w:pPr>
      <w:r w:rsidRPr="00820C89">
        <w:t xml:space="preserve">Alcohol and other drug dependencies </w:t>
      </w:r>
    </w:p>
    <w:p w14:paraId="6BD23E4E" w14:textId="77777777" w:rsidR="00AA7248" w:rsidRPr="00820C89" w:rsidRDefault="00AA7248" w:rsidP="00AA7248">
      <w:pPr>
        <w:pStyle w:val="ListBullet"/>
        <w:spacing w:before="60" w:after="60"/>
        <w:contextualSpacing w:val="0"/>
      </w:pPr>
      <w:r w:rsidRPr="00820C89">
        <w:t>Mental health issues</w:t>
      </w:r>
    </w:p>
    <w:p w14:paraId="7BAD1FC2" w14:textId="77777777" w:rsidR="00AA7248" w:rsidRPr="00820C89" w:rsidRDefault="00AA7248" w:rsidP="00AA7248">
      <w:pPr>
        <w:pStyle w:val="ListBullet"/>
        <w:spacing w:before="60" w:after="60"/>
        <w:contextualSpacing w:val="0"/>
      </w:pPr>
      <w:r w:rsidRPr="00820C89">
        <w:t xml:space="preserve">Poor family health </w:t>
      </w:r>
    </w:p>
    <w:p w14:paraId="3BA84532" w14:textId="77777777" w:rsidR="00AA7248" w:rsidRPr="00820C89" w:rsidRDefault="00AA7248" w:rsidP="00AA7248">
      <w:pPr>
        <w:pStyle w:val="ListBullet"/>
        <w:spacing w:before="60" w:after="60"/>
        <w:contextualSpacing w:val="0"/>
      </w:pPr>
      <w:r w:rsidRPr="00820C89">
        <w:t xml:space="preserve">History of family violence </w:t>
      </w:r>
    </w:p>
    <w:p w14:paraId="41736269" w14:textId="77777777" w:rsidR="00AA7248" w:rsidRPr="00820C89" w:rsidRDefault="00AA7248" w:rsidP="00AA7248">
      <w:pPr>
        <w:pStyle w:val="ListBullet"/>
        <w:spacing w:before="60" w:after="60"/>
        <w:contextualSpacing w:val="0"/>
      </w:pPr>
      <w:r w:rsidRPr="00820C89">
        <w:t>Family pressures and responsibilities, including humbugging</w:t>
      </w:r>
      <w:r w:rsidRPr="00820C89">
        <w:rPr>
          <w:rStyle w:val="FootnoteReference"/>
        </w:rPr>
        <w:footnoteReference w:id="159"/>
      </w:r>
    </w:p>
    <w:p w14:paraId="0293286B" w14:textId="77777777" w:rsidR="00AA7248" w:rsidRPr="00820C89" w:rsidRDefault="00AA7248" w:rsidP="00AA7248">
      <w:pPr>
        <w:pStyle w:val="ListBullet"/>
        <w:spacing w:before="60" w:after="60"/>
        <w:contextualSpacing w:val="0"/>
      </w:pPr>
      <w:r w:rsidRPr="00820C89">
        <w:lastRenderedPageBreak/>
        <w:t>Households with parents who have been unemployed.</w:t>
      </w:r>
      <w:r w:rsidRPr="00820C89">
        <w:rPr>
          <w:rStyle w:val="FootnoteReference"/>
        </w:rPr>
        <w:footnoteReference w:id="160"/>
      </w:r>
      <w:r w:rsidRPr="00820C89">
        <w:t xml:space="preserve"> </w:t>
      </w:r>
    </w:p>
    <w:p w14:paraId="62825547" w14:textId="77777777" w:rsidR="00AA7248" w:rsidRPr="00820C89" w:rsidRDefault="00AA7248" w:rsidP="00AA7248">
      <w:r w:rsidRPr="00820C89">
        <w:t xml:space="preserve">These numerous health, wellbeing, environment, cultural and economic factors intersect, compounding disadvantage and perpetuating a cycle of unemployment. The ways in which employers and Indigenous employees and jobseekers understand and perceive these barriers differs. </w:t>
      </w:r>
    </w:p>
    <w:p w14:paraId="3D0E7EC7" w14:textId="77777777" w:rsidR="00AA7248" w:rsidRPr="00820C89" w:rsidRDefault="00AA7248" w:rsidP="00AA7248">
      <w:r w:rsidRPr="00820C89">
        <w:t>For employers, these barriers are often perceived as individual weaknesses that can impede the Indigenous employee or jobseeker’s ability to fulfil their role. For Indigenous people, these barriers are often perceived as external, environmental factors imposed on them through successive government policies, such as child removal or the inter-generational consequence of colonial settlement and cultural degradation, and when combined with the rigid Western structures of employment, inhibit their ability to access, participate in and retain employment.</w:t>
      </w:r>
      <w:r w:rsidRPr="00820C89">
        <w:rPr>
          <w:rStyle w:val="FootnoteReference"/>
        </w:rPr>
        <w:footnoteReference w:id="161"/>
      </w:r>
      <w:r w:rsidRPr="00820C89">
        <w:t xml:space="preserve"> </w:t>
      </w:r>
    </w:p>
    <w:p w14:paraId="70227E0B" w14:textId="77777777" w:rsidR="00AA7248" w:rsidRPr="00820C89" w:rsidRDefault="00AA7248" w:rsidP="00AA7248">
      <w:r w:rsidRPr="00820C89">
        <w:t>In this sense, the majority of past Indigenous employment programs have employed a mainstream approach. A ‘mainstream’ approach privileges Western employment practices, expectations, values and norms, identifying these conceptions as ideal or “correct”. In doing so, differences in conception for Indigenous employment norms, practices and cultural attitudes are positioned as deficient and in need of improvement.</w:t>
      </w:r>
      <w:r w:rsidRPr="00820C89">
        <w:rPr>
          <w:rStyle w:val="FootnoteReference"/>
        </w:rPr>
        <w:footnoteReference w:id="162"/>
      </w:r>
      <w:r w:rsidRPr="00820C89">
        <w:t xml:space="preserve"> This means that mainstream approaches are simply those that are deployed in employment programs generally, including for both Indigenous and non-Indigenous participants.  </w:t>
      </w:r>
    </w:p>
    <w:p w14:paraId="764A5F75" w14:textId="77777777" w:rsidR="00AA7248" w:rsidRPr="00820C89" w:rsidRDefault="00AA7248" w:rsidP="00AA7248">
      <w:r w:rsidRPr="00820C89">
        <w:t>These differences may extend to significant practical differences in perspectives on work and reward as well as personal and community value. They may also incorporate profound differences in value of relationship to employers and the wider economic system. The inevitable result is a misalignment of policy goals, processes and incentives, ultimately demonstrated in outcome measurements.</w:t>
      </w:r>
    </w:p>
    <w:p w14:paraId="1E3D0843" w14:textId="77777777" w:rsidR="00AA7248" w:rsidRPr="00820C89" w:rsidRDefault="00AA7248" w:rsidP="00AA7248">
      <w:r w:rsidRPr="00820C89">
        <w:t>The policy rationale behind the 'mainstreaming’ stance is that greater integration in mainstream markets and ‘norms’ of employment would serve to widen opportunity and increase autonomy and integration for Indigenous Australians.</w:t>
      </w:r>
      <w:r w:rsidRPr="00820C89">
        <w:rPr>
          <w:rStyle w:val="FootnoteReference"/>
        </w:rPr>
        <w:footnoteReference w:id="163"/>
      </w:r>
      <w:r w:rsidRPr="00820C89">
        <w:t xml:space="preserve"> This approach does not accommodate the noted differences in Indigenous norms, values or needs, and assumes that the adoption of Western economic institutions is preferred and that this is the best way to erase statistical inequalities.</w:t>
      </w:r>
      <w:r w:rsidRPr="00820C89">
        <w:rPr>
          <w:rStyle w:val="FootnoteReference"/>
        </w:rPr>
        <w:footnoteReference w:id="164"/>
      </w:r>
      <w:r w:rsidRPr="00820C89">
        <w:t xml:space="preserve"> </w:t>
      </w:r>
    </w:p>
    <w:p w14:paraId="2672B674" w14:textId="77777777" w:rsidR="00AA7248" w:rsidRPr="00820C89" w:rsidRDefault="00AA7248" w:rsidP="00144FDD">
      <w:pPr>
        <w:pStyle w:val="Appendixhead3"/>
      </w:pPr>
      <w:bookmarkStart w:id="203" w:name="_Toc57053508"/>
      <w:r w:rsidRPr="00820C89">
        <w:t>Key learnings from the perspective of Indigenous Australians</w:t>
      </w:r>
      <w:bookmarkEnd w:id="203"/>
      <w:r w:rsidRPr="00820C89">
        <w:t xml:space="preserve"> </w:t>
      </w:r>
    </w:p>
    <w:p w14:paraId="19CE37E4" w14:textId="38D91E1D" w:rsidR="00AA7248" w:rsidRPr="00820C89" w:rsidRDefault="00AA7248" w:rsidP="00AA7248">
      <w:r w:rsidRPr="00820C89">
        <w:fldChar w:fldCharType="begin"/>
      </w:r>
      <w:r w:rsidRPr="00820C89">
        <w:instrText xml:space="preserve"> REF _Ref35495254 \r \h </w:instrText>
      </w:r>
      <w:r w:rsidR="00820C89">
        <w:instrText xml:space="preserve"> \* MERGEFORMAT </w:instrText>
      </w:r>
      <w:r w:rsidRPr="00820C89">
        <w:fldChar w:fldCharType="separate"/>
      </w:r>
      <w:r w:rsidR="008565C8">
        <w:t>Table A.2</w:t>
      </w:r>
      <w:r w:rsidRPr="00820C89">
        <w:fldChar w:fldCharType="end"/>
      </w:r>
      <w:r w:rsidRPr="00820C89">
        <w:t xml:space="preserve"> below summarises the findings of the research on Indigenous perspectives of the barriers, impact and enabling factors within design and implementation aspects of IEPs. </w:t>
      </w:r>
    </w:p>
    <w:p w14:paraId="1742DEB4" w14:textId="77777777" w:rsidR="00AA7248" w:rsidRPr="00820C89" w:rsidRDefault="00AA7248" w:rsidP="00AA7248">
      <w:pPr>
        <w:pStyle w:val="ListBullet"/>
        <w:numPr>
          <w:ilvl w:val="0"/>
          <w:numId w:val="0"/>
        </w:numPr>
      </w:pPr>
      <w:r w:rsidRPr="00820C89">
        <w:t xml:space="preserve">An important reflection on employee perspectives is that the effectiveness of an employment program relies on cultural inclusion from the job identification stage, all the way through to recruitment, training and retention. There are many steps in the employment process that rely on an individual feeling welcome and able to participate, as well as recognising where employment opportunities can meet individual aspirations. Further, employment programs should recognise the array of intersecting factors that present barriers to employment for individuals, and seek to holistically redress these challenges. </w:t>
      </w:r>
    </w:p>
    <w:p w14:paraId="7B664DB1" w14:textId="77777777" w:rsidR="00AA7248" w:rsidRPr="00820C89" w:rsidRDefault="00AA7248" w:rsidP="00AA7248">
      <w:pPr>
        <w:pStyle w:val="ListBullet"/>
        <w:numPr>
          <w:ilvl w:val="0"/>
          <w:numId w:val="0"/>
        </w:numPr>
      </w:pPr>
    </w:p>
    <w:p w14:paraId="1EBF893F" w14:textId="77777777" w:rsidR="00AA7248" w:rsidRPr="00820C89" w:rsidRDefault="00AA7248" w:rsidP="00AA7248">
      <w:pPr>
        <w:pStyle w:val="ListBullet"/>
        <w:numPr>
          <w:ilvl w:val="0"/>
          <w:numId w:val="0"/>
        </w:numPr>
      </w:pPr>
    </w:p>
    <w:p w14:paraId="3500F8CC" w14:textId="77777777" w:rsidR="00AA7248" w:rsidRPr="00820C89" w:rsidRDefault="00AA7248" w:rsidP="00AA7248">
      <w:pPr>
        <w:pStyle w:val="ListBullet"/>
        <w:numPr>
          <w:ilvl w:val="0"/>
          <w:numId w:val="0"/>
        </w:numPr>
        <w:sectPr w:rsidR="00AA7248" w:rsidRPr="00820C89" w:rsidSect="00494038">
          <w:pgSz w:w="11906" w:h="16838" w:code="9"/>
          <w:pgMar w:top="1985" w:right="1983" w:bottom="1134" w:left="680" w:header="680" w:footer="425" w:gutter="0"/>
          <w:cols w:space="284"/>
          <w:noEndnote/>
          <w:docGrid w:linePitch="360"/>
        </w:sectPr>
      </w:pPr>
    </w:p>
    <w:p w14:paraId="01558BD2" w14:textId="77777777" w:rsidR="00AA7248" w:rsidRPr="00820C89" w:rsidRDefault="00AA7248" w:rsidP="00AA7248"/>
    <w:p w14:paraId="49E1A55F" w14:textId="77777777" w:rsidR="00AA7248" w:rsidRPr="00820C89" w:rsidRDefault="00AA7248" w:rsidP="00715F70">
      <w:pPr>
        <w:pStyle w:val="AppendixTableCaption"/>
        <w:outlineLvl w:val="3"/>
      </w:pPr>
      <w:bookmarkStart w:id="204" w:name="_Ref35495254"/>
      <w:r w:rsidRPr="00820C89">
        <w:t>:</w:t>
      </w:r>
      <w:bookmarkEnd w:id="204"/>
      <w:r w:rsidRPr="00820C89">
        <w:t xml:space="preserve"> Summary of research pertaining to Indigenous Australian perspectives on employment programs</w:t>
      </w:r>
    </w:p>
    <w:tbl>
      <w:tblPr>
        <w:tblStyle w:val="Deloittetable"/>
        <w:tblW w:w="0" w:type="auto"/>
        <w:tblLook w:val="04A0" w:firstRow="1" w:lastRow="0" w:firstColumn="1" w:lastColumn="0" w:noHBand="0" w:noVBand="1"/>
      </w:tblPr>
      <w:tblGrid>
        <w:gridCol w:w="1293"/>
        <w:gridCol w:w="7061"/>
        <w:gridCol w:w="4961"/>
      </w:tblGrid>
      <w:tr w:rsidR="00AA7248" w:rsidRPr="00820C89" w14:paraId="62A40B28" w14:textId="77777777" w:rsidTr="00087C85">
        <w:trPr>
          <w:cnfStyle w:val="100000000000" w:firstRow="1" w:lastRow="0" w:firstColumn="0" w:lastColumn="0" w:oddVBand="0" w:evenVBand="0" w:oddHBand="0" w:evenHBand="0" w:firstRowFirstColumn="0" w:firstRowLastColumn="0" w:lastRowFirstColumn="0" w:lastRowLastColumn="0"/>
          <w:tblHeader/>
        </w:trPr>
        <w:tc>
          <w:tcPr>
            <w:tcW w:w="0" w:type="dxa"/>
          </w:tcPr>
          <w:p w14:paraId="7091FC2F" w14:textId="77777777" w:rsidR="00AA7248" w:rsidRPr="00820C89" w:rsidRDefault="00AA7248" w:rsidP="00494038">
            <w:pPr>
              <w:rPr>
                <w:b/>
                <w:bCs/>
              </w:rPr>
            </w:pPr>
            <w:r w:rsidRPr="00820C89">
              <w:rPr>
                <w:b/>
                <w:bCs/>
              </w:rPr>
              <w:t xml:space="preserve">Aspect  </w:t>
            </w:r>
          </w:p>
        </w:tc>
        <w:tc>
          <w:tcPr>
            <w:tcW w:w="7061" w:type="dxa"/>
          </w:tcPr>
          <w:p w14:paraId="2B84981A" w14:textId="77777777" w:rsidR="00AA7248" w:rsidRPr="00820C89" w:rsidRDefault="00AA7248" w:rsidP="00494038">
            <w:pPr>
              <w:rPr>
                <w:b/>
                <w:bCs/>
              </w:rPr>
            </w:pPr>
            <w:r w:rsidRPr="00820C89">
              <w:rPr>
                <w:b/>
                <w:bCs/>
              </w:rPr>
              <w:t>Barrier(s) and impact(s)</w:t>
            </w:r>
          </w:p>
        </w:tc>
        <w:tc>
          <w:tcPr>
            <w:tcW w:w="4961" w:type="dxa"/>
          </w:tcPr>
          <w:p w14:paraId="18CBEF32" w14:textId="77777777" w:rsidR="00AA7248" w:rsidRPr="00820C89" w:rsidRDefault="00AA7248" w:rsidP="00494038">
            <w:pPr>
              <w:rPr>
                <w:b/>
                <w:bCs/>
              </w:rPr>
            </w:pPr>
            <w:r w:rsidRPr="00820C89">
              <w:rPr>
                <w:b/>
                <w:bCs/>
              </w:rPr>
              <w:t xml:space="preserve">Enabling program factor(s) </w:t>
            </w:r>
          </w:p>
        </w:tc>
      </w:tr>
      <w:tr w:rsidR="00AA7248" w:rsidRPr="00820C89" w14:paraId="323C62C2" w14:textId="77777777" w:rsidTr="00494038">
        <w:trPr>
          <w:trHeight w:val="3815"/>
        </w:trPr>
        <w:tc>
          <w:tcPr>
            <w:tcW w:w="0" w:type="dxa"/>
          </w:tcPr>
          <w:p w14:paraId="4A4CEE00" w14:textId="77777777" w:rsidR="00AA7248" w:rsidRPr="00820C89" w:rsidRDefault="00AA7248" w:rsidP="00494038">
            <w:pPr>
              <w:rPr>
                <w:b/>
                <w:bCs/>
              </w:rPr>
            </w:pPr>
            <w:r w:rsidRPr="00820C89">
              <w:rPr>
                <w:b/>
                <w:bCs/>
              </w:rPr>
              <w:t xml:space="preserve">Recruitment </w:t>
            </w:r>
          </w:p>
        </w:tc>
        <w:tc>
          <w:tcPr>
            <w:tcW w:w="7061" w:type="dxa"/>
          </w:tcPr>
          <w:p w14:paraId="04534222" w14:textId="77777777" w:rsidR="00AA7248" w:rsidRPr="00820C89" w:rsidRDefault="00AA7248" w:rsidP="00494038">
            <w:r w:rsidRPr="00820C89">
              <w:t>Indigenous jobseekers may find/have:</w:t>
            </w:r>
          </w:p>
          <w:p w14:paraId="091CB473" w14:textId="77777777" w:rsidR="00AA7248" w:rsidRPr="00820C89" w:rsidRDefault="00AA7248" w:rsidP="00494038">
            <w:pPr>
              <w:pStyle w:val="ListBullet"/>
              <w:spacing w:before="60" w:after="60"/>
              <w:contextualSpacing w:val="0"/>
            </w:pPr>
            <w:r w:rsidRPr="00820C89">
              <w:t>‘mainstream’ recruitment processes, including advertising, formal interviews, questionnaires</w:t>
            </w:r>
          </w:p>
          <w:p w14:paraId="2D4345B1" w14:textId="77777777" w:rsidR="00AA7248" w:rsidRPr="00820C89" w:rsidRDefault="00AA7248" w:rsidP="00494038">
            <w:pPr>
              <w:pStyle w:val="ListBullet"/>
              <w:spacing w:before="60" w:after="60"/>
              <w:contextualSpacing w:val="0"/>
            </w:pPr>
            <w:r w:rsidRPr="00820C89">
              <w:t>limited cultural capital to support the process and build ‘know-how’ and skillset</w:t>
            </w:r>
          </w:p>
          <w:p w14:paraId="08D56DB2" w14:textId="77777777" w:rsidR="00AA7248" w:rsidRPr="00820C89" w:rsidRDefault="00AA7248" w:rsidP="00494038">
            <w:pPr>
              <w:pStyle w:val="ListBullet"/>
              <w:spacing w:before="60" w:after="60"/>
              <w:contextualSpacing w:val="0"/>
            </w:pPr>
            <w:r w:rsidRPr="00820C89">
              <w:t xml:space="preserve">multiple, intersecting wellbeing, health, education, family and financial factors (listed above) </w:t>
            </w:r>
          </w:p>
          <w:p w14:paraId="7EDE09B2" w14:textId="77777777" w:rsidR="00AA7248" w:rsidRPr="00820C89" w:rsidRDefault="00AA7248" w:rsidP="00494038">
            <w:pPr>
              <w:pStyle w:val="ListBullet"/>
              <w:numPr>
                <w:ilvl w:val="0"/>
                <w:numId w:val="0"/>
              </w:numPr>
              <w:ind w:left="340" w:hanging="340"/>
            </w:pPr>
          </w:p>
          <w:p w14:paraId="2726EF2C" w14:textId="77777777" w:rsidR="00AA7248" w:rsidRPr="00820C89" w:rsidRDefault="00AA7248" w:rsidP="00494038">
            <w:pPr>
              <w:pStyle w:val="ListBullet"/>
              <w:numPr>
                <w:ilvl w:val="0"/>
                <w:numId w:val="0"/>
              </w:numPr>
              <w:ind w:left="340" w:hanging="340"/>
            </w:pPr>
            <w:r w:rsidRPr="00820C89">
              <w:t xml:space="preserve">These may lead Indigenous jobseekers to: </w:t>
            </w:r>
          </w:p>
          <w:p w14:paraId="1BB2280E" w14:textId="77777777" w:rsidR="00AA7248" w:rsidRPr="00820C89" w:rsidRDefault="00AA7248" w:rsidP="00494038">
            <w:pPr>
              <w:pStyle w:val="ListBullet"/>
              <w:spacing w:before="60" w:after="60"/>
              <w:contextualSpacing w:val="0"/>
            </w:pPr>
            <w:r w:rsidRPr="00820C89">
              <w:t>not understand the process, how to commence or how to access assistance</w:t>
            </w:r>
          </w:p>
          <w:p w14:paraId="1CB755FD" w14:textId="77777777" w:rsidR="00AA7248" w:rsidRPr="00820C89" w:rsidRDefault="00AA7248" w:rsidP="00494038">
            <w:pPr>
              <w:pStyle w:val="ListBullet"/>
              <w:spacing w:before="60" w:after="60"/>
              <w:contextualSpacing w:val="0"/>
            </w:pPr>
            <w:r w:rsidRPr="00820C89">
              <w:t xml:space="preserve">not have continued support to assist in the process </w:t>
            </w:r>
          </w:p>
          <w:p w14:paraId="406A8787" w14:textId="77777777" w:rsidR="00AA7248" w:rsidRPr="00820C89" w:rsidRDefault="00AA7248" w:rsidP="00494038">
            <w:pPr>
              <w:pStyle w:val="ListBullet"/>
              <w:spacing w:before="60" w:after="60"/>
              <w:contextualSpacing w:val="0"/>
            </w:pPr>
            <w:r w:rsidRPr="00820C89">
              <w:t>feel unconfident and uncomfortable with a formal ‘mainstream’ process</w:t>
            </w:r>
          </w:p>
          <w:p w14:paraId="51DE1DDC" w14:textId="77777777" w:rsidR="00AA7248" w:rsidRPr="00820C89" w:rsidRDefault="00AA7248" w:rsidP="00494038">
            <w:pPr>
              <w:pStyle w:val="ListBullet"/>
              <w:spacing w:before="60" w:after="60"/>
              <w:contextualSpacing w:val="0"/>
            </w:pPr>
            <w:r w:rsidRPr="00820C89">
              <w:t>not respond to the ‘mainstream’ job advertisements</w:t>
            </w:r>
          </w:p>
        </w:tc>
        <w:tc>
          <w:tcPr>
            <w:tcW w:w="4961" w:type="dxa"/>
          </w:tcPr>
          <w:p w14:paraId="512C5644" w14:textId="77777777" w:rsidR="00AA7248" w:rsidRPr="00820C89" w:rsidRDefault="00AA7248" w:rsidP="00494038">
            <w:r w:rsidRPr="00820C89">
              <w:t xml:space="preserve">Culturally appropriate recruitment techniques, such as approaching Indigenous community representatives or organisations to explore effective advertisement avenues are considered effective. </w:t>
            </w:r>
          </w:p>
          <w:p w14:paraId="2CF64446" w14:textId="77777777" w:rsidR="00AA7248" w:rsidRPr="00820C89" w:rsidRDefault="00AA7248" w:rsidP="00494038">
            <w:r w:rsidRPr="00820C89">
              <w:t>The provision of hands on support for prospective Indigenous employees enables more personalised support, especially compared to the circulation of written information.</w:t>
            </w:r>
          </w:p>
          <w:p w14:paraId="7EA5F589" w14:textId="77777777" w:rsidR="00AA7248" w:rsidRPr="00820C89" w:rsidRDefault="00AA7248" w:rsidP="00494038">
            <w:r w:rsidRPr="00820C89">
              <w:t xml:space="preserve">Employer cultural awareness training can help employers improve their recruitment processes, ensuring flexibility processes that are culturally sensitive and appropriate. </w:t>
            </w:r>
          </w:p>
          <w:p w14:paraId="3FC98D3E" w14:textId="77777777" w:rsidR="00AA7248" w:rsidRPr="00820C89" w:rsidRDefault="00AA7248" w:rsidP="00494038">
            <w:pPr>
              <w:ind w:left="0"/>
            </w:pPr>
          </w:p>
        </w:tc>
      </w:tr>
      <w:tr w:rsidR="00AA7248" w:rsidRPr="00820C89" w14:paraId="6097A550" w14:textId="77777777" w:rsidTr="00494038">
        <w:tc>
          <w:tcPr>
            <w:tcW w:w="0" w:type="dxa"/>
          </w:tcPr>
          <w:p w14:paraId="51A58125" w14:textId="77777777" w:rsidR="00AA7248" w:rsidRPr="00820C89" w:rsidRDefault="00AA7248" w:rsidP="00494038">
            <w:pPr>
              <w:rPr>
                <w:b/>
                <w:bCs/>
              </w:rPr>
            </w:pPr>
            <w:r w:rsidRPr="00820C89">
              <w:rPr>
                <w:b/>
                <w:bCs/>
              </w:rPr>
              <w:t xml:space="preserve">Training programs  </w:t>
            </w:r>
          </w:p>
        </w:tc>
        <w:tc>
          <w:tcPr>
            <w:tcW w:w="7061" w:type="dxa"/>
          </w:tcPr>
          <w:p w14:paraId="55584C05" w14:textId="77777777" w:rsidR="00AA7248" w:rsidRPr="00820C89" w:rsidRDefault="00AA7248" w:rsidP="00494038">
            <w:r w:rsidRPr="00820C89">
              <w:t>Indigenous jobseeker may perceive pre-employment training as irrelevant to their jobs.</w:t>
            </w:r>
          </w:p>
          <w:p w14:paraId="37694504" w14:textId="77777777" w:rsidR="00AA7248" w:rsidRPr="00820C89" w:rsidRDefault="00AA7248" w:rsidP="00494038">
            <w:pPr>
              <w:pStyle w:val="ListBullet"/>
              <w:numPr>
                <w:ilvl w:val="0"/>
                <w:numId w:val="0"/>
              </w:numPr>
            </w:pPr>
            <w:r w:rsidRPr="00820C89">
              <w:t>As such, Indigenous jobseekers may:</w:t>
            </w:r>
          </w:p>
          <w:p w14:paraId="5C898531" w14:textId="77777777" w:rsidR="00AA7248" w:rsidRPr="00820C89" w:rsidRDefault="00AA7248" w:rsidP="00494038">
            <w:pPr>
              <w:pStyle w:val="ListBullet"/>
              <w:spacing w:before="60" w:after="60"/>
              <w:contextualSpacing w:val="0"/>
            </w:pPr>
            <w:r w:rsidRPr="00820C89">
              <w:t xml:space="preserve">perceive pre-employment training as futile as it does not necessarily translate into work </w:t>
            </w:r>
          </w:p>
          <w:p w14:paraId="22C7815E" w14:textId="77777777" w:rsidR="00AA7248" w:rsidRPr="00820C89" w:rsidRDefault="00AA7248" w:rsidP="00494038">
            <w:pPr>
              <w:pStyle w:val="ListBullet"/>
              <w:spacing w:before="60" w:after="60"/>
              <w:contextualSpacing w:val="0"/>
            </w:pPr>
            <w:r w:rsidRPr="00820C89">
              <w:t>experience a sense of hopelessness, as even with several certificates (such as forklift licence, aged care certificates) participants remain unemployed</w:t>
            </w:r>
          </w:p>
        </w:tc>
        <w:tc>
          <w:tcPr>
            <w:tcW w:w="4961" w:type="dxa"/>
          </w:tcPr>
          <w:p w14:paraId="5ABAC172" w14:textId="77777777" w:rsidR="00AA7248" w:rsidRPr="00820C89" w:rsidRDefault="00AA7248" w:rsidP="00494038">
            <w:pPr>
              <w:pStyle w:val="ListBullet"/>
              <w:numPr>
                <w:ilvl w:val="0"/>
                <w:numId w:val="0"/>
              </w:numPr>
            </w:pPr>
            <w:r w:rsidRPr="00820C89">
              <w:t xml:space="preserve">Traineeships are more job-specific and career progression opportunities are clearer and linked to the program. </w:t>
            </w:r>
          </w:p>
          <w:p w14:paraId="499C2B7F" w14:textId="77777777" w:rsidR="00AA7248" w:rsidRPr="00820C89" w:rsidRDefault="00AA7248" w:rsidP="00494038">
            <w:pPr>
              <w:pStyle w:val="ListBullet"/>
              <w:numPr>
                <w:ilvl w:val="0"/>
                <w:numId w:val="0"/>
              </w:numPr>
            </w:pPr>
            <w:r w:rsidRPr="00820C89">
              <w:t xml:space="preserve">Training opportunities are more effective when linked to individual aspirations and real job opportunities. </w:t>
            </w:r>
          </w:p>
          <w:p w14:paraId="073D955C" w14:textId="77777777" w:rsidR="00AA7248" w:rsidRPr="00820C89" w:rsidRDefault="00AA7248" w:rsidP="00494038">
            <w:pPr>
              <w:pStyle w:val="ListBullet"/>
              <w:numPr>
                <w:ilvl w:val="0"/>
                <w:numId w:val="0"/>
              </w:numPr>
            </w:pPr>
            <w:r w:rsidRPr="00820C89">
              <w:t xml:space="preserve">Training opportunities that offer wages can build employability and confidence in participants. </w:t>
            </w:r>
          </w:p>
        </w:tc>
      </w:tr>
      <w:tr w:rsidR="00AA7248" w:rsidRPr="00820C89" w14:paraId="1AE12A6B" w14:textId="77777777" w:rsidTr="00494038">
        <w:tc>
          <w:tcPr>
            <w:tcW w:w="0" w:type="dxa"/>
          </w:tcPr>
          <w:p w14:paraId="34ADE56D" w14:textId="77777777" w:rsidR="00AA7248" w:rsidRPr="00820C89" w:rsidRDefault="00AA7248" w:rsidP="00494038">
            <w:pPr>
              <w:rPr>
                <w:b/>
                <w:bCs/>
              </w:rPr>
            </w:pPr>
            <w:r w:rsidRPr="00820C89">
              <w:rPr>
                <w:b/>
                <w:bCs/>
              </w:rPr>
              <w:t xml:space="preserve">Retention  </w:t>
            </w:r>
          </w:p>
        </w:tc>
        <w:tc>
          <w:tcPr>
            <w:tcW w:w="7061" w:type="dxa"/>
          </w:tcPr>
          <w:p w14:paraId="0E4747A4" w14:textId="77777777" w:rsidR="00AA7248" w:rsidRPr="00820C89" w:rsidRDefault="00AA7248" w:rsidP="00494038">
            <w:r w:rsidRPr="00820C89">
              <w:t>Indigenous employees may face:</w:t>
            </w:r>
          </w:p>
          <w:p w14:paraId="5F94052A" w14:textId="77777777" w:rsidR="00AA7248" w:rsidRPr="00820C89" w:rsidRDefault="00AA7248" w:rsidP="00494038">
            <w:pPr>
              <w:pStyle w:val="ListBullet"/>
              <w:spacing w:before="60" w:after="60"/>
              <w:contextualSpacing w:val="0"/>
            </w:pPr>
            <w:r w:rsidRPr="00820C89">
              <w:t>persisting and intersecting social, cultural, family, health and wellbeing and financial factors (listed above)</w:t>
            </w:r>
          </w:p>
          <w:p w14:paraId="4C970B00" w14:textId="77777777" w:rsidR="00AA7248" w:rsidRPr="00820C89" w:rsidRDefault="00AA7248" w:rsidP="00494038">
            <w:pPr>
              <w:pStyle w:val="ListBullet"/>
              <w:spacing w:before="60" w:after="60"/>
              <w:contextualSpacing w:val="0"/>
            </w:pPr>
            <w:r w:rsidRPr="00820C89">
              <w:t xml:space="preserve">explicit and implicit forms of racism, prejudice and discrimination </w:t>
            </w:r>
          </w:p>
          <w:p w14:paraId="598DEAAC" w14:textId="77777777" w:rsidR="00AA7248" w:rsidRPr="00820C89" w:rsidRDefault="00AA7248" w:rsidP="00494038">
            <w:pPr>
              <w:pStyle w:val="ListBullet"/>
              <w:spacing w:before="60" w:after="60"/>
              <w:contextualSpacing w:val="0"/>
            </w:pPr>
            <w:r w:rsidRPr="00820C89">
              <w:lastRenderedPageBreak/>
              <w:t xml:space="preserve">managers and non-Indigenous employees with a lack of understanding and tolerance for cultural, family and social responsibilities and expectations </w:t>
            </w:r>
          </w:p>
          <w:p w14:paraId="3470A300" w14:textId="77777777" w:rsidR="00AA7248" w:rsidRPr="00820C89" w:rsidRDefault="00AA7248" w:rsidP="00494038">
            <w:pPr>
              <w:pStyle w:val="ListBullet"/>
              <w:spacing w:before="60" w:after="60"/>
              <w:contextualSpacing w:val="0"/>
            </w:pPr>
            <w:r w:rsidRPr="00820C89">
              <w:t>a sense of isolation, particularly if there are few Indigenous employees</w:t>
            </w:r>
          </w:p>
          <w:p w14:paraId="6029FAA9" w14:textId="77777777" w:rsidR="00AA7248" w:rsidRPr="00820C89" w:rsidRDefault="00AA7248" w:rsidP="00494038">
            <w:pPr>
              <w:pStyle w:val="ListBullet"/>
              <w:numPr>
                <w:ilvl w:val="0"/>
                <w:numId w:val="0"/>
              </w:numPr>
            </w:pPr>
            <w:r w:rsidRPr="00820C89">
              <w:t>As a result, Indigenous employees may:</w:t>
            </w:r>
          </w:p>
          <w:p w14:paraId="4582000F" w14:textId="77777777" w:rsidR="00AA7248" w:rsidRPr="00820C89" w:rsidRDefault="00AA7248" w:rsidP="00494038">
            <w:pPr>
              <w:pStyle w:val="ListBullet"/>
              <w:spacing w:before="60" w:after="60"/>
              <w:contextualSpacing w:val="0"/>
            </w:pPr>
            <w:r w:rsidRPr="00820C89">
              <w:t xml:space="preserve">feel disconnected from the workplace and community </w:t>
            </w:r>
          </w:p>
          <w:p w14:paraId="2749110C" w14:textId="77777777" w:rsidR="00AA7248" w:rsidRPr="00820C89" w:rsidRDefault="00AA7248" w:rsidP="00494038">
            <w:pPr>
              <w:pStyle w:val="ListBullet"/>
              <w:spacing w:before="60" w:after="60"/>
              <w:contextualSpacing w:val="0"/>
            </w:pPr>
            <w:r w:rsidRPr="00820C89">
              <w:t xml:space="preserve">be less motivated to express challenges and issues </w:t>
            </w:r>
          </w:p>
        </w:tc>
        <w:tc>
          <w:tcPr>
            <w:tcW w:w="4961" w:type="dxa"/>
          </w:tcPr>
          <w:p w14:paraId="391FCBC8" w14:textId="77777777" w:rsidR="00AA7248" w:rsidRPr="00820C89" w:rsidRDefault="00AA7248" w:rsidP="00494038">
            <w:pPr>
              <w:pStyle w:val="ListBullet"/>
              <w:numPr>
                <w:ilvl w:val="0"/>
                <w:numId w:val="0"/>
              </w:numPr>
            </w:pPr>
            <w:r w:rsidRPr="00820C89">
              <w:lastRenderedPageBreak/>
              <w:t>The following factors assist in enhancing Indigenous employee retention:</w:t>
            </w:r>
          </w:p>
          <w:p w14:paraId="13D98A01" w14:textId="77777777" w:rsidR="00AA7248" w:rsidRPr="00820C89" w:rsidRDefault="00AA7248" w:rsidP="00494038">
            <w:pPr>
              <w:pStyle w:val="ListBullet"/>
              <w:spacing w:before="60" w:after="60"/>
              <w:contextualSpacing w:val="0"/>
            </w:pPr>
            <w:r w:rsidRPr="00820C89">
              <w:t xml:space="preserve">organisation connection to local community </w:t>
            </w:r>
          </w:p>
          <w:p w14:paraId="1B9013BE" w14:textId="77777777" w:rsidR="00AA7248" w:rsidRPr="00820C89" w:rsidRDefault="00AA7248" w:rsidP="00494038">
            <w:pPr>
              <w:pStyle w:val="ListBullet"/>
              <w:spacing w:before="60" w:after="60"/>
              <w:contextualSpacing w:val="0"/>
            </w:pPr>
            <w:r w:rsidRPr="00820C89">
              <w:t xml:space="preserve">building relationships with Indigenous locals </w:t>
            </w:r>
          </w:p>
          <w:p w14:paraId="01522F87" w14:textId="77777777" w:rsidR="00AA7248" w:rsidRPr="00820C89" w:rsidRDefault="00AA7248" w:rsidP="00494038">
            <w:pPr>
              <w:pStyle w:val="ListBullet"/>
              <w:spacing w:before="60" w:after="60"/>
              <w:contextualSpacing w:val="0"/>
            </w:pPr>
            <w:r w:rsidRPr="00820C89">
              <w:lastRenderedPageBreak/>
              <w:t>cultural awareness training for employers, delivered by an Indigenous person or organisation</w:t>
            </w:r>
          </w:p>
          <w:p w14:paraId="48F5F6CE" w14:textId="77777777" w:rsidR="00AA7248" w:rsidRPr="00820C89" w:rsidRDefault="00AA7248" w:rsidP="00494038">
            <w:pPr>
              <w:pStyle w:val="ListBullet"/>
              <w:spacing w:before="60" w:after="60"/>
              <w:contextualSpacing w:val="0"/>
            </w:pPr>
            <w:r w:rsidRPr="00820C89">
              <w:t xml:space="preserve">mentoring programs, particularly those with Indigenous mentors who have a deep and sensitive understanding of cultural norms and how to navigate workplace norms </w:t>
            </w:r>
          </w:p>
          <w:p w14:paraId="1F0A0F7C" w14:textId="77777777" w:rsidR="00AA7248" w:rsidRPr="00820C89" w:rsidRDefault="00AA7248" w:rsidP="00494038">
            <w:pPr>
              <w:pStyle w:val="ListBullet"/>
              <w:spacing w:before="60" w:after="60"/>
              <w:contextualSpacing w:val="0"/>
            </w:pPr>
            <w:r w:rsidRPr="00820C89">
              <w:t xml:space="preserve">Provision of opportunities for career development and progression </w:t>
            </w:r>
          </w:p>
          <w:p w14:paraId="6000D466" w14:textId="77777777" w:rsidR="00AA7248" w:rsidRPr="00820C89" w:rsidRDefault="00AA7248" w:rsidP="00494038">
            <w:pPr>
              <w:pStyle w:val="ListBullet"/>
              <w:spacing w:before="60" w:after="60"/>
              <w:contextualSpacing w:val="0"/>
            </w:pPr>
            <w:r w:rsidRPr="00820C89">
              <w:t xml:space="preserve">Provision of flexible working arrangements, such as working from home, job sharing and flexible leave options </w:t>
            </w:r>
          </w:p>
        </w:tc>
      </w:tr>
    </w:tbl>
    <w:p w14:paraId="4B250AC9" w14:textId="77777777" w:rsidR="00AA7248" w:rsidRPr="00820C89" w:rsidRDefault="00AA7248" w:rsidP="00AA7248">
      <w:pPr>
        <w:pStyle w:val="Source"/>
        <w:sectPr w:rsidR="00AA7248" w:rsidRPr="00820C89" w:rsidSect="00494038">
          <w:pgSz w:w="16838" w:h="11906" w:orient="landscape" w:code="9"/>
          <w:pgMar w:top="680" w:right="1985" w:bottom="1983" w:left="1134" w:header="680" w:footer="425" w:gutter="0"/>
          <w:cols w:space="284"/>
          <w:noEndnote/>
          <w:docGrid w:linePitch="360"/>
        </w:sectPr>
      </w:pPr>
      <w:r w:rsidRPr="00820C89">
        <w:lastRenderedPageBreak/>
        <w:t>Source:  Constable (2009); Gray, Hunter and Lohoar (2012); GenerationOne (2011).</w:t>
      </w:r>
    </w:p>
    <w:p w14:paraId="671B9889" w14:textId="77777777" w:rsidR="00AA7248" w:rsidRPr="00820C89" w:rsidRDefault="00AA7248" w:rsidP="00F17A97">
      <w:pPr>
        <w:pStyle w:val="Appendixhead3"/>
      </w:pPr>
      <w:bookmarkStart w:id="205" w:name="_Toc57053509"/>
      <w:r w:rsidRPr="00820C89">
        <w:lastRenderedPageBreak/>
        <w:t>Key learnings from the perspective of employers</w:t>
      </w:r>
      <w:bookmarkEnd w:id="205"/>
      <w:r w:rsidRPr="00820C89">
        <w:t xml:space="preserve"> </w:t>
      </w:r>
    </w:p>
    <w:p w14:paraId="28B79F9B" w14:textId="4AFDC839" w:rsidR="00AA7248" w:rsidRPr="00820C89" w:rsidRDefault="00AA7248" w:rsidP="00AA7248">
      <w:r w:rsidRPr="00820C89">
        <w:fldChar w:fldCharType="begin"/>
      </w:r>
      <w:r w:rsidRPr="00820C89">
        <w:instrText xml:space="preserve"> REF _Ref36282574 \r \h  \* MERGEFORMAT </w:instrText>
      </w:r>
      <w:r w:rsidRPr="00820C89">
        <w:fldChar w:fldCharType="separate"/>
      </w:r>
      <w:r w:rsidR="008565C8">
        <w:t>Table A.3</w:t>
      </w:r>
      <w:r w:rsidRPr="00820C89">
        <w:fldChar w:fldCharType="end"/>
      </w:r>
      <w:r w:rsidRPr="00820C89">
        <w:t xml:space="preserve"> summarises the findings of the research on employer perspectives of the barriers, impact and enabling factors within design and implementation aspects of IEPs. </w:t>
      </w:r>
    </w:p>
    <w:p w14:paraId="2772BD00" w14:textId="77777777" w:rsidR="00AA7248" w:rsidRPr="00820C89" w:rsidRDefault="00AA7248" w:rsidP="00AA7248">
      <w:r w:rsidRPr="00820C89">
        <w:t>An important reflection on employer perspectives is the emphasis on the deficiencies of individual Indigenous job seekers.</w:t>
      </w:r>
      <w:r w:rsidRPr="00820C89">
        <w:rPr>
          <w:rStyle w:val="FootnoteReference"/>
        </w:rPr>
        <w:footnoteReference w:id="165"/>
      </w:r>
      <w:r w:rsidRPr="00820C89">
        <w:t xml:space="preserve"> This deficit-based view of Indigenous employees generates assumptions about individual agency rather than the influence of group and community agency and also fails to acknowledge the employer and industry related barriers or deficiencies that prevent Indigenous employment.</w:t>
      </w:r>
      <w:r w:rsidRPr="00820C89">
        <w:rPr>
          <w:rStyle w:val="FootnoteReference"/>
        </w:rPr>
        <w:footnoteReference w:id="166"/>
      </w:r>
      <w:r w:rsidRPr="00820C89">
        <w:t xml:space="preserve"> </w:t>
      </w:r>
    </w:p>
    <w:p w14:paraId="77C96B9C" w14:textId="77777777" w:rsidR="00AA7248" w:rsidRPr="00820C89" w:rsidRDefault="00AA7248" w:rsidP="00715F70">
      <w:pPr>
        <w:pStyle w:val="AppendixTableCaption"/>
        <w:outlineLvl w:val="3"/>
      </w:pPr>
      <w:bookmarkStart w:id="206" w:name="_Ref35495280"/>
      <w:bookmarkStart w:id="207" w:name="_Ref36282574"/>
      <w:r w:rsidRPr="00820C89">
        <w:t>: Summary of research pertaining to the perspectives of employers</w:t>
      </w:r>
      <w:bookmarkEnd w:id="206"/>
      <w:bookmarkEnd w:id="207"/>
      <w:r w:rsidRPr="00820C89">
        <w:t xml:space="preserve"> of IEPs</w:t>
      </w:r>
    </w:p>
    <w:tbl>
      <w:tblPr>
        <w:tblStyle w:val="Deloittetable"/>
        <w:tblW w:w="9639" w:type="dxa"/>
        <w:tblLook w:val="04A0" w:firstRow="1" w:lastRow="0" w:firstColumn="1" w:lastColumn="0" w:noHBand="0" w:noVBand="1"/>
      </w:tblPr>
      <w:tblGrid>
        <w:gridCol w:w="1330"/>
        <w:gridCol w:w="3915"/>
        <w:gridCol w:w="4394"/>
      </w:tblGrid>
      <w:tr w:rsidR="00AA7248" w:rsidRPr="00820C89" w14:paraId="6717D4FC" w14:textId="77777777" w:rsidTr="00087C85">
        <w:trPr>
          <w:cnfStyle w:val="100000000000" w:firstRow="1" w:lastRow="0" w:firstColumn="0" w:lastColumn="0" w:oddVBand="0" w:evenVBand="0" w:oddHBand="0" w:evenHBand="0" w:firstRowFirstColumn="0" w:firstRowLastColumn="0" w:lastRowFirstColumn="0" w:lastRowLastColumn="0"/>
          <w:trHeight w:val="303"/>
          <w:tblHeader/>
        </w:trPr>
        <w:tc>
          <w:tcPr>
            <w:tcW w:w="1330" w:type="dxa"/>
          </w:tcPr>
          <w:p w14:paraId="05322BDF" w14:textId="77777777" w:rsidR="00AA7248" w:rsidRPr="00820C89" w:rsidRDefault="00AA7248" w:rsidP="00494038">
            <w:pPr>
              <w:rPr>
                <w:b/>
                <w:bCs/>
              </w:rPr>
            </w:pPr>
            <w:r w:rsidRPr="00820C89">
              <w:rPr>
                <w:b/>
                <w:bCs/>
              </w:rPr>
              <w:t xml:space="preserve">Aspect  </w:t>
            </w:r>
          </w:p>
        </w:tc>
        <w:tc>
          <w:tcPr>
            <w:tcW w:w="3915" w:type="dxa"/>
          </w:tcPr>
          <w:p w14:paraId="70C9C893" w14:textId="77777777" w:rsidR="00AA7248" w:rsidRPr="00820C89" w:rsidRDefault="00AA7248" w:rsidP="00494038">
            <w:pPr>
              <w:rPr>
                <w:b/>
                <w:bCs/>
              </w:rPr>
            </w:pPr>
            <w:r w:rsidRPr="00820C89">
              <w:rPr>
                <w:b/>
                <w:bCs/>
              </w:rPr>
              <w:t xml:space="preserve">Barrier(s) </w:t>
            </w:r>
          </w:p>
        </w:tc>
        <w:tc>
          <w:tcPr>
            <w:tcW w:w="4394" w:type="dxa"/>
          </w:tcPr>
          <w:p w14:paraId="0820A2F2" w14:textId="77777777" w:rsidR="00AA7248" w:rsidRPr="00820C89" w:rsidRDefault="00AA7248" w:rsidP="00494038">
            <w:pPr>
              <w:rPr>
                <w:b/>
                <w:bCs/>
              </w:rPr>
            </w:pPr>
            <w:r w:rsidRPr="00820C89">
              <w:rPr>
                <w:b/>
                <w:bCs/>
              </w:rPr>
              <w:t xml:space="preserve">Enabling program factor(s) </w:t>
            </w:r>
          </w:p>
        </w:tc>
      </w:tr>
      <w:tr w:rsidR="00AA7248" w:rsidRPr="00820C89" w14:paraId="7172A2EA" w14:textId="77777777" w:rsidTr="00494038">
        <w:trPr>
          <w:trHeight w:val="1439"/>
        </w:trPr>
        <w:tc>
          <w:tcPr>
            <w:tcW w:w="1330" w:type="dxa"/>
          </w:tcPr>
          <w:p w14:paraId="1852B4CC" w14:textId="77777777" w:rsidR="00AA7248" w:rsidRPr="00820C89" w:rsidRDefault="00AA7248" w:rsidP="00494038">
            <w:pPr>
              <w:rPr>
                <w:b/>
                <w:bCs/>
              </w:rPr>
            </w:pPr>
            <w:r w:rsidRPr="00820C89">
              <w:rPr>
                <w:b/>
                <w:bCs/>
              </w:rPr>
              <w:t xml:space="preserve">Job readiness </w:t>
            </w:r>
          </w:p>
        </w:tc>
        <w:tc>
          <w:tcPr>
            <w:tcW w:w="3915" w:type="dxa"/>
          </w:tcPr>
          <w:p w14:paraId="37EEA324" w14:textId="77777777" w:rsidR="00AA7248" w:rsidRPr="00820C89" w:rsidRDefault="00AA7248" w:rsidP="00494038">
            <w:pPr>
              <w:pStyle w:val="ListBullet"/>
              <w:spacing w:before="60" w:after="60"/>
              <w:contextualSpacing w:val="0"/>
            </w:pPr>
            <w:r w:rsidRPr="00820C89">
              <w:t xml:space="preserve">Confidence and communication skills </w:t>
            </w:r>
          </w:p>
          <w:p w14:paraId="58F57C49" w14:textId="77777777" w:rsidR="00AA7248" w:rsidRPr="00820C89" w:rsidRDefault="00AA7248" w:rsidP="00494038">
            <w:pPr>
              <w:pStyle w:val="ListBullet"/>
              <w:spacing w:before="60" w:after="60"/>
              <w:contextualSpacing w:val="0"/>
            </w:pPr>
            <w:r w:rsidRPr="00820C89">
              <w:t xml:space="preserve">Understanding of workplace norms and expectations </w:t>
            </w:r>
          </w:p>
          <w:p w14:paraId="5CADDF0C" w14:textId="77777777" w:rsidR="00AA7248" w:rsidRPr="00820C89" w:rsidRDefault="00AA7248" w:rsidP="00494038">
            <w:pPr>
              <w:pStyle w:val="ListBullet"/>
              <w:spacing w:before="60" w:after="60"/>
              <w:contextualSpacing w:val="0"/>
            </w:pPr>
            <w:r w:rsidRPr="00820C89">
              <w:t>Significant barriers associated with disadvantage (discussed above, such as unstable accommodation)</w:t>
            </w:r>
          </w:p>
        </w:tc>
        <w:tc>
          <w:tcPr>
            <w:tcW w:w="4394" w:type="dxa"/>
          </w:tcPr>
          <w:p w14:paraId="1552CA18" w14:textId="77777777" w:rsidR="00AA7248" w:rsidRPr="00820C89" w:rsidRDefault="00AA7248" w:rsidP="00494038">
            <w:pPr>
              <w:pStyle w:val="ListBullet"/>
              <w:spacing w:before="60" w:after="60"/>
              <w:contextualSpacing w:val="0"/>
            </w:pPr>
            <w:r w:rsidRPr="00820C89">
              <w:t>Address challenges of work-preparedness, soft skills and negative lifestyle factors first through hands-on training</w:t>
            </w:r>
          </w:p>
          <w:p w14:paraId="241FC26D" w14:textId="77777777" w:rsidR="00AA7248" w:rsidRPr="00820C89" w:rsidRDefault="00AA7248" w:rsidP="00494038">
            <w:pPr>
              <w:pStyle w:val="ListBullet"/>
              <w:spacing w:before="60" w:after="60"/>
              <w:contextualSpacing w:val="0"/>
            </w:pPr>
            <w:r w:rsidRPr="00820C89">
              <w:t>Employ creative and innovative recruitment processes, informed by Indigenous stakeholders to reduce the impact of work-readiness barriers</w:t>
            </w:r>
          </w:p>
        </w:tc>
      </w:tr>
      <w:tr w:rsidR="00AA7248" w:rsidRPr="00820C89" w14:paraId="31907B9B" w14:textId="77777777" w:rsidTr="00494038">
        <w:trPr>
          <w:trHeight w:val="899"/>
        </w:trPr>
        <w:tc>
          <w:tcPr>
            <w:tcW w:w="1330" w:type="dxa"/>
          </w:tcPr>
          <w:p w14:paraId="55E0EA9C" w14:textId="77777777" w:rsidR="00AA7248" w:rsidRPr="00820C89" w:rsidRDefault="00AA7248" w:rsidP="00494038">
            <w:pPr>
              <w:rPr>
                <w:b/>
                <w:bCs/>
              </w:rPr>
            </w:pPr>
            <w:r w:rsidRPr="00820C89">
              <w:rPr>
                <w:b/>
                <w:bCs/>
              </w:rPr>
              <w:t xml:space="preserve">Recruitment </w:t>
            </w:r>
          </w:p>
        </w:tc>
        <w:tc>
          <w:tcPr>
            <w:tcW w:w="3915" w:type="dxa"/>
          </w:tcPr>
          <w:p w14:paraId="30954966" w14:textId="77777777" w:rsidR="00AA7248" w:rsidRPr="00820C89" w:rsidRDefault="00AA7248" w:rsidP="00494038">
            <w:pPr>
              <w:pStyle w:val="ListBullet"/>
              <w:spacing w:before="60" w:after="60"/>
              <w:contextualSpacing w:val="0"/>
            </w:pPr>
            <w:r w:rsidRPr="00820C89">
              <w:t>Insufficient supply of suitable candidates</w:t>
            </w:r>
          </w:p>
          <w:p w14:paraId="6A2DA904" w14:textId="77777777" w:rsidR="00AA7248" w:rsidRPr="00820C89" w:rsidRDefault="00AA7248" w:rsidP="00494038">
            <w:pPr>
              <w:pStyle w:val="ListBullet"/>
              <w:spacing w:before="60" w:after="60"/>
              <w:contextualSpacing w:val="0"/>
            </w:pPr>
            <w:r w:rsidRPr="00820C89">
              <w:t xml:space="preserve">Channels to access suitable candidates </w:t>
            </w:r>
          </w:p>
          <w:p w14:paraId="74B9EBEC" w14:textId="77777777" w:rsidR="00AA7248" w:rsidRPr="00820C89" w:rsidRDefault="00AA7248" w:rsidP="00494038">
            <w:pPr>
              <w:pStyle w:val="ListBullet"/>
              <w:spacing w:before="60" w:after="60"/>
              <w:contextualSpacing w:val="0"/>
            </w:pPr>
            <w:r w:rsidRPr="00820C89">
              <w:t>Limited external support to employers</w:t>
            </w:r>
          </w:p>
        </w:tc>
        <w:tc>
          <w:tcPr>
            <w:tcW w:w="4394" w:type="dxa"/>
          </w:tcPr>
          <w:p w14:paraId="1B9CA509" w14:textId="77777777" w:rsidR="00AA7248" w:rsidRPr="00820C89" w:rsidRDefault="00AA7248" w:rsidP="00494038">
            <w:pPr>
              <w:pStyle w:val="ListBullet"/>
              <w:spacing w:before="60" w:after="60"/>
              <w:contextualSpacing w:val="0"/>
            </w:pPr>
            <w:r w:rsidRPr="00820C89">
              <w:t>Job-readiness training and recruitment</w:t>
            </w:r>
          </w:p>
          <w:p w14:paraId="63741E1D" w14:textId="77777777" w:rsidR="00AA7248" w:rsidRPr="00820C89" w:rsidRDefault="00AA7248" w:rsidP="00494038">
            <w:pPr>
              <w:pStyle w:val="ListBullet"/>
              <w:spacing w:before="60" w:after="60"/>
              <w:contextualSpacing w:val="0"/>
            </w:pPr>
            <w:r w:rsidRPr="00820C89">
              <w:t>Alternative recruitment methods, informed by Indigenous stakeholders, that recognise the limitations of conventional recruitment methods, such as questionnaires and formal panel interviews</w:t>
            </w:r>
          </w:p>
          <w:p w14:paraId="78B42230" w14:textId="77777777" w:rsidR="00AA7248" w:rsidRPr="00820C89" w:rsidRDefault="00AA7248" w:rsidP="00494038">
            <w:pPr>
              <w:pStyle w:val="ListBullet"/>
              <w:spacing w:before="60" w:after="60"/>
              <w:contextualSpacing w:val="0"/>
            </w:pPr>
            <w:r w:rsidRPr="00820C89">
              <w:t xml:space="preserve">Provision of family support </w:t>
            </w:r>
          </w:p>
        </w:tc>
      </w:tr>
      <w:tr w:rsidR="00AA7248" w:rsidRPr="00820C89" w14:paraId="65308AC0" w14:textId="77777777" w:rsidTr="00494038">
        <w:trPr>
          <w:trHeight w:val="730"/>
        </w:trPr>
        <w:tc>
          <w:tcPr>
            <w:tcW w:w="1330" w:type="dxa"/>
          </w:tcPr>
          <w:p w14:paraId="0EE2C001" w14:textId="77777777" w:rsidR="00AA7248" w:rsidRPr="00820C89" w:rsidRDefault="00AA7248" w:rsidP="00494038">
            <w:pPr>
              <w:rPr>
                <w:b/>
                <w:bCs/>
              </w:rPr>
            </w:pPr>
            <w:r w:rsidRPr="00820C89">
              <w:rPr>
                <w:b/>
                <w:bCs/>
              </w:rPr>
              <w:t>Inclusion and trust</w:t>
            </w:r>
          </w:p>
        </w:tc>
        <w:tc>
          <w:tcPr>
            <w:tcW w:w="3915" w:type="dxa"/>
          </w:tcPr>
          <w:p w14:paraId="2BEC9FE9" w14:textId="77777777" w:rsidR="00AA7248" w:rsidRPr="00820C89" w:rsidRDefault="00AA7248" w:rsidP="00494038">
            <w:pPr>
              <w:pStyle w:val="ListBullet"/>
              <w:spacing w:before="60" w:after="60"/>
              <w:contextualSpacing w:val="0"/>
            </w:pPr>
            <w:r w:rsidRPr="00820C89">
              <w:t>Racism (both overt and covert) reduces levels of trust and engagement</w:t>
            </w:r>
          </w:p>
          <w:p w14:paraId="2FBF744E" w14:textId="77777777" w:rsidR="00AA7248" w:rsidRPr="00820C89" w:rsidRDefault="00AA7248" w:rsidP="00494038">
            <w:pPr>
              <w:pStyle w:val="ListBullet"/>
              <w:spacing w:before="60" w:after="60"/>
              <w:contextualSpacing w:val="0"/>
            </w:pPr>
            <w:r w:rsidRPr="00820C89">
              <w:t>Lack of cultural awareness among non-Indigenous managers and staff is problematic</w:t>
            </w:r>
          </w:p>
          <w:p w14:paraId="5EDD92D3" w14:textId="77777777" w:rsidR="00AA7248" w:rsidRPr="00820C89" w:rsidRDefault="00AA7248" w:rsidP="00494038">
            <w:pPr>
              <w:pStyle w:val="ListBullet"/>
              <w:spacing w:before="60" w:after="60"/>
              <w:contextualSpacing w:val="0"/>
            </w:pPr>
            <w:r w:rsidRPr="00820C89">
              <w:t>Distrust and suspicion from Indigenous communities</w:t>
            </w:r>
          </w:p>
        </w:tc>
        <w:tc>
          <w:tcPr>
            <w:tcW w:w="4394" w:type="dxa"/>
          </w:tcPr>
          <w:p w14:paraId="75569538" w14:textId="77777777" w:rsidR="00AA7248" w:rsidRPr="00820C89" w:rsidRDefault="00AA7248" w:rsidP="00494038">
            <w:pPr>
              <w:pStyle w:val="ListBullet"/>
              <w:spacing w:before="60" w:after="60"/>
              <w:contextualSpacing w:val="0"/>
              <w:rPr>
                <w:lang w:val="da-DK"/>
              </w:rPr>
            </w:pPr>
            <w:r w:rsidRPr="00820C89">
              <w:rPr>
                <w:lang w:val="da-DK"/>
              </w:rPr>
              <w:t>Ongoing mentoring and support while on the job</w:t>
            </w:r>
          </w:p>
          <w:p w14:paraId="15A78D1E" w14:textId="77777777" w:rsidR="00AA7248" w:rsidRPr="00820C89" w:rsidRDefault="00AA7248" w:rsidP="00494038">
            <w:pPr>
              <w:pStyle w:val="ListBullet"/>
              <w:spacing w:before="60" w:after="60"/>
              <w:contextualSpacing w:val="0"/>
              <w:rPr>
                <w:lang w:val="da-DK"/>
              </w:rPr>
            </w:pPr>
            <w:r w:rsidRPr="00820C89">
              <w:rPr>
                <w:lang w:val="da-DK"/>
              </w:rPr>
              <w:t>Debunking myths and misconceptions about Indigenous people, and dealing with racism through cross-cultural training</w:t>
            </w:r>
          </w:p>
          <w:p w14:paraId="57DD7078" w14:textId="77777777" w:rsidR="00AA7248" w:rsidRPr="00820C89" w:rsidRDefault="00AA7248" w:rsidP="00494038">
            <w:pPr>
              <w:pStyle w:val="ListBullet"/>
              <w:spacing w:before="60" w:after="60"/>
              <w:contextualSpacing w:val="0"/>
              <w:rPr>
                <w:lang w:val="da-DK"/>
              </w:rPr>
            </w:pPr>
            <w:r w:rsidRPr="00820C89">
              <w:t>Holistic, collaborative approach that involves all key Indigenous and non-Indigenous stakeholders</w:t>
            </w:r>
          </w:p>
        </w:tc>
      </w:tr>
      <w:tr w:rsidR="00AA7248" w:rsidRPr="00820C89" w14:paraId="06332DAD" w14:textId="77777777" w:rsidTr="00494038">
        <w:trPr>
          <w:trHeight w:val="359"/>
        </w:trPr>
        <w:tc>
          <w:tcPr>
            <w:tcW w:w="1330" w:type="dxa"/>
          </w:tcPr>
          <w:p w14:paraId="1247DBD1" w14:textId="77777777" w:rsidR="00AA7248" w:rsidRPr="00820C89" w:rsidRDefault="00AA7248" w:rsidP="00494038">
            <w:pPr>
              <w:rPr>
                <w:b/>
                <w:bCs/>
              </w:rPr>
            </w:pPr>
            <w:r w:rsidRPr="00820C89">
              <w:rPr>
                <w:b/>
                <w:bCs/>
              </w:rPr>
              <w:t>Retention</w:t>
            </w:r>
          </w:p>
        </w:tc>
        <w:tc>
          <w:tcPr>
            <w:tcW w:w="3915" w:type="dxa"/>
          </w:tcPr>
          <w:p w14:paraId="69C8A243" w14:textId="77777777" w:rsidR="00AA7248" w:rsidRPr="00820C89" w:rsidRDefault="00AA7248" w:rsidP="00494038">
            <w:pPr>
              <w:pStyle w:val="ListBullet"/>
              <w:spacing w:before="60" w:after="60"/>
              <w:contextualSpacing w:val="0"/>
            </w:pPr>
            <w:r w:rsidRPr="00820C89">
              <w:t xml:space="preserve">Limited pre-employment soft skills </w:t>
            </w:r>
          </w:p>
          <w:p w14:paraId="5105CD2A" w14:textId="77777777" w:rsidR="00AA7248" w:rsidRPr="00820C89" w:rsidRDefault="00AA7248" w:rsidP="00494038">
            <w:pPr>
              <w:pStyle w:val="ListBullet"/>
              <w:spacing w:before="60" w:after="60"/>
              <w:contextualSpacing w:val="0"/>
            </w:pPr>
            <w:r w:rsidRPr="00820C89">
              <w:t>Lack of routine required to attend work daily (particularly apparent in remote communities)</w:t>
            </w:r>
          </w:p>
          <w:p w14:paraId="669CA284" w14:textId="77777777" w:rsidR="00AA7248" w:rsidRPr="00820C89" w:rsidRDefault="00AA7248" w:rsidP="00494038">
            <w:pPr>
              <w:pStyle w:val="ListBullet"/>
              <w:spacing w:before="60" w:after="60"/>
              <w:contextualSpacing w:val="0"/>
            </w:pPr>
            <w:r w:rsidRPr="00820C89">
              <w:t>External mentoring programs may not be able to solve issues without organisational understanding</w:t>
            </w:r>
          </w:p>
          <w:p w14:paraId="22138F20" w14:textId="77777777" w:rsidR="00AA7248" w:rsidRPr="00820C89" w:rsidRDefault="00AA7248" w:rsidP="00494038">
            <w:pPr>
              <w:pStyle w:val="ListBullet"/>
              <w:spacing w:before="60" w:after="60"/>
              <w:contextualSpacing w:val="0"/>
            </w:pPr>
            <w:r w:rsidRPr="00820C89">
              <w:t xml:space="preserve">Lack of cultural understanding among non-Indigenous employees </w:t>
            </w:r>
          </w:p>
        </w:tc>
        <w:tc>
          <w:tcPr>
            <w:tcW w:w="4394" w:type="dxa"/>
          </w:tcPr>
          <w:p w14:paraId="63668B0D" w14:textId="77777777" w:rsidR="00AA7248" w:rsidRPr="00820C89" w:rsidRDefault="00AA7248" w:rsidP="00494038">
            <w:pPr>
              <w:pStyle w:val="ListBullet"/>
              <w:spacing w:before="60" w:after="60"/>
              <w:contextualSpacing w:val="0"/>
              <w:rPr>
                <w:lang w:val="da-DK"/>
              </w:rPr>
            </w:pPr>
            <w:r w:rsidRPr="00820C89">
              <w:rPr>
                <w:lang w:val="da-DK"/>
              </w:rPr>
              <w:t>Flexibility in work arrangements, allowing Indigenous employees to meet alternative requirements (work, family, community)</w:t>
            </w:r>
          </w:p>
          <w:p w14:paraId="6FF1560D" w14:textId="77777777" w:rsidR="00AA7248" w:rsidRPr="00820C89" w:rsidRDefault="00AA7248" w:rsidP="00494038">
            <w:pPr>
              <w:pStyle w:val="ListBullet"/>
              <w:spacing w:before="60" w:after="60"/>
              <w:contextualSpacing w:val="0"/>
              <w:rPr>
                <w:lang w:val="da-DK"/>
              </w:rPr>
            </w:pPr>
            <w:r w:rsidRPr="00820C89">
              <w:rPr>
                <w:lang w:val="da-DK"/>
              </w:rPr>
              <w:t xml:space="preserve">Mentoring programs – both professional and cultural </w:t>
            </w:r>
          </w:p>
          <w:p w14:paraId="187F12E2" w14:textId="77777777" w:rsidR="00AA7248" w:rsidRPr="00820C89" w:rsidRDefault="00AA7248" w:rsidP="00494038">
            <w:pPr>
              <w:pStyle w:val="ListBullet"/>
              <w:spacing w:before="60" w:after="60"/>
              <w:contextualSpacing w:val="0"/>
              <w:rPr>
                <w:lang w:val="da-DK"/>
              </w:rPr>
            </w:pPr>
            <w:r w:rsidRPr="00820C89">
              <w:rPr>
                <w:lang w:val="da-DK"/>
              </w:rPr>
              <w:t xml:space="preserve">’Buddy’ system whereby the Indigenous employee is supported by another employee regarding day-to-day responsibilities </w:t>
            </w:r>
          </w:p>
          <w:p w14:paraId="5E0419C7" w14:textId="77777777" w:rsidR="00AA7248" w:rsidRPr="00820C89" w:rsidRDefault="00AA7248" w:rsidP="00494038">
            <w:pPr>
              <w:pStyle w:val="ListBullet"/>
              <w:spacing w:before="60" w:after="60"/>
              <w:contextualSpacing w:val="0"/>
              <w:rPr>
                <w:lang w:val="da-DK"/>
              </w:rPr>
            </w:pPr>
            <w:r w:rsidRPr="00820C89">
              <w:rPr>
                <w:lang w:val="da-DK"/>
              </w:rPr>
              <w:t xml:space="preserve">Cross-cultural training for employees </w:t>
            </w:r>
          </w:p>
          <w:p w14:paraId="5E5DD18A" w14:textId="77777777" w:rsidR="00AA7248" w:rsidRPr="00820C89" w:rsidRDefault="00AA7248" w:rsidP="00494038">
            <w:pPr>
              <w:pStyle w:val="ListBullet"/>
              <w:spacing w:before="60" w:after="60"/>
              <w:contextualSpacing w:val="0"/>
              <w:rPr>
                <w:lang w:val="da-DK"/>
              </w:rPr>
            </w:pPr>
            <w:r w:rsidRPr="00820C89">
              <w:rPr>
                <w:lang w:val="da-DK"/>
              </w:rPr>
              <w:t xml:space="preserve">Provision of career development opportunities </w:t>
            </w:r>
          </w:p>
          <w:p w14:paraId="503C8AB3" w14:textId="77777777" w:rsidR="00AA7248" w:rsidRPr="00820C89" w:rsidRDefault="00AA7248" w:rsidP="00494038">
            <w:pPr>
              <w:pStyle w:val="ListBullet"/>
              <w:spacing w:before="60" w:after="60"/>
              <w:contextualSpacing w:val="0"/>
              <w:rPr>
                <w:lang w:val="da-DK"/>
              </w:rPr>
            </w:pPr>
            <w:r w:rsidRPr="00820C89">
              <w:rPr>
                <w:lang w:val="da-DK"/>
              </w:rPr>
              <w:lastRenderedPageBreak/>
              <w:t xml:space="preserve">Provision of traineeships, apprenticeships and scholarships </w:t>
            </w:r>
          </w:p>
          <w:p w14:paraId="3DA1E0A0" w14:textId="77777777" w:rsidR="00AA7248" w:rsidRPr="00820C89" w:rsidRDefault="00AA7248" w:rsidP="00494038">
            <w:pPr>
              <w:pStyle w:val="ListBullet"/>
              <w:spacing w:before="60" w:after="60"/>
              <w:contextualSpacing w:val="0"/>
              <w:rPr>
                <w:lang w:val="da-DK"/>
              </w:rPr>
            </w:pPr>
            <w:r w:rsidRPr="00820C89">
              <w:rPr>
                <w:lang w:val="da-DK"/>
              </w:rPr>
              <w:t xml:space="preserve">Provision of family support </w:t>
            </w:r>
          </w:p>
        </w:tc>
      </w:tr>
    </w:tbl>
    <w:p w14:paraId="746BE743" w14:textId="77777777" w:rsidR="00AA7248" w:rsidRPr="00820C89" w:rsidRDefault="00AA7248" w:rsidP="00AA7248">
      <w:pPr>
        <w:pStyle w:val="Source"/>
      </w:pPr>
      <w:r w:rsidRPr="00820C89">
        <w:lastRenderedPageBreak/>
        <w:t>Source: Constable (2009); Gray, Hunter and Lohoar (2012); GenerationOne (2011).</w:t>
      </w:r>
    </w:p>
    <w:p w14:paraId="6A93F5FD" w14:textId="77777777" w:rsidR="00AA7248" w:rsidRPr="00820C89" w:rsidRDefault="00AA7248" w:rsidP="0041777D">
      <w:pPr>
        <w:pStyle w:val="Appendixhead2"/>
        <w:spacing w:after="60"/>
      </w:pPr>
      <w:bookmarkStart w:id="208" w:name="_Toc57053510"/>
      <w:r w:rsidRPr="00820C89">
        <w:t>Key programmatic features and principles for success</w:t>
      </w:r>
      <w:bookmarkEnd w:id="208"/>
    </w:p>
    <w:p w14:paraId="4950E677" w14:textId="77777777" w:rsidR="00AA7248" w:rsidRPr="00820C89" w:rsidRDefault="00AA7248" w:rsidP="00AA7248">
      <w:r w:rsidRPr="00820C89">
        <w:t xml:space="preserve">Established throughout this literature review so far is an understanding that Indigenous Australians perceive the value, and arguably even the purpose, of employment differently to non-Indigenous Australians. </w:t>
      </w:r>
    </w:p>
    <w:p w14:paraId="3FA6513A" w14:textId="77777777" w:rsidR="00AA7248" w:rsidRPr="00820C89" w:rsidRDefault="00AA7248" w:rsidP="00AA7248">
      <w:r w:rsidRPr="00820C89">
        <w:t>While such a generalisation is challenged by the evidence that there are tens of thousands of employed Indigenous Australians, ‘employment’ as defined in the policy context for Australian government is itself a Western normalised conception that asks Indigenous people to engage in an act of conformance in order to fit into Western models of employment.</w:t>
      </w:r>
      <w:r w:rsidRPr="00820C89">
        <w:rPr>
          <w:rStyle w:val="FootnoteReference"/>
        </w:rPr>
        <w:footnoteReference w:id="167"/>
      </w:r>
      <w:r w:rsidRPr="00820C89">
        <w:t xml:space="preserve"> It may not appear different in practical terms because ‘employment’ is such a widely normalised concept for all Australians but it is different in profoundly cultural and personal terms. In short, the fact that Australia has so many Indigenous Australians who are employed does not mean that they derive the same value and purpose from work as non-Indigenous Australians.</w:t>
      </w:r>
      <w:r w:rsidRPr="00820C89">
        <w:rPr>
          <w:rStyle w:val="FootnoteReference"/>
        </w:rPr>
        <w:footnoteReference w:id="168"/>
      </w:r>
      <w:r w:rsidRPr="00820C89">
        <w:t xml:space="preserve"> Understanding this and solving for the barriers that compound this difference and result in disproportionate employment outcomes is the critical exercise in designing employment programs targeting an Indigenous cohort. </w:t>
      </w:r>
    </w:p>
    <w:p w14:paraId="6A86EA6C" w14:textId="77777777" w:rsidR="00AA7248" w:rsidRPr="00820C89" w:rsidRDefault="00AA7248" w:rsidP="00AA7248">
      <w:r w:rsidRPr="00820C89">
        <w:t>This chapter does not progress this argument of ‘employment value and purpose’ further. This is not the place for that exposition as the analysis is intended as a representation of the research that exists within the current literature and data. It is essential to the consideration of this analysis (and the body of research generally) that the research and reports referenced herein have largely been undertaken with the bias of ‘normative Western conceptions’ of work, skills and even unemployment baked into their essential design. On one reading, this means that the evidence basis presented in the remainder of this document does not offer answers, or even ask the complete range of questions, to the nature of employment, unemployment and training amongst Indigenous Australians. On another reading, it is the essential truth that underpins policy design in this area and needs to be drawn out here to demonstrate the paucity of properly framed research.</w:t>
      </w:r>
    </w:p>
    <w:p w14:paraId="54DC0E98" w14:textId="77777777" w:rsidR="00AA7248" w:rsidRPr="00820C89" w:rsidRDefault="00AA7248" w:rsidP="00AA7248">
      <w:r w:rsidRPr="00820C89">
        <w:t xml:space="preserve">Ultimately statistical improvement in employment outcomes appears largely dependent on whether intrinsic and extrinsic reward for the individual, and the intended outcomes and benefits for society, can be designed into employment programs/policy. This needs to be done in such a way that it overcomes barriers for either group, as well as ensuring there is alignment to the cultural needs and expectations of the community it seeks to affect. </w:t>
      </w:r>
    </w:p>
    <w:p w14:paraId="1928C380" w14:textId="77777777" w:rsidR="00AA7248" w:rsidRPr="00820C89" w:rsidRDefault="00AA7248" w:rsidP="00AA7248">
      <w:r w:rsidRPr="00820C89">
        <w:t xml:space="preserve">There is extensive research worldwide on employment program features and this literature scan is not intended to capture it all. Instead, the analysis below draws on key Australian employment and program evaluations, supplemented by Australian and international literature and research. </w:t>
      </w:r>
    </w:p>
    <w:p w14:paraId="4BE0B6A7" w14:textId="77777777" w:rsidR="00AA7248" w:rsidRPr="00820C89" w:rsidRDefault="00AA7248" w:rsidP="00AA7248">
      <w:r w:rsidRPr="00820C89">
        <w:t xml:space="preserve">The first section of this chapter presents an overview of the key features in Australian employment programs, providing insight into some of the research findings, as well as illustrative examples of these features within current or past Australian employment programs, that highlight some of the implementation complexities. The second section of this chapter presents an overview of the success principles and design features of IEPs, supported by some specific examples from an Australian and international context. </w:t>
      </w:r>
    </w:p>
    <w:p w14:paraId="06CC0481" w14:textId="77777777" w:rsidR="00AA7248" w:rsidRPr="00820C89" w:rsidRDefault="00AA7248" w:rsidP="00AA7248">
      <w:r w:rsidRPr="00820C89">
        <w:lastRenderedPageBreak/>
        <w:t xml:space="preserve">The identified features/principles in this chapter will be used to consider the alignment of the IEP design with evidence. </w:t>
      </w:r>
    </w:p>
    <w:p w14:paraId="5BD5888D" w14:textId="77777777" w:rsidR="00AA7248" w:rsidRPr="00820C89" w:rsidRDefault="00AA7248" w:rsidP="00F17A97">
      <w:pPr>
        <w:pStyle w:val="Appendixhead3"/>
      </w:pPr>
      <w:bookmarkStart w:id="209" w:name="_Toc57053511"/>
      <w:r w:rsidRPr="00820C89">
        <w:t>Typical design features of Australian employment programs</w:t>
      </w:r>
      <w:bookmarkEnd w:id="209"/>
    </w:p>
    <w:p w14:paraId="29E47233" w14:textId="77777777" w:rsidR="00AA7248" w:rsidRPr="00820C89" w:rsidRDefault="00AA7248" w:rsidP="00AA7248">
      <w:r w:rsidRPr="00820C89">
        <w:t xml:space="preserve">As noted in Chapter 2, in recent decades there have been several forms of general government employment programs – each with a different method and focus. Employment policies and initiatives are often politicised, and the research to evaluate these reports varied results. This is particularly because their success is dependent on the state of the economy. </w:t>
      </w:r>
    </w:p>
    <w:p w14:paraId="3BFDD45C" w14:textId="77777777" w:rsidR="00AA7248" w:rsidRPr="00820C89" w:rsidRDefault="00AA7248" w:rsidP="00AA7248">
      <w:r w:rsidRPr="00820C89">
        <w:t xml:space="preserve">There are several forms of general government employment programs – each with a different method and focus. </w:t>
      </w:r>
    </w:p>
    <w:p w14:paraId="13C8B25A" w14:textId="77777777" w:rsidR="00AA7248" w:rsidRPr="00820C89" w:rsidRDefault="00AA7248" w:rsidP="00AA7248">
      <w:r w:rsidRPr="00820C89">
        <w:t>Employment services generally work with three stakeholder groups (jobseekers, employment service providers and employers) and Australian employment programs can be categorised into two types of approaches – ‘work-first’ and ‘life-first’. With their differing design, duration and focus, the two approaches serve different cohorts of unemployed people. For instance, features are designed to align with the jobseekers’ work readiness, meaning that approaches to incentivise behaviour change and skill improvement differ depending on the background and context of the individual jobseeker.</w:t>
      </w:r>
    </w:p>
    <w:p w14:paraId="156EF3E0" w14:textId="77777777" w:rsidR="00AA7248" w:rsidRPr="00820C89" w:rsidRDefault="00AA7248" w:rsidP="00AA7248">
      <w:r w:rsidRPr="00820C89">
        <w:t>A ‘work-first’ approach is a short-term employment program that benefits those who are temporarily unemployed (also known as frictional unemployment) but have recent experience and qualifications to re-enter the workforce. Predicated on the idea that moving unemployed individuals into employment as swiftly as possible, with the least cost intervention (and often with a sense of compulsion), these initiatives do not best serve long-term unemployed individuals who face a myriad of disadvantages.</w:t>
      </w:r>
      <w:r w:rsidRPr="00820C89">
        <w:rPr>
          <w:rStyle w:val="FootnoteReference"/>
        </w:rPr>
        <w:footnoteReference w:id="169"/>
      </w:r>
      <w:r w:rsidRPr="00820C89">
        <w:t xml:space="preserve"> </w:t>
      </w:r>
    </w:p>
    <w:p w14:paraId="5C8E8F4C" w14:textId="77777777" w:rsidR="00AA7248" w:rsidRPr="00820C89" w:rsidRDefault="00AA7248" w:rsidP="00AA7248">
      <w:r w:rsidRPr="00820C89">
        <w:t>A ‘life-first’ approach targets those who are long-term unemployed and face structural and intersecting barriers to employment. With sensitivity to life’s complexities, ‘life-first’ employment programs prioritise the personal needs of individuals (such as social skills, health and housing) as a precursor to finding work.</w:t>
      </w:r>
      <w:r w:rsidRPr="00820C89">
        <w:rPr>
          <w:rStyle w:val="FootnoteReference"/>
        </w:rPr>
        <w:footnoteReference w:id="170"/>
      </w:r>
      <w:r w:rsidRPr="00820C89">
        <w:t xml:space="preserve"> This approach best serves disadvantaged and long-term unemployed people who require holistic support.</w:t>
      </w:r>
      <w:r w:rsidRPr="00820C89">
        <w:rPr>
          <w:rStyle w:val="FootnoteReference"/>
        </w:rPr>
        <w:footnoteReference w:id="171"/>
      </w:r>
      <w:r w:rsidRPr="00820C89">
        <w:t xml:space="preserve"> </w:t>
      </w:r>
    </w:p>
    <w:p w14:paraId="641C35EB" w14:textId="77777777" w:rsidR="00AA7248" w:rsidRPr="00820C89" w:rsidRDefault="00AA7248" w:rsidP="00AA7248">
      <w:r w:rsidRPr="00820C89">
        <w:t>While there is some evidence that the focus of employment programs, on balance, is shifting towards a ‘life-first’ approach, particularly for the most disadvantaged jobseekers, ‘work-first’ approaches to employment programs still exists and are the least effective in yielding success for long-term unemployed people.</w:t>
      </w:r>
      <w:r w:rsidRPr="00820C89">
        <w:rPr>
          <w:rStyle w:val="FootnoteReference"/>
        </w:rPr>
        <w:footnoteReference w:id="172"/>
      </w:r>
      <w:r w:rsidRPr="00820C89">
        <w:t xml:space="preserve"> </w:t>
      </w:r>
    </w:p>
    <w:p w14:paraId="294D5403" w14:textId="77777777" w:rsidR="00AA7248" w:rsidRPr="00820C89" w:rsidRDefault="00AA7248" w:rsidP="00AA7248">
      <w:r w:rsidRPr="00820C89">
        <w:t xml:space="preserve">Existing Australian literature and employment program evaluations have been used to inform a discussion of the most common program features within the Australian context. Before exploring these key aspects, it is important to note two important caveats: </w:t>
      </w:r>
    </w:p>
    <w:p w14:paraId="169CB030" w14:textId="77777777" w:rsidR="00AA7248" w:rsidRPr="00820C89" w:rsidRDefault="00AA7248" w:rsidP="00AA7248">
      <w:pPr>
        <w:pStyle w:val="ListBullet"/>
        <w:spacing w:before="60" w:after="60"/>
        <w:contextualSpacing w:val="0"/>
      </w:pPr>
      <w:r w:rsidRPr="00820C89">
        <w:t>the success of employment programs is to some extent dependent on the state of the economy and local labour market opportunities.</w:t>
      </w:r>
    </w:p>
    <w:p w14:paraId="141FE4A7" w14:textId="77777777" w:rsidR="00AA7248" w:rsidRPr="00820C89" w:rsidRDefault="00AA7248" w:rsidP="00AA7248">
      <w:pPr>
        <w:pStyle w:val="ListBullet"/>
        <w:spacing w:before="60" w:after="60"/>
        <w:contextualSpacing w:val="0"/>
      </w:pPr>
      <w:r w:rsidRPr="00820C89">
        <w:t xml:space="preserve">the success features are not mutually exclusive and should be considered in conjunction with one another, as they are regularly combined in the design of employment programs. </w:t>
      </w:r>
    </w:p>
    <w:p w14:paraId="26938B86" w14:textId="77777777" w:rsidR="00AA7248" w:rsidRPr="00820C89" w:rsidRDefault="00AA7248" w:rsidP="00AA7248">
      <w:r w:rsidRPr="00820C89">
        <w:t xml:space="preserve">While noting these caveats, the common features of Australian employment programs are summarised in the box below. </w:t>
      </w:r>
    </w:p>
    <w:p w14:paraId="055C57A5" w14:textId="77777777" w:rsidR="00AA7248" w:rsidRPr="00820C89" w:rsidRDefault="00AA7248" w:rsidP="00AA7248"/>
    <w:p w14:paraId="429AFEC0" w14:textId="77777777" w:rsidR="00AA7248" w:rsidRPr="00820C89" w:rsidRDefault="00AA7248" w:rsidP="00715F70">
      <w:pPr>
        <w:pStyle w:val="CaptionTable"/>
        <w:numPr>
          <w:ilvl w:val="6"/>
          <w:numId w:val="69"/>
        </w:numPr>
        <w:ind w:left="0"/>
        <w:sectPr w:rsidR="00AA7248" w:rsidRPr="00820C89" w:rsidSect="005F043A">
          <w:headerReference w:type="even" r:id="rId83"/>
          <w:headerReference w:type="default" r:id="rId84"/>
          <w:footerReference w:type="default" r:id="rId85"/>
          <w:headerReference w:type="first" r:id="rId86"/>
          <w:pgSz w:w="11906" w:h="16838" w:code="9"/>
          <w:pgMar w:top="1440" w:right="1440" w:bottom="1440" w:left="1440" w:header="680" w:footer="425" w:gutter="0"/>
          <w:cols w:space="284"/>
          <w:docGrid w:linePitch="360"/>
        </w:sectPr>
      </w:pPr>
      <w:bookmarkStart w:id="210" w:name="_Ref55210602"/>
    </w:p>
    <w:p w14:paraId="4F2BF33A" w14:textId="77777777" w:rsidR="00AA7248" w:rsidRPr="00820C89" w:rsidRDefault="00AA7248" w:rsidP="00715F70">
      <w:pPr>
        <w:pStyle w:val="AppendixTableCaption"/>
        <w:outlineLvl w:val="3"/>
      </w:pPr>
      <w:r w:rsidRPr="00820C89">
        <w:lastRenderedPageBreak/>
        <w:t xml:space="preserve">: Program features of general employment programs </w:t>
      </w:r>
      <w:bookmarkEnd w:id="210"/>
    </w:p>
    <w:tbl>
      <w:tblPr>
        <w:tblStyle w:val="Deloittetable"/>
        <w:tblW w:w="0" w:type="auto"/>
        <w:tblLook w:val="04A0" w:firstRow="1" w:lastRow="0" w:firstColumn="1" w:lastColumn="0" w:noHBand="0" w:noVBand="1"/>
      </w:tblPr>
      <w:tblGrid>
        <w:gridCol w:w="1499"/>
        <w:gridCol w:w="5872"/>
        <w:gridCol w:w="5529"/>
      </w:tblGrid>
      <w:tr w:rsidR="00AA7248" w:rsidRPr="00820C89" w14:paraId="49439D22" w14:textId="77777777" w:rsidTr="00087C85">
        <w:trPr>
          <w:cnfStyle w:val="100000000000" w:firstRow="1" w:lastRow="0" w:firstColumn="0" w:lastColumn="0" w:oddVBand="0" w:evenVBand="0" w:oddHBand="0" w:evenHBand="0" w:firstRowFirstColumn="0" w:firstRowLastColumn="0" w:lastRowFirstColumn="0" w:lastRowLastColumn="0"/>
          <w:trHeight w:val="542"/>
          <w:tblHeader/>
        </w:trPr>
        <w:tc>
          <w:tcPr>
            <w:tcW w:w="1499" w:type="dxa"/>
          </w:tcPr>
          <w:p w14:paraId="641ECBFD" w14:textId="77777777" w:rsidR="00AA7248" w:rsidRPr="00820C89" w:rsidRDefault="00AA7248" w:rsidP="00494038">
            <w:pPr>
              <w:rPr>
                <w:b/>
                <w:bCs/>
              </w:rPr>
            </w:pPr>
            <w:r w:rsidRPr="00820C89">
              <w:rPr>
                <w:b/>
                <w:bCs/>
              </w:rPr>
              <w:t xml:space="preserve">Program feature </w:t>
            </w:r>
          </w:p>
        </w:tc>
        <w:tc>
          <w:tcPr>
            <w:tcW w:w="5872" w:type="dxa"/>
          </w:tcPr>
          <w:p w14:paraId="0C849389" w14:textId="77777777" w:rsidR="00AA7248" w:rsidRPr="00820C89" w:rsidRDefault="00AA7248" w:rsidP="00494038">
            <w:pPr>
              <w:ind w:left="0"/>
              <w:jc w:val="center"/>
              <w:rPr>
                <w:b/>
                <w:bCs/>
              </w:rPr>
            </w:pPr>
            <w:r w:rsidRPr="00820C89">
              <w:rPr>
                <w:b/>
                <w:bCs/>
              </w:rPr>
              <w:t>Description</w:t>
            </w:r>
          </w:p>
        </w:tc>
        <w:tc>
          <w:tcPr>
            <w:tcW w:w="5529" w:type="dxa"/>
          </w:tcPr>
          <w:p w14:paraId="551CB474" w14:textId="77777777" w:rsidR="00AA7248" w:rsidRPr="00820C89" w:rsidRDefault="00AA7248" w:rsidP="00494038">
            <w:pPr>
              <w:jc w:val="center"/>
              <w:rPr>
                <w:b/>
                <w:bCs/>
              </w:rPr>
            </w:pPr>
            <w:r w:rsidRPr="00820C89">
              <w:rPr>
                <w:b/>
                <w:bCs/>
              </w:rPr>
              <w:t>Effectiveness</w:t>
            </w:r>
          </w:p>
        </w:tc>
      </w:tr>
      <w:tr w:rsidR="00AA7248" w:rsidRPr="00820C89" w14:paraId="76070CF6" w14:textId="77777777" w:rsidTr="00494038">
        <w:tc>
          <w:tcPr>
            <w:tcW w:w="1499" w:type="dxa"/>
          </w:tcPr>
          <w:p w14:paraId="41EFF6C5" w14:textId="77777777" w:rsidR="00AA7248" w:rsidRPr="00820C89" w:rsidRDefault="00AA7248" w:rsidP="00494038">
            <w:pPr>
              <w:rPr>
                <w:b/>
                <w:bCs/>
              </w:rPr>
            </w:pPr>
            <w:r w:rsidRPr="00820C89">
              <w:rPr>
                <w:b/>
                <w:bCs/>
              </w:rPr>
              <w:t>Parity initiatives</w:t>
            </w:r>
          </w:p>
        </w:tc>
        <w:tc>
          <w:tcPr>
            <w:tcW w:w="5872" w:type="dxa"/>
          </w:tcPr>
          <w:p w14:paraId="2DDAC01B" w14:textId="77777777" w:rsidR="00AA7248" w:rsidRPr="00820C89" w:rsidRDefault="00AA7248" w:rsidP="00494038">
            <w:pPr>
              <w:pStyle w:val="ListBullet"/>
              <w:spacing w:before="60" w:after="60"/>
              <w:contextualSpacing w:val="0"/>
            </w:pPr>
            <w:r w:rsidRPr="00820C89">
              <w:t xml:space="preserve">Parity initiatives seek to improve employment equity through the provisions of employment opportunities for cohorts that are not equally represented due to a range of systemic barriers </w:t>
            </w:r>
          </w:p>
          <w:p w14:paraId="3C088BCC" w14:textId="77777777" w:rsidR="00AA7248" w:rsidRPr="00820C89" w:rsidRDefault="00AA7248" w:rsidP="00494038">
            <w:pPr>
              <w:pStyle w:val="ListBullet"/>
              <w:spacing w:before="60" w:after="60"/>
              <w:contextualSpacing w:val="0"/>
            </w:pPr>
            <w:r w:rsidRPr="00820C89">
              <w:t xml:space="preserve">Parity initiatives relate to both quotas and targets </w:t>
            </w:r>
          </w:p>
          <w:p w14:paraId="2EE7EF98" w14:textId="77777777" w:rsidR="00AA7248" w:rsidRPr="00820C89" w:rsidRDefault="00AA7248" w:rsidP="00494038">
            <w:pPr>
              <w:pStyle w:val="ListBullet"/>
              <w:spacing w:before="60" w:after="60"/>
              <w:contextualSpacing w:val="0"/>
            </w:pPr>
            <w:r w:rsidRPr="00820C89">
              <w:t xml:space="preserve">Quotas are specific, measurable and time-bound goals that are externally imposed by an authoritative body </w:t>
            </w:r>
          </w:p>
          <w:p w14:paraId="12DF75EF" w14:textId="77777777" w:rsidR="00AA7248" w:rsidRPr="00820C89" w:rsidRDefault="00AA7248" w:rsidP="00494038">
            <w:pPr>
              <w:pStyle w:val="ListBullet"/>
              <w:spacing w:before="60" w:after="60"/>
              <w:contextualSpacing w:val="0"/>
            </w:pPr>
            <w:r w:rsidRPr="00820C89">
              <w:t>Targets are specific, measurable and time-bound goals that are voluntarily set by the organisation</w:t>
            </w:r>
          </w:p>
        </w:tc>
        <w:tc>
          <w:tcPr>
            <w:tcW w:w="5529" w:type="dxa"/>
          </w:tcPr>
          <w:p w14:paraId="21BC11E4" w14:textId="77777777" w:rsidR="00AA7248" w:rsidRPr="00820C89" w:rsidRDefault="00AA7248" w:rsidP="00AA7248">
            <w:pPr>
              <w:pStyle w:val="ListBullet"/>
              <w:spacing w:before="170"/>
            </w:pPr>
            <w:r w:rsidRPr="00820C89">
              <w:t>The effectiveness of parity initiatives as a mechanism of employment growth has received mixed results in research conducted to date, but there is evidence of its improvement to the work environment.</w:t>
            </w:r>
          </w:p>
          <w:p w14:paraId="470716EB" w14:textId="77777777" w:rsidR="00AA7248" w:rsidRPr="00820C89" w:rsidRDefault="00AA7248" w:rsidP="00494038">
            <w:pPr>
              <w:pStyle w:val="ListBullet"/>
              <w:numPr>
                <w:ilvl w:val="0"/>
                <w:numId w:val="0"/>
              </w:numPr>
              <w:ind w:left="340"/>
            </w:pPr>
          </w:p>
        </w:tc>
      </w:tr>
      <w:tr w:rsidR="00AA7248" w:rsidRPr="00820C89" w14:paraId="61C8DACD" w14:textId="77777777" w:rsidTr="00494038">
        <w:tc>
          <w:tcPr>
            <w:tcW w:w="1499" w:type="dxa"/>
          </w:tcPr>
          <w:p w14:paraId="0789202C" w14:textId="77777777" w:rsidR="00AA7248" w:rsidRPr="00820C89" w:rsidRDefault="00AA7248" w:rsidP="00494038">
            <w:pPr>
              <w:rPr>
                <w:b/>
                <w:bCs/>
              </w:rPr>
            </w:pPr>
            <w:r w:rsidRPr="00820C89">
              <w:rPr>
                <w:b/>
                <w:bCs/>
              </w:rPr>
              <w:t xml:space="preserve">Wage subsidies  </w:t>
            </w:r>
          </w:p>
        </w:tc>
        <w:tc>
          <w:tcPr>
            <w:tcW w:w="5872" w:type="dxa"/>
          </w:tcPr>
          <w:p w14:paraId="32A3F38E" w14:textId="77777777" w:rsidR="00AA7248" w:rsidRPr="00820C89" w:rsidRDefault="00AA7248" w:rsidP="00494038">
            <w:pPr>
              <w:pStyle w:val="ListBullet"/>
              <w:spacing w:before="60" w:after="60"/>
              <w:contextualSpacing w:val="0"/>
            </w:pPr>
            <w:r w:rsidRPr="00820C89">
              <w:t>Wage subsidies encourage employers to hire job seekers that they otherwise may not have hired, providing funds to compensate for the cost of additional support required in the workplace – particularly for disadvantaged cohorts</w:t>
            </w:r>
          </w:p>
        </w:tc>
        <w:tc>
          <w:tcPr>
            <w:tcW w:w="5529" w:type="dxa"/>
          </w:tcPr>
          <w:p w14:paraId="56C35192" w14:textId="77777777" w:rsidR="00AA7248" w:rsidRPr="00820C89" w:rsidRDefault="00AA7248" w:rsidP="00AA7248">
            <w:pPr>
              <w:pStyle w:val="ListBullet"/>
              <w:spacing w:before="170"/>
            </w:pPr>
            <w:r w:rsidRPr="00820C89">
              <w:t xml:space="preserve">Australian evaluations and international research have reported inconsistent results regarding the impact of wage subsidies on employment outcomes. </w:t>
            </w:r>
          </w:p>
          <w:p w14:paraId="1E1D36B7" w14:textId="77777777" w:rsidR="00AA7248" w:rsidRPr="00820C89" w:rsidRDefault="00AA7248" w:rsidP="00494038">
            <w:pPr>
              <w:pStyle w:val="ListBullet"/>
              <w:numPr>
                <w:ilvl w:val="0"/>
                <w:numId w:val="0"/>
              </w:numPr>
              <w:ind w:left="340"/>
            </w:pPr>
          </w:p>
        </w:tc>
      </w:tr>
      <w:tr w:rsidR="00AA7248" w:rsidRPr="00820C89" w14:paraId="5F912F95" w14:textId="77777777" w:rsidTr="00494038">
        <w:tc>
          <w:tcPr>
            <w:tcW w:w="1499" w:type="dxa"/>
          </w:tcPr>
          <w:p w14:paraId="717EDFE2" w14:textId="77777777" w:rsidR="00AA7248" w:rsidRPr="00820C89" w:rsidRDefault="00AA7248" w:rsidP="00494038">
            <w:pPr>
              <w:rPr>
                <w:b/>
                <w:bCs/>
              </w:rPr>
            </w:pPr>
            <w:r w:rsidRPr="00820C89">
              <w:rPr>
                <w:b/>
                <w:bCs/>
              </w:rPr>
              <w:t xml:space="preserve">Streaming </w:t>
            </w:r>
          </w:p>
        </w:tc>
        <w:tc>
          <w:tcPr>
            <w:tcW w:w="5872" w:type="dxa"/>
          </w:tcPr>
          <w:p w14:paraId="2B5FD325" w14:textId="77777777" w:rsidR="00AA7248" w:rsidRPr="00820C89" w:rsidRDefault="00AA7248" w:rsidP="00494038">
            <w:pPr>
              <w:pStyle w:val="ListBullet"/>
              <w:spacing w:before="60" w:after="60"/>
              <w:contextualSpacing w:val="0"/>
            </w:pPr>
            <w:r w:rsidRPr="00820C89">
              <w:t>Streaming is an assessment process that determines the level and type of training and support received by a participant</w:t>
            </w:r>
          </w:p>
        </w:tc>
        <w:tc>
          <w:tcPr>
            <w:tcW w:w="5529" w:type="dxa"/>
          </w:tcPr>
          <w:p w14:paraId="1633F79A" w14:textId="77777777" w:rsidR="00AA7248" w:rsidRPr="00820C89" w:rsidRDefault="00AA7248" w:rsidP="00AA7248">
            <w:pPr>
              <w:pStyle w:val="ListBullet"/>
              <w:spacing w:before="170"/>
            </w:pPr>
            <w:r w:rsidRPr="00820C89">
              <w:t xml:space="preserve">While streaming has been received as a positive feature that supports sustainable employment through a differentiated approach, there are a number of challenges associated with the implementation of this feature. </w:t>
            </w:r>
          </w:p>
          <w:p w14:paraId="62AE9B85" w14:textId="77777777" w:rsidR="00AA7248" w:rsidRPr="00820C89" w:rsidRDefault="00AA7248" w:rsidP="00AA7248">
            <w:pPr>
              <w:pStyle w:val="ListBullet"/>
              <w:spacing w:before="170"/>
            </w:pPr>
          </w:p>
        </w:tc>
      </w:tr>
      <w:tr w:rsidR="00AA7248" w:rsidRPr="00820C89" w14:paraId="2FEB90CC" w14:textId="77777777" w:rsidTr="00494038">
        <w:tc>
          <w:tcPr>
            <w:tcW w:w="1499" w:type="dxa"/>
          </w:tcPr>
          <w:p w14:paraId="5FDB410B" w14:textId="77777777" w:rsidR="00AA7248" w:rsidRPr="00820C89" w:rsidRDefault="00AA7248" w:rsidP="00494038">
            <w:pPr>
              <w:rPr>
                <w:b/>
                <w:bCs/>
              </w:rPr>
            </w:pPr>
            <w:r w:rsidRPr="00820C89">
              <w:rPr>
                <w:b/>
                <w:bCs/>
              </w:rPr>
              <w:t xml:space="preserve">Job-readiness training </w:t>
            </w:r>
          </w:p>
        </w:tc>
        <w:tc>
          <w:tcPr>
            <w:tcW w:w="5872" w:type="dxa"/>
          </w:tcPr>
          <w:p w14:paraId="795B1BA2" w14:textId="77777777" w:rsidR="00AA7248" w:rsidRPr="00820C89" w:rsidRDefault="00AA7248" w:rsidP="00494038">
            <w:pPr>
              <w:pStyle w:val="ListBullet"/>
              <w:spacing w:before="60" w:after="60"/>
              <w:contextualSpacing w:val="0"/>
            </w:pPr>
            <w:r w:rsidRPr="00820C89">
              <w:t>The provision of training that addresses barriers to sustainable employment. This training typically involves the provision of foundational skills, such as literacy, numeracy, time management, CV writing and job-searching</w:t>
            </w:r>
          </w:p>
        </w:tc>
        <w:tc>
          <w:tcPr>
            <w:tcW w:w="5529" w:type="dxa"/>
          </w:tcPr>
          <w:p w14:paraId="3740117C" w14:textId="77777777" w:rsidR="00AA7248" w:rsidRPr="00820C89" w:rsidRDefault="00AA7248" w:rsidP="00AA7248">
            <w:pPr>
              <w:pStyle w:val="ListBullet"/>
              <w:spacing w:before="170"/>
            </w:pPr>
            <w:r w:rsidRPr="00820C89">
              <w:t>The delivery of training to support job-readiness skill development has been linked to improved outcomes for participants. The delivery of job-readiness training may have a more profound effect on enhancing work-readiness and improved employment programs for disadvantaged cohorts.</w:t>
            </w:r>
          </w:p>
        </w:tc>
      </w:tr>
      <w:tr w:rsidR="00AA7248" w:rsidRPr="00820C89" w14:paraId="6C4D4547" w14:textId="77777777" w:rsidTr="00494038">
        <w:tc>
          <w:tcPr>
            <w:tcW w:w="1499" w:type="dxa"/>
          </w:tcPr>
          <w:p w14:paraId="7B1EB846" w14:textId="77777777" w:rsidR="00AA7248" w:rsidRPr="00820C89" w:rsidRDefault="00AA7248" w:rsidP="00494038">
            <w:pPr>
              <w:rPr>
                <w:b/>
                <w:bCs/>
              </w:rPr>
            </w:pPr>
            <w:r w:rsidRPr="00820C89">
              <w:rPr>
                <w:b/>
                <w:bCs/>
              </w:rPr>
              <w:t xml:space="preserve">Job-specific training </w:t>
            </w:r>
          </w:p>
        </w:tc>
        <w:tc>
          <w:tcPr>
            <w:tcW w:w="5872" w:type="dxa"/>
          </w:tcPr>
          <w:p w14:paraId="64905149" w14:textId="77777777" w:rsidR="00AA7248" w:rsidRPr="00820C89" w:rsidRDefault="00AA7248" w:rsidP="00494038">
            <w:pPr>
              <w:pStyle w:val="ListBullet"/>
              <w:spacing w:before="60" w:after="60"/>
              <w:contextualSpacing w:val="0"/>
            </w:pPr>
            <w:r w:rsidRPr="00820C89">
              <w:t>The provision of accredited training and work experience/placements, focussed on delivering skills sets that match employment opportunities</w:t>
            </w:r>
          </w:p>
        </w:tc>
        <w:tc>
          <w:tcPr>
            <w:tcW w:w="5529" w:type="dxa"/>
          </w:tcPr>
          <w:p w14:paraId="0F8B411A" w14:textId="77777777" w:rsidR="00AA7248" w:rsidRPr="00820C89" w:rsidRDefault="00AA7248" w:rsidP="00AA7248">
            <w:pPr>
              <w:pStyle w:val="ListBullet"/>
              <w:spacing w:before="170"/>
            </w:pPr>
            <w:r w:rsidRPr="00820C89">
              <w:t>Enabling individuals to complete work-experience and job-placements while attaining a qualification is particularly effective as it develops job-specific skills while supporting continued engagement.</w:t>
            </w:r>
          </w:p>
        </w:tc>
      </w:tr>
      <w:tr w:rsidR="00AA7248" w:rsidRPr="00820C89" w14:paraId="524E7E8D" w14:textId="77777777" w:rsidTr="00494038">
        <w:tc>
          <w:tcPr>
            <w:tcW w:w="1499" w:type="dxa"/>
          </w:tcPr>
          <w:p w14:paraId="6B67B5E4" w14:textId="77777777" w:rsidR="00AA7248" w:rsidRPr="00820C89" w:rsidRDefault="00AA7248" w:rsidP="00494038">
            <w:pPr>
              <w:rPr>
                <w:b/>
                <w:bCs/>
              </w:rPr>
            </w:pPr>
            <w:r w:rsidRPr="00820C89">
              <w:rPr>
                <w:b/>
                <w:bCs/>
              </w:rPr>
              <w:lastRenderedPageBreak/>
              <w:t xml:space="preserve">Job-matching </w:t>
            </w:r>
          </w:p>
        </w:tc>
        <w:tc>
          <w:tcPr>
            <w:tcW w:w="5872" w:type="dxa"/>
          </w:tcPr>
          <w:p w14:paraId="04B9EAD6" w14:textId="77777777" w:rsidR="00AA7248" w:rsidRPr="00820C89" w:rsidRDefault="00AA7248" w:rsidP="00494038">
            <w:pPr>
              <w:pStyle w:val="ListBullet"/>
              <w:spacing w:before="60" w:after="60"/>
              <w:contextualSpacing w:val="0"/>
            </w:pPr>
            <w:r w:rsidRPr="00820C89">
              <w:t>Employment services assist in job-matching by notifying jobseekers of training/employment opportunities that align with the jobseeker’s experience, capabilities and goals</w:t>
            </w:r>
          </w:p>
          <w:p w14:paraId="6B72C2B8" w14:textId="77777777" w:rsidR="00AA7248" w:rsidRPr="00820C89" w:rsidRDefault="00AA7248" w:rsidP="00494038">
            <w:pPr>
              <w:pStyle w:val="ListBullet"/>
              <w:spacing w:before="60" w:after="60"/>
              <w:contextualSpacing w:val="0"/>
            </w:pPr>
            <w:r w:rsidRPr="00820C89">
              <w:t>This type of employment program aims to assist jobseekers by reducing information barriers</w:t>
            </w:r>
          </w:p>
        </w:tc>
        <w:tc>
          <w:tcPr>
            <w:tcW w:w="5529" w:type="dxa"/>
          </w:tcPr>
          <w:p w14:paraId="2CA508C7" w14:textId="77777777" w:rsidR="00AA7248" w:rsidRPr="00820C89" w:rsidRDefault="00AA7248" w:rsidP="00AA7248">
            <w:pPr>
              <w:pStyle w:val="ListBullet"/>
              <w:spacing w:before="170"/>
            </w:pPr>
            <w:r w:rsidRPr="00820C89">
              <w:t xml:space="preserve">Job matching has been found to support increased productivity, sustained engagement, earning growth and reduced searching for external employment opportunities – leading to lower turnover rates. </w:t>
            </w:r>
          </w:p>
        </w:tc>
      </w:tr>
      <w:tr w:rsidR="00AA7248" w:rsidRPr="00820C89" w14:paraId="22F4CB6E" w14:textId="77777777" w:rsidTr="00494038">
        <w:tc>
          <w:tcPr>
            <w:tcW w:w="1499" w:type="dxa"/>
          </w:tcPr>
          <w:p w14:paraId="2859D345" w14:textId="77777777" w:rsidR="00AA7248" w:rsidRPr="00820C89" w:rsidRDefault="00AA7248" w:rsidP="00494038">
            <w:pPr>
              <w:rPr>
                <w:b/>
                <w:bCs/>
              </w:rPr>
            </w:pPr>
            <w:r w:rsidRPr="00820C89">
              <w:rPr>
                <w:b/>
                <w:bCs/>
              </w:rPr>
              <w:t xml:space="preserve">MORs and compliance frameworks </w:t>
            </w:r>
          </w:p>
        </w:tc>
        <w:tc>
          <w:tcPr>
            <w:tcW w:w="5872" w:type="dxa"/>
          </w:tcPr>
          <w:p w14:paraId="190AD510" w14:textId="77777777" w:rsidR="00AA7248" w:rsidRPr="00820C89" w:rsidRDefault="00AA7248" w:rsidP="00494038">
            <w:pPr>
              <w:pStyle w:val="ListBullet"/>
              <w:spacing w:before="60" w:after="60"/>
              <w:contextualSpacing w:val="0"/>
            </w:pPr>
            <w:r w:rsidRPr="00820C89">
              <w:t xml:space="preserve">MORs are set out in the </w:t>
            </w:r>
            <w:r w:rsidRPr="00820C89">
              <w:rPr>
                <w:i/>
                <w:iCs/>
              </w:rPr>
              <w:t>Social Security Act 1991</w:t>
            </w:r>
            <w:r w:rsidRPr="00820C89">
              <w:t xml:space="preserve"> to ensure that unemployed people receiving an activity-tested income support payment and are complying with their required activities, unless the individual is granted an exemption</w:t>
            </w:r>
          </w:p>
          <w:p w14:paraId="4F9C75DE" w14:textId="77777777" w:rsidR="00AA7248" w:rsidRPr="00820C89" w:rsidRDefault="00AA7248" w:rsidP="00494038">
            <w:pPr>
              <w:pStyle w:val="ListBullet"/>
              <w:spacing w:before="60" w:after="60"/>
              <w:contextualSpacing w:val="0"/>
            </w:pPr>
            <w:r w:rsidRPr="00820C89">
              <w:t>Jobseeker requirements generally relate to three areas: (a) attendance at appointments, with their provider or with third parties, (b) job search activities, and (c) engagement in suitable work-oriented activities</w:t>
            </w:r>
          </w:p>
        </w:tc>
        <w:tc>
          <w:tcPr>
            <w:tcW w:w="5529" w:type="dxa"/>
          </w:tcPr>
          <w:p w14:paraId="4062A22F" w14:textId="77777777" w:rsidR="00AA7248" w:rsidRPr="00820C89" w:rsidRDefault="00AA7248" w:rsidP="00494038">
            <w:pPr>
              <w:pStyle w:val="ListBullet"/>
              <w:spacing w:before="60" w:after="60"/>
              <w:contextualSpacing w:val="0"/>
            </w:pPr>
            <w:r w:rsidRPr="00820C89">
              <w:t>There are some known preconditions for the success of compliance frameworks (also known as Mutual Obligation Requirements) within the Australian context: participants need to be aware of and understand their required activities and a diversity of activities should allow for differentiated tasks to suit individual strengths, interests and aspirations.</w:t>
            </w:r>
          </w:p>
        </w:tc>
      </w:tr>
      <w:tr w:rsidR="00AA7248" w:rsidRPr="00820C89" w14:paraId="3820D06F" w14:textId="77777777" w:rsidTr="00494038">
        <w:tc>
          <w:tcPr>
            <w:tcW w:w="1499" w:type="dxa"/>
          </w:tcPr>
          <w:p w14:paraId="242CF316" w14:textId="77777777" w:rsidR="00AA7248" w:rsidRPr="00820C89" w:rsidRDefault="00AA7248" w:rsidP="00494038">
            <w:pPr>
              <w:rPr>
                <w:b/>
                <w:bCs/>
              </w:rPr>
            </w:pPr>
            <w:r w:rsidRPr="00820C89">
              <w:rPr>
                <w:b/>
                <w:bCs/>
              </w:rPr>
              <w:t xml:space="preserve">Outcomes driven funding  </w:t>
            </w:r>
          </w:p>
        </w:tc>
        <w:tc>
          <w:tcPr>
            <w:tcW w:w="5872" w:type="dxa"/>
          </w:tcPr>
          <w:p w14:paraId="6B764857" w14:textId="77777777" w:rsidR="00AA7248" w:rsidRPr="00820C89" w:rsidRDefault="00AA7248" w:rsidP="00494038">
            <w:pPr>
              <w:pStyle w:val="ListBullet"/>
              <w:spacing w:before="60" w:after="60"/>
              <w:contextualSpacing w:val="0"/>
            </w:pPr>
            <w:r w:rsidRPr="00820C89">
              <w:t>Providers receive funding for their services based on specific outcomes or milestones, such as at 4 week, 13 week and 26 week employment milestones</w:t>
            </w:r>
          </w:p>
        </w:tc>
        <w:tc>
          <w:tcPr>
            <w:tcW w:w="5529" w:type="dxa"/>
          </w:tcPr>
          <w:p w14:paraId="33C21809" w14:textId="77777777" w:rsidR="00AA7248" w:rsidRPr="00820C89" w:rsidRDefault="00AA7248" w:rsidP="00494038">
            <w:pPr>
              <w:pStyle w:val="ListBullet"/>
              <w:spacing w:before="60" w:after="60"/>
              <w:contextualSpacing w:val="0"/>
            </w:pPr>
            <w:r w:rsidRPr="00820C89">
              <w:t>There is mixed evidence from employment program evaluations that supports the use of outcome payments.</w:t>
            </w:r>
          </w:p>
        </w:tc>
      </w:tr>
      <w:tr w:rsidR="00AA7248" w:rsidRPr="00820C89" w14:paraId="0BA10533" w14:textId="77777777" w:rsidTr="00494038">
        <w:tc>
          <w:tcPr>
            <w:tcW w:w="1499" w:type="dxa"/>
          </w:tcPr>
          <w:p w14:paraId="5DE910E2" w14:textId="77777777" w:rsidR="00AA7248" w:rsidRPr="00820C89" w:rsidRDefault="00AA7248" w:rsidP="00494038">
            <w:pPr>
              <w:rPr>
                <w:b/>
                <w:bCs/>
              </w:rPr>
            </w:pPr>
            <w:r w:rsidRPr="00820C89">
              <w:rPr>
                <w:b/>
                <w:bCs/>
              </w:rPr>
              <w:t>Place-based approach</w:t>
            </w:r>
          </w:p>
        </w:tc>
        <w:tc>
          <w:tcPr>
            <w:tcW w:w="5872" w:type="dxa"/>
          </w:tcPr>
          <w:p w14:paraId="513990C8" w14:textId="77777777" w:rsidR="00AA7248" w:rsidRPr="00820C89" w:rsidRDefault="00AA7248" w:rsidP="00494038">
            <w:pPr>
              <w:pStyle w:val="ListBullet"/>
              <w:spacing w:before="60" w:after="60"/>
              <w:contextualSpacing w:val="0"/>
            </w:pPr>
            <w:r w:rsidRPr="00820C89">
              <w:t>A place-based approach captures specific circumstances of a place by engaging local individuals across sectors to serve as active contributors to initiative development and implementation</w:t>
            </w:r>
          </w:p>
        </w:tc>
        <w:tc>
          <w:tcPr>
            <w:tcW w:w="5529" w:type="dxa"/>
          </w:tcPr>
          <w:p w14:paraId="28742AF7" w14:textId="77777777" w:rsidR="00AA7248" w:rsidRPr="00820C89" w:rsidRDefault="00AA7248" w:rsidP="00AA7248">
            <w:pPr>
              <w:pStyle w:val="ListBullet"/>
              <w:spacing w:before="170"/>
            </w:pPr>
            <w:r w:rsidRPr="00820C89">
              <w:t>Within a place-based approach, decision-making power is decentralised (rather than a top-down structure) to ensure the complex community needs and local labour market opportunities are understood, allowing for program tailoring to ensure sustainable employment outcomes.</w:t>
            </w:r>
          </w:p>
        </w:tc>
      </w:tr>
      <w:tr w:rsidR="00AA7248" w:rsidRPr="00820C89" w14:paraId="40AAB102" w14:textId="77777777" w:rsidTr="00494038">
        <w:tc>
          <w:tcPr>
            <w:tcW w:w="1499" w:type="dxa"/>
          </w:tcPr>
          <w:p w14:paraId="3B51233C" w14:textId="77777777" w:rsidR="00AA7248" w:rsidRPr="00820C89" w:rsidRDefault="00AA7248" w:rsidP="00494038">
            <w:pPr>
              <w:rPr>
                <w:b/>
                <w:bCs/>
              </w:rPr>
            </w:pPr>
            <w:r w:rsidRPr="00820C89">
              <w:rPr>
                <w:b/>
                <w:bCs/>
              </w:rPr>
              <w:t xml:space="preserve">Post-placement support </w:t>
            </w:r>
          </w:p>
        </w:tc>
        <w:tc>
          <w:tcPr>
            <w:tcW w:w="5872" w:type="dxa"/>
          </w:tcPr>
          <w:p w14:paraId="32C186FF" w14:textId="77777777" w:rsidR="00AA7248" w:rsidRPr="00820C89" w:rsidRDefault="00AA7248" w:rsidP="00494038">
            <w:pPr>
              <w:pStyle w:val="ListBullet"/>
              <w:spacing w:before="60" w:after="60"/>
              <w:contextualSpacing w:val="0"/>
            </w:pPr>
            <w:r w:rsidRPr="00820C89">
              <w:t>Post-placement support provided to the employer involves monitoring the placement for any issues through ongoing check-ins; ensuring that the employer understands what support is available for the participant; and ensuring contact with employers is appropriate</w:t>
            </w:r>
          </w:p>
        </w:tc>
        <w:tc>
          <w:tcPr>
            <w:tcW w:w="5529" w:type="dxa"/>
          </w:tcPr>
          <w:p w14:paraId="4564A214" w14:textId="77777777" w:rsidR="00AA7248" w:rsidRPr="00820C89" w:rsidRDefault="00AA7248" w:rsidP="00AA7248">
            <w:pPr>
              <w:pStyle w:val="ListBullet"/>
              <w:spacing w:before="170"/>
            </w:pPr>
            <w:r w:rsidRPr="00820C89">
              <w:t xml:space="preserve">It is considered effective practice to offer post-placement support for participants who experience significant barriers to employment to address issues likely to affect their employment sustainability.  </w:t>
            </w:r>
          </w:p>
        </w:tc>
      </w:tr>
    </w:tbl>
    <w:p w14:paraId="6F556819" w14:textId="77777777" w:rsidR="00AA7248" w:rsidRPr="00820C89" w:rsidRDefault="00AA7248" w:rsidP="00AA7248">
      <w:pPr>
        <w:pStyle w:val="Source"/>
        <w:sectPr w:rsidR="00AA7248" w:rsidRPr="00820C89" w:rsidSect="00494038">
          <w:pgSz w:w="16838" w:h="11906" w:orient="landscape" w:code="9"/>
          <w:pgMar w:top="1440" w:right="1440" w:bottom="1440" w:left="1440" w:header="680" w:footer="425" w:gutter="0"/>
          <w:cols w:space="284"/>
          <w:docGrid w:linePitch="360"/>
        </w:sectPr>
      </w:pPr>
      <w:r w:rsidRPr="00820C89">
        <w:t>Source: Deloitte Access Economics (2020).</w:t>
      </w:r>
    </w:p>
    <w:p w14:paraId="3A878723" w14:textId="77777777" w:rsidR="00AA7248" w:rsidRPr="00820C89" w:rsidRDefault="00AA7248" w:rsidP="00AA7248">
      <w:r w:rsidRPr="00820C89">
        <w:lastRenderedPageBreak/>
        <w:t xml:space="preserve">In addition to these features, there are several success principles that overlap and underpin general Australian employment programs. Many of these are implicit in the design features of Australian employment programs discussed below. </w:t>
      </w:r>
    </w:p>
    <w:p w14:paraId="7C580D86" w14:textId="77777777" w:rsidR="00AA7248" w:rsidRPr="00820C89" w:rsidRDefault="00AA7248" w:rsidP="00AA7248">
      <w:r w:rsidRPr="00820C89">
        <w:t xml:space="preserve">A </w:t>
      </w:r>
      <w:r w:rsidRPr="00820C89">
        <w:rPr>
          <w:b/>
          <w:bCs/>
        </w:rPr>
        <w:t>flexible program that is responsive to local labour market needs and the needs of jobseekers</w:t>
      </w:r>
      <w:r w:rsidRPr="00820C89">
        <w:t xml:space="preserve"> accessing the initiative is key. This ensures that training aligns with the individual jobseekers’ goals and preferences and is relevant to the skills required for sustained employment. </w:t>
      </w:r>
    </w:p>
    <w:p w14:paraId="590BB647" w14:textId="77777777" w:rsidR="00AA7248" w:rsidRPr="00820C89" w:rsidRDefault="00AA7248" w:rsidP="00AA7248">
      <w:r w:rsidRPr="00820C89">
        <w:rPr>
          <w:b/>
          <w:bCs/>
        </w:rPr>
        <w:t>Participant self-determination</w:t>
      </w:r>
      <w:r w:rsidRPr="00820C89">
        <w:t xml:space="preserve"> is a key success principle as it influences motivation and investment in the employment program, thereby contributing to the positive outcomes.</w:t>
      </w:r>
      <w:r w:rsidRPr="00820C89">
        <w:rPr>
          <w:vertAlign w:val="superscript"/>
        </w:rPr>
        <w:footnoteReference w:id="173"/>
      </w:r>
      <w:r w:rsidRPr="00820C89">
        <w:t xml:space="preserve"> Further, the provision of opportunities for participant choice allows for greater alignment between program offerings and the participant’s needs, aspirations and preferences, leading to more positive attitudes and reception of the program.</w:t>
      </w:r>
      <w:r w:rsidRPr="00820C89">
        <w:rPr>
          <w:vertAlign w:val="superscript"/>
        </w:rPr>
        <w:footnoteReference w:id="174"/>
      </w:r>
      <w:r w:rsidRPr="00820C89">
        <w:t xml:space="preserve">  </w:t>
      </w:r>
    </w:p>
    <w:p w14:paraId="315CB183" w14:textId="77777777" w:rsidR="00AA7248" w:rsidRPr="00820C89" w:rsidRDefault="00AA7248" w:rsidP="00AA7248">
      <w:r w:rsidRPr="00820C89">
        <w:t xml:space="preserve">For the most disadvantaged cohorts of jobseekers, the </w:t>
      </w:r>
      <w:r w:rsidRPr="00820C89">
        <w:rPr>
          <w:b/>
          <w:bCs/>
        </w:rPr>
        <w:t>provision of wrap-around and ongoing support</w:t>
      </w:r>
      <w:r w:rsidRPr="00820C89">
        <w:t xml:space="preserve"> is key to employment program success.</w:t>
      </w:r>
      <w:r w:rsidRPr="00820C89">
        <w:rPr>
          <w:vertAlign w:val="superscript"/>
        </w:rPr>
        <w:footnoteReference w:id="175"/>
      </w:r>
      <w:r w:rsidRPr="00820C89">
        <w:t xml:space="preserve"> Wrap-around support may include mentoring programs and connections to external services, such as mental health.</w:t>
      </w:r>
      <w:r w:rsidRPr="00820C89">
        <w:rPr>
          <w:vertAlign w:val="superscript"/>
        </w:rPr>
        <w:footnoteReference w:id="176"/>
      </w:r>
    </w:p>
    <w:p w14:paraId="4C12C1C3" w14:textId="77777777" w:rsidR="00AA7248" w:rsidRPr="00820C89" w:rsidRDefault="00AA7248" w:rsidP="00715F70">
      <w:pPr>
        <w:pStyle w:val="Heading3"/>
        <w:numPr>
          <w:ilvl w:val="2"/>
          <w:numId w:val="69"/>
        </w:numPr>
      </w:pPr>
      <w:bookmarkStart w:id="211" w:name="_Toc37779430"/>
      <w:bookmarkStart w:id="212" w:name="_Ref55309681"/>
      <w:bookmarkStart w:id="213" w:name="_Toc57053512"/>
      <w:r w:rsidRPr="00820C89">
        <w:t>Parity initiatives</w:t>
      </w:r>
      <w:bookmarkEnd w:id="211"/>
      <w:bookmarkEnd w:id="212"/>
      <w:bookmarkEnd w:id="213"/>
      <w:r w:rsidRPr="00820C89">
        <w:t xml:space="preserve">  </w:t>
      </w:r>
    </w:p>
    <w:p w14:paraId="06A02126" w14:textId="77777777" w:rsidR="00AA7248" w:rsidRPr="00820C89" w:rsidRDefault="00AA7248" w:rsidP="00AA7248">
      <w:r w:rsidRPr="00820C89">
        <w:t xml:space="preserve">Parity initiatives are contested and refer to actions undertaken to generate equality in employment opportunities between different groups within society. The way parity is defined differs. For example, under the EPI, parity is defined as reflecting the size of the Australian Indigenous population (currently 3 per cent); while GenerationOne’s version of parity includes the same level of population employment as non-Indigenous Australians across a range of demographic factors (such as age and gender). With respect to Indigenous Australians, parity initiatives have the potential to generate greater employment equity between Indigenous and non-Indigenous Australians. </w:t>
      </w:r>
    </w:p>
    <w:p w14:paraId="482450F9" w14:textId="77777777" w:rsidR="00AA7248" w:rsidRPr="00820C89" w:rsidRDefault="00AA7248" w:rsidP="00AA7248">
      <w:r w:rsidRPr="00820C89">
        <w:rPr>
          <w:b/>
          <w:bCs/>
        </w:rPr>
        <w:t>The effectiveness of parity initiatives as a mechanism of employment growth has received mixed results in research conducted to date, but there is evidence of its improvement to the work environment,</w:t>
      </w:r>
      <w:r w:rsidRPr="00820C89">
        <w:t xml:space="preserve"> with a recent American longitudinal study concluded that affirmative action contributed to increased diversity in workplaces.</w:t>
      </w:r>
      <w:r w:rsidRPr="00820C89">
        <w:rPr>
          <w:rStyle w:val="FootnoteReference"/>
        </w:rPr>
        <w:footnoteReference w:id="177"/>
      </w:r>
      <w:r w:rsidRPr="00820C89">
        <w:t xml:space="preserve"> In the context of Australia, there is very limited rigorous evidence supporting the use of parity initiatives. This is likely due to the difficulty in evaluating these kinds of initiatives – namely, that it is difficult to isolate the effects of such an initiative, as they are generally implemented in conjunction with other initiatives.  </w:t>
      </w:r>
    </w:p>
    <w:p w14:paraId="344333B4" w14:textId="77777777" w:rsidR="00AA7248" w:rsidRPr="00820C89" w:rsidRDefault="00AA7248" w:rsidP="00AA7248">
      <w:r w:rsidRPr="00820C89">
        <w:rPr>
          <w:b/>
          <w:bCs/>
        </w:rPr>
        <w:t>Parity can be worked towards through affirmative action, such as the implementation of quotas, targets or employer incentives. These strategies compensate for institutional barriers experienced by a particular cohort and can be effective, as described below</w:t>
      </w:r>
      <w:r w:rsidRPr="00820C89">
        <w:t>.</w:t>
      </w:r>
      <w:r w:rsidRPr="00820C89">
        <w:rPr>
          <w:rStyle w:val="FootnoteReference"/>
        </w:rPr>
        <w:footnoteReference w:id="178"/>
      </w:r>
      <w:r w:rsidRPr="00820C89">
        <w:t xml:space="preserve"> As such, linking quota compliance and employer incentives can be significant in generating parity.</w:t>
      </w:r>
      <w:r w:rsidRPr="00820C89">
        <w:rPr>
          <w:rStyle w:val="FootnoteReference"/>
        </w:rPr>
        <w:t xml:space="preserve"> </w:t>
      </w:r>
      <w:r w:rsidRPr="00820C89">
        <w:rPr>
          <w:rStyle w:val="FootnoteReference"/>
        </w:rPr>
        <w:footnoteReference w:id="179"/>
      </w:r>
      <w:r w:rsidRPr="00820C89">
        <w:t xml:space="preserve"> </w:t>
      </w:r>
      <w:r w:rsidRPr="00820C89">
        <w:lastRenderedPageBreak/>
        <w:t>However, each approach requires careful consideration, addressing potential challenges and barriers to implementation, to ensure it can contribute to increase diversity as described below.</w:t>
      </w:r>
      <w:r w:rsidRPr="00820C89">
        <w:rPr>
          <w:rStyle w:val="FootnoteReference"/>
        </w:rPr>
        <w:footnoteReference w:id="180"/>
      </w:r>
      <w:r w:rsidRPr="00820C89">
        <w:t xml:space="preserve"> </w:t>
      </w:r>
    </w:p>
    <w:p w14:paraId="112352AA" w14:textId="77777777" w:rsidR="00AA7248" w:rsidRPr="00820C89" w:rsidRDefault="00AA7248" w:rsidP="00AA7248">
      <w:pPr>
        <w:pStyle w:val="Heading4un-numbered"/>
      </w:pPr>
      <w:r w:rsidRPr="00820C89">
        <w:t>Quotas</w:t>
      </w:r>
    </w:p>
    <w:p w14:paraId="1327082C" w14:textId="77777777" w:rsidR="00AA7248" w:rsidRPr="00820C89" w:rsidRDefault="00AA7248" w:rsidP="00AA7248">
      <w:r w:rsidRPr="00820C89">
        <w:rPr>
          <w:b/>
          <w:bCs/>
        </w:rPr>
        <w:t>Setting quotas is believed to assist organisations in generating parity at an increased rate than it would have otherwise</w:t>
      </w:r>
      <w:r w:rsidRPr="00820C89">
        <w:t>. However, research into the appropriateness of setting gender quotas on boards noted the following barriers to implementing quotas effectively:</w:t>
      </w:r>
    </w:p>
    <w:p w14:paraId="5B712D3D" w14:textId="77777777" w:rsidR="00AA7248" w:rsidRPr="00820C89" w:rsidRDefault="00AA7248" w:rsidP="00AA7248">
      <w:pPr>
        <w:pStyle w:val="ListBullet"/>
        <w:spacing w:before="60" w:after="60"/>
        <w:contextualSpacing w:val="0"/>
      </w:pPr>
      <w:r w:rsidRPr="00820C89">
        <w:t xml:space="preserve">belief that they are unfair and discriminatory, or may stigmatise beneficiaries further, as there may be a perception that employment is not based on merit </w:t>
      </w:r>
    </w:p>
    <w:p w14:paraId="1FE17246" w14:textId="77777777" w:rsidR="00AA7248" w:rsidRPr="00820C89" w:rsidRDefault="00AA7248" w:rsidP="00AA7248">
      <w:pPr>
        <w:pStyle w:val="ListBullet"/>
        <w:spacing w:before="60" w:after="60"/>
        <w:contextualSpacing w:val="0"/>
      </w:pPr>
      <w:r w:rsidRPr="00820C89">
        <w:t>perception that they are not appropriate in a given context, or that accountability does not lie within a particular organisation to achieve such parity</w:t>
      </w:r>
    </w:p>
    <w:p w14:paraId="26E9BD99" w14:textId="77777777" w:rsidR="00AA7248" w:rsidRPr="00820C89" w:rsidRDefault="00AA7248" w:rsidP="00AA7248">
      <w:pPr>
        <w:pStyle w:val="ListBullet"/>
        <w:spacing w:before="60" w:after="60"/>
        <w:contextualSpacing w:val="0"/>
      </w:pPr>
      <w:r w:rsidRPr="00820C89">
        <w:t>belief that changing ideologies will effectively address parity concerns</w:t>
      </w:r>
    </w:p>
    <w:p w14:paraId="701B6C13" w14:textId="77777777" w:rsidR="00AA7248" w:rsidRPr="00820C89" w:rsidRDefault="00AA7248" w:rsidP="00AA7248">
      <w:pPr>
        <w:pStyle w:val="ListBullet"/>
        <w:spacing w:before="60" w:after="60"/>
        <w:contextualSpacing w:val="0"/>
      </w:pPr>
      <w:r w:rsidRPr="00820C89">
        <w:t>lack of genuine commitment to the quota initiative</w:t>
      </w:r>
    </w:p>
    <w:p w14:paraId="670DF868" w14:textId="77777777" w:rsidR="00AA7248" w:rsidRPr="00820C89" w:rsidRDefault="00AA7248" w:rsidP="00AA7248">
      <w:pPr>
        <w:pStyle w:val="ListBullet"/>
        <w:spacing w:before="60" w:after="60"/>
        <w:contextualSpacing w:val="0"/>
      </w:pPr>
      <w:r w:rsidRPr="00820C89">
        <w:t>conscious or unconscious bias</w:t>
      </w:r>
    </w:p>
    <w:p w14:paraId="1DFF9004" w14:textId="77777777" w:rsidR="00AA7248" w:rsidRPr="00820C89" w:rsidRDefault="00AA7248" w:rsidP="00AA7248">
      <w:pPr>
        <w:pStyle w:val="ListBullet"/>
        <w:spacing w:before="60" w:after="60"/>
        <w:contextualSpacing w:val="0"/>
      </w:pPr>
      <w:r w:rsidRPr="00820C89">
        <w:t>lack of suitable metrics to effectively measure performance</w:t>
      </w:r>
    </w:p>
    <w:p w14:paraId="7044A1F2" w14:textId="77777777" w:rsidR="00AA7248" w:rsidRPr="00820C89" w:rsidRDefault="00AA7248" w:rsidP="00AA7248">
      <w:pPr>
        <w:pStyle w:val="ListBullet"/>
        <w:spacing w:before="60" w:after="60"/>
        <w:contextualSpacing w:val="0"/>
      </w:pPr>
      <w:r w:rsidRPr="00820C89">
        <w:t>absence of consequences for failing to satisfy the quota.</w:t>
      </w:r>
      <w:r w:rsidRPr="00820C89">
        <w:rPr>
          <w:rStyle w:val="FootnoteReference"/>
        </w:rPr>
        <w:footnoteReference w:id="181"/>
      </w:r>
      <w:r w:rsidRPr="00820C89">
        <w:t xml:space="preserve"> </w:t>
      </w:r>
    </w:p>
    <w:p w14:paraId="1405BF79" w14:textId="77777777" w:rsidR="00AA7248" w:rsidRPr="00820C89" w:rsidRDefault="00AA7248" w:rsidP="00AA7248">
      <w:pPr>
        <w:rPr>
          <w:b/>
          <w:bCs/>
        </w:rPr>
      </w:pPr>
      <w:r w:rsidRPr="00820C89">
        <w:rPr>
          <w:b/>
          <w:bCs/>
        </w:rPr>
        <w:t>While these barriers may be valid considerations in determining the suitability of quotas, key arguments for quotas relate to the fact they guarantee and expedite parity, while effectively increasing representation and the justification of greater inclusion of disadvantaged cohorts within organisations.</w:t>
      </w:r>
      <w:r w:rsidRPr="00820C89">
        <w:rPr>
          <w:rStyle w:val="FootnoteReference"/>
          <w:b/>
          <w:bCs/>
        </w:rPr>
        <w:footnoteReference w:id="182"/>
      </w:r>
      <w:r w:rsidRPr="00820C89">
        <w:rPr>
          <w:b/>
          <w:bCs/>
        </w:rPr>
        <w:t xml:space="preserve"> </w:t>
      </w:r>
    </w:p>
    <w:p w14:paraId="3B8F307E" w14:textId="77777777" w:rsidR="00AA7248" w:rsidRPr="00820C89" w:rsidRDefault="00AA7248" w:rsidP="00AA7248">
      <w:pPr>
        <w:pStyle w:val="Heading4un-numbered"/>
      </w:pPr>
      <w:r w:rsidRPr="00820C89">
        <w:t>Targets</w:t>
      </w:r>
    </w:p>
    <w:p w14:paraId="7F4419B3" w14:textId="77777777" w:rsidR="00AA7248" w:rsidRPr="00820C89" w:rsidRDefault="00AA7248" w:rsidP="00AA7248">
      <w:r w:rsidRPr="00820C89">
        <w:t>Many employers in Australia have attempted to achieve parity for Indigenous Australians and gender equality by setting targets to foster increased representation in the workplace and compensate for an otherwise disadvantaged trajectory.</w:t>
      </w:r>
      <w:r w:rsidRPr="00820C89">
        <w:rPr>
          <w:rStyle w:val="FootnoteReference"/>
        </w:rPr>
        <w:footnoteReference w:id="183"/>
      </w:r>
      <w:r w:rsidRPr="00820C89">
        <w:rPr>
          <w:rStyle w:val="FootnoteReference"/>
        </w:rPr>
        <w:t xml:space="preserve"> </w:t>
      </w:r>
      <w:r w:rsidRPr="00820C89">
        <w:t xml:space="preserve"> Research conducted into the ‘Women on Boards Initiative’, which included targets for the percentage of women on boards, found that </w:t>
      </w:r>
      <w:r w:rsidRPr="00820C89">
        <w:rPr>
          <w:b/>
          <w:bCs/>
        </w:rPr>
        <w:t>such techniques can support parity whilst improving productivity, enhancing financial and social performance and facilitating greater diversity and inclusion across organisations more broadly</w:t>
      </w:r>
      <w:r w:rsidRPr="00820C89">
        <w:t>. The key contributing factors, underpinning such benefits, included:</w:t>
      </w:r>
    </w:p>
    <w:p w14:paraId="729AF69D" w14:textId="77777777" w:rsidR="00AA7248" w:rsidRPr="00820C89" w:rsidRDefault="00AA7248" w:rsidP="00AA7248">
      <w:pPr>
        <w:pStyle w:val="ListBullet"/>
        <w:spacing w:before="60" w:after="60"/>
        <w:contextualSpacing w:val="0"/>
      </w:pPr>
      <w:r w:rsidRPr="00820C89">
        <w:t>strong governance with a clear vision/strategy for diversity and inclusion</w:t>
      </w:r>
    </w:p>
    <w:p w14:paraId="3DF3D85A" w14:textId="77777777" w:rsidR="00AA7248" w:rsidRPr="00820C89" w:rsidRDefault="00AA7248" w:rsidP="00AA7248">
      <w:pPr>
        <w:pStyle w:val="ListBullet"/>
        <w:spacing w:before="60" w:after="60"/>
        <w:contextualSpacing w:val="0"/>
      </w:pPr>
      <w:r w:rsidRPr="00820C89">
        <w:t>committed leaders, who are willing to hold accountability for outcomes</w:t>
      </w:r>
    </w:p>
    <w:p w14:paraId="4EBFBD27" w14:textId="77777777" w:rsidR="00AA7248" w:rsidRPr="00820C89" w:rsidRDefault="00AA7248" w:rsidP="00AA7248">
      <w:pPr>
        <w:pStyle w:val="ListBullet"/>
        <w:spacing w:before="60" w:after="60"/>
        <w:contextualSpacing w:val="0"/>
      </w:pPr>
      <w:r w:rsidRPr="00820C89">
        <w:t>development of inclusive branding to generate an inclusive culture</w:t>
      </w:r>
    </w:p>
    <w:p w14:paraId="2CC84D72" w14:textId="77777777" w:rsidR="00AA7248" w:rsidRPr="00820C89" w:rsidRDefault="00AA7248" w:rsidP="00AA7248">
      <w:pPr>
        <w:pStyle w:val="ListBullet"/>
        <w:spacing w:before="60" w:after="60"/>
        <w:contextualSpacing w:val="0"/>
      </w:pPr>
      <w:r w:rsidRPr="00820C89">
        <w:t>systems and processes to attract diverse individuals and measure performance.</w:t>
      </w:r>
      <w:r w:rsidRPr="00820C89">
        <w:rPr>
          <w:rStyle w:val="FootnoteReference"/>
        </w:rPr>
        <w:footnoteReference w:id="184"/>
      </w:r>
      <w:r w:rsidRPr="00820C89">
        <w:t xml:space="preserve"> </w:t>
      </w:r>
    </w:p>
    <w:p w14:paraId="1B4FE4CF" w14:textId="77777777" w:rsidR="00AA7248" w:rsidRPr="00820C89" w:rsidRDefault="00AA7248" w:rsidP="00AA7248">
      <w:r w:rsidRPr="00820C89">
        <w:rPr>
          <w:b/>
          <w:bCs/>
        </w:rPr>
        <w:t>While targets are similar in approach to quotas, and barriers are somewhat similar, the key difference is that targets are aspirational rather than mandated.</w:t>
      </w:r>
      <w:r w:rsidRPr="00820C89">
        <w:t xml:space="preserve"> As such, the barriers have limited focus on functionality and practicality, and primarily relate to culture and leadership.</w:t>
      </w:r>
      <w:r w:rsidRPr="00820C89">
        <w:rPr>
          <w:rStyle w:val="FootnoteReference"/>
        </w:rPr>
        <w:footnoteReference w:id="185"/>
      </w:r>
      <w:r w:rsidRPr="00820C89">
        <w:t xml:space="preserve"> They include:</w:t>
      </w:r>
    </w:p>
    <w:p w14:paraId="63099D3B" w14:textId="77777777" w:rsidR="00AA7248" w:rsidRPr="00820C89" w:rsidRDefault="00AA7248" w:rsidP="00AA7248">
      <w:pPr>
        <w:pStyle w:val="ListBullet"/>
        <w:spacing w:before="170"/>
      </w:pPr>
      <w:r w:rsidRPr="00820C89">
        <w:lastRenderedPageBreak/>
        <w:t>assumptions that there is limited supply of experienced and capable individuals from the disadvantaged cohort</w:t>
      </w:r>
    </w:p>
    <w:p w14:paraId="02E1DDF1" w14:textId="77777777" w:rsidR="00AA7248" w:rsidRPr="00820C89" w:rsidRDefault="00AA7248" w:rsidP="00AA7248">
      <w:pPr>
        <w:pStyle w:val="ListBullet"/>
        <w:spacing w:before="170"/>
      </w:pPr>
      <w:r w:rsidRPr="00820C89">
        <w:t>failure to conduct appropriate recruitment strategies that align with targeted cohort needs and interests</w:t>
      </w:r>
    </w:p>
    <w:p w14:paraId="2E0C238B" w14:textId="77777777" w:rsidR="00AA7248" w:rsidRPr="00820C89" w:rsidRDefault="00AA7248" w:rsidP="00AA7248">
      <w:pPr>
        <w:pStyle w:val="ListBullet"/>
        <w:spacing w:before="170"/>
      </w:pPr>
      <w:r w:rsidRPr="00820C89">
        <w:t>a reputation that is perceived as being non-inclusive</w:t>
      </w:r>
    </w:p>
    <w:p w14:paraId="22BC5FCB" w14:textId="77777777" w:rsidR="00AA7248" w:rsidRPr="00820C89" w:rsidRDefault="00AA7248" w:rsidP="00AA7248">
      <w:pPr>
        <w:pStyle w:val="ListBullet"/>
        <w:spacing w:before="170"/>
      </w:pPr>
      <w:r w:rsidRPr="00820C89">
        <w:t>lack of role models or mentors and a lack of accountability due to poor reporting metrics and bias in decision-making.</w:t>
      </w:r>
      <w:r w:rsidRPr="00820C89">
        <w:rPr>
          <w:rStyle w:val="FootnoteReference"/>
        </w:rPr>
        <w:footnoteReference w:id="186"/>
      </w:r>
      <w:r w:rsidRPr="00820C89">
        <w:t xml:space="preserve"> </w:t>
      </w:r>
    </w:p>
    <w:p w14:paraId="2FB3C67D" w14:textId="5AC097E7" w:rsidR="00AA7248" w:rsidRDefault="00AA7248" w:rsidP="00AA7248">
      <w:pPr>
        <w:rPr>
          <w:b/>
          <w:bCs/>
        </w:rPr>
      </w:pPr>
      <w:r w:rsidRPr="00820C89">
        <w:rPr>
          <w:b/>
          <w:bCs/>
        </w:rPr>
        <w:t>As such, in implementing targets as a party initiative, organisations must carefully consider embedding values, strategies and tactics to ensure it can be employed effectively and overcome barriers.</w:t>
      </w:r>
    </w:p>
    <w:p w14:paraId="2628C0D0" w14:textId="77777777" w:rsidR="008F54A1" w:rsidRPr="00820C89" w:rsidRDefault="008F54A1" w:rsidP="008F54A1">
      <w:pPr>
        <w:keepNext/>
        <w:shd w:val="clear" w:color="auto" w:fill="DFF0F9" w:themeFill="accent3" w:themeFillTint="33"/>
        <w:rPr>
          <w:b/>
          <w:bCs/>
        </w:rPr>
      </w:pPr>
      <w:r w:rsidRPr="00820C89">
        <w:rPr>
          <w:b/>
          <w:bCs/>
        </w:rPr>
        <w:t xml:space="preserve">Box 3: Reconciliation Action Plans </w:t>
      </w:r>
    </w:p>
    <w:p w14:paraId="0479AEED" w14:textId="77777777" w:rsidR="008F54A1" w:rsidRPr="00820C89" w:rsidRDefault="008F54A1" w:rsidP="008F54A1">
      <w:pPr>
        <w:shd w:val="clear" w:color="auto" w:fill="DFF0F9" w:themeFill="accent3" w:themeFillTint="33"/>
      </w:pPr>
      <w:r w:rsidRPr="00820C89">
        <w:t>The prime example of a target in relation to Indigenous employment and improving relationships between Indigenous and other Australians is RAPs, administered by Reconciliation Australia. This initiative is Government-led and assists organisations to enhance their corporate responsibility by shifting their culture and planning goals that enhance reconciliation by improving Indigenous employment programs.</w:t>
      </w:r>
      <w:r w:rsidRPr="00820C89">
        <w:rPr>
          <w:rStyle w:val="FootnoteReference"/>
        </w:rPr>
        <w:footnoteReference w:id="187"/>
      </w:r>
      <w:r w:rsidRPr="00820C89">
        <w:t xml:space="preserve"> </w:t>
      </w:r>
    </w:p>
    <w:p w14:paraId="4B3878E3" w14:textId="77777777" w:rsidR="008F54A1" w:rsidRPr="00820C89" w:rsidRDefault="008F54A1" w:rsidP="008F54A1">
      <w:pPr>
        <w:shd w:val="clear" w:color="auto" w:fill="DFF0F9" w:themeFill="accent3" w:themeFillTint="33"/>
      </w:pPr>
      <w:r w:rsidRPr="00820C89">
        <w:rPr>
          <w:b/>
          <w:bCs/>
        </w:rPr>
        <w:t>The program aims to embed organisational culture change</w:t>
      </w:r>
      <w:r w:rsidRPr="00820C89">
        <w:t xml:space="preserve"> by building good relationships between Indigenous and non-Indigenous employees, and between the organisation and the broader local community; understanding and respecting Indigenous people’s contribution, experiences and culture; and creating opportunities for Indigenous employment.</w:t>
      </w:r>
      <w:r w:rsidRPr="00820C89">
        <w:rPr>
          <w:rStyle w:val="FootnoteReference"/>
        </w:rPr>
        <w:footnoteReference w:id="188"/>
      </w:r>
    </w:p>
    <w:p w14:paraId="50827E8C" w14:textId="77777777" w:rsidR="008F54A1" w:rsidRPr="00820C89" w:rsidRDefault="008F54A1" w:rsidP="008F54A1">
      <w:pPr>
        <w:shd w:val="clear" w:color="auto" w:fill="DFF0F9" w:themeFill="accent3" w:themeFillTint="33"/>
      </w:pPr>
      <w:r w:rsidRPr="00820C89">
        <w:rPr>
          <w:b/>
          <w:bCs/>
        </w:rPr>
        <w:t>Limited research exists that evaluates the effectiveness of RAPs.</w:t>
      </w:r>
      <w:r w:rsidRPr="00820C89">
        <w:t xml:space="preserve"> An Auspol evaluation from 2012 surveyed 4,612 respondents from 19 organisations with RAPs and found that overall RAPs are having a positive impact on workforce culture and relationships within and external to the organisation.</w:t>
      </w:r>
      <w:r w:rsidRPr="00820C89">
        <w:rPr>
          <w:rStyle w:val="FootnoteReference"/>
        </w:rPr>
        <w:footnoteReference w:id="189"/>
      </w:r>
      <w:r w:rsidRPr="00820C89">
        <w:t xml:space="preserve"> Approximately half of the survey questions were leveraged from Reconciliation Barometer, a biennial survey that monitors the progress of reconciliation, to compare the attitudes and behaviours of RAP organisation employees with those of the broader public. </w:t>
      </w:r>
    </w:p>
    <w:p w14:paraId="393D91C8" w14:textId="77777777" w:rsidR="008F54A1" w:rsidRPr="00820C89" w:rsidRDefault="008F54A1" w:rsidP="008F54A1">
      <w:pPr>
        <w:shd w:val="clear" w:color="auto" w:fill="DFF0F9" w:themeFill="accent3" w:themeFillTint="33"/>
      </w:pPr>
      <w:r w:rsidRPr="00820C89">
        <w:t>Specifically, this evaluation found that:</w:t>
      </w:r>
    </w:p>
    <w:p w14:paraId="0A0E8618" w14:textId="77777777" w:rsidR="008F54A1" w:rsidRPr="00820C89" w:rsidRDefault="008F54A1" w:rsidP="008F54A1">
      <w:pPr>
        <w:pStyle w:val="ListBullet"/>
        <w:shd w:val="clear" w:color="auto" w:fill="DFF0F9" w:themeFill="accent3" w:themeFillTint="33"/>
        <w:spacing w:before="170"/>
      </w:pPr>
      <w:r w:rsidRPr="00820C89">
        <w:rPr>
          <w:b/>
          <w:bCs/>
        </w:rPr>
        <w:t>knowledge and awareness of Indigenous culture, background and hence reconciliation efforts among employees of RAP organisations is higher than the broader community</w:t>
      </w:r>
      <w:r w:rsidRPr="00820C89">
        <w:t xml:space="preserve">; </w:t>
      </w:r>
    </w:p>
    <w:p w14:paraId="6A3AF16D" w14:textId="77777777" w:rsidR="008F54A1" w:rsidRPr="00820C89" w:rsidRDefault="008F54A1" w:rsidP="008F54A1">
      <w:pPr>
        <w:pStyle w:val="ListBullet"/>
        <w:shd w:val="clear" w:color="auto" w:fill="DFF0F9" w:themeFill="accent3" w:themeFillTint="33"/>
        <w:spacing w:before="170"/>
        <w:rPr>
          <w:b/>
          <w:bCs/>
        </w:rPr>
      </w:pPr>
      <w:r w:rsidRPr="00820C89">
        <w:rPr>
          <w:b/>
          <w:bCs/>
        </w:rPr>
        <w:t>RAP employees participate in more reconciliation activities and actions, as compared with the general community as a whole;</w:t>
      </w:r>
    </w:p>
    <w:p w14:paraId="724CD0F7" w14:textId="77777777" w:rsidR="008F54A1" w:rsidRPr="00820C89" w:rsidRDefault="008F54A1" w:rsidP="008F54A1">
      <w:pPr>
        <w:pStyle w:val="ListBullet"/>
        <w:shd w:val="clear" w:color="auto" w:fill="DFF0F9" w:themeFill="accent3" w:themeFillTint="33"/>
        <w:spacing w:before="170"/>
        <w:rPr>
          <w:b/>
          <w:bCs/>
        </w:rPr>
      </w:pPr>
      <w:r w:rsidRPr="00820C89">
        <w:rPr>
          <w:b/>
          <w:bCs/>
        </w:rPr>
        <w:t xml:space="preserve">RAP employees have more contact with Indigenous Australians and more positive attitudes towards Indigenous people; </w:t>
      </w:r>
    </w:p>
    <w:p w14:paraId="07F982EE" w14:textId="77777777" w:rsidR="008F54A1" w:rsidRPr="00820C89" w:rsidRDefault="008F54A1" w:rsidP="008F54A1">
      <w:pPr>
        <w:pStyle w:val="ListBullet"/>
        <w:shd w:val="clear" w:color="auto" w:fill="DFF0F9" w:themeFill="accent3" w:themeFillTint="33"/>
        <w:spacing w:before="170"/>
      </w:pPr>
      <w:r w:rsidRPr="00820C89">
        <w:rPr>
          <w:b/>
          <w:bCs/>
        </w:rPr>
        <w:t>there is an opportunity for further promotion of RAPs within organisations</w:t>
      </w:r>
      <w:r w:rsidRPr="00820C89">
        <w:t>.</w:t>
      </w:r>
      <w:r w:rsidRPr="00820C89">
        <w:rPr>
          <w:rStyle w:val="FootnoteReference"/>
        </w:rPr>
        <w:footnoteReference w:id="190"/>
      </w:r>
    </w:p>
    <w:p w14:paraId="29906916" w14:textId="0A2086DB" w:rsidR="008F54A1" w:rsidRPr="00820C89" w:rsidRDefault="008F54A1" w:rsidP="008F54A1">
      <w:pPr>
        <w:shd w:val="clear" w:color="auto" w:fill="DFF0F9" w:themeFill="accent3" w:themeFillTint="33"/>
        <w:rPr>
          <w:b/>
          <w:bCs/>
        </w:rPr>
      </w:pPr>
      <w:r w:rsidRPr="00820C89">
        <w:t>Unfortunately, this evaluation did not include findings on whether Indigenous employment increased within organisations with a RAP, although it is noted that a further eight years of data (to 2020) and evolution in RAP practices would allow for richer perspectives.</w:t>
      </w:r>
    </w:p>
    <w:p w14:paraId="2D85B20F" w14:textId="77777777" w:rsidR="00AA7248" w:rsidRPr="00820C89" w:rsidRDefault="00AA7248" w:rsidP="00715F70">
      <w:pPr>
        <w:pStyle w:val="Heading31"/>
        <w:outlineLvl w:val="3"/>
      </w:pPr>
      <w:bookmarkStart w:id="214" w:name="_Toc57053513"/>
      <w:r w:rsidRPr="00820C89">
        <w:lastRenderedPageBreak/>
        <w:t>Wage subsidies</w:t>
      </w:r>
      <w:bookmarkEnd w:id="214"/>
    </w:p>
    <w:p w14:paraId="7D0CC382" w14:textId="77777777" w:rsidR="00AA7248" w:rsidRPr="00820C89" w:rsidRDefault="00AA7248" w:rsidP="00AA7248">
      <w:r w:rsidRPr="00820C89">
        <w:t>Wage subsidies typically target the most vulnerable and disadvantaged cohorts; they serve to compensate employers for the real or perceived risk of taking on the job seeker with the targeted characteristics (such as the provision of additional supports or training).</w:t>
      </w:r>
      <w:r w:rsidRPr="00820C89">
        <w:rPr>
          <w:rStyle w:val="FootnoteReference"/>
        </w:rPr>
        <w:footnoteReference w:id="191"/>
      </w:r>
      <w:r w:rsidRPr="00820C89">
        <w:t xml:space="preserve"> </w:t>
      </w:r>
    </w:p>
    <w:p w14:paraId="6DB55F2A" w14:textId="77777777" w:rsidR="00AA7248" w:rsidRPr="00820C89" w:rsidRDefault="00AA7248" w:rsidP="00AA7248">
      <w:r w:rsidRPr="00820C89">
        <w:rPr>
          <w:b/>
          <w:bCs/>
        </w:rPr>
        <w:t>Australian evaluations and international research have reported inconsistent results regarding the impact of wage subsidies on employment outcomes</w:t>
      </w:r>
      <w:r w:rsidRPr="00820C89">
        <w:t>.</w:t>
      </w:r>
      <w:r w:rsidRPr="00820C89">
        <w:rPr>
          <w:rStyle w:val="FootnoteReference"/>
        </w:rPr>
        <w:footnoteReference w:id="192"/>
      </w:r>
      <w:r w:rsidRPr="00820C89">
        <w:t xml:space="preserve"> </w:t>
      </w:r>
    </w:p>
    <w:p w14:paraId="6210C1B8" w14:textId="77777777" w:rsidR="00AA7248" w:rsidRPr="00820C89" w:rsidRDefault="00AA7248" w:rsidP="00AA7248">
      <w:pPr>
        <w:pStyle w:val="ListBullet"/>
        <w:spacing w:before="170"/>
      </w:pPr>
      <w:r w:rsidRPr="00820C89">
        <w:t xml:space="preserve">An Australian study evaluated the impact of </w:t>
      </w:r>
      <w:r w:rsidRPr="00820C89">
        <w:rPr>
          <w:i/>
          <w:iCs/>
        </w:rPr>
        <w:t>jobactive</w:t>
      </w:r>
      <w:r w:rsidRPr="00820C89">
        <w:t xml:space="preserve"> and Disability Employment Services (DES) wage subsidy programs utilising data from the Department of Social Services (DSS) from 2014-2016. This study found that </w:t>
      </w:r>
      <w:r w:rsidRPr="00820C89">
        <w:rPr>
          <w:b/>
          <w:bCs/>
        </w:rPr>
        <w:t>subsidy schemes for the employment of people with disability in the open labour market produced positive influences.</w:t>
      </w:r>
      <w:r w:rsidRPr="00820C89">
        <w:t xml:space="preserve"> In particular, more participants in jobs linked to wage subsidies fulfilled 13-week and 26-week milestones when compared to those in jobs not linked to wage subsidies.</w:t>
      </w:r>
      <w:r w:rsidRPr="00820C89">
        <w:rPr>
          <w:rStyle w:val="FootnoteReference"/>
        </w:rPr>
        <w:footnoteReference w:id="193"/>
      </w:r>
      <w:r w:rsidRPr="00820C89">
        <w:t xml:space="preserve"> </w:t>
      </w:r>
    </w:p>
    <w:p w14:paraId="37E4AC9A" w14:textId="77777777" w:rsidR="00AA7248" w:rsidRPr="00820C89" w:rsidRDefault="00AA7248" w:rsidP="00AA7248">
      <w:pPr>
        <w:pStyle w:val="ListBullet"/>
        <w:spacing w:before="170"/>
        <w:rPr>
          <w:rStyle w:val="CommentReference"/>
          <w:sz w:val="18"/>
          <w:szCs w:val="17"/>
        </w:rPr>
      </w:pPr>
      <w:r w:rsidRPr="00820C89">
        <w:rPr>
          <w:b/>
          <w:bCs/>
        </w:rPr>
        <w:t xml:space="preserve">Wage subsidies within </w:t>
      </w:r>
      <w:r w:rsidRPr="00820C89">
        <w:rPr>
          <w:b/>
          <w:bCs/>
          <w:i/>
          <w:iCs/>
        </w:rPr>
        <w:t xml:space="preserve">jobactive </w:t>
      </w:r>
      <w:r w:rsidRPr="00820C89">
        <w:rPr>
          <w:b/>
          <w:bCs/>
        </w:rPr>
        <w:t>have received criticism with respect to the way the funding is determined</w:t>
      </w:r>
      <w:r w:rsidRPr="00820C89">
        <w:t>. Funding for wage subsidies sits within the Employment Fund, a pool of funding provided to the employment services provider to spend at their choosing. For instance, wage subsidies of up to $10,000 (GST inclusive) may be available to Australian businesses hiring employment services participants, but this choice lies with the employment service provider.</w:t>
      </w:r>
      <w:r w:rsidRPr="00820C89">
        <w:rPr>
          <w:rStyle w:val="FootnoteReference"/>
        </w:rPr>
        <w:footnoteReference w:id="194"/>
      </w:r>
      <w:r w:rsidRPr="00820C89">
        <w:t xml:space="preserve"> This means that wage subsidies may not necessarily be being used to fund the most relevant and effective activities, supports or training required by participants.</w:t>
      </w:r>
    </w:p>
    <w:p w14:paraId="5ABE53FB" w14:textId="77777777" w:rsidR="00AA7248" w:rsidRPr="00820C89" w:rsidRDefault="00AA7248" w:rsidP="00AA7248">
      <w:pPr>
        <w:pStyle w:val="ListBullet"/>
        <w:spacing w:before="170"/>
      </w:pPr>
      <w:r w:rsidRPr="00820C89">
        <w:rPr>
          <w:b/>
          <w:bCs/>
        </w:rPr>
        <w:t xml:space="preserve">In the recent 2019 Senate Report </w:t>
      </w:r>
      <w:r w:rsidRPr="00820C89">
        <w:rPr>
          <w:b/>
          <w:bCs/>
          <w:i/>
          <w:iCs/>
        </w:rPr>
        <w:t xml:space="preserve">Jobactive: failing those it is intended to serve, </w:t>
      </w:r>
      <w:r w:rsidRPr="00820C89">
        <w:rPr>
          <w:b/>
          <w:bCs/>
        </w:rPr>
        <w:t>submitters expressed different views on the effectiveness of wage subsidies.</w:t>
      </w:r>
      <w:r w:rsidRPr="00820C89">
        <w:t xml:space="preserve"> Key themes included: wage subsidies must create genuine pathways to long-term employment, instead of subsidising short-term positions; wage subsidies are ineffective in isolation and must be “part of a package of support”; and accessibility to wage subsidies is hampered by “red tape”.</w:t>
      </w:r>
      <w:r w:rsidRPr="00820C89">
        <w:rPr>
          <w:rStyle w:val="FootnoteReference"/>
        </w:rPr>
        <w:footnoteReference w:id="195"/>
      </w:r>
    </w:p>
    <w:p w14:paraId="52A89B53" w14:textId="77777777" w:rsidR="00AA7248" w:rsidRPr="00820C89" w:rsidRDefault="00AA7248" w:rsidP="00AA7248">
      <w:r w:rsidRPr="00820C89">
        <w:t>In sum, wage subsidies have found to positively influence employment outcomes for disadvantaged jobseekers. However, key limitations of wage subsidies include:</w:t>
      </w:r>
    </w:p>
    <w:p w14:paraId="295BA282" w14:textId="77777777" w:rsidR="00AA7248" w:rsidRPr="00820C89" w:rsidRDefault="00AA7248" w:rsidP="00AA7248">
      <w:pPr>
        <w:pStyle w:val="ListBullet"/>
        <w:spacing w:before="60" w:after="60"/>
        <w:contextualSpacing w:val="0"/>
      </w:pPr>
      <w:r w:rsidRPr="00820C89">
        <w:rPr>
          <w:b/>
          <w:bCs/>
        </w:rPr>
        <w:t>negative signalling</w:t>
      </w:r>
      <w:r w:rsidRPr="00820C89">
        <w:t xml:space="preserve"> – participants may endure employer stigmatisation after disclosing details of their personal conditions which they would otherwise not have to share</w:t>
      </w:r>
    </w:p>
    <w:p w14:paraId="3B762986" w14:textId="77777777" w:rsidR="00AA7248" w:rsidRPr="00820C89" w:rsidRDefault="00AA7248" w:rsidP="00AA7248">
      <w:pPr>
        <w:pStyle w:val="ListBullet"/>
        <w:spacing w:before="60" w:after="60"/>
        <w:contextualSpacing w:val="0"/>
      </w:pPr>
      <w:r w:rsidRPr="00820C89">
        <w:rPr>
          <w:b/>
          <w:bCs/>
        </w:rPr>
        <w:t xml:space="preserve">displacement </w:t>
      </w:r>
      <w:r w:rsidRPr="00820C89">
        <w:t xml:space="preserve">– jobs are created at the expense of ‘regular’ jobs which can distort competition </w:t>
      </w:r>
    </w:p>
    <w:p w14:paraId="3F23BA6B" w14:textId="77777777" w:rsidR="00AA7248" w:rsidRPr="00820C89" w:rsidRDefault="00AA7248" w:rsidP="00AA7248">
      <w:pPr>
        <w:pStyle w:val="ListBullet"/>
        <w:spacing w:before="60" w:after="60"/>
        <w:contextualSpacing w:val="0"/>
      </w:pPr>
      <w:r w:rsidRPr="00820C89">
        <w:rPr>
          <w:b/>
          <w:bCs/>
        </w:rPr>
        <w:t xml:space="preserve">costly </w:t>
      </w:r>
      <w:r w:rsidRPr="00820C89">
        <w:t>– wage subsidy schemes can be administratively expensive and may be underutilised.</w:t>
      </w:r>
      <w:r w:rsidRPr="00820C89">
        <w:rPr>
          <w:rStyle w:val="FootnoteReference"/>
        </w:rPr>
        <w:footnoteReference w:id="196"/>
      </w:r>
    </w:p>
    <w:p w14:paraId="58B37250" w14:textId="77777777" w:rsidR="00AA7248" w:rsidRPr="00820C89" w:rsidRDefault="00AA7248" w:rsidP="00AA7248">
      <w:r w:rsidRPr="00820C89">
        <w:lastRenderedPageBreak/>
        <w:t>Key preconditions to success identified in the literature include the need for a clearly targeted, well-defined group, as well as ensuring that the initiative is administrated with sensitivity and care.</w:t>
      </w:r>
      <w:r w:rsidRPr="00820C89">
        <w:rPr>
          <w:rStyle w:val="FootnoteReference"/>
        </w:rPr>
        <w:footnoteReference w:id="197"/>
      </w:r>
    </w:p>
    <w:p w14:paraId="77353FED" w14:textId="77777777" w:rsidR="00AA7248" w:rsidRPr="00820C89" w:rsidRDefault="00AA7248" w:rsidP="00715F70">
      <w:pPr>
        <w:pStyle w:val="Heading31"/>
        <w:outlineLvl w:val="3"/>
      </w:pPr>
      <w:bookmarkStart w:id="215" w:name="_Toc57053514"/>
      <w:r w:rsidRPr="00820C89">
        <w:t>Streaming</w:t>
      </w:r>
      <w:bookmarkEnd w:id="215"/>
      <w:r w:rsidRPr="00820C89">
        <w:t xml:space="preserve"> </w:t>
      </w:r>
    </w:p>
    <w:p w14:paraId="50E25145" w14:textId="77777777" w:rsidR="00AA7248" w:rsidRPr="00820C89" w:rsidRDefault="00AA7248" w:rsidP="00AA7248">
      <w:r w:rsidRPr="00820C89">
        <w:rPr>
          <w:b/>
        </w:rPr>
        <w:t>Streaming is a common feature of mainstream employment programs that seeks to ensure supports, activities and training offered align with the needs of the participant</w:t>
      </w:r>
      <w:r w:rsidRPr="00820C89">
        <w:t>. In Australian employment services, streaming is based on an assessment of relative disadvantage, using the Job Seeker Classification Instrument (JSCI) that assesses the capacity and unique needs of the jobseekers. After the JSCI assessment, participants are allocated into one of three service streams: Stream A, which comprises participants who are the most job-ready; Stream B, which includes jobseekers who require their provider to play a greater in supporting job-readiness; and Stream C, which encompasses the most disadvantaged cohort facing a range of personal and work-related barriers.</w:t>
      </w:r>
      <w:r w:rsidRPr="00820C89">
        <w:rPr>
          <w:rStyle w:val="FootnoteReference"/>
        </w:rPr>
        <w:footnoteReference w:id="198"/>
      </w:r>
      <w:r w:rsidRPr="00820C89">
        <w:t xml:space="preserve"> </w:t>
      </w:r>
    </w:p>
    <w:p w14:paraId="1554ACBF" w14:textId="77777777" w:rsidR="00AA7248" w:rsidRPr="00820C89" w:rsidRDefault="00AA7248" w:rsidP="00AA7248">
      <w:r w:rsidRPr="00820C89">
        <w:rPr>
          <w:b/>
          <w:bCs/>
        </w:rPr>
        <w:t xml:space="preserve">While streaming has been received as a positive feature that, </w:t>
      </w:r>
      <w:r w:rsidRPr="00820C89">
        <w:t>among others,</w:t>
      </w:r>
      <w:r w:rsidRPr="00820C89">
        <w:rPr>
          <w:b/>
          <w:bCs/>
        </w:rPr>
        <w:t xml:space="preserve"> supports sustainable employment through a differentiated approach, there are a number of challenges associated with the current process for streaming, leading to participants being misallocated</w:t>
      </w:r>
      <w:r w:rsidRPr="00820C89">
        <w:t>. For example, the Committee in the recent jobactive evaluation reported that it is “very concerned around inaccurate streaming of participants… and strong supports making the process more comprehensive”.</w:t>
      </w:r>
      <w:r w:rsidRPr="00820C89">
        <w:rPr>
          <w:rStyle w:val="FootnoteReference"/>
        </w:rPr>
        <w:footnoteReference w:id="199"/>
      </w:r>
    </w:p>
    <w:p w14:paraId="6C73C558" w14:textId="77777777" w:rsidR="00AA7248" w:rsidRPr="00820C89" w:rsidRDefault="00AA7248" w:rsidP="00AA7248">
      <w:pPr>
        <w:pStyle w:val="ListBullet"/>
        <w:numPr>
          <w:ilvl w:val="0"/>
          <w:numId w:val="0"/>
        </w:numPr>
      </w:pPr>
      <w:r w:rsidRPr="00820C89">
        <w:rPr>
          <w:b/>
          <w:bCs/>
        </w:rPr>
        <w:t>A key challenge and reason for participant stream misallocation is the reliance on individual disclosure of personal information</w:t>
      </w:r>
      <w:r w:rsidRPr="00820C89">
        <w:t>.</w:t>
      </w:r>
      <w:r w:rsidRPr="00820C89">
        <w:rPr>
          <w:rStyle w:val="FootnoteReference"/>
        </w:rPr>
        <w:footnoteReference w:id="200"/>
      </w:r>
      <w:r w:rsidRPr="00820C89">
        <w:t xml:space="preserve"> Participants may be reluctant to share information about their barriers and personal circumstances due to fear of it being recorded in a government system.</w:t>
      </w:r>
      <w:r w:rsidRPr="00820C89">
        <w:rPr>
          <w:rStyle w:val="FootnoteReference"/>
        </w:rPr>
        <w:footnoteReference w:id="201"/>
      </w:r>
      <w:r w:rsidRPr="00820C89">
        <w:t xml:space="preserve"> For participants, this can be a daunting process, particularly for those experiencing structural disadvantage and psychological barriers. Divulging this type of information to an unfamiliar assessor, who the participant does not have an established, trusting relationship, may result in participants misrepresenting or diluting their barriers.</w:t>
      </w:r>
      <w:r w:rsidRPr="00820C89">
        <w:rPr>
          <w:rStyle w:val="FootnoteReference"/>
        </w:rPr>
        <w:footnoteReference w:id="202"/>
      </w:r>
      <w:r w:rsidRPr="00820C89">
        <w:t xml:space="preserve"> Further, participants may not be fully aware of the impact that non-disclosure or disclosure can have on their experience of employment services. </w:t>
      </w:r>
      <w:r w:rsidRPr="00820C89">
        <w:rPr>
          <w:b/>
          <w:bCs/>
        </w:rPr>
        <w:t>For these reasons, the limitations of the streaming process are disproportionately experienced by the most disadvantaged cohorts.</w:t>
      </w:r>
      <w:r w:rsidRPr="00820C89">
        <w:rPr>
          <w:rStyle w:val="FootnoteReference"/>
          <w:b/>
          <w:bCs/>
        </w:rPr>
        <w:footnoteReference w:id="203"/>
      </w:r>
    </w:p>
    <w:p w14:paraId="3066B662" w14:textId="77777777" w:rsidR="00AA7248" w:rsidRPr="00820C89" w:rsidRDefault="00AA7248" w:rsidP="00715F70">
      <w:pPr>
        <w:pStyle w:val="Heading31"/>
        <w:outlineLvl w:val="3"/>
      </w:pPr>
      <w:bookmarkStart w:id="216" w:name="_Toc37779431"/>
      <w:bookmarkStart w:id="217" w:name="_Toc57053515"/>
      <w:bookmarkStart w:id="218" w:name="_Ref55304786"/>
      <w:r w:rsidRPr="00820C89">
        <w:t>Job-readiness training</w:t>
      </w:r>
      <w:bookmarkEnd w:id="216"/>
      <w:bookmarkEnd w:id="217"/>
      <w:r w:rsidRPr="00820C89">
        <w:t xml:space="preserve"> </w:t>
      </w:r>
      <w:bookmarkEnd w:id="218"/>
    </w:p>
    <w:p w14:paraId="6F6F995A" w14:textId="77777777" w:rsidR="00AA7248" w:rsidRPr="00820C89" w:rsidRDefault="00AA7248" w:rsidP="00AA7248">
      <w:r w:rsidRPr="00820C89">
        <w:rPr>
          <w:b/>
          <w:bCs/>
        </w:rPr>
        <w:t>Job-readiness training differs from job-specific training in that the former supports participants to overcome personal barriers that significantly interfere with accessing and keeping employment</w:t>
      </w:r>
      <w:r w:rsidRPr="00820C89">
        <w:t>, while the latter relates to the skills required by an employer to ensure the participant is able to perform the duties necessary for their specific job.</w:t>
      </w:r>
      <w:r w:rsidRPr="00820C89">
        <w:rPr>
          <w:rStyle w:val="FootnoteReference"/>
        </w:rPr>
        <w:footnoteReference w:id="204"/>
      </w:r>
    </w:p>
    <w:p w14:paraId="275B040A" w14:textId="77777777" w:rsidR="00AA7248" w:rsidRPr="00820C89" w:rsidRDefault="00AA7248" w:rsidP="00AA7248">
      <w:r w:rsidRPr="00820C89">
        <w:t>The types of training/skill development included in job-readiness training are:</w:t>
      </w:r>
    </w:p>
    <w:p w14:paraId="69B6AE4D" w14:textId="77777777" w:rsidR="00AA7248" w:rsidRPr="00820C89" w:rsidRDefault="00AA7248" w:rsidP="00AA7248">
      <w:pPr>
        <w:pStyle w:val="ListBullet"/>
        <w:spacing w:before="60" w:after="60"/>
        <w:contextualSpacing w:val="0"/>
      </w:pPr>
      <w:r w:rsidRPr="00820C89">
        <w:t>English language training</w:t>
      </w:r>
    </w:p>
    <w:p w14:paraId="2049A26E" w14:textId="77777777" w:rsidR="00AA7248" w:rsidRPr="00820C89" w:rsidRDefault="00AA7248" w:rsidP="00AA7248">
      <w:pPr>
        <w:pStyle w:val="ListBullet"/>
        <w:spacing w:before="60" w:after="60"/>
        <w:contextualSpacing w:val="0"/>
      </w:pPr>
      <w:r w:rsidRPr="00820C89">
        <w:t xml:space="preserve">literacy and numeracy skills  </w:t>
      </w:r>
    </w:p>
    <w:p w14:paraId="43E9235D" w14:textId="77777777" w:rsidR="00AA7248" w:rsidRPr="00820C89" w:rsidRDefault="00AA7248" w:rsidP="00AA7248">
      <w:pPr>
        <w:pStyle w:val="ListBullet"/>
        <w:spacing w:before="60" w:after="60"/>
        <w:contextualSpacing w:val="0"/>
      </w:pPr>
      <w:r w:rsidRPr="00820C89">
        <w:t>job search and application skills</w:t>
      </w:r>
    </w:p>
    <w:p w14:paraId="61FE729C" w14:textId="77777777" w:rsidR="00AA7248" w:rsidRPr="00820C89" w:rsidRDefault="00AA7248" w:rsidP="00AA7248">
      <w:pPr>
        <w:pStyle w:val="ListBullet"/>
        <w:spacing w:before="60" w:after="60"/>
        <w:contextualSpacing w:val="0"/>
      </w:pPr>
      <w:r w:rsidRPr="00820C89">
        <w:lastRenderedPageBreak/>
        <w:t>training in basic, general skills required for the workplace (such as IT)</w:t>
      </w:r>
    </w:p>
    <w:p w14:paraId="797FC3FA" w14:textId="77777777" w:rsidR="00AA7248" w:rsidRPr="00820C89" w:rsidRDefault="00AA7248" w:rsidP="00AA7248">
      <w:pPr>
        <w:pStyle w:val="ListBullet"/>
        <w:spacing w:before="60" w:after="60"/>
        <w:contextualSpacing w:val="0"/>
      </w:pPr>
      <w:r w:rsidRPr="00820C89">
        <w:t xml:space="preserve">interpersonal skills and time management </w:t>
      </w:r>
    </w:p>
    <w:p w14:paraId="358E50F2" w14:textId="77777777" w:rsidR="00AA7248" w:rsidRPr="00820C89" w:rsidRDefault="00AA7248" w:rsidP="00AA7248">
      <w:pPr>
        <w:pStyle w:val="ListBullet"/>
        <w:spacing w:before="60" w:after="60"/>
        <w:contextualSpacing w:val="0"/>
      </w:pPr>
      <w:r w:rsidRPr="00820C89">
        <w:t xml:space="preserve">introduction to workplace expectations relating to working in teams, working with colleagues from diverse backgrounds, behaviour and dress code </w:t>
      </w:r>
    </w:p>
    <w:p w14:paraId="2FC428F6" w14:textId="77777777" w:rsidR="00AA7248" w:rsidRPr="00820C89" w:rsidRDefault="00AA7248" w:rsidP="00AA7248">
      <w:pPr>
        <w:pStyle w:val="ListBullet"/>
        <w:spacing w:before="60" w:after="60"/>
        <w:contextualSpacing w:val="0"/>
      </w:pPr>
      <w:r w:rsidRPr="00820C89">
        <w:t>assistance in overcoming barriers to work (such as lack of transport, childcare).</w:t>
      </w:r>
      <w:r w:rsidRPr="00820C89">
        <w:rPr>
          <w:rStyle w:val="FootnoteReference"/>
        </w:rPr>
        <w:footnoteReference w:id="205"/>
      </w:r>
    </w:p>
    <w:p w14:paraId="13641F11" w14:textId="77777777" w:rsidR="00AA7248" w:rsidRPr="00820C89" w:rsidRDefault="00AA7248" w:rsidP="00AA7248">
      <w:r w:rsidRPr="00820C89">
        <w:rPr>
          <w:b/>
          <w:bCs/>
        </w:rPr>
        <w:t>It is important that the type of training offered aligns with the job seeker’s job-specific needs and goals.</w:t>
      </w:r>
      <w:r w:rsidRPr="00820C89">
        <w:t xml:space="preserve"> The 2015 </w:t>
      </w:r>
      <w:r w:rsidRPr="00820C89">
        <w:rPr>
          <w:i/>
        </w:rPr>
        <w:t>Progress Evaluation of the Vocational Training and Employment Programme</w:t>
      </w:r>
      <w:r w:rsidRPr="00820C89">
        <w:t xml:space="preserve"> report recommended that VTEC consider developing an employability skills needs assessment tool, to improve training ‘fit’ and ensure consistent practice to selecting appropriate training for program participants.</w:t>
      </w:r>
      <w:r w:rsidRPr="00820C89">
        <w:rPr>
          <w:rStyle w:val="FootnoteReference"/>
        </w:rPr>
        <w:footnoteReference w:id="206"/>
      </w:r>
    </w:p>
    <w:p w14:paraId="03087D69" w14:textId="77777777" w:rsidR="00AA7248" w:rsidRPr="00820C89" w:rsidRDefault="00AA7248" w:rsidP="00AA7248">
      <w:r w:rsidRPr="00820C89">
        <w:t>Language, literacy, numeracy and employment skills are considered fundamental to workplace and community participation.</w:t>
      </w:r>
      <w:r w:rsidRPr="00820C89">
        <w:rPr>
          <w:rStyle w:val="FootnoteReference"/>
          <w:rFonts w:cs="Calibri"/>
        </w:rPr>
        <w:footnoteReference w:id="207"/>
      </w:r>
      <w:r w:rsidRPr="00820C89">
        <w:t xml:space="preserve"> </w:t>
      </w:r>
      <w:r w:rsidRPr="00820C89">
        <w:rPr>
          <w:b/>
          <w:bCs/>
        </w:rPr>
        <w:t xml:space="preserve">The delivery of training to support such skill development has been linked to improved outcomes for participants, </w:t>
      </w:r>
      <w:r w:rsidRPr="00820C89">
        <w:t>including enhanced likelihood of gaining and retaining employment, or engaging in further training which can also lead to improved employment outcomes.</w:t>
      </w:r>
      <w:r w:rsidRPr="00820C89">
        <w:rPr>
          <w:rStyle w:val="FootnoteReference"/>
        </w:rPr>
        <w:footnoteReference w:id="208"/>
      </w:r>
      <w:r w:rsidRPr="00820C89">
        <w:t xml:space="preserve"> </w:t>
      </w:r>
    </w:p>
    <w:p w14:paraId="77BFDB64" w14:textId="77777777" w:rsidR="00AA7248" w:rsidRPr="00820C89" w:rsidRDefault="00AA7248" w:rsidP="00AA7248">
      <w:pPr>
        <w:rPr>
          <w:b/>
          <w:bCs/>
        </w:rPr>
      </w:pPr>
      <w:r w:rsidRPr="00820C89">
        <w:t xml:space="preserve">As low levels of language, literacy and numeracy are currently overrepresented among unemployed Australians, adults from non-English speaking backgrounds, Indigenous Australians and individuals in prison, </w:t>
      </w:r>
      <w:r w:rsidRPr="00820C89">
        <w:rPr>
          <w:b/>
          <w:bCs/>
        </w:rPr>
        <w:t>delivery of job-readiness training may have a more profound effect on enhancing work-readiness and improved employment programs for these disadvantaged cohorts.</w:t>
      </w:r>
      <w:r w:rsidRPr="00820C89">
        <w:rPr>
          <w:rStyle w:val="FootnoteReference"/>
          <w:b/>
          <w:bCs/>
        </w:rPr>
        <w:footnoteReference w:id="209"/>
      </w:r>
    </w:p>
    <w:p w14:paraId="165078A7" w14:textId="77777777" w:rsidR="00AA7248" w:rsidRPr="00820C89" w:rsidRDefault="00AA7248" w:rsidP="00AA7248">
      <w:r w:rsidRPr="00820C89">
        <w:rPr>
          <w:b/>
          <w:bCs/>
        </w:rPr>
        <w:t>In supporting disadvantaged cohorts, a commitment to supporting participant needs through providing tailored assistance has been found to be effective in overcoming individual learning barriers and challenges associated with engaging in the workforce.</w:t>
      </w:r>
      <w:r w:rsidRPr="00820C89">
        <w:t xml:space="preserve"> This may include providing pedagogy that accounts for previous negative learning experiences of formal learning, connects participants to social services as needed and provides training in a community setting instead of an institutional setting such as TAFE.</w:t>
      </w:r>
      <w:r w:rsidRPr="00820C89">
        <w:rPr>
          <w:rStyle w:val="FootnoteReference"/>
        </w:rPr>
        <w:footnoteReference w:id="210"/>
      </w:r>
      <w:r w:rsidRPr="00820C89">
        <w:t xml:space="preserve"> </w:t>
      </w:r>
    </w:p>
    <w:p w14:paraId="283169AC" w14:textId="77777777" w:rsidR="00AA7248" w:rsidRPr="00820C89" w:rsidRDefault="00AA7248" w:rsidP="00AA7248">
      <w:pPr>
        <w:rPr>
          <w:b/>
          <w:bCs/>
        </w:rPr>
      </w:pPr>
      <w:r w:rsidRPr="00820C89">
        <w:rPr>
          <w:b/>
          <w:bCs/>
        </w:rPr>
        <w:t xml:space="preserve">The incentives and structure of a program’s payment model can influence the effectiveness of job-readiness training. </w:t>
      </w:r>
      <w:r w:rsidRPr="00820C89">
        <w:t xml:space="preserve">For example, the structure of </w:t>
      </w:r>
      <w:r w:rsidRPr="00820C89">
        <w:rPr>
          <w:i/>
          <w:iCs/>
        </w:rPr>
        <w:t>jobactive</w:t>
      </w:r>
      <w:r w:rsidRPr="00820C89">
        <w:t>’s payment model and privileging of short-term outcomes has disincentivised employment service providers from providing necessary training/skill development opportunities over a longer period of time to address the systemic barriers to employment for disadvantaged cohorts.</w:t>
      </w:r>
      <w:r w:rsidRPr="00820C89">
        <w:rPr>
          <w:rStyle w:val="FootnoteReference"/>
        </w:rPr>
        <w:footnoteReference w:id="211"/>
      </w:r>
      <w:r w:rsidRPr="00820C89">
        <w:t xml:space="preserve"> The Senate Inquiry </w:t>
      </w:r>
      <w:r w:rsidRPr="00820C89">
        <w:rPr>
          <w:i/>
          <w:iCs/>
        </w:rPr>
        <w:t xml:space="preserve">Jobactive: failing those it is intended to serve </w:t>
      </w:r>
      <w:r w:rsidRPr="00820C89">
        <w:t xml:space="preserve">found that jobseekers are “not receiving the basic job-readiness services that </w:t>
      </w:r>
      <w:r w:rsidRPr="00820C89">
        <w:rPr>
          <w:i/>
          <w:iCs/>
        </w:rPr>
        <w:t xml:space="preserve">jobactive </w:t>
      </w:r>
      <w:r w:rsidRPr="00820C89">
        <w:t>is meant to provide, such as assistance with resumes and interview practice”.</w:t>
      </w:r>
      <w:r w:rsidRPr="00820C89">
        <w:rPr>
          <w:rStyle w:val="FootnoteReference"/>
        </w:rPr>
        <w:footnoteReference w:id="212"/>
      </w:r>
      <w:r w:rsidRPr="00820C89">
        <w:t xml:space="preserve"> Instead, stakeholders that provided evidence to the inquiry described the experience of </w:t>
      </w:r>
      <w:r w:rsidRPr="00820C89">
        <w:lastRenderedPageBreak/>
        <w:t>providing job-readiness training as a ‘tick and flick’ exercise, and noted that the rigid nature of the compliance framework meant that providers felt obliged to adhere to the requirements, even if it was to the detriment of their client’s outcomes.</w:t>
      </w:r>
      <w:r w:rsidRPr="00820C89">
        <w:rPr>
          <w:rStyle w:val="FootnoteReference"/>
        </w:rPr>
        <w:footnoteReference w:id="213"/>
      </w:r>
      <w:r w:rsidRPr="00820C89">
        <w:t xml:space="preserve"> </w:t>
      </w:r>
      <w:r w:rsidRPr="00820C89">
        <w:rPr>
          <w:b/>
          <w:bCs/>
        </w:rPr>
        <w:t xml:space="preserve">As such, to enable the success of job-readiness training, there is a need for a tailored, complementary, job-readiness focussed services for disadvantaged jobseekers, such as IEPs for Indigenous cohorts. </w:t>
      </w:r>
    </w:p>
    <w:p w14:paraId="0AAFBE82" w14:textId="77777777" w:rsidR="00AA7248" w:rsidRPr="00820C89" w:rsidRDefault="00AA7248" w:rsidP="00715F70">
      <w:pPr>
        <w:pStyle w:val="Heading31"/>
        <w:outlineLvl w:val="3"/>
      </w:pPr>
      <w:bookmarkStart w:id="219" w:name="_Toc37779432"/>
      <w:bookmarkStart w:id="220" w:name="_Toc57053516"/>
      <w:r w:rsidRPr="00820C89">
        <w:t>Job-specific training</w:t>
      </w:r>
      <w:bookmarkEnd w:id="219"/>
      <w:bookmarkEnd w:id="220"/>
      <w:r w:rsidRPr="00820C89">
        <w:t xml:space="preserve"> </w:t>
      </w:r>
    </w:p>
    <w:p w14:paraId="132C3E99" w14:textId="77777777" w:rsidR="00AA7248" w:rsidRPr="00820C89" w:rsidRDefault="00AA7248" w:rsidP="00AA7248">
      <w:r w:rsidRPr="00820C89">
        <w:t>For those facing long-term structural barriers to employment, job-specific training in the form of accredited training, work experience and job-placements is required in addition to job-readiness training.</w:t>
      </w:r>
      <w:r w:rsidRPr="00820C89">
        <w:rPr>
          <w:rStyle w:val="FootnoteReference"/>
        </w:rPr>
        <w:footnoteReference w:id="214"/>
      </w:r>
      <w:r w:rsidRPr="00820C89">
        <w:t xml:space="preserve"> This is because significantly disadvantaged jobseekers may be facing barriers due to an absence of formal training and qualifications and work experience that provides them with opportunities to develop practical workplace skills. </w:t>
      </w:r>
    </w:p>
    <w:p w14:paraId="236A1DFE" w14:textId="77777777" w:rsidR="00AA7248" w:rsidRPr="00820C89" w:rsidRDefault="00AA7248" w:rsidP="00AA7248">
      <w:pPr>
        <w:rPr>
          <w:rFonts w:eastAsia="Verdana" w:cs="Times New Roman"/>
        </w:rPr>
      </w:pPr>
      <w:r w:rsidRPr="00820C89">
        <w:rPr>
          <w:rFonts w:eastAsia="Verdana" w:cs="Times New Roman"/>
          <w:b/>
          <w:bCs/>
        </w:rPr>
        <w:t>The provision of accredited training enables job seekers opportunities to obtain the qualifications and skills necessary to effectively engage in the workplace</w:t>
      </w:r>
      <w:r w:rsidRPr="00820C89">
        <w:rPr>
          <w:rFonts w:eastAsia="Verdana" w:cs="Times New Roman"/>
        </w:rPr>
        <w:t>, and benefit from improved employment outcomes associated with higher levels of educational attainment, such as increased income and financial stability.</w:t>
      </w:r>
      <w:r w:rsidRPr="00820C89">
        <w:rPr>
          <w:rStyle w:val="FootnoteReference"/>
          <w:rFonts w:eastAsia="Verdana" w:cs="Times New Roman"/>
        </w:rPr>
        <w:footnoteReference w:id="215"/>
      </w:r>
      <w:r w:rsidRPr="00820C89">
        <w:rPr>
          <w:rFonts w:eastAsia="Verdana" w:cs="Times New Roman"/>
        </w:rPr>
        <w:t xml:space="preserve"> </w:t>
      </w:r>
    </w:p>
    <w:p w14:paraId="390D6BC5" w14:textId="77777777" w:rsidR="00AA7248" w:rsidRPr="00820C89" w:rsidRDefault="00AA7248" w:rsidP="00AA7248">
      <w:pPr>
        <w:rPr>
          <w:rFonts w:eastAsia="Verdana" w:cs="Times New Roman"/>
        </w:rPr>
      </w:pPr>
      <w:r w:rsidRPr="00820C89">
        <w:rPr>
          <w:rFonts w:eastAsia="Verdana" w:cs="Times New Roman"/>
          <w:b/>
          <w:bCs/>
        </w:rPr>
        <w:t>Enabling individuals to complete work-experience and job-placements while attaining a qualification is particularly effective as it develops job-specific skills while supporting continued engagement</w:t>
      </w:r>
      <w:r w:rsidRPr="00820C89">
        <w:rPr>
          <w:rFonts w:eastAsia="Verdana" w:cs="Times New Roman"/>
        </w:rPr>
        <w:t>, especially if coupled with a paid placement, and enhances the likelihood of job opportunities post-participation.</w:t>
      </w:r>
      <w:r w:rsidRPr="00820C89">
        <w:rPr>
          <w:rStyle w:val="FootnoteReference"/>
          <w:rFonts w:eastAsia="Verdana" w:cs="Times New Roman"/>
        </w:rPr>
        <w:footnoteReference w:id="216"/>
      </w:r>
      <w:r w:rsidRPr="00820C89">
        <w:rPr>
          <w:rFonts w:eastAsia="Verdana" w:cs="Times New Roman"/>
        </w:rPr>
        <w:t xml:space="preserve"> In comparison, schemes that provide work experience in order to receive Government support payments, as required through ‘Work for the Dole’, is associated with a significant reduction in employment outcomes. This is likely due to reduced jobseeker engagement in job search activities.</w:t>
      </w:r>
      <w:r w:rsidRPr="00820C89">
        <w:rPr>
          <w:rStyle w:val="FootnoteReference"/>
          <w:rFonts w:eastAsia="Verdana" w:cs="Times New Roman"/>
        </w:rPr>
        <w:t xml:space="preserve"> </w:t>
      </w:r>
      <w:r w:rsidRPr="00820C89">
        <w:rPr>
          <w:rStyle w:val="FootnoteReference"/>
          <w:rFonts w:eastAsia="Verdana" w:cs="Times New Roman"/>
        </w:rPr>
        <w:footnoteReference w:id="217"/>
      </w:r>
    </w:p>
    <w:p w14:paraId="52EC3DE1" w14:textId="77777777" w:rsidR="00AA7248" w:rsidRPr="00820C89" w:rsidRDefault="00AA7248" w:rsidP="00AA7248">
      <w:pPr>
        <w:rPr>
          <w:rFonts w:eastAsia="Verdana" w:cs="Times New Roman"/>
        </w:rPr>
      </w:pPr>
      <w:r w:rsidRPr="00820C89">
        <w:rPr>
          <w:rFonts w:eastAsia="Verdana" w:cs="Times New Roman"/>
        </w:rPr>
        <w:t>Optimal attributes of job-specific training that targets disadvantaged cohorts include:</w:t>
      </w:r>
    </w:p>
    <w:p w14:paraId="4C0ECE5C" w14:textId="77777777" w:rsidR="00AA7248" w:rsidRPr="00820C89" w:rsidRDefault="00AA7248" w:rsidP="00AA7248">
      <w:pPr>
        <w:pStyle w:val="ListBullet"/>
        <w:spacing w:before="60" w:after="60"/>
        <w:contextualSpacing w:val="0"/>
      </w:pPr>
      <w:r w:rsidRPr="00820C89">
        <w:t>provision of training that aligns with, and is adaptive to, local labour market needs</w:t>
      </w:r>
    </w:p>
    <w:p w14:paraId="6F0F6F4B" w14:textId="77777777" w:rsidR="00AA7248" w:rsidRPr="00820C89" w:rsidRDefault="00AA7248" w:rsidP="00AA7248">
      <w:pPr>
        <w:pStyle w:val="ListBullet"/>
        <w:spacing w:before="60" w:after="60"/>
        <w:contextualSpacing w:val="0"/>
      </w:pPr>
      <w:r w:rsidRPr="00820C89">
        <w:t>integration of work experience/job placements into an accredited training program</w:t>
      </w:r>
    </w:p>
    <w:p w14:paraId="3E2D8236" w14:textId="77777777" w:rsidR="00AA7248" w:rsidRPr="00820C89" w:rsidRDefault="00AA7248" w:rsidP="00AA7248">
      <w:pPr>
        <w:pStyle w:val="ListBullet"/>
        <w:spacing w:before="60" w:after="60"/>
        <w:contextualSpacing w:val="0"/>
      </w:pPr>
      <w:r w:rsidRPr="00820C89">
        <w:t>close connections between training providers, human services, local industry and employers</w:t>
      </w:r>
    </w:p>
    <w:p w14:paraId="72E93618" w14:textId="77777777" w:rsidR="00AA7248" w:rsidRPr="00820C89" w:rsidRDefault="00AA7248" w:rsidP="00AA7248">
      <w:pPr>
        <w:pStyle w:val="ListBullet"/>
        <w:spacing w:before="60" w:after="60"/>
        <w:contextualSpacing w:val="0"/>
      </w:pPr>
      <w:r w:rsidRPr="00820C89">
        <w:t>delivery of case management that provides an integrated mix of targeted assistance to support participants in overcoming personal barriers to learning.</w:t>
      </w:r>
      <w:r w:rsidRPr="00820C89">
        <w:rPr>
          <w:rStyle w:val="FootnoteReference"/>
          <w:rFonts w:eastAsia="Verdana" w:cs="Times New Roman"/>
        </w:rPr>
        <w:footnoteReference w:id="218"/>
      </w:r>
    </w:p>
    <w:p w14:paraId="77CD26CF" w14:textId="77777777" w:rsidR="00AA7248" w:rsidRPr="00820C89" w:rsidRDefault="00AA7248" w:rsidP="00AA7248">
      <w:r w:rsidRPr="00820C89">
        <w:rPr>
          <w:b/>
          <w:bCs/>
        </w:rPr>
        <w:t>Delivering training opportunities and modes of education that align to the needs, goals and preferences of the individual is also considered best practice</w:t>
      </w:r>
      <w:r w:rsidRPr="00820C89">
        <w:t>.</w:t>
      </w:r>
      <w:r w:rsidRPr="00820C89">
        <w:rPr>
          <w:rStyle w:val="FootnoteReference"/>
        </w:rPr>
        <w:footnoteReference w:id="219"/>
      </w:r>
      <w:r w:rsidRPr="00820C89">
        <w:t xml:space="preserve"> For instance, culturally appropriate mentoring that is cognisant of cultural norms, participant backgrounds and skill level may be employed to deliver learning activities that meet individual needs.</w:t>
      </w:r>
      <w:r w:rsidRPr="00820C89">
        <w:rPr>
          <w:rStyle w:val="FootnoteReference"/>
        </w:rPr>
        <w:footnoteReference w:id="220"/>
      </w:r>
    </w:p>
    <w:p w14:paraId="1456C937" w14:textId="77777777" w:rsidR="00AA7248" w:rsidRPr="00820C89" w:rsidRDefault="00AA7248" w:rsidP="00AA7248">
      <w:r w:rsidRPr="00820C89">
        <w:rPr>
          <w:b/>
          <w:bCs/>
        </w:rPr>
        <w:lastRenderedPageBreak/>
        <w:t xml:space="preserve">The quality and appropriateness of job-specific training has been criticised under past Australian employment programs and under the current </w:t>
      </w:r>
      <w:r w:rsidRPr="00820C89">
        <w:rPr>
          <w:b/>
          <w:bCs/>
          <w:i/>
          <w:iCs/>
        </w:rPr>
        <w:t>jobactive</w:t>
      </w:r>
      <w:r w:rsidRPr="00820C89">
        <w:rPr>
          <w:i/>
          <w:iCs/>
        </w:rPr>
        <w:t xml:space="preserve">. </w:t>
      </w:r>
      <w:r w:rsidRPr="00820C89">
        <w:t>In 2019, the Senate Inquiry heard evidence that participants are placed into courses that are “below their existing skill level and/or irrelevant” to assisting in finding and maintaining work.</w:t>
      </w:r>
      <w:r w:rsidRPr="00820C89">
        <w:rPr>
          <w:rStyle w:val="FootnoteReference"/>
        </w:rPr>
        <w:footnoteReference w:id="221"/>
      </w:r>
      <w:r w:rsidRPr="00820C89">
        <w:t xml:space="preserve"> The Committee heard several examples of participants being made to undertake courses that were misaligned with their skills and experience.</w:t>
      </w:r>
      <w:r w:rsidRPr="00820C89">
        <w:rPr>
          <w:rStyle w:val="FootnoteReference"/>
        </w:rPr>
        <w:footnoteReference w:id="222"/>
      </w:r>
      <w:r w:rsidRPr="00820C89">
        <w:t xml:space="preserve"> For instance, a participant with over 10 years of retail assistance was required to attend a retail ready course.</w:t>
      </w:r>
      <w:r w:rsidRPr="00820C89">
        <w:rPr>
          <w:rStyle w:val="FootnoteReference"/>
        </w:rPr>
        <w:footnoteReference w:id="223"/>
      </w:r>
      <w:r w:rsidRPr="00820C89">
        <w:t xml:space="preserve"> In addition, examples also included participants being forced to attend training that interfered with their paid employment simply because it was a required activity and tied to payments.</w:t>
      </w:r>
      <w:r w:rsidRPr="00820C89">
        <w:rPr>
          <w:rStyle w:val="FootnoteReference"/>
        </w:rPr>
        <w:footnoteReference w:id="224"/>
      </w:r>
    </w:p>
    <w:p w14:paraId="6071F9C0" w14:textId="77777777" w:rsidR="00AA7248" w:rsidRPr="00820C89" w:rsidRDefault="00AA7248" w:rsidP="00715F70">
      <w:pPr>
        <w:pStyle w:val="Heading31"/>
        <w:outlineLvl w:val="3"/>
      </w:pPr>
      <w:bookmarkStart w:id="221" w:name="_Toc37779433"/>
      <w:bookmarkStart w:id="222" w:name="_Toc57053517"/>
      <w:r w:rsidRPr="00820C89">
        <w:t>Job-matching</w:t>
      </w:r>
      <w:bookmarkEnd w:id="221"/>
      <w:bookmarkEnd w:id="222"/>
    </w:p>
    <w:p w14:paraId="0F87327D" w14:textId="77777777" w:rsidR="00AA7248" w:rsidRPr="00820C89" w:rsidRDefault="00AA7248" w:rsidP="00AA7248">
      <w:r w:rsidRPr="00820C89">
        <w:t xml:space="preserve">Job matching refers to the alignment of experience, capabilities and interests with employment roles and responsibilities. </w:t>
      </w:r>
      <w:r w:rsidRPr="00820C89">
        <w:rPr>
          <w:b/>
          <w:bCs/>
        </w:rPr>
        <w:t>Job matching has been found to support increased productivity, sustained engagement, earning growth and reduced searching for external employment opportunities – leading to lower turnover rates</w:t>
      </w:r>
      <w:r w:rsidRPr="00820C89">
        <w:t>.</w:t>
      </w:r>
      <w:r w:rsidRPr="00820C89">
        <w:rPr>
          <w:rStyle w:val="FootnoteReference"/>
        </w:rPr>
        <w:t xml:space="preserve"> </w:t>
      </w:r>
      <w:r w:rsidRPr="00820C89">
        <w:rPr>
          <w:rStyle w:val="FootnoteReference"/>
        </w:rPr>
        <w:footnoteReference w:id="225"/>
      </w:r>
      <w:r w:rsidRPr="00820C89">
        <w:t xml:space="preserve"> </w:t>
      </w:r>
    </w:p>
    <w:p w14:paraId="50A8A2ED" w14:textId="77777777" w:rsidR="00AA7248" w:rsidRPr="00820C89" w:rsidRDefault="00AA7248" w:rsidP="00AA7248">
      <w:r w:rsidRPr="00820C89">
        <w:t>Employment and training programs that provide tailored assistance to individuals, by providing targeted learning that meets participant interests and abilities while also aligning opportunities to local labour market needs, support increased workforce participation.</w:t>
      </w:r>
      <w:r w:rsidRPr="00820C89">
        <w:rPr>
          <w:rStyle w:val="FootnoteReference"/>
        </w:rPr>
        <w:footnoteReference w:id="226"/>
      </w:r>
      <w:r w:rsidRPr="00820C89">
        <w:t xml:space="preserve"> It has also been found to be more effective where prolonged support has been provided, ensuring individuals that participate in a training/employment program are able to seek ongoing support in identifying opportunities, submitting applications and transitioning into a work environment.</w:t>
      </w:r>
      <w:r w:rsidRPr="00820C89">
        <w:rPr>
          <w:rStyle w:val="FootnoteReference"/>
        </w:rPr>
        <w:footnoteReference w:id="227"/>
      </w:r>
      <w:r w:rsidRPr="00820C89">
        <w:t xml:space="preserve"> As such, flexibility in program design and delivery is essential in responding to individual capability and needs in addition to employment opportunities available in a community.</w:t>
      </w:r>
    </w:p>
    <w:p w14:paraId="707F3CCE" w14:textId="77777777" w:rsidR="00AA7248" w:rsidRPr="00820C89" w:rsidRDefault="00AA7248" w:rsidP="00AA7248">
      <w:r w:rsidRPr="00820C89">
        <w:rPr>
          <w:b/>
          <w:bCs/>
        </w:rPr>
        <w:t>In order to realise success in employment/training programs that are designed to respond to participant capabilities and interests, individuals that engage in training/employment programs may also need to exercise choice and articulate aspirations.</w:t>
      </w:r>
      <w:r w:rsidRPr="00820C89">
        <w:t xml:space="preserve"> Offering choices to jobseekers promotes self-determination as it provokes greater self-regulation and motivation, by allowing job seekers to align programmatic features with individual strengths, goals and working needs.</w:t>
      </w:r>
      <w:r w:rsidRPr="00820C89">
        <w:rPr>
          <w:rStyle w:val="FootnoteReference"/>
        </w:rPr>
        <w:footnoteReference w:id="228"/>
      </w:r>
      <w:r w:rsidRPr="00820C89">
        <w:t xml:space="preserve"> In supporting this, the provision of strengths-based case management can assist in generating the self-determination that effectively supports job-matching.</w:t>
      </w:r>
      <w:r w:rsidRPr="00820C89">
        <w:rPr>
          <w:rStyle w:val="FootnoteReference"/>
        </w:rPr>
        <w:footnoteReference w:id="229"/>
      </w:r>
    </w:p>
    <w:p w14:paraId="5C4C9B74" w14:textId="77777777" w:rsidR="00AA7248" w:rsidRPr="00820C89" w:rsidRDefault="00AA7248" w:rsidP="00715F70">
      <w:pPr>
        <w:pStyle w:val="Heading31"/>
        <w:outlineLvl w:val="3"/>
      </w:pPr>
      <w:bookmarkStart w:id="223" w:name="_Toc57053518"/>
      <w:r w:rsidRPr="00820C89">
        <w:t>Mutual obligation requirements and compliance frameworks</w:t>
      </w:r>
      <w:bookmarkEnd w:id="223"/>
      <w:r w:rsidRPr="00820C89">
        <w:t xml:space="preserve"> </w:t>
      </w:r>
    </w:p>
    <w:p w14:paraId="01F48B49" w14:textId="77777777" w:rsidR="00AA7248" w:rsidRPr="00820C89" w:rsidRDefault="00AA7248" w:rsidP="00AA7248">
      <w:r w:rsidRPr="00820C89">
        <w:t xml:space="preserve">Set out in the </w:t>
      </w:r>
      <w:r w:rsidRPr="00820C89">
        <w:rPr>
          <w:i/>
          <w:iCs/>
        </w:rPr>
        <w:t>Social Security Act 1991,</w:t>
      </w:r>
      <w:r w:rsidRPr="00820C89">
        <w:t xml:space="preserve"> mutual obligation requirements (MORs) have been a common feature of Australian mainstream employment programs for several decades.</w:t>
      </w:r>
      <w:r w:rsidRPr="00820C89">
        <w:rPr>
          <w:rStyle w:val="FootnoteReference"/>
        </w:rPr>
        <w:footnoteReference w:id="230"/>
      </w:r>
      <w:r w:rsidRPr="00820C89">
        <w:t xml:space="preserve"> MORs seek to ensure that job seekers receiving an activity-tested income support payment are complying with </w:t>
      </w:r>
      <w:r w:rsidRPr="00820C89">
        <w:lastRenderedPageBreak/>
        <w:t>their obligations, unless they have an exemption from such requirements.</w:t>
      </w:r>
      <w:r w:rsidRPr="00820C89">
        <w:rPr>
          <w:rStyle w:val="FootnoteReference"/>
        </w:rPr>
        <w:footnoteReference w:id="231"/>
      </w:r>
      <w:r w:rsidRPr="00820C89">
        <w:t xml:space="preserve"> Required activities typically involve activities that will support job seekers to get into work, such as job search activities, attendance at appointments, and engagement in work-oriented activities.</w:t>
      </w:r>
    </w:p>
    <w:p w14:paraId="1D901057" w14:textId="77777777" w:rsidR="00AA7248" w:rsidRPr="00820C89" w:rsidRDefault="00AA7248" w:rsidP="00AA7248">
      <w:pPr>
        <w:rPr>
          <w:b/>
          <w:bCs/>
        </w:rPr>
      </w:pPr>
      <w:r w:rsidRPr="00820C89">
        <w:t xml:space="preserve">According to compliance frameworks, if job seekers do not satisfy their requirements, their payments are suspended until a required activity is fulfilled. </w:t>
      </w:r>
      <w:r w:rsidRPr="00820C89">
        <w:rPr>
          <w:b/>
          <w:bCs/>
        </w:rPr>
        <w:t xml:space="preserve">MORs are intended to encourage job seekers to work towards building the skills, behaviours and attitudes necessary for sustainable employment. </w:t>
      </w:r>
    </w:p>
    <w:p w14:paraId="3ACFA284" w14:textId="77777777" w:rsidR="00AA7248" w:rsidRPr="00820C89" w:rsidRDefault="00AA7248" w:rsidP="00AA7248">
      <w:r w:rsidRPr="00820C89">
        <w:rPr>
          <w:b/>
          <w:bCs/>
        </w:rPr>
        <w:t xml:space="preserve">MORs have received mixed results across jobseeker cohorts with respect to improving employment outcomes. </w:t>
      </w:r>
      <w:r w:rsidRPr="00820C89">
        <w:t>For cohorts of jobseekers that are more job ready, there is evidence that MORs can enhance sustained employment.</w:t>
      </w:r>
      <w:r w:rsidRPr="00820C89">
        <w:rPr>
          <w:rStyle w:val="FootnoteReference"/>
        </w:rPr>
        <w:footnoteReference w:id="232"/>
      </w:r>
      <w:r w:rsidRPr="00820C89">
        <w:t xml:space="preserve"> However, for more disadvantaged cohorts experiencing structural and enduring barriers to employment, compliance frameworks in the Australian context have been perceived as inflexible and inappropriate to support sustained employment for this group. This is because they reportedly they “reduce the ability of providers to respond to the individual needs and circumstances of participants”, as the required activities do not allow for a sufficiently differentiated approach.</w:t>
      </w:r>
      <w:r w:rsidRPr="00820C89">
        <w:rPr>
          <w:rStyle w:val="FootnoteReference"/>
        </w:rPr>
        <w:footnoteReference w:id="233"/>
      </w:r>
      <w:r w:rsidRPr="00820C89">
        <w:t xml:space="preserve"> </w:t>
      </w:r>
    </w:p>
    <w:p w14:paraId="4A9A6251" w14:textId="77777777" w:rsidR="00AA7248" w:rsidRPr="00820C89" w:rsidRDefault="00AA7248" w:rsidP="00AA7248">
      <w:r w:rsidRPr="00820C89">
        <w:t xml:space="preserve">There are some known preconditions for MOR success within the Australian context. First, </w:t>
      </w:r>
      <w:r w:rsidRPr="00820C89">
        <w:rPr>
          <w:b/>
          <w:bCs/>
        </w:rPr>
        <w:t>it is imperative that participants are aware of and understand their required activities</w:t>
      </w:r>
      <w:r w:rsidRPr="00820C89">
        <w:t>, as well as the process for applying for an exemption.</w:t>
      </w:r>
      <w:r w:rsidRPr="00820C89">
        <w:rPr>
          <w:rStyle w:val="FootnoteReference"/>
        </w:rPr>
        <w:footnoteReference w:id="234"/>
      </w:r>
      <w:r w:rsidRPr="00820C89">
        <w:t xml:space="preserve"> In addition, </w:t>
      </w:r>
      <w:r w:rsidRPr="00820C89">
        <w:rPr>
          <w:b/>
          <w:bCs/>
        </w:rPr>
        <w:t>a diverse offering of activities for participants to select from allows for the tailoring of activities to individual needs, strengths and aspirations</w:t>
      </w:r>
      <w:r w:rsidRPr="00820C89">
        <w:t xml:space="preserve"> – this is especially important for disadvantaged cohorts.</w:t>
      </w:r>
      <w:r w:rsidRPr="00820C89">
        <w:rPr>
          <w:rStyle w:val="FootnoteReference"/>
        </w:rPr>
        <w:footnoteReference w:id="235"/>
      </w:r>
      <w:r w:rsidRPr="00820C89">
        <w:t xml:space="preserve"> When these elements were incorporated into the design of the jobactive MOR feature, improved employment outcomes were observed.</w:t>
      </w:r>
      <w:r w:rsidRPr="00820C89">
        <w:rPr>
          <w:rStyle w:val="FootnoteReference"/>
        </w:rPr>
        <w:footnoteReference w:id="236"/>
      </w:r>
      <w:r w:rsidRPr="00820C89">
        <w:t xml:space="preserve"> </w:t>
      </w:r>
    </w:p>
    <w:p w14:paraId="1FBA9864" w14:textId="77777777" w:rsidR="00AA7248" w:rsidRPr="00820C89" w:rsidRDefault="00AA7248" w:rsidP="00715F70">
      <w:pPr>
        <w:pStyle w:val="Heading31"/>
        <w:outlineLvl w:val="3"/>
      </w:pPr>
      <w:bookmarkStart w:id="224" w:name="_Toc57053519"/>
      <w:r w:rsidRPr="00820C89">
        <w:t>Outcome driven funding</w:t>
      </w:r>
      <w:bookmarkEnd w:id="224"/>
      <w:r w:rsidRPr="00820C89">
        <w:t xml:space="preserve"> </w:t>
      </w:r>
    </w:p>
    <w:p w14:paraId="5474FB6F" w14:textId="77777777" w:rsidR="00AA7248" w:rsidRPr="00820C89" w:rsidRDefault="00AA7248" w:rsidP="00AA7248">
      <w:r w:rsidRPr="00820C89">
        <w:t>Outcome driven funding in the form of milestone payments are a longstanding feature of mainstream employment programs, and it is understood that they were first introduced under Job Network, though have undergone changes.</w:t>
      </w:r>
      <w:r w:rsidRPr="00820C89">
        <w:rPr>
          <w:rStyle w:val="FootnoteReference"/>
        </w:rPr>
        <w:footnoteReference w:id="237"/>
      </w:r>
      <w:r w:rsidRPr="00820C89">
        <w:t xml:space="preserve"> They are intended to ensure the provider focuses on achieving employment results and that all their service support activities are geared towards achieving this end. </w:t>
      </w:r>
    </w:p>
    <w:p w14:paraId="26DEB9A0" w14:textId="77777777" w:rsidR="00AA7248" w:rsidRPr="00820C89" w:rsidRDefault="00AA7248" w:rsidP="00AA7248">
      <w:r w:rsidRPr="00820C89">
        <w:rPr>
          <w:b/>
          <w:bCs/>
        </w:rPr>
        <w:t>Consultations have indicated that ongoing internal analysis, undertaken by the federal Department of Education, Skills and Employment, has supported the ongoing use of the 26-week milestone</w:t>
      </w:r>
      <w:r w:rsidRPr="00820C89">
        <w:t>, which has been an aspect of employment services for over two decades.</w:t>
      </w:r>
      <w:r w:rsidRPr="00820C89">
        <w:rPr>
          <w:rStyle w:val="FootnoteReference"/>
        </w:rPr>
        <w:footnoteReference w:id="238"/>
      </w:r>
      <w:r w:rsidRPr="00820C89">
        <w:t xml:space="preserve"> As this analysis is not publicly available, the evidence for the 26-week milestone has not been validated </w:t>
      </w:r>
      <w:r w:rsidRPr="00820C89">
        <w:lastRenderedPageBreak/>
        <w:t xml:space="preserve">in this literature scan, and it is unclear whether the appropriateness of the 26-week dosage has been tested. </w:t>
      </w:r>
    </w:p>
    <w:p w14:paraId="498402F8" w14:textId="77777777" w:rsidR="00AA7248" w:rsidRPr="00820C89" w:rsidRDefault="00AA7248" w:rsidP="00AA7248">
      <w:r w:rsidRPr="00820C89">
        <w:rPr>
          <w:b/>
          <w:bCs/>
        </w:rPr>
        <w:t>While research supporting this milestone is not available within the public domain, there is mixed evidence from employment program evaluations that supports the use of milestone payments</w:t>
      </w:r>
      <w:r w:rsidRPr="00820C89">
        <w:t>.</w:t>
      </w:r>
      <w:r w:rsidRPr="00820C89">
        <w:rPr>
          <w:rStyle w:val="FootnoteReference"/>
        </w:rPr>
        <w:footnoteReference w:id="239"/>
      </w:r>
      <w:r w:rsidRPr="00820C89">
        <w:t xml:space="preserve"> Criticism of outcome driven funding includes:</w:t>
      </w:r>
    </w:p>
    <w:p w14:paraId="6872C7BF" w14:textId="77777777" w:rsidR="00AA7248" w:rsidRPr="00820C89" w:rsidRDefault="00AA7248" w:rsidP="00AA7248">
      <w:pPr>
        <w:pStyle w:val="ListBullet"/>
        <w:spacing w:before="170"/>
      </w:pPr>
      <w:r w:rsidRPr="00820C89">
        <w:t>There is insufficient upfront funding for providers to cover necessary costs, and hence the intensity of services provided may rely on the goodwill of the provider and may be harmful to the viability of non-for-profit or small providers.</w:t>
      </w:r>
      <w:r w:rsidRPr="00820C89">
        <w:rPr>
          <w:rStyle w:val="FootnoteReference"/>
        </w:rPr>
        <w:footnoteReference w:id="240"/>
      </w:r>
      <w:r w:rsidRPr="00820C89">
        <w:t xml:space="preserve"> </w:t>
      </w:r>
    </w:p>
    <w:p w14:paraId="1665DA8F" w14:textId="77777777" w:rsidR="00AA7248" w:rsidRPr="00820C89" w:rsidRDefault="00AA7248" w:rsidP="00AA7248">
      <w:pPr>
        <w:pStyle w:val="ListBullet"/>
        <w:spacing w:before="170"/>
      </w:pPr>
      <w:r w:rsidRPr="00820C89">
        <w:t>This model of funding may inadvertently encourage ‘creaming’, whereby participants who are considered easiest to place and remain in employment are chosen over participants experiencing greater challenges to entering the workforce.</w:t>
      </w:r>
      <w:r w:rsidRPr="00820C89">
        <w:rPr>
          <w:rStyle w:val="FootnoteReference"/>
        </w:rPr>
        <w:footnoteReference w:id="241"/>
      </w:r>
      <w:r w:rsidRPr="00820C89">
        <w:t xml:space="preserve"> </w:t>
      </w:r>
    </w:p>
    <w:p w14:paraId="5C7E5034" w14:textId="77777777" w:rsidR="00AA7248" w:rsidRPr="00820C89" w:rsidRDefault="00AA7248" w:rsidP="00AA7248">
      <w:pPr>
        <w:pStyle w:val="ListBullet"/>
        <w:spacing w:before="170"/>
      </w:pPr>
      <w:r w:rsidRPr="00820C89">
        <w:t>This model also directs efforts towards short-term employment outcomes and disincentivises providers to invest in interventions that support medium and long-term employment.</w:t>
      </w:r>
      <w:r w:rsidRPr="00820C89">
        <w:rPr>
          <w:rStyle w:val="FootnoteReference"/>
        </w:rPr>
        <w:footnoteReference w:id="242"/>
      </w:r>
    </w:p>
    <w:p w14:paraId="74D7B3D4" w14:textId="77777777" w:rsidR="00AA7248" w:rsidRPr="00820C89" w:rsidRDefault="00AA7248" w:rsidP="00AA7248">
      <w:pPr>
        <w:pStyle w:val="ListBullet"/>
        <w:spacing w:before="170"/>
      </w:pPr>
      <w:r w:rsidRPr="00820C89">
        <w:t>The focus on the short-term can lead to increased ‘churning’, whereby participants engaging in short-term, precarious employment cycle back to employment programs as they quickly gain and then lose employment.</w:t>
      </w:r>
      <w:r w:rsidRPr="00820C89">
        <w:rPr>
          <w:rStyle w:val="FootnoteReference"/>
        </w:rPr>
        <w:footnoteReference w:id="243"/>
      </w:r>
      <w:r w:rsidRPr="00820C89">
        <w:t xml:space="preserve"> </w:t>
      </w:r>
    </w:p>
    <w:p w14:paraId="121ABD29" w14:textId="77777777" w:rsidR="00AA7248" w:rsidRPr="00820C89" w:rsidRDefault="00AA7248" w:rsidP="00AA7248">
      <w:r w:rsidRPr="00820C89">
        <w:t xml:space="preserve">To address these criticisms and ensure that jobseekers receive the support they need to enter sustainable employment, the jobactive evaluation recommended that </w:t>
      </w:r>
      <w:r w:rsidRPr="00820C89">
        <w:rPr>
          <w:b/>
          <w:bCs/>
        </w:rPr>
        <w:t>future employment services should include a payment model that “balances higher up-front payments with outcome payments linked to performance</w:t>
      </w:r>
      <w:r w:rsidRPr="00820C89">
        <w:t>”. The rationale for this is that higher up-front payments will allow providers to immediately invest in jobseekers, especially more disadvantaged, harder-to-place participants.</w:t>
      </w:r>
      <w:r w:rsidRPr="00820C89">
        <w:rPr>
          <w:rStyle w:val="FootnoteReference"/>
        </w:rPr>
        <w:footnoteReference w:id="244"/>
      </w:r>
      <w:r w:rsidRPr="00820C89">
        <w:t xml:space="preserve"> </w:t>
      </w:r>
    </w:p>
    <w:p w14:paraId="26D78C29" w14:textId="77777777" w:rsidR="00AA7248" w:rsidRPr="00820C89" w:rsidRDefault="00AA7248" w:rsidP="00715F70">
      <w:pPr>
        <w:pStyle w:val="Heading31"/>
        <w:outlineLvl w:val="3"/>
      </w:pPr>
      <w:bookmarkStart w:id="225" w:name="_Toc57053520"/>
      <w:r w:rsidRPr="00820C89">
        <w:t>Place-based approach</w:t>
      </w:r>
      <w:bookmarkEnd w:id="225"/>
      <w:r w:rsidRPr="00820C89">
        <w:t xml:space="preserve"> </w:t>
      </w:r>
    </w:p>
    <w:p w14:paraId="3628D890" w14:textId="77777777" w:rsidR="00AA7248" w:rsidRPr="00820C89" w:rsidRDefault="00AA7248" w:rsidP="00AA7248">
      <w:r w:rsidRPr="00820C89">
        <w:t>A common feature of employment programs (and programs seeking to enhance social outcomes more broadly) is a place-based approach, which is also a critical component of Indigenous employment programs. Within a place-based approach, decision-making power is decentralised (rather than a top-down structure) to ensure the complex community needs and local labour market opportunities are understood, allowing for program tailoring to ensure sustainable employment outcomes. Further, this approach supports preventative and cost-effective responses, as it allows for whole communities to build resilience and protective factors to reduce reliance on acute services and programs.</w:t>
      </w:r>
      <w:r w:rsidRPr="00820C89">
        <w:rPr>
          <w:rStyle w:val="FootnoteReference"/>
        </w:rPr>
        <w:footnoteReference w:id="245"/>
      </w:r>
    </w:p>
    <w:p w14:paraId="5808D3B8" w14:textId="77777777" w:rsidR="00AA7248" w:rsidRPr="00820C89" w:rsidRDefault="00AA7248" w:rsidP="00AA7248">
      <w:r w:rsidRPr="00820C89">
        <w:t xml:space="preserve">According to the Victorian Government’s </w:t>
      </w:r>
      <w:r w:rsidRPr="00820C89">
        <w:rPr>
          <w:i/>
          <w:iCs/>
        </w:rPr>
        <w:t xml:space="preserve">A framework for place-based approaches, </w:t>
      </w:r>
      <w:r w:rsidRPr="00820C89">
        <w:t xml:space="preserve">there are two key avenues that can be used to promote effective place-based based approaches. </w:t>
      </w:r>
    </w:p>
    <w:p w14:paraId="65AF17A7" w14:textId="77777777" w:rsidR="00AA7248" w:rsidRPr="00820C89" w:rsidRDefault="00AA7248" w:rsidP="00AA7248">
      <w:pPr>
        <w:pStyle w:val="ListBullet"/>
        <w:spacing w:before="170"/>
      </w:pPr>
      <w:r w:rsidRPr="00820C89">
        <w:rPr>
          <w:b/>
          <w:bCs/>
        </w:rPr>
        <w:t xml:space="preserve">Partnering with community to deliver on outcomes agreed upon locally </w:t>
      </w:r>
      <w:r w:rsidRPr="00820C89">
        <w:t>– this avenue is generally adopted when the social issue, such as high unemployment, is concentrated within a local community. It is acknowledged that the local contextual knowledge is key to ensuring the program is designed with specific local sensitivities and factors in mind and to building local support for the program.</w:t>
      </w:r>
      <w:r w:rsidRPr="00820C89">
        <w:rPr>
          <w:rStyle w:val="FootnoteReference"/>
        </w:rPr>
        <w:footnoteReference w:id="246"/>
      </w:r>
      <w:r w:rsidRPr="00820C89">
        <w:t xml:space="preserve"> </w:t>
      </w:r>
    </w:p>
    <w:p w14:paraId="092B4B65" w14:textId="77777777" w:rsidR="00AA7248" w:rsidRPr="00820C89" w:rsidRDefault="00AA7248" w:rsidP="00AA7248">
      <w:pPr>
        <w:pStyle w:val="ListBullet"/>
        <w:spacing w:before="170"/>
      </w:pPr>
      <w:r w:rsidRPr="00820C89">
        <w:rPr>
          <w:b/>
          <w:bCs/>
        </w:rPr>
        <w:lastRenderedPageBreak/>
        <w:t xml:space="preserve">Enabling the community to continue progressing a program or approach that aligns with government priorities – </w:t>
      </w:r>
      <w:r w:rsidRPr="00820C89">
        <w:t>this avenue is typically used when local communities are already mobilising change and government supports the direction in motion.</w:t>
      </w:r>
      <w:r w:rsidRPr="00820C89">
        <w:rPr>
          <w:rStyle w:val="FootnoteReference"/>
        </w:rPr>
        <w:footnoteReference w:id="247"/>
      </w:r>
    </w:p>
    <w:p w14:paraId="5CF8207B" w14:textId="77777777" w:rsidR="00AA7248" w:rsidRPr="00820C89" w:rsidRDefault="00AA7248" w:rsidP="00AA7248">
      <w:r w:rsidRPr="00820C89">
        <w:t xml:space="preserve">A place-based approach incorporates the views, expertise and lived experiences of a range of stakeholders, including: </w:t>
      </w:r>
    </w:p>
    <w:p w14:paraId="3602F0C4" w14:textId="77777777" w:rsidR="00AA7248" w:rsidRPr="00820C89" w:rsidRDefault="00AA7248" w:rsidP="00AA7248">
      <w:pPr>
        <w:pStyle w:val="ListBullet"/>
        <w:spacing w:before="170"/>
      </w:pPr>
      <w:r w:rsidRPr="00820C89">
        <w:t xml:space="preserve">government at the Commonwealth or State/Territory level, responsible for designing the policy and program brief; </w:t>
      </w:r>
    </w:p>
    <w:p w14:paraId="29DB6021" w14:textId="77777777" w:rsidR="00AA7248" w:rsidRPr="00820C89" w:rsidRDefault="00AA7248" w:rsidP="00AA7248">
      <w:pPr>
        <w:pStyle w:val="ListBullet"/>
        <w:spacing w:before="170"/>
      </w:pPr>
      <w:r w:rsidRPr="00820C89">
        <w:t xml:space="preserve">community members, responsible for providing insight into their unique needs, background and context to guide the design and continuous implementation of initiatives and services; </w:t>
      </w:r>
    </w:p>
    <w:p w14:paraId="60038C0E" w14:textId="77777777" w:rsidR="00AA7248" w:rsidRPr="00820C89" w:rsidRDefault="00AA7248" w:rsidP="00AA7248">
      <w:pPr>
        <w:pStyle w:val="ListBullet"/>
        <w:spacing w:before="170"/>
      </w:pPr>
      <w:r w:rsidRPr="00820C89">
        <w:t xml:space="preserve">local government, responsible for partnering in the design phase and delivery within local communities; </w:t>
      </w:r>
    </w:p>
    <w:p w14:paraId="0320EC87" w14:textId="77777777" w:rsidR="00AA7248" w:rsidRPr="00820C89" w:rsidRDefault="00AA7248" w:rsidP="00AA7248">
      <w:pPr>
        <w:pStyle w:val="ListBullet"/>
        <w:spacing w:before="170"/>
      </w:pPr>
      <w:r w:rsidRPr="00820C89">
        <w:t xml:space="preserve">Traditional Owners, responsible for providing a cultural lens to the design and implementation of initiatives; </w:t>
      </w:r>
    </w:p>
    <w:p w14:paraId="211E98B0" w14:textId="77777777" w:rsidR="00AA7248" w:rsidRPr="00820C89" w:rsidRDefault="00AA7248" w:rsidP="00AA7248">
      <w:pPr>
        <w:pStyle w:val="ListBullet"/>
        <w:spacing w:before="170"/>
      </w:pPr>
      <w:r w:rsidRPr="00820C89">
        <w:t>other community stakeholders, including businesses and philanthropy, responsible for reflecting their needs and experiences on initiative design and implementation.</w:t>
      </w:r>
      <w:r w:rsidRPr="00820C89">
        <w:rPr>
          <w:rStyle w:val="FootnoteReference"/>
        </w:rPr>
        <w:footnoteReference w:id="248"/>
      </w:r>
      <w:r w:rsidRPr="00820C89">
        <w:t xml:space="preserve"> </w:t>
      </w:r>
    </w:p>
    <w:p w14:paraId="2DD460C6" w14:textId="77777777" w:rsidR="00AA7248" w:rsidRPr="00820C89" w:rsidRDefault="00AA7248" w:rsidP="00AA7248">
      <w:pPr>
        <w:rPr>
          <w:b/>
          <w:bCs/>
        </w:rPr>
      </w:pPr>
      <w:r w:rsidRPr="00820C89">
        <w:rPr>
          <w:b/>
          <w:bCs/>
        </w:rPr>
        <w:t xml:space="preserve">In essence, programs that are community-focused, holistic and tailored to local contexts ensure that the diversity of each community is captured and ensures relevance, acceptance and appropriateness, which can, in turn, heighten participant buy-in and enhance long-term employment outcomes. </w:t>
      </w:r>
    </w:p>
    <w:p w14:paraId="47914553" w14:textId="77777777" w:rsidR="00AA7248" w:rsidRPr="00820C89" w:rsidRDefault="00AA7248" w:rsidP="00715F70">
      <w:pPr>
        <w:pStyle w:val="Heading31"/>
        <w:outlineLvl w:val="3"/>
      </w:pPr>
      <w:bookmarkStart w:id="226" w:name="_Toc57053521"/>
      <w:r w:rsidRPr="00820C89">
        <w:t>Post-placement support</w:t>
      </w:r>
      <w:bookmarkEnd w:id="226"/>
      <w:r w:rsidRPr="00820C89">
        <w:t xml:space="preserve"> </w:t>
      </w:r>
    </w:p>
    <w:p w14:paraId="2B1D603D" w14:textId="77777777" w:rsidR="00AA7248" w:rsidRPr="00820C89" w:rsidRDefault="00AA7248" w:rsidP="00AA7248">
      <w:r w:rsidRPr="00820C89">
        <w:t>It is considered effective practice to offer post-placement support for participants who experience significant barriers to employment to address issues likely to affect their employment sustainability.</w:t>
      </w:r>
      <w:r w:rsidRPr="00820C89">
        <w:rPr>
          <w:rStyle w:val="FootnoteReference"/>
        </w:rPr>
        <w:footnoteReference w:id="249"/>
      </w:r>
      <w:r w:rsidRPr="00820C89">
        <w:t xml:space="preserve"> Post-placement support for employers is also considered good practice, as it assists employers or managers in supporting the job seeker to remain in employment by linking them with services to address their specific needs.</w:t>
      </w:r>
      <w:r w:rsidRPr="00820C89">
        <w:rPr>
          <w:rStyle w:val="FootnoteReference"/>
        </w:rPr>
        <w:footnoteReference w:id="250"/>
      </w:r>
      <w:r w:rsidRPr="00820C89">
        <w:t xml:space="preserve"> The 2012 </w:t>
      </w:r>
      <w:r w:rsidRPr="00820C89">
        <w:rPr>
          <w:i/>
          <w:iCs/>
        </w:rPr>
        <w:t xml:space="preserve">Good Practice in Job Services Australia </w:t>
      </w:r>
      <w:r w:rsidRPr="00820C89">
        <w:t>report</w:t>
      </w:r>
      <w:r w:rsidRPr="00820C89">
        <w:rPr>
          <w:i/>
          <w:iCs/>
        </w:rPr>
        <w:t>,</w:t>
      </w:r>
      <w:r w:rsidRPr="00820C89">
        <w:t xml:space="preserve"> developed by DEEWR, identifies high-performing sites as those that offer both participant and employee post-placement support, and continuously monitor the placement for any problems.</w:t>
      </w:r>
      <w:r w:rsidRPr="00820C89">
        <w:rPr>
          <w:rStyle w:val="FootnoteReference"/>
        </w:rPr>
        <w:footnoteReference w:id="251"/>
      </w:r>
    </w:p>
    <w:p w14:paraId="2101CAE5" w14:textId="77777777" w:rsidR="00AA7248" w:rsidRPr="00820C89" w:rsidRDefault="00AA7248" w:rsidP="00AA7248">
      <w:r w:rsidRPr="00820C89">
        <w:rPr>
          <w:b/>
          <w:bCs/>
        </w:rPr>
        <w:t>The intensity and type of post-placement support should differ for each participant and employer and should be aligned with not only their needs but also their expectations and desires</w:t>
      </w:r>
      <w:r w:rsidRPr="00820C89">
        <w:t>.</w:t>
      </w:r>
      <w:r w:rsidRPr="00820C89">
        <w:rPr>
          <w:rStyle w:val="FootnoteReference"/>
        </w:rPr>
        <w:footnoteReference w:id="252"/>
      </w:r>
      <w:r w:rsidRPr="00820C89">
        <w:t xml:space="preserve"> To allow for this, the level of post-placement support should be determined in consultation with both the participant and employer before and during placement.</w:t>
      </w:r>
      <w:r w:rsidRPr="00820C89">
        <w:rPr>
          <w:rStyle w:val="FootnoteReference"/>
        </w:rPr>
        <w:footnoteReference w:id="253"/>
      </w:r>
      <w:r w:rsidRPr="00820C89">
        <w:t xml:space="preserve"> An example of post-placement support required by employers may be cultural capability building training for their employees, to ensure there is a understanding of the benefits of diversity in the workplace, and also to ensure that culturally appropriate processes are embedded within workplace policies. </w:t>
      </w:r>
    </w:p>
    <w:p w14:paraId="5CD178A6" w14:textId="77777777" w:rsidR="00AA7248" w:rsidRPr="00820C89" w:rsidRDefault="00AA7248" w:rsidP="00AA7248">
      <w:r w:rsidRPr="00820C89">
        <w:t xml:space="preserve">This is because there may be factors and sensitives on the participant or employer side that need to be taken into consideration. For example, participants may feel uncomfortable with the repeated </w:t>
      </w:r>
      <w:r w:rsidRPr="00820C89">
        <w:lastRenderedPageBreak/>
        <w:t>contact and perceive that the ongoing support may result in the stigma of being a ‘dole bludger’ who doesn’t know what to do; while employers may become frustrated and tired of the additional time burden, and as a result, may be less inclined to engage participants in the future.</w:t>
      </w:r>
      <w:r w:rsidRPr="00820C89">
        <w:rPr>
          <w:rStyle w:val="FootnoteReference"/>
        </w:rPr>
        <w:footnoteReference w:id="254"/>
      </w:r>
      <w:r w:rsidRPr="00820C89">
        <w:t xml:space="preserve"> </w:t>
      </w:r>
      <w:r w:rsidRPr="00820C89">
        <w:rPr>
          <w:b/>
          <w:bCs/>
        </w:rPr>
        <w:t>It is critical that providers strike a balance between the employer and participant preferences, to safeguard job placements and encourage future business with employers</w:t>
      </w:r>
      <w:r w:rsidRPr="00820C89">
        <w:t>.</w:t>
      </w:r>
      <w:r w:rsidRPr="00820C89">
        <w:rPr>
          <w:rStyle w:val="FootnoteReference"/>
        </w:rPr>
        <w:footnoteReference w:id="255"/>
      </w:r>
    </w:p>
    <w:p w14:paraId="6B0E60C1" w14:textId="77777777" w:rsidR="00AA7248" w:rsidRPr="00820C89" w:rsidRDefault="00AA7248" w:rsidP="00AA7248">
      <w:r w:rsidRPr="00820C89">
        <w:t xml:space="preserve">An interesting trend in Australia is that post-placement support has reduced in Commonwealth mainstream employment services over the last decade. For example, according to JSA’s Employment Pathway Fund expenditure, spending on post-placement support reduced significantly between 2009 and 2012, from $13.5 million to $3.5 million, and the most recent evaluation of </w:t>
      </w:r>
      <w:r w:rsidRPr="00820C89">
        <w:rPr>
          <w:i/>
          <w:iCs/>
        </w:rPr>
        <w:t xml:space="preserve">jobactive </w:t>
      </w:r>
      <w:r w:rsidRPr="00820C89">
        <w:t>does not include figures of post-placement support spending.</w:t>
      </w:r>
      <w:r w:rsidRPr="00820C89">
        <w:rPr>
          <w:rStyle w:val="FootnoteReference"/>
        </w:rPr>
        <w:footnoteReference w:id="256"/>
      </w:r>
      <w:r w:rsidRPr="00820C89">
        <w:t xml:space="preserve"> </w:t>
      </w:r>
    </w:p>
    <w:p w14:paraId="21A2ADE6" w14:textId="77777777" w:rsidR="00AA7248" w:rsidRPr="00820C89" w:rsidRDefault="00AA7248" w:rsidP="004C1A69">
      <w:pPr>
        <w:pStyle w:val="Appendixhead3"/>
      </w:pPr>
      <w:bookmarkStart w:id="227" w:name="_Toc57053522"/>
      <w:r w:rsidRPr="00820C89">
        <w:t>Success principles for Indigenous employment assistance programs</w:t>
      </w:r>
      <w:bookmarkEnd w:id="227"/>
      <w:r w:rsidRPr="00820C89">
        <w:t xml:space="preserve"> </w:t>
      </w:r>
    </w:p>
    <w:p w14:paraId="78F605AD" w14:textId="77777777" w:rsidR="00AA7248" w:rsidRPr="00820C89" w:rsidRDefault="00AA7248" w:rsidP="00AA7248">
      <w:r w:rsidRPr="00820C89">
        <w:t>Indigenous specific employment programs are intended to be designed and implemented with a greater sensitivity to cultural expectations and appropriateness when compared to general employment programs. While the success principle of self-determination deployed for general employment programs naturally applies to Indigenous programs, it is intended to extend beyond the singular provision of choices and require greater program design flexibility to provide autonomy for Indigenous groups, individuals and employers to adapt programs to community specific needs.</w:t>
      </w:r>
    </w:p>
    <w:p w14:paraId="1144B5BC" w14:textId="77777777" w:rsidR="00AA7248" w:rsidRPr="00820C89" w:rsidRDefault="00AA7248" w:rsidP="00AA7248">
      <w:r w:rsidRPr="00820C89">
        <w:t>It is true that the program features and principles outlined in this section are not exclusive to Indigenous jobseekers and are likely to work for other employed groups too (see Box 2 below); however, there is evidence that Indigenous participants are more likely to achieve employment outcomes when engaging in Indigenous-specific employment programs/services compared with mainstream employment programs.</w:t>
      </w:r>
      <w:r w:rsidRPr="00820C89">
        <w:rPr>
          <w:rStyle w:val="FootnoteReference"/>
        </w:rPr>
        <w:footnoteReference w:id="257"/>
      </w:r>
      <w:r w:rsidRPr="00820C89">
        <w:t xml:space="preserve"> For example, the 2017 </w:t>
      </w:r>
      <w:r w:rsidRPr="00820C89">
        <w:rPr>
          <w:i/>
          <w:iCs/>
        </w:rPr>
        <w:t xml:space="preserve">Report for the Review of the Aboriginal Employment Strategy </w:t>
      </w:r>
      <w:r w:rsidRPr="00820C89">
        <w:t xml:space="preserve">found that, after accounting for the differences in individual program characteristics and the state of the labour market, Indigenous participants achieved higher 26-week outcomes for VTEC placements compared to Indigenous participants engaging with </w:t>
      </w:r>
      <w:r w:rsidRPr="00820C89">
        <w:rPr>
          <w:i/>
          <w:iCs/>
        </w:rPr>
        <w:t xml:space="preserve">jobactive </w:t>
      </w:r>
      <w:r w:rsidRPr="00820C89">
        <w:t>and JSA.</w:t>
      </w:r>
      <w:r w:rsidRPr="00820C89">
        <w:rPr>
          <w:rStyle w:val="FootnoteReference"/>
        </w:rPr>
        <w:footnoteReference w:id="258"/>
      </w:r>
    </w:p>
    <w:p w14:paraId="13FCB8C1" w14:textId="77777777" w:rsidR="00AA7248" w:rsidRPr="00820C89" w:rsidRDefault="00AA7248" w:rsidP="00AA7248">
      <w:r w:rsidRPr="00820C89">
        <w:t xml:space="preserve">The available literature on employment programs designed for Indigenous Australians presented strong patterns of recurring success factors of effective employment programs for Indigenous Australians. The success factors or successful program features were recorded and thematically organised and synthesised into four key principles. </w:t>
      </w:r>
    </w:p>
    <w:p w14:paraId="61487437" w14:textId="77777777" w:rsidR="00AA7248" w:rsidRPr="00820C89" w:rsidRDefault="00AA7248" w:rsidP="00AA7248">
      <w:r w:rsidRPr="00820C89">
        <w:t xml:space="preserve">These principles have been strongly guided by two large-scale research papers: </w:t>
      </w:r>
    </w:p>
    <w:p w14:paraId="339F5359" w14:textId="77777777" w:rsidR="00AA7248" w:rsidRPr="00820C89" w:rsidRDefault="00AA7248" w:rsidP="00AA7248">
      <w:pPr>
        <w:pStyle w:val="ListBullet"/>
        <w:spacing w:before="60" w:after="60"/>
        <w:contextualSpacing w:val="0"/>
      </w:pPr>
      <w:r w:rsidRPr="00820C89">
        <w:t xml:space="preserve">Indigenous Employment and Skills Strategies in Australia, an OECD report that considered quantitative and qualitative opportunities for Indigenous Australians. </w:t>
      </w:r>
    </w:p>
    <w:p w14:paraId="024D505B" w14:textId="77777777" w:rsidR="00AA7248" w:rsidRPr="00820C89" w:rsidRDefault="00AA7248" w:rsidP="00AA7248">
      <w:pPr>
        <w:pStyle w:val="ListBullet"/>
        <w:spacing w:before="60" w:after="60"/>
        <w:contextualSpacing w:val="0"/>
      </w:pPr>
      <w:r w:rsidRPr="00820C89">
        <w:rPr>
          <w:i/>
          <w:iCs/>
        </w:rPr>
        <w:t>The effectiveness of implementation in Indigenous Australian healthcare: an overview of literature reviews</w:t>
      </w:r>
      <w:r w:rsidRPr="00820C89">
        <w:t>, a research paper that synthesised 107 Indigenous health initiatives and reported on key findings relating to successful program features.</w:t>
      </w:r>
    </w:p>
    <w:p w14:paraId="6B10706C" w14:textId="77777777" w:rsidR="00AA7248" w:rsidRPr="00820C89" w:rsidRDefault="00AA7248" w:rsidP="00AA7248">
      <w:r w:rsidRPr="00820C89">
        <w:t>The key principles below overlap and are therefore not mutually exclusive:</w:t>
      </w:r>
    </w:p>
    <w:p w14:paraId="70B5D65F" w14:textId="77777777" w:rsidR="00AA7248" w:rsidRPr="00820C89" w:rsidRDefault="00AA7248" w:rsidP="00AA7248">
      <w:pPr>
        <w:pStyle w:val="ListBullet"/>
        <w:spacing w:before="60" w:after="60"/>
        <w:contextualSpacing w:val="0"/>
      </w:pPr>
      <w:r w:rsidRPr="00820C89">
        <w:t xml:space="preserve">Indigenous engagement and self-determination </w:t>
      </w:r>
    </w:p>
    <w:p w14:paraId="0AEDE417" w14:textId="77777777" w:rsidR="00AA7248" w:rsidRPr="00820C89" w:rsidRDefault="00AA7248" w:rsidP="00AA7248">
      <w:pPr>
        <w:pStyle w:val="ListBullet"/>
        <w:spacing w:before="60" w:after="60"/>
        <w:contextualSpacing w:val="0"/>
      </w:pPr>
      <w:r w:rsidRPr="00820C89">
        <w:lastRenderedPageBreak/>
        <w:t xml:space="preserve">Leadership advocacy </w:t>
      </w:r>
    </w:p>
    <w:p w14:paraId="6353F748" w14:textId="77777777" w:rsidR="00AA7248" w:rsidRPr="00820C89" w:rsidRDefault="00AA7248" w:rsidP="00AA7248">
      <w:pPr>
        <w:pStyle w:val="ListBullet"/>
        <w:spacing w:before="60" w:after="60"/>
        <w:contextualSpacing w:val="0"/>
      </w:pPr>
      <w:r w:rsidRPr="00820C89">
        <w:t xml:space="preserve">Sustained wrap-around support with an Indigenous lens </w:t>
      </w:r>
    </w:p>
    <w:p w14:paraId="27427673" w14:textId="77777777" w:rsidR="00AA7248" w:rsidRPr="00820C89" w:rsidRDefault="00AA7248" w:rsidP="00AA7248">
      <w:pPr>
        <w:pStyle w:val="ListBullet"/>
        <w:spacing w:before="60" w:after="60"/>
        <w:contextualSpacing w:val="0"/>
      </w:pPr>
      <w:r w:rsidRPr="00820C89">
        <w:t xml:space="preserve">Sustained focus on building skills </w:t>
      </w:r>
    </w:p>
    <w:p w14:paraId="3BC6E5D5" w14:textId="77777777" w:rsidR="00AA7248" w:rsidRPr="00820C89" w:rsidRDefault="00AA7248" w:rsidP="00AA7248">
      <w:r w:rsidRPr="00820C89">
        <w:t xml:space="preserve">Each of these principles is discussed below and brief illustrative examples are included to exemplify the principles in action. </w:t>
      </w:r>
    </w:p>
    <w:p w14:paraId="586BDDDD" w14:textId="77777777" w:rsidR="00AA7248" w:rsidRPr="00820C89" w:rsidRDefault="00AA7248" w:rsidP="00715F70">
      <w:pPr>
        <w:pStyle w:val="Heading31"/>
        <w:outlineLvl w:val="3"/>
      </w:pPr>
      <w:bookmarkStart w:id="228" w:name="_Toc37779435"/>
      <w:bookmarkStart w:id="229" w:name="_Toc57053523"/>
      <w:r w:rsidRPr="00820C89">
        <w:t xml:space="preserve">Indigenous </w:t>
      </w:r>
      <w:bookmarkEnd w:id="228"/>
      <w:r w:rsidRPr="00820C89">
        <w:t>engagement and self-determination</w:t>
      </w:r>
      <w:bookmarkEnd w:id="229"/>
      <w:r w:rsidRPr="00820C89">
        <w:t xml:space="preserve"> </w:t>
      </w:r>
    </w:p>
    <w:p w14:paraId="3D2B5E0C" w14:textId="77777777" w:rsidR="00AA7248" w:rsidRPr="00820C89" w:rsidRDefault="00AA7248" w:rsidP="00AA7248">
      <w:r w:rsidRPr="00820C89">
        <w:t>Chapter 2 outlined the evolution of employment programs designed specifically for Indigenous Australians to address the enduring low Indigenous employment rate, which has not improved despite significant government policy and program investment. As a result, Indigenous Australians and indeed Indigenous communities have not had access to their share of Australia’s prosperity.</w:t>
      </w:r>
      <w:r w:rsidRPr="00820C89">
        <w:rPr>
          <w:rStyle w:val="FootnoteReference"/>
        </w:rPr>
        <w:footnoteReference w:id="259"/>
      </w:r>
      <w:r w:rsidRPr="00820C89">
        <w:t xml:space="preserve"> </w:t>
      </w:r>
    </w:p>
    <w:p w14:paraId="43C3C861" w14:textId="77777777" w:rsidR="00AA7248" w:rsidRPr="00820C89" w:rsidRDefault="00AA7248" w:rsidP="00AA7248">
      <w:r w:rsidRPr="00820C89">
        <w:t>Historically, Indigenous and non-Indigenous researchers have used the ‘whiteness’ theory as a critical reason for the lack of success in past and current program and policy.</w:t>
      </w:r>
      <w:r w:rsidRPr="00820C89">
        <w:rPr>
          <w:rStyle w:val="FootnoteReference"/>
        </w:rPr>
        <w:footnoteReference w:id="260"/>
      </w:r>
      <w:r w:rsidRPr="00820C89">
        <w:t xml:space="preserve"> The ‘whiteness’ theory attributes responsibility for past policy and program failure to the absence of, or limited inclusion of, Indigenous voice and perspectives in the design and implementation of programs and policies.</w:t>
      </w:r>
      <w:r w:rsidRPr="00820C89">
        <w:rPr>
          <w:rStyle w:val="FootnoteReference"/>
        </w:rPr>
        <w:footnoteReference w:id="261"/>
      </w:r>
      <w:r w:rsidRPr="00820C89">
        <w:t xml:space="preserve"> As such, it is imperative that going forward, Indigenous engagement and self-determination, at both the national and local level, is understood and respected as a critical feature enabling program and policy relevance to the needs and aspirations of the people such programs and policies seek to serve. </w:t>
      </w:r>
    </w:p>
    <w:p w14:paraId="48EAF8CB" w14:textId="77777777" w:rsidR="00AA7248" w:rsidRPr="00820C89" w:rsidRDefault="00AA7248" w:rsidP="00AA7248">
      <w:r w:rsidRPr="00820C89">
        <w:t xml:space="preserve">Sitting beneath this overarching principle of Indigenous engagement and self-determination are several key ingredients. </w:t>
      </w:r>
    </w:p>
    <w:p w14:paraId="79576F7D" w14:textId="77777777" w:rsidR="00AA7248" w:rsidRPr="00820C89" w:rsidRDefault="00AA7248" w:rsidP="00AA7248">
      <w:pPr>
        <w:pStyle w:val="ListBullet"/>
        <w:spacing w:before="170"/>
      </w:pPr>
      <w:r w:rsidRPr="00820C89">
        <w:rPr>
          <w:b/>
          <w:bCs/>
        </w:rPr>
        <w:t>Indigenous voice should be captured at the local level, reflecting a placed-based approach.</w:t>
      </w:r>
      <w:r w:rsidRPr="00820C89">
        <w:rPr>
          <w:rStyle w:val="FootnoteReference"/>
          <w:b/>
          <w:bCs/>
        </w:rPr>
        <w:footnoteReference w:id="262"/>
      </w:r>
      <w:r w:rsidRPr="00820C89">
        <w:rPr>
          <w:b/>
          <w:bCs/>
        </w:rPr>
        <w:t xml:space="preserve"> </w:t>
      </w:r>
      <w:r w:rsidRPr="00820C89">
        <w:t>The decentralisation of decision-making power to Indigenous community leaders ensures that the specific and complex needs and values and are understood and addressed, which in turn has a cascading effect on Indigenous participant motivation and behaviour.</w:t>
      </w:r>
      <w:r w:rsidRPr="00820C89">
        <w:rPr>
          <w:rStyle w:val="FootnoteReference"/>
        </w:rPr>
        <w:footnoteReference w:id="263"/>
      </w:r>
      <w:r w:rsidRPr="00820C89">
        <w:t xml:space="preserve"> This approach ensures Indigenous leadership within the management, implementation and in the development of measures of success for employment outcomes.</w:t>
      </w:r>
      <w:r w:rsidRPr="00820C89">
        <w:rPr>
          <w:rStyle w:val="FootnoteReference"/>
        </w:rPr>
        <w:footnoteReference w:id="264"/>
      </w:r>
      <w:r w:rsidRPr="00820C89">
        <w:t xml:space="preserve"> As a result, participants may perceive their needs and wants reflected in the program’s implementation, building buy-in, support and trust in the program. </w:t>
      </w:r>
    </w:p>
    <w:p w14:paraId="2A5D1642" w14:textId="77777777" w:rsidR="00AA7248" w:rsidRPr="00820C89" w:rsidRDefault="00AA7248" w:rsidP="00AA7248">
      <w:pPr>
        <w:pStyle w:val="ListBullet"/>
        <w:spacing w:before="170"/>
      </w:pPr>
      <w:r w:rsidRPr="00820C89">
        <w:rPr>
          <w:b/>
          <w:bCs/>
        </w:rPr>
        <w:t xml:space="preserve">Employment service activities and supports align with Indigenous value systems – </w:t>
      </w:r>
      <w:r w:rsidRPr="00820C89">
        <w:t xml:space="preserve">this ensures that Indigenous participants’ conception of work and broader culture and values are considered and built into the design and implementation of programs and policies. This may contribute to a greater sense of empowerment and ensure activities and supports have intrinsic and extrinsic cultural value. The provision of flexibility for Indigenous autonomy and input, safeguards the design and service implementation with cultural expectations, norms and values. </w:t>
      </w:r>
    </w:p>
    <w:p w14:paraId="502BA197" w14:textId="77777777" w:rsidR="00AA7248" w:rsidRPr="00820C89" w:rsidRDefault="00AA7248" w:rsidP="00AA7248">
      <w:pPr>
        <w:pStyle w:val="ListBullet"/>
        <w:spacing w:before="170"/>
      </w:pPr>
      <w:r w:rsidRPr="00820C89">
        <w:rPr>
          <w:b/>
          <w:bCs/>
        </w:rPr>
        <w:t xml:space="preserve">Local entrepreneurship opportunities for Indigenous Australians should be promoted – </w:t>
      </w:r>
      <w:r w:rsidRPr="00820C89">
        <w:t xml:space="preserve">It is true that the rate of Indigenous business ownership has rapidly increased in the last decade, but the challenges are varied (such as access to capital or equity) and thus Indigenous </w:t>
      </w:r>
      <w:r w:rsidRPr="00820C89">
        <w:lastRenderedPageBreak/>
        <w:t>Australians require additional support.</w:t>
      </w:r>
      <w:r w:rsidRPr="00820C89">
        <w:rPr>
          <w:rStyle w:val="FootnoteReference"/>
        </w:rPr>
        <w:footnoteReference w:id="265"/>
      </w:r>
      <w:r w:rsidRPr="00820C89">
        <w:t xml:space="preserve"> A focus on local entrepreneurship opportunities can foster economic and social participation in which Indigenous Australians can generate income independently and raise living standards.</w:t>
      </w:r>
      <w:r w:rsidRPr="00820C89">
        <w:rPr>
          <w:rStyle w:val="FootnoteReference"/>
        </w:rPr>
        <w:footnoteReference w:id="266"/>
      </w:r>
    </w:p>
    <w:p w14:paraId="34E2FFDD" w14:textId="77777777" w:rsidR="00AA7248" w:rsidRPr="00820C89" w:rsidRDefault="00AA7248" w:rsidP="00AA7248">
      <w:r w:rsidRPr="00820C89">
        <w:t xml:space="preserve">In essence, programs that allow for Indigenous engagement and self-determination at the local level ensure that they are community-focused, holistic and tailored to local contexts ensure that the diversity of each community is captured and ensures relevance, acceptance and appropriateness, which can, in turn, heighten participant buy-in and enhance long-term employment outcomes. </w:t>
      </w:r>
    </w:p>
    <w:p w14:paraId="02DD475C" w14:textId="77777777" w:rsidR="008F54A1" w:rsidRPr="00820C89" w:rsidRDefault="008F54A1" w:rsidP="008F54A1">
      <w:pPr>
        <w:shd w:val="clear" w:color="auto" w:fill="DFF0F9" w:themeFill="accent3" w:themeFillTint="33"/>
        <w:rPr>
          <w:b/>
          <w:bCs/>
        </w:rPr>
      </w:pPr>
      <w:r w:rsidRPr="00820C89">
        <w:rPr>
          <w:b/>
          <w:bCs/>
        </w:rPr>
        <w:t xml:space="preserve">Box 4: Yarrabah, northern Queensland </w:t>
      </w:r>
    </w:p>
    <w:p w14:paraId="7E075335" w14:textId="77777777" w:rsidR="008F54A1" w:rsidRPr="00820C89" w:rsidRDefault="008F54A1" w:rsidP="008F54A1">
      <w:pPr>
        <w:shd w:val="clear" w:color="auto" w:fill="DFF0F9" w:themeFill="accent3" w:themeFillTint="33"/>
      </w:pPr>
      <w:r w:rsidRPr="00820C89">
        <w:t>The Indigenous community of Yarrabah has received Australian Government funding for a trial place-based employment program. This has culminated in the creation of a local community organisation tasked with delivering employment support to the community.</w:t>
      </w:r>
      <w:r w:rsidRPr="00820C89">
        <w:rPr>
          <w:rStyle w:val="FootnoteReference"/>
        </w:rPr>
        <w:footnoteReference w:id="267"/>
      </w:r>
      <w:r w:rsidRPr="00820C89">
        <w:t xml:space="preserve"> </w:t>
      </w:r>
    </w:p>
    <w:p w14:paraId="7A1020B3" w14:textId="77777777" w:rsidR="008F54A1" w:rsidRPr="00820C89" w:rsidRDefault="008F54A1" w:rsidP="008F54A1">
      <w:pPr>
        <w:shd w:val="clear" w:color="auto" w:fill="DFF0F9" w:themeFill="accent3" w:themeFillTint="33"/>
      </w:pPr>
      <w:r w:rsidRPr="00820C89">
        <w:t>Involving local residents in the service delivery ensures that the specific challenges jobseekers face in Yarrabah are understood and targeted through program design and implementation.</w:t>
      </w:r>
      <w:r w:rsidRPr="00820C89">
        <w:rPr>
          <w:rStyle w:val="FootnoteReference"/>
        </w:rPr>
        <w:footnoteReference w:id="268"/>
      </w:r>
      <w:r w:rsidRPr="00820C89">
        <w:t xml:space="preserve"> The flexible funding offered through this program assists Yarrabah in building the capacity to deliver this employment service, such as through a community skills and training activity.</w:t>
      </w:r>
      <w:r w:rsidRPr="00820C89">
        <w:rPr>
          <w:rStyle w:val="FootnoteReference"/>
        </w:rPr>
        <w:footnoteReference w:id="269"/>
      </w:r>
      <w:r w:rsidRPr="00820C89">
        <w:t xml:space="preserve">  </w:t>
      </w:r>
    </w:p>
    <w:p w14:paraId="57C35AF4" w14:textId="77777777" w:rsidR="008F54A1" w:rsidRPr="00820C89" w:rsidRDefault="008F54A1" w:rsidP="008F54A1">
      <w:pPr>
        <w:shd w:val="clear" w:color="auto" w:fill="DFF0F9" w:themeFill="accent3" w:themeFillTint="33"/>
      </w:pPr>
      <w:r w:rsidRPr="00820C89">
        <w:t xml:space="preserve">Key aspects of this place-based model include: </w:t>
      </w:r>
    </w:p>
    <w:p w14:paraId="7C851A14" w14:textId="77777777" w:rsidR="008F54A1" w:rsidRPr="00820C89" w:rsidRDefault="008F54A1" w:rsidP="008F54A1">
      <w:pPr>
        <w:pStyle w:val="ListBullet"/>
        <w:shd w:val="clear" w:color="auto" w:fill="DFF0F9" w:themeFill="accent3" w:themeFillTint="33"/>
        <w:spacing w:before="60" w:after="60"/>
        <w:contextualSpacing w:val="0"/>
      </w:pPr>
      <w:r w:rsidRPr="00820C89">
        <w:t xml:space="preserve">local community leadership </w:t>
      </w:r>
    </w:p>
    <w:p w14:paraId="1946707F" w14:textId="77777777" w:rsidR="008F54A1" w:rsidRPr="00820C89" w:rsidRDefault="008F54A1" w:rsidP="008F54A1">
      <w:pPr>
        <w:pStyle w:val="ListBullet"/>
        <w:shd w:val="clear" w:color="auto" w:fill="DFF0F9" w:themeFill="accent3" w:themeFillTint="33"/>
        <w:spacing w:before="60" w:after="60"/>
        <w:contextualSpacing w:val="0"/>
      </w:pPr>
      <w:r w:rsidRPr="00820C89">
        <w:t xml:space="preserve">culturally appropriate service delivery </w:t>
      </w:r>
    </w:p>
    <w:p w14:paraId="3E567C19" w14:textId="77777777" w:rsidR="008F54A1" w:rsidRPr="00820C89" w:rsidRDefault="008F54A1" w:rsidP="008F54A1">
      <w:pPr>
        <w:pStyle w:val="ListBullet"/>
        <w:shd w:val="clear" w:color="auto" w:fill="DFF0F9" w:themeFill="accent3" w:themeFillTint="33"/>
        <w:spacing w:before="60" w:after="60"/>
        <w:contextualSpacing w:val="0"/>
      </w:pPr>
      <w:r w:rsidRPr="00820C89">
        <w:t xml:space="preserve">community input into decision-making </w:t>
      </w:r>
    </w:p>
    <w:p w14:paraId="060695E3" w14:textId="0BBC43C6" w:rsidR="00AA7248" w:rsidRDefault="008F54A1" w:rsidP="008F54A1">
      <w:pPr>
        <w:shd w:val="clear" w:color="auto" w:fill="DFF0F9" w:themeFill="accent3" w:themeFillTint="33"/>
      </w:pPr>
      <w:r w:rsidRPr="00820C89">
        <w:t>targeting the interests of participants to training and employment.</w:t>
      </w:r>
      <w:r w:rsidRPr="00820C89">
        <w:rPr>
          <w:rStyle w:val="FootnoteReference"/>
        </w:rPr>
        <w:footnoteReference w:id="270"/>
      </w:r>
    </w:p>
    <w:p w14:paraId="5080BFB2" w14:textId="7B242223" w:rsidR="008F54A1" w:rsidRDefault="008F54A1" w:rsidP="008F54A1">
      <w:pPr>
        <w:shd w:val="clear" w:color="auto" w:fill="FFFFFF" w:themeFill="background1"/>
      </w:pPr>
    </w:p>
    <w:p w14:paraId="0FAA8005" w14:textId="77777777" w:rsidR="008F54A1" w:rsidRPr="00820C89" w:rsidRDefault="008F54A1" w:rsidP="008F54A1">
      <w:pPr>
        <w:shd w:val="clear" w:color="auto" w:fill="DFF0F9" w:themeFill="accent3" w:themeFillTint="33"/>
        <w:rPr>
          <w:b/>
          <w:bCs/>
        </w:rPr>
      </w:pPr>
      <w:r w:rsidRPr="00820C89">
        <w:rPr>
          <w:b/>
          <w:bCs/>
        </w:rPr>
        <w:t xml:space="preserve">Box 5: Canada’s city of Thunder Bay </w:t>
      </w:r>
    </w:p>
    <w:p w14:paraId="1AFDF82A" w14:textId="77777777" w:rsidR="008F54A1" w:rsidRPr="00820C89" w:rsidRDefault="008F54A1" w:rsidP="008F54A1">
      <w:pPr>
        <w:shd w:val="clear" w:color="auto" w:fill="DFF0F9" w:themeFill="accent3" w:themeFillTint="33"/>
      </w:pPr>
      <w:r w:rsidRPr="00820C89">
        <w:t>The city of Thunder Bay in Canada established an Aboriginal Liaison Strategy, with the objective to enhance the wellbeing of the city’s local communities.</w:t>
      </w:r>
      <w:r w:rsidRPr="00820C89">
        <w:rPr>
          <w:rStyle w:val="FootnoteReference"/>
        </w:rPr>
        <w:footnoteReference w:id="271"/>
      </w:r>
      <w:r w:rsidRPr="00820C89">
        <w:t xml:space="preserve"> </w:t>
      </w:r>
    </w:p>
    <w:p w14:paraId="1C262D84" w14:textId="77777777" w:rsidR="008F54A1" w:rsidRPr="00820C89" w:rsidRDefault="008F54A1" w:rsidP="008F54A1">
      <w:pPr>
        <w:shd w:val="clear" w:color="auto" w:fill="DFF0F9" w:themeFill="accent3" w:themeFillTint="33"/>
      </w:pPr>
      <w:r w:rsidRPr="00820C89">
        <w:t>Established through formal and informal gatherings with local Indigenous leaders, service providers and community groups, this strategy seeks to prioritise the city’s role as an employer of Indigenous people.</w:t>
      </w:r>
      <w:r w:rsidRPr="00820C89">
        <w:rPr>
          <w:rStyle w:val="FootnoteReference"/>
        </w:rPr>
        <w:footnoteReference w:id="272"/>
      </w:r>
      <w:r w:rsidRPr="00820C89">
        <w:t xml:space="preserve"> To achieve this, the city plans to ensure recruitment materials and internship programs are developed with culturally sensitive and specific lens. </w:t>
      </w:r>
    </w:p>
    <w:p w14:paraId="7FACD4A6" w14:textId="77777777" w:rsidR="008F54A1" w:rsidRPr="00820C89" w:rsidRDefault="008F54A1" w:rsidP="008F54A1">
      <w:pPr>
        <w:shd w:val="clear" w:color="auto" w:fill="DFF0F9" w:themeFill="accent3" w:themeFillTint="33"/>
      </w:pPr>
      <w:r w:rsidRPr="00820C89">
        <w:t>This Aboriginal Liaison Strategy is reviewed annually, with key indicators of success relating to:</w:t>
      </w:r>
    </w:p>
    <w:p w14:paraId="2466F13F" w14:textId="77777777" w:rsidR="008F54A1" w:rsidRPr="00820C89" w:rsidRDefault="008F54A1" w:rsidP="008F54A1">
      <w:pPr>
        <w:pStyle w:val="ListBullet"/>
        <w:shd w:val="clear" w:color="auto" w:fill="DFF0F9" w:themeFill="accent3" w:themeFillTint="33"/>
        <w:spacing w:before="60" w:after="60"/>
        <w:contextualSpacing w:val="0"/>
      </w:pPr>
      <w:r w:rsidRPr="00820C89">
        <w:t>statistics on employment, education attainment, homelessness and poverty</w:t>
      </w:r>
    </w:p>
    <w:p w14:paraId="1C41CAFE" w14:textId="77777777" w:rsidR="008F54A1" w:rsidRPr="00820C89" w:rsidRDefault="008F54A1" w:rsidP="008F54A1">
      <w:pPr>
        <w:pStyle w:val="ListBullet"/>
        <w:shd w:val="clear" w:color="auto" w:fill="DFF0F9" w:themeFill="accent3" w:themeFillTint="33"/>
        <w:spacing w:before="60" w:after="60"/>
        <w:contextualSpacing w:val="0"/>
      </w:pPr>
      <w:r w:rsidRPr="00820C89">
        <w:lastRenderedPageBreak/>
        <w:t xml:space="preserve">increased participation in city services and programs </w:t>
      </w:r>
    </w:p>
    <w:p w14:paraId="2315223B" w14:textId="77777777" w:rsidR="008F54A1" w:rsidRPr="00820C89" w:rsidRDefault="008F54A1" w:rsidP="008F54A1">
      <w:pPr>
        <w:pStyle w:val="ListBullet"/>
        <w:shd w:val="clear" w:color="auto" w:fill="DFF0F9" w:themeFill="accent3" w:themeFillTint="33"/>
        <w:spacing w:before="60" w:after="60"/>
        <w:contextualSpacing w:val="0"/>
      </w:pPr>
      <w:r w:rsidRPr="00820C89">
        <w:t xml:space="preserve">increased engagement of Indigenous community members and leaders in municipal politics and governance </w:t>
      </w:r>
    </w:p>
    <w:p w14:paraId="7CCEEE7F" w14:textId="77777777" w:rsidR="008F54A1" w:rsidRPr="00820C89" w:rsidRDefault="008F54A1" w:rsidP="008F54A1">
      <w:pPr>
        <w:pStyle w:val="ListBullet"/>
        <w:shd w:val="clear" w:color="auto" w:fill="DFF0F9" w:themeFill="accent3" w:themeFillTint="33"/>
        <w:spacing w:before="60" w:after="60"/>
        <w:contextualSpacing w:val="0"/>
      </w:pPr>
      <w:r w:rsidRPr="00820C89">
        <w:t xml:space="preserve">increase sense of belonging and respect towards Indigenous people within the city </w:t>
      </w:r>
    </w:p>
    <w:p w14:paraId="7378CC95" w14:textId="0600BF3D" w:rsidR="008F54A1" w:rsidRDefault="008F54A1" w:rsidP="00715F70">
      <w:pPr>
        <w:shd w:val="clear" w:color="auto" w:fill="DFF0F9" w:themeFill="accent3" w:themeFillTint="33"/>
      </w:pPr>
      <w:r w:rsidRPr="00820C89">
        <w:t>increased and continuous involvement with Mayor, Council and Administration.</w:t>
      </w:r>
      <w:r w:rsidRPr="00820C89">
        <w:rPr>
          <w:rStyle w:val="FootnoteReference"/>
        </w:rPr>
        <w:footnoteReference w:id="273"/>
      </w:r>
      <w:bookmarkStart w:id="230" w:name="_Toc37779438"/>
      <w:bookmarkStart w:id="231" w:name="_Toc57053524"/>
    </w:p>
    <w:p w14:paraId="22304BA8" w14:textId="2D2805F1" w:rsidR="00AA7248" w:rsidRPr="00820C89" w:rsidRDefault="00AA7248" w:rsidP="00715F70">
      <w:pPr>
        <w:pStyle w:val="Heading31"/>
        <w:outlineLvl w:val="3"/>
      </w:pPr>
      <w:r w:rsidRPr="00820C89">
        <w:t>Leadership advocacy</w:t>
      </w:r>
      <w:bookmarkEnd w:id="230"/>
      <w:bookmarkEnd w:id="231"/>
      <w:r w:rsidRPr="00820C89">
        <w:t xml:space="preserve"> </w:t>
      </w:r>
    </w:p>
    <w:p w14:paraId="31D32A99" w14:textId="77777777" w:rsidR="00AA7248" w:rsidRPr="00820C89" w:rsidRDefault="00AA7248" w:rsidP="00AA7248">
      <w:r w:rsidRPr="00820C89">
        <w:t>Employer leadership that actively promotes and facilitates strong program ownership is key. Leadership advocacy can shift workplace culture and ensure the supports and systems are in place to enhance program success.</w:t>
      </w:r>
    </w:p>
    <w:p w14:paraId="0D15FCC3" w14:textId="77777777" w:rsidR="00AA7248" w:rsidRPr="00820C89" w:rsidRDefault="00AA7248" w:rsidP="00AA7248">
      <w:r w:rsidRPr="00820C89">
        <w:t xml:space="preserve">Existing research indicates the following aspects are enabling features of successful leadership advocacy: </w:t>
      </w:r>
    </w:p>
    <w:p w14:paraId="1F8E7BC4" w14:textId="77777777" w:rsidR="00AA7248" w:rsidRPr="00820C89" w:rsidRDefault="00AA7248" w:rsidP="00AA7248">
      <w:pPr>
        <w:pStyle w:val="ListBullet"/>
        <w:spacing w:before="170"/>
      </w:pPr>
      <w:r w:rsidRPr="00820C89">
        <w:t>A ‘buddy’ system for day-to-day support for Indigenous participants and/or a mentor – Indigenous if possible.</w:t>
      </w:r>
      <w:r w:rsidRPr="00820C89">
        <w:rPr>
          <w:rStyle w:val="FootnoteReference"/>
        </w:rPr>
        <w:footnoteReference w:id="274"/>
      </w:r>
    </w:p>
    <w:p w14:paraId="382EC726" w14:textId="77777777" w:rsidR="00AA7248" w:rsidRPr="00820C89" w:rsidRDefault="00AA7248" w:rsidP="00AA7248">
      <w:pPr>
        <w:pStyle w:val="ListBullet"/>
        <w:spacing w:before="170"/>
      </w:pPr>
      <w:r w:rsidRPr="00820C89">
        <w:t>Indigenous cultural capability training within workplaces and championed by employers that covers (a) Indigenous culture, (b) the impact of British and European arrival on Indigenous culture and identity, and (c) how workplace processes and supports can be customised to meet the needs and culture of Indigenous Australians.</w:t>
      </w:r>
    </w:p>
    <w:p w14:paraId="759AD870" w14:textId="1486AA16" w:rsidR="00AA7248" w:rsidRPr="00820C89" w:rsidRDefault="00AA7248" w:rsidP="00AA7248">
      <w:pPr>
        <w:pStyle w:val="ListBullet"/>
        <w:spacing w:before="170"/>
      </w:pPr>
      <w:r w:rsidRPr="00820C89">
        <w:t xml:space="preserve">The existence of RAPs and embedding of cultural change and training within the workplace. See Section </w:t>
      </w:r>
      <w:r w:rsidRPr="00820C89">
        <w:fldChar w:fldCharType="begin"/>
      </w:r>
      <w:r w:rsidRPr="00820C89">
        <w:instrText xml:space="preserve"> REF _Ref55309681 \r \h </w:instrText>
      </w:r>
      <w:r w:rsidR="00820C89">
        <w:instrText xml:space="preserve"> \* MERGEFORMAT </w:instrText>
      </w:r>
      <w:r w:rsidRPr="00820C89">
        <w:fldChar w:fldCharType="separate"/>
      </w:r>
      <w:r w:rsidR="008565C8">
        <w:t>5.6.2</w:t>
      </w:r>
      <w:r w:rsidRPr="00820C89">
        <w:fldChar w:fldCharType="end"/>
      </w:r>
      <w:r w:rsidRPr="00820C89">
        <w:t xml:space="preserve"> for further detail.</w:t>
      </w:r>
    </w:p>
    <w:p w14:paraId="506E4682" w14:textId="77777777" w:rsidR="00AA7248" w:rsidRPr="00820C89" w:rsidRDefault="00AA7248" w:rsidP="00AA7248">
      <w:r w:rsidRPr="00820C89">
        <w:t>These measures assist to build trust and respectful relationships as well as contribute to a more inclusive workplace.</w:t>
      </w:r>
      <w:r w:rsidRPr="00820C89">
        <w:rPr>
          <w:rStyle w:val="FootnoteReference"/>
        </w:rPr>
        <w:footnoteReference w:id="275"/>
      </w:r>
      <w:r w:rsidRPr="00820C89">
        <w:t xml:space="preserve"> An invested leadership is also more likely to engage the local Indigenous community, which – as mentioned above – can incentivise community buy-in, program adoption and improved likelihood of long-term employment. </w:t>
      </w:r>
    </w:p>
    <w:p w14:paraId="3193D2F4" w14:textId="6E1AF39A" w:rsidR="00AA7248" w:rsidRDefault="00AA7248" w:rsidP="00AA7248">
      <w:r w:rsidRPr="00820C89">
        <w:t xml:space="preserve">It is worth emphasising that a magnifying form of leadership in this context is the availability of Indigenous leadership and mentoring within the employer, so that patterns of work and cultural engagement can be normalised for all parties. </w:t>
      </w:r>
    </w:p>
    <w:p w14:paraId="13A2DAB9" w14:textId="77777777" w:rsidR="008F54A1" w:rsidRPr="00820C89" w:rsidRDefault="008F54A1" w:rsidP="008F54A1">
      <w:pPr>
        <w:shd w:val="clear" w:color="auto" w:fill="DFF0F9" w:themeFill="accent3" w:themeFillTint="33"/>
        <w:rPr>
          <w:b/>
          <w:bCs/>
        </w:rPr>
      </w:pPr>
      <w:r w:rsidRPr="00820C89">
        <w:rPr>
          <w:b/>
          <w:bCs/>
        </w:rPr>
        <w:t>Box 6: NAB’s Indigenous employment agenda</w:t>
      </w:r>
    </w:p>
    <w:p w14:paraId="69AD9683" w14:textId="77777777" w:rsidR="008F54A1" w:rsidRPr="00820C89" w:rsidRDefault="008F54A1" w:rsidP="008F54A1">
      <w:pPr>
        <w:shd w:val="clear" w:color="auto" w:fill="DFF0F9" w:themeFill="accent3" w:themeFillTint="33"/>
      </w:pPr>
      <w:r w:rsidRPr="00820C89">
        <w:t>To promote greater corporate social responsibility, in 2008 National Australia Bank (NAB) developed a RAP to enhance employment outcomes for Indigenous Australians.</w:t>
      </w:r>
      <w:r w:rsidRPr="00820C89">
        <w:rPr>
          <w:rStyle w:val="FootnoteReference"/>
        </w:rPr>
        <w:footnoteReference w:id="276"/>
      </w:r>
      <w:r w:rsidRPr="00820C89">
        <w:t xml:space="preserve"> Through this, NAB developed their employment program, which sought to increase the number of Indigenous employees. </w:t>
      </w:r>
    </w:p>
    <w:p w14:paraId="43741F58" w14:textId="77777777" w:rsidR="008F54A1" w:rsidRPr="00820C89" w:rsidRDefault="008F54A1" w:rsidP="008F54A1">
      <w:pPr>
        <w:shd w:val="clear" w:color="auto" w:fill="DFF0F9" w:themeFill="accent3" w:themeFillTint="33"/>
      </w:pPr>
      <w:r w:rsidRPr="00820C89">
        <w:t>To achieve this goal, NAB committed to providing 20 School Based Traineeships per year, 20 Indigenous tertiary and leadership scholarships, as well as ‘on the job’ training for Indigenous students through traineeships, cadetships and apprenticeship programs.</w:t>
      </w:r>
      <w:r w:rsidRPr="00820C89">
        <w:rPr>
          <w:rStyle w:val="FootnoteReference"/>
        </w:rPr>
        <w:footnoteReference w:id="277"/>
      </w:r>
      <w:r w:rsidRPr="00820C89">
        <w:t xml:space="preserve"> </w:t>
      </w:r>
    </w:p>
    <w:p w14:paraId="58E34131" w14:textId="77777777" w:rsidR="008F54A1" w:rsidRPr="00820C89" w:rsidRDefault="008F54A1" w:rsidP="008F54A1">
      <w:pPr>
        <w:shd w:val="clear" w:color="auto" w:fill="DFF0F9" w:themeFill="accent3" w:themeFillTint="33"/>
      </w:pPr>
      <w:r w:rsidRPr="00820C89">
        <w:lastRenderedPageBreak/>
        <w:t xml:space="preserve">Seeking to enhance an inclusive workplace culture, NAB also developed cross-cultural awareness activities and provides volunteering opportunities in Indigenous organisations to foster communication connections and the sharing of knowledge. </w:t>
      </w:r>
    </w:p>
    <w:p w14:paraId="2148E6EB" w14:textId="77777777" w:rsidR="008F54A1" w:rsidRPr="00820C89" w:rsidRDefault="008F54A1" w:rsidP="008F54A1">
      <w:pPr>
        <w:shd w:val="clear" w:color="auto" w:fill="DFF0F9" w:themeFill="accent3" w:themeFillTint="33"/>
      </w:pPr>
      <w:r w:rsidRPr="00820C89">
        <w:t xml:space="preserve">Findings from the firm’s first year operating their IEP showed positive results with respect to both Indigenous and NAB perspectives. </w:t>
      </w:r>
    </w:p>
    <w:p w14:paraId="04CF915A" w14:textId="77777777" w:rsidR="008F54A1" w:rsidRPr="00820C89" w:rsidRDefault="008F54A1" w:rsidP="008F54A1">
      <w:pPr>
        <w:pStyle w:val="ListBullet"/>
        <w:shd w:val="clear" w:color="auto" w:fill="DFF0F9" w:themeFill="accent3" w:themeFillTint="33"/>
        <w:spacing w:before="170"/>
      </w:pPr>
      <w:r w:rsidRPr="00820C89">
        <w:t xml:space="preserve">the number of Indigenous employees more than doubled, with 77 Indigenous employees in 2010 compared with 35 in 2009 </w:t>
      </w:r>
      <w:r w:rsidRPr="00820C89">
        <w:rPr>
          <w:rStyle w:val="FootnoteReference"/>
        </w:rPr>
        <w:footnoteReference w:id="278"/>
      </w:r>
    </w:p>
    <w:p w14:paraId="2A07E437" w14:textId="77777777" w:rsidR="008F54A1" w:rsidRPr="00820C89" w:rsidRDefault="008F54A1" w:rsidP="008F54A1">
      <w:pPr>
        <w:pStyle w:val="ListBullet"/>
        <w:shd w:val="clear" w:color="auto" w:fill="DFF0F9" w:themeFill="accent3" w:themeFillTint="33"/>
        <w:spacing w:before="170"/>
      </w:pPr>
      <w:r w:rsidRPr="00820C89">
        <w:t xml:space="preserve">the vast majority of managers and other NAB staff interviewed were strongly in favour of the IEP, and over half believed that having an Indigenous person in the workplace made customers and NAB employees break down negative views and stereotypes of Indigenous Australians </w:t>
      </w:r>
      <w:r w:rsidRPr="00820C89">
        <w:rPr>
          <w:rStyle w:val="FootnoteReference"/>
        </w:rPr>
        <w:footnoteReference w:id="279"/>
      </w:r>
      <w:r w:rsidRPr="00820C89">
        <w:t xml:space="preserve"> </w:t>
      </w:r>
    </w:p>
    <w:p w14:paraId="1B004E0A" w14:textId="0BCAE681" w:rsidR="008F54A1" w:rsidRPr="00820C89" w:rsidRDefault="008F54A1" w:rsidP="008F54A1">
      <w:pPr>
        <w:shd w:val="clear" w:color="auto" w:fill="DFF0F9" w:themeFill="accent3" w:themeFillTint="33"/>
      </w:pPr>
      <w:r w:rsidRPr="00820C89">
        <w:t>using the Household, Income and Labour Dynamics in Australia (HILDA) survey Indigenous participants in the IEP reported improved work and personal outcomes, including job satisfaction, reduced financial stress, improved wellbeing and the majority believed that their NAB experienced helped them plan for the future.</w:t>
      </w:r>
      <w:r w:rsidRPr="00820C89">
        <w:rPr>
          <w:rStyle w:val="FootnoteReference"/>
        </w:rPr>
        <w:footnoteReference w:id="280"/>
      </w:r>
    </w:p>
    <w:p w14:paraId="640804FB" w14:textId="77777777" w:rsidR="00AA7248" w:rsidRPr="00820C89" w:rsidRDefault="00AA7248" w:rsidP="00715F70">
      <w:pPr>
        <w:pStyle w:val="Heading31"/>
        <w:outlineLvl w:val="3"/>
      </w:pPr>
      <w:bookmarkStart w:id="232" w:name="_Toc37779439"/>
      <w:bookmarkStart w:id="233" w:name="_Toc57053525"/>
      <w:r w:rsidRPr="00820C89">
        <w:t>Sustained wrap-around support</w:t>
      </w:r>
      <w:bookmarkEnd w:id="232"/>
      <w:r w:rsidRPr="00820C89">
        <w:t xml:space="preserve"> with an Indigenous lens</w:t>
      </w:r>
      <w:bookmarkEnd w:id="233"/>
    </w:p>
    <w:p w14:paraId="22B3F8F6" w14:textId="309E17E7" w:rsidR="00AA7248" w:rsidRPr="00820C89" w:rsidRDefault="00AA7248" w:rsidP="00AA7248">
      <w:r w:rsidRPr="00820C89">
        <w:t xml:space="preserve">Wrap-around support is a term used for supports and services offered to disadvantaged participants facing structural barriers to employment, similar to job-readiness training outlined in Section </w:t>
      </w:r>
      <w:r w:rsidRPr="00820C89">
        <w:fldChar w:fldCharType="begin"/>
      </w:r>
      <w:r w:rsidRPr="00820C89">
        <w:instrText xml:space="preserve"> REF _Ref55304786 \r \h </w:instrText>
      </w:r>
      <w:r w:rsidR="00820C89">
        <w:instrText xml:space="preserve"> \* MERGEFORMAT </w:instrText>
      </w:r>
      <w:r w:rsidRPr="00820C89">
        <w:fldChar w:fldCharType="separate"/>
      </w:r>
      <w:r w:rsidR="008565C8">
        <w:t>0</w:t>
      </w:r>
      <w:r w:rsidRPr="00820C89">
        <w:fldChar w:fldCharType="end"/>
      </w:r>
      <w:r w:rsidRPr="00820C89">
        <w:t xml:space="preserve">. While this is imperative for </w:t>
      </w:r>
      <w:r w:rsidRPr="00820C89">
        <w:rPr>
          <w:i/>
          <w:iCs/>
        </w:rPr>
        <w:t xml:space="preserve">all </w:t>
      </w:r>
      <w:r w:rsidRPr="00820C89">
        <w:t>disadvantaged jobseekers, it is important that Indigenous participants access wrap-around support that is underpinned by an Indigenous cultural focus.</w:t>
      </w:r>
    </w:p>
    <w:p w14:paraId="6D62BECB" w14:textId="77777777" w:rsidR="00AA7248" w:rsidRPr="00820C89" w:rsidRDefault="00AA7248" w:rsidP="00AA7248">
      <w:r w:rsidRPr="00820C89">
        <w:t xml:space="preserve">The following features are deemed effective in attracting and retaining Indigenous staff: </w:t>
      </w:r>
    </w:p>
    <w:p w14:paraId="003E7241" w14:textId="77777777" w:rsidR="00AA7248" w:rsidRPr="00820C89" w:rsidRDefault="00AA7248" w:rsidP="00AA7248">
      <w:pPr>
        <w:pStyle w:val="ListBullet"/>
        <w:spacing w:before="60" w:after="60"/>
        <w:contextualSpacing w:val="0"/>
      </w:pPr>
      <w:r w:rsidRPr="00820C89">
        <w:rPr>
          <w:b/>
          <w:bCs/>
        </w:rPr>
        <w:t>The provision of culturally appropriate mentoring programs is key</w:t>
      </w:r>
      <w:r w:rsidRPr="00820C89">
        <w:t>. Embedding mentoring in the training and development of Indigenous job seekers can support Indigenous job seekers in overcoming key barriers, such as fear of failure and navigating the workplace.</w:t>
      </w:r>
      <w:r w:rsidRPr="00820C89">
        <w:rPr>
          <w:rStyle w:val="FootnoteReference"/>
        </w:rPr>
        <w:footnoteReference w:id="281"/>
      </w:r>
      <w:r w:rsidRPr="00820C89">
        <w:t xml:space="preserve"> It is important that mentoring programs are outsourced to Indigenous organisations or the local community to both build capability at the local level and to allow for more open and culturally relevant support.</w:t>
      </w:r>
      <w:r w:rsidRPr="00820C89">
        <w:rPr>
          <w:rStyle w:val="FootnoteReference"/>
        </w:rPr>
        <w:footnoteReference w:id="282"/>
      </w:r>
      <w:r w:rsidRPr="00820C89">
        <w:t xml:space="preserve"> </w:t>
      </w:r>
    </w:p>
    <w:p w14:paraId="76B1C881" w14:textId="77777777" w:rsidR="00AA7248" w:rsidRPr="00820C89" w:rsidRDefault="00AA7248" w:rsidP="00AA7248">
      <w:pPr>
        <w:pStyle w:val="ListBullet"/>
        <w:spacing w:before="60" w:after="60"/>
        <w:contextualSpacing w:val="0"/>
      </w:pPr>
      <w:r w:rsidRPr="00820C89">
        <w:rPr>
          <w:b/>
          <w:bCs/>
        </w:rPr>
        <w:t>The provision of family and community support programs assist Indigenous jobseekers and employees to overcome significant life barriers</w:t>
      </w:r>
      <w:r w:rsidRPr="00820C89">
        <w:t>. An example is provided in the Rio Tinto program whereby families are assisted in settling into the working environment and residential mining towns.</w:t>
      </w:r>
      <w:r w:rsidRPr="00820C89">
        <w:rPr>
          <w:rStyle w:val="FootnoteReference"/>
        </w:rPr>
        <w:footnoteReference w:id="283"/>
      </w:r>
      <w:r w:rsidRPr="00820C89">
        <w:t xml:space="preserve"> </w:t>
      </w:r>
    </w:p>
    <w:p w14:paraId="1D65F31B" w14:textId="77777777" w:rsidR="00AA7248" w:rsidRPr="00820C89" w:rsidRDefault="00AA7248" w:rsidP="00AA7248">
      <w:pPr>
        <w:pStyle w:val="ListBullet"/>
        <w:spacing w:before="60" w:after="60"/>
        <w:contextualSpacing w:val="0"/>
      </w:pPr>
      <w:r w:rsidRPr="00820C89">
        <w:rPr>
          <w:b/>
          <w:bCs/>
        </w:rPr>
        <w:t xml:space="preserve">Connecting participants to external/specialist services in the community can assist Indigenous jobseekers and employees to access care and support to address ongoing </w:t>
      </w:r>
      <w:r w:rsidRPr="00820C89">
        <w:rPr>
          <w:b/>
          <w:bCs/>
        </w:rPr>
        <w:lastRenderedPageBreak/>
        <w:t xml:space="preserve">life barriers. </w:t>
      </w:r>
      <w:r w:rsidRPr="00820C89">
        <w:t>Examples may include counselling or psychology services, and other allied health support.</w:t>
      </w:r>
      <w:r w:rsidRPr="00820C89">
        <w:rPr>
          <w:rStyle w:val="FootnoteReference"/>
        </w:rPr>
        <w:footnoteReference w:id="284"/>
      </w:r>
    </w:p>
    <w:p w14:paraId="6B2C066F" w14:textId="77777777" w:rsidR="00AA7248" w:rsidRPr="00820C89" w:rsidRDefault="00AA7248" w:rsidP="00AA7248">
      <w:pPr>
        <w:pStyle w:val="ListBullet"/>
        <w:spacing w:before="60" w:after="60"/>
        <w:contextualSpacing w:val="0"/>
      </w:pPr>
      <w:r w:rsidRPr="00820C89">
        <w:rPr>
          <w:b/>
          <w:bCs/>
        </w:rPr>
        <w:t>The provision of post-participation support is a trait of programs oriented to improving longer-term outcomes</w:t>
      </w:r>
      <w:r w:rsidRPr="00820C89">
        <w:t>. Examples may include facilitating transitions into employment, such as the provision of more flexible hours to cater for family and cultural responsibilities.</w:t>
      </w:r>
      <w:r w:rsidRPr="00820C89">
        <w:rPr>
          <w:rStyle w:val="FootnoteReference"/>
        </w:rPr>
        <w:footnoteReference w:id="285"/>
      </w:r>
      <w:r w:rsidRPr="00820C89">
        <w:t xml:space="preserve"> </w:t>
      </w:r>
    </w:p>
    <w:p w14:paraId="12FFAFF0" w14:textId="77777777" w:rsidR="00AA7248" w:rsidRPr="00820C89" w:rsidRDefault="00AA7248" w:rsidP="00AA7248">
      <w:pPr>
        <w:pStyle w:val="ListBullet"/>
        <w:spacing w:before="60" w:after="60"/>
        <w:contextualSpacing w:val="0"/>
      </w:pPr>
      <w:r w:rsidRPr="00820C89">
        <w:rPr>
          <w:b/>
          <w:bCs/>
        </w:rPr>
        <w:t>The provision of case management allows for assistance to be tailored to the Indigenous participant’s most pressing needs.</w:t>
      </w:r>
      <w:r w:rsidRPr="00820C89">
        <w:rPr>
          <w:rStyle w:val="FootnoteReference"/>
          <w:b/>
          <w:bCs/>
        </w:rPr>
        <w:footnoteReference w:id="286"/>
      </w:r>
      <w:r w:rsidRPr="00820C89">
        <w:t xml:space="preserve"> A case manager serves a conduit to other services, such as in relation to housing and mental health services. </w:t>
      </w:r>
    </w:p>
    <w:p w14:paraId="760D34F8" w14:textId="77777777" w:rsidR="00AA7248" w:rsidRPr="00820C89" w:rsidRDefault="00AA7248" w:rsidP="00AA7248">
      <w:pPr>
        <w:pStyle w:val="ListBullet"/>
        <w:spacing w:before="60" w:after="60"/>
        <w:contextualSpacing w:val="0"/>
      </w:pPr>
      <w:r w:rsidRPr="00820C89">
        <w:rPr>
          <w:b/>
          <w:bCs/>
        </w:rPr>
        <w:t>A long-term focus that adopts a ‘life-first’ as opposed to ‘work first’ approach</w:t>
      </w:r>
      <w:r w:rsidRPr="00820C89">
        <w:t>, supporting Indigenous jobseekers to address challenges associated with health, housing and other lifestyle barriers stemming from enduring disadvantage.</w:t>
      </w:r>
      <w:r w:rsidRPr="00820C89">
        <w:rPr>
          <w:rStyle w:val="FootnoteReference"/>
        </w:rPr>
        <w:footnoteReference w:id="287"/>
      </w:r>
    </w:p>
    <w:p w14:paraId="73B6036E" w14:textId="77777777" w:rsidR="00AA7248" w:rsidRPr="00820C89" w:rsidRDefault="00AA7248" w:rsidP="00AA7248">
      <w:pPr>
        <w:pStyle w:val="ListBullet"/>
        <w:numPr>
          <w:ilvl w:val="0"/>
          <w:numId w:val="0"/>
        </w:numPr>
        <w:spacing w:before="60" w:after="60"/>
        <w:ind w:left="340"/>
        <w:contextualSpacing w:val="0"/>
      </w:pPr>
    </w:p>
    <w:p w14:paraId="7B29D06B" w14:textId="77777777" w:rsidR="008F54A1" w:rsidRPr="00820C89" w:rsidRDefault="008F54A1" w:rsidP="008F54A1">
      <w:pPr>
        <w:shd w:val="clear" w:color="auto" w:fill="DFF0F9" w:themeFill="accent3" w:themeFillTint="33"/>
        <w:rPr>
          <w:b/>
          <w:bCs/>
        </w:rPr>
      </w:pPr>
      <w:r w:rsidRPr="00820C89">
        <w:rPr>
          <w:b/>
          <w:bCs/>
        </w:rPr>
        <w:t>Box 7: Rio Tinto’s Indigenous employment agenda</w:t>
      </w:r>
    </w:p>
    <w:p w14:paraId="0E2D8DB0" w14:textId="77777777" w:rsidR="008F54A1" w:rsidRPr="00820C89" w:rsidRDefault="008F54A1" w:rsidP="008F54A1">
      <w:pPr>
        <w:shd w:val="clear" w:color="auto" w:fill="DFF0F9" w:themeFill="accent3" w:themeFillTint="33"/>
      </w:pPr>
      <w:r w:rsidRPr="00820C89">
        <w:t xml:space="preserve">Rio Tinto’s Indigenous employment program is referred to as an ‘active’ initiative in that the design and implementation of adjustments and supports are ‘hands on’. The success of this initiative centres on the adaption of workplace processes and the provision of tailored supports. </w:t>
      </w:r>
    </w:p>
    <w:p w14:paraId="04A15350" w14:textId="77777777" w:rsidR="008F54A1" w:rsidRPr="00820C89" w:rsidRDefault="008F54A1" w:rsidP="008F54A1">
      <w:pPr>
        <w:shd w:val="clear" w:color="auto" w:fill="DFF0F9" w:themeFill="accent3" w:themeFillTint="33"/>
      </w:pPr>
      <w:r w:rsidRPr="00820C89">
        <w:t>Rio Tinto uses alternative recruitment methods, demonstrating their understanding that traditional methods of recruitment, such as psychometric testing and formal interviews, can be daunting and form a significant barrier to participating in employment.</w:t>
      </w:r>
      <w:r w:rsidRPr="00820C89">
        <w:rPr>
          <w:rStyle w:val="FootnoteReference"/>
        </w:rPr>
        <w:footnoteReference w:id="288"/>
      </w:r>
      <w:r w:rsidRPr="00820C89">
        <w:t xml:space="preserve"> </w:t>
      </w:r>
    </w:p>
    <w:p w14:paraId="3C05C448" w14:textId="77777777" w:rsidR="008F54A1" w:rsidRPr="00820C89" w:rsidRDefault="008F54A1" w:rsidP="008F54A1">
      <w:pPr>
        <w:shd w:val="clear" w:color="auto" w:fill="DFF0F9" w:themeFill="accent3" w:themeFillTint="33"/>
      </w:pPr>
      <w:r w:rsidRPr="00820C89">
        <w:t>The program also provides a range of educational, welling and family support to assist Indigenous employees overcome and manage factors inhibiting retention. Examples include:</w:t>
      </w:r>
    </w:p>
    <w:p w14:paraId="4447DC0B" w14:textId="77777777" w:rsidR="008F54A1" w:rsidRPr="00820C89" w:rsidRDefault="008F54A1" w:rsidP="008F54A1">
      <w:pPr>
        <w:pStyle w:val="ListBullet"/>
        <w:shd w:val="clear" w:color="auto" w:fill="DFF0F9" w:themeFill="accent3" w:themeFillTint="33"/>
        <w:spacing w:before="60" w:after="60"/>
        <w:contextualSpacing w:val="0"/>
      </w:pPr>
      <w:r w:rsidRPr="00820C89">
        <w:t>Foundational skills, including job readiness training, literacy and numeracy support, safety training</w:t>
      </w:r>
    </w:p>
    <w:p w14:paraId="13D15C54" w14:textId="77777777" w:rsidR="008F54A1" w:rsidRPr="00820C89" w:rsidRDefault="008F54A1" w:rsidP="008F54A1">
      <w:pPr>
        <w:pStyle w:val="ListBullet"/>
        <w:shd w:val="clear" w:color="auto" w:fill="DFF0F9" w:themeFill="accent3" w:themeFillTint="33"/>
        <w:spacing w:before="60" w:after="60"/>
        <w:contextualSpacing w:val="0"/>
      </w:pPr>
      <w:r w:rsidRPr="00820C89">
        <w:t xml:space="preserve">External/expert support, including alcohol and drug support and personal financial management  </w:t>
      </w:r>
    </w:p>
    <w:p w14:paraId="61CFBD2F" w14:textId="77777777" w:rsidR="008F54A1" w:rsidRPr="00820C89" w:rsidRDefault="008F54A1" w:rsidP="008F54A1">
      <w:pPr>
        <w:pStyle w:val="ListBullet"/>
        <w:shd w:val="clear" w:color="auto" w:fill="DFF0F9" w:themeFill="accent3" w:themeFillTint="33"/>
        <w:spacing w:before="60" w:after="60"/>
        <w:contextualSpacing w:val="0"/>
      </w:pPr>
      <w:r w:rsidRPr="00820C89">
        <w:t xml:space="preserve">Prevocational training, traineeships and apprenticeships </w:t>
      </w:r>
    </w:p>
    <w:p w14:paraId="1F0060DE" w14:textId="1EFD8AFE" w:rsidR="00AA7248" w:rsidRDefault="008F54A1" w:rsidP="008F54A1">
      <w:pPr>
        <w:pStyle w:val="ListBullet"/>
        <w:numPr>
          <w:ilvl w:val="0"/>
          <w:numId w:val="0"/>
        </w:numPr>
        <w:shd w:val="clear" w:color="auto" w:fill="DFF0F9" w:themeFill="accent3" w:themeFillTint="33"/>
        <w:ind w:left="340" w:hanging="340"/>
      </w:pPr>
      <w:r w:rsidRPr="00820C89">
        <w:t>Career support and advice, including mentoring programs (usually conducted by an Indigenous employee)</w:t>
      </w:r>
    </w:p>
    <w:p w14:paraId="7FC9E931" w14:textId="059321AF" w:rsidR="008F54A1" w:rsidRDefault="008F54A1" w:rsidP="008F54A1">
      <w:pPr>
        <w:pStyle w:val="ListBullet"/>
        <w:numPr>
          <w:ilvl w:val="0"/>
          <w:numId w:val="0"/>
        </w:numPr>
        <w:ind w:left="340" w:hanging="340"/>
      </w:pPr>
    </w:p>
    <w:p w14:paraId="65EE8057" w14:textId="77777777" w:rsidR="008F54A1" w:rsidRPr="00820C89" w:rsidRDefault="008F54A1" w:rsidP="008F54A1">
      <w:pPr>
        <w:shd w:val="clear" w:color="auto" w:fill="DFF0F9" w:themeFill="accent3" w:themeFillTint="33"/>
        <w:rPr>
          <w:b/>
          <w:bCs/>
        </w:rPr>
      </w:pPr>
      <w:r w:rsidRPr="00820C89">
        <w:rPr>
          <w:b/>
          <w:bCs/>
        </w:rPr>
        <w:t>Box 8: Indigenous Mentoring Pilot</w:t>
      </w:r>
    </w:p>
    <w:p w14:paraId="09BE876A" w14:textId="77777777" w:rsidR="008F54A1" w:rsidRPr="00820C89" w:rsidRDefault="008F54A1" w:rsidP="008F54A1">
      <w:pPr>
        <w:shd w:val="clear" w:color="auto" w:fill="DFF0F9" w:themeFill="accent3" w:themeFillTint="33"/>
      </w:pPr>
      <w:r w:rsidRPr="00820C89">
        <w:t xml:space="preserve">The Indigenous Mentoring Pilot commenced in July 2012, as a part of JSA’s offering for Indigenous participants. This initiative was intended to enhance the sustainability of employment for the most </w:t>
      </w:r>
      <w:r w:rsidRPr="00820C89">
        <w:lastRenderedPageBreak/>
        <w:t>disadvantaged Indigenous jobseekers who commenced work by providing ongoing mentoring support during and post-placement for an additional 26 weeks.</w:t>
      </w:r>
      <w:r w:rsidRPr="00820C89">
        <w:rPr>
          <w:rStyle w:val="FootnoteReference"/>
        </w:rPr>
        <w:footnoteReference w:id="289"/>
      </w:r>
    </w:p>
    <w:p w14:paraId="6D5DA002" w14:textId="77777777" w:rsidR="008F54A1" w:rsidRPr="00820C89" w:rsidRDefault="008F54A1" w:rsidP="008F54A1">
      <w:pPr>
        <w:shd w:val="clear" w:color="auto" w:fill="DFF0F9" w:themeFill="accent3" w:themeFillTint="33"/>
      </w:pPr>
      <w:r w:rsidRPr="00820C89">
        <w:t xml:space="preserve">An evaluation of the pilot in 2015 found that the key successful ingredients include the following. </w:t>
      </w:r>
    </w:p>
    <w:p w14:paraId="3BD056E7" w14:textId="77777777" w:rsidR="008F54A1" w:rsidRPr="00820C89" w:rsidRDefault="008F54A1" w:rsidP="008F54A1">
      <w:pPr>
        <w:shd w:val="clear" w:color="auto" w:fill="DFF0F9" w:themeFill="accent3" w:themeFillTint="33"/>
      </w:pPr>
      <w:r w:rsidRPr="00820C89">
        <w:t>Mentors should:</w:t>
      </w:r>
    </w:p>
    <w:p w14:paraId="42A29E3B" w14:textId="77777777" w:rsidR="008F54A1" w:rsidRPr="00820C89" w:rsidRDefault="008F54A1" w:rsidP="008F54A1">
      <w:pPr>
        <w:pStyle w:val="ListBullet"/>
        <w:shd w:val="clear" w:color="auto" w:fill="DFF0F9" w:themeFill="accent3" w:themeFillTint="33"/>
        <w:spacing w:before="170"/>
      </w:pPr>
      <w:r w:rsidRPr="00820C89">
        <w:t>have experience of work, an understanding of the income support system, and have links to support services, the local community and employers;</w:t>
      </w:r>
    </w:p>
    <w:p w14:paraId="739D0DC1" w14:textId="77777777" w:rsidR="008F54A1" w:rsidRPr="00820C89" w:rsidRDefault="008F54A1" w:rsidP="008F54A1">
      <w:pPr>
        <w:pStyle w:val="ListBullet"/>
        <w:shd w:val="clear" w:color="auto" w:fill="DFF0F9" w:themeFill="accent3" w:themeFillTint="33"/>
        <w:spacing w:before="170"/>
      </w:pPr>
      <w:r w:rsidRPr="00820C89">
        <w:t>be selected from local Indigenous communities who are known and respected;</w:t>
      </w:r>
    </w:p>
    <w:p w14:paraId="6B259A86" w14:textId="77777777" w:rsidR="008F54A1" w:rsidRPr="00820C89" w:rsidRDefault="008F54A1" w:rsidP="008F54A1">
      <w:pPr>
        <w:pStyle w:val="ListBullet"/>
        <w:shd w:val="clear" w:color="auto" w:fill="DFF0F9" w:themeFill="accent3" w:themeFillTint="33"/>
        <w:spacing w:before="170"/>
      </w:pPr>
      <w:r w:rsidRPr="00820C89">
        <w:t>be trained and mentored themselves, to ensure they understand their roles and responsibilities and accessible services and supports available to their participants;</w:t>
      </w:r>
    </w:p>
    <w:p w14:paraId="1CA5F8CC" w14:textId="77777777" w:rsidR="008F54A1" w:rsidRPr="00820C89" w:rsidRDefault="008F54A1" w:rsidP="008F54A1">
      <w:pPr>
        <w:pStyle w:val="ListBullet"/>
        <w:shd w:val="clear" w:color="auto" w:fill="DFF0F9" w:themeFill="accent3" w:themeFillTint="33"/>
        <w:spacing w:before="170"/>
      </w:pPr>
      <w:r w:rsidRPr="00820C89">
        <w:t>work closely with the families of jobseekers;</w:t>
      </w:r>
    </w:p>
    <w:p w14:paraId="2646762A" w14:textId="77777777" w:rsidR="008F54A1" w:rsidRPr="00820C89" w:rsidRDefault="008F54A1" w:rsidP="008F54A1">
      <w:pPr>
        <w:pStyle w:val="ListBullet"/>
        <w:shd w:val="clear" w:color="auto" w:fill="DFF0F9" w:themeFill="accent3" w:themeFillTint="33"/>
        <w:spacing w:before="170"/>
      </w:pPr>
      <w:r w:rsidRPr="00820C89">
        <w:t>have or develop strong relationships with assisting organisations, such as the Aboriginal Legal Service and the Aboriginal Health service.</w:t>
      </w:r>
      <w:r w:rsidRPr="00820C89">
        <w:rPr>
          <w:rStyle w:val="FootnoteReference"/>
        </w:rPr>
        <w:footnoteReference w:id="290"/>
      </w:r>
    </w:p>
    <w:p w14:paraId="782FEABE" w14:textId="77777777" w:rsidR="008F54A1" w:rsidRPr="00820C89" w:rsidRDefault="008F54A1" w:rsidP="008F54A1">
      <w:pPr>
        <w:shd w:val="clear" w:color="auto" w:fill="DFF0F9" w:themeFill="accent3" w:themeFillTint="33"/>
      </w:pPr>
      <w:r w:rsidRPr="00820C89">
        <w:t>Providers should:</w:t>
      </w:r>
    </w:p>
    <w:p w14:paraId="614D71C8" w14:textId="77777777" w:rsidR="008F54A1" w:rsidRPr="00820C89" w:rsidRDefault="008F54A1" w:rsidP="008F54A1">
      <w:pPr>
        <w:pStyle w:val="ListBullet"/>
        <w:shd w:val="clear" w:color="auto" w:fill="DFF0F9" w:themeFill="accent3" w:themeFillTint="33"/>
        <w:spacing w:before="170"/>
      </w:pPr>
      <w:r w:rsidRPr="00820C89">
        <w:t>support mentors to manage their workloads, as their role is often similar to the role of a case manager, supporting participants to work through a range of significant and complex barriers;</w:t>
      </w:r>
    </w:p>
    <w:p w14:paraId="7313021C" w14:textId="77777777" w:rsidR="008F54A1" w:rsidRPr="00820C89" w:rsidRDefault="008F54A1" w:rsidP="008F54A1">
      <w:pPr>
        <w:pStyle w:val="ListBullet"/>
        <w:shd w:val="clear" w:color="auto" w:fill="DFF0F9" w:themeFill="accent3" w:themeFillTint="33"/>
        <w:spacing w:before="170"/>
      </w:pPr>
      <w:r w:rsidRPr="00820C89">
        <w:t>have a RAP and some form of cultural capability training;</w:t>
      </w:r>
    </w:p>
    <w:p w14:paraId="3B44E110" w14:textId="77777777" w:rsidR="008F54A1" w:rsidRPr="00820C89" w:rsidRDefault="008F54A1" w:rsidP="008F54A1">
      <w:pPr>
        <w:pStyle w:val="ListBullet"/>
        <w:shd w:val="clear" w:color="auto" w:fill="DFF0F9" w:themeFill="accent3" w:themeFillTint="33"/>
        <w:spacing w:before="170"/>
      </w:pPr>
      <w:r w:rsidRPr="00820C89">
        <w:t>consider providing mental health training to Indigenous mentors;</w:t>
      </w:r>
    </w:p>
    <w:p w14:paraId="5C7AE413" w14:textId="77777777" w:rsidR="008F54A1" w:rsidRPr="00820C89" w:rsidRDefault="008F54A1" w:rsidP="008F54A1">
      <w:pPr>
        <w:pStyle w:val="ListBullet"/>
        <w:shd w:val="clear" w:color="auto" w:fill="DFF0F9" w:themeFill="accent3" w:themeFillTint="33"/>
        <w:spacing w:before="170"/>
      </w:pPr>
      <w:r w:rsidRPr="00820C89">
        <w:t>consider ways to retain their Indigenous mentors to allow for continuity of mentors.</w:t>
      </w:r>
      <w:r w:rsidRPr="00820C89">
        <w:rPr>
          <w:rStyle w:val="FootnoteReference"/>
        </w:rPr>
        <w:footnoteReference w:id="291"/>
      </w:r>
      <w:r w:rsidRPr="00820C89">
        <w:t xml:space="preserve"> </w:t>
      </w:r>
    </w:p>
    <w:p w14:paraId="787FE13E" w14:textId="77777777" w:rsidR="008F54A1" w:rsidRPr="00820C89" w:rsidRDefault="008F54A1" w:rsidP="008F54A1">
      <w:pPr>
        <w:pStyle w:val="ListBullet"/>
        <w:numPr>
          <w:ilvl w:val="0"/>
          <w:numId w:val="0"/>
        </w:numPr>
        <w:ind w:left="340" w:hanging="340"/>
        <w:rPr>
          <w:b/>
          <w:bCs/>
          <w:color w:val="62B5E5" w:themeColor="accent3"/>
        </w:rPr>
      </w:pPr>
    </w:p>
    <w:p w14:paraId="55C9A402" w14:textId="77777777" w:rsidR="00AA7248" w:rsidRPr="00820C89" w:rsidRDefault="00AA7248" w:rsidP="00715F70">
      <w:pPr>
        <w:pStyle w:val="Heading31"/>
        <w:outlineLvl w:val="3"/>
      </w:pPr>
      <w:bookmarkStart w:id="234" w:name="_Toc57053526"/>
      <w:r w:rsidRPr="00820C89">
        <w:t>Sustained focus on building skills</w:t>
      </w:r>
      <w:bookmarkEnd w:id="234"/>
      <w:r w:rsidRPr="00820C89">
        <w:t xml:space="preserve"> </w:t>
      </w:r>
    </w:p>
    <w:p w14:paraId="33A5C8CE" w14:textId="11A63FBD" w:rsidR="00AA7248" w:rsidRPr="00820C89" w:rsidRDefault="00AA7248" w:rsidP="00AA7248">
      <w:r w:rsidRPr="00820C89">
        <w:t xml:space="preserve">It is well recognised that Indigenous Australians face a multitude of barriers to accessing education, training and employment, and that a coordinated and sustained approach to building the skills of Indigenous Australians is necessary. With respect to employment programs, this means that training should be tailored but should also be supplemented by external supporting services and programs, such as those outlined in Section </w:t>
      </w:r>
      <w:r w:rsidRPr="00820C89">
        <w:fldChar w:fldCharType="begin"/>
      </w:r>
      <w:r w:rsidRPr="00820C89">
        <w:instrText xml:space="preserve"> REF _Ref55308324 \r \h </w:instrText>
      </w:r>
      <w:r w:rsidR="00820C89">
        <w:instrText xml:space="preserve"> \* MERGEFORMAT </w:instrText>
      </w:r>
      <w:r w:rsidRPr="00820C89">
        <w:fldChar w:fldCharType="separate"/>
      </w:r>
      <w:r w:rsidR="008565C8">
        <w:t>5.6.1</w:t>
      </w:r>
      <w:r w:rsidRPr="00820C89">
        <w:fldChar w:fldCharType="end"/>
      </w:r>
      <w:r w:rsidRPr="00820C89">
        <w:t xml:space="preserve">. </w:t>
      </w:r>
    </w:p>
    <w:p w14:paraId="7A1545C6" w14:textId="77777777" w:rsidR="00AA7248" w:rsidRPr="00820C89" w:rsidRDefault="00AA7248" w:rsidP="00AA7248">
      <w:r w:rsidRPr="00820C89">
        <w:t>Low education attainment (school and further training, such as vocational training) is a key contributor to the long-term trend of Indigenous unemployment. A focus on raising the skill levels of Indigenous Australians within urban and remote areas is a key factor in narrowing employment gaps.</w:t>
      </w:r>
      <w:r w:rsidRPr="00820C89">
        <w:rPr>
          <w:rStyle w:val="FootnoteReference"/>
        </w:rPr>
        <w:footnoteReference w:id="292"/>
      </w:r>
      <w:r w:rsidRPr="00820C89">
        <w:t xml:space="preserve"> In particular, the research stresses the importance of aligning training and development opportunities to sectors with shortages, such as health care and education.</w:t>
      </w:r>
      <w:r w:rsidRPr="00820C89">
        <w:rPr>
          <w:rStyle w:val="FootnoteReference"/>
        </w:rPr>
        <w:footnoteReference w:id="293"/>
      </w:r>
      <w:r w:rsidRPr="00820C89">
        <w:t xml:space="preserve"> </w:t>
      </w:r>
    </w:p>
    <w:p w14:paraId="1D22ACF3" w14:textId="77777777" w:rsidR="00AA7248" w:rsidRPr="00820C89" w:rsidRDefault="00AA7248" w:rsidP="00AA7248">
      <w:r w:rsidRPr="00820C89">
        <w:t xml:space="preserve">Vocational education and job-readiness training can ease the transition from school to work, which is perceived as a challenge for Indigenous students. </w:t>
      </w:r>
    </w:p>
    <w:p w14:paraId="5651AF08" w14:textId="77777777" w:rsidR="00AA7248" w:rsidRPr="00820C89" w:rsidRDefault="00AA7248" w:rsidP="00AA7248">
      <w:r w:rsidRPr="00820C89">
        <w:t xml:space="preserve">According to the OECD report, the following are key principles underpinning successful Indigenous skills-based employment programs: </w:t>
      </w:r>
    </w:p>
    <w:p w14:paraId="16B4AE0F" w14:textId="77777777" w:rsidR="00AA7248" w:rsidRPr="00820C89" w:rsidRDefault="00AA7248" w:rsidP="00AA7248">
      <w:pPr>
        <w:pStyle w:val="ListBullet"/>
        <w:spacing w:before="60" w:after="60"/>
        <w:contextualSpacing w:val="0"/>
      </w:pPr>
      <w:r w:rsidRPr="00820C89">
        <w:rPr>
          <w:b/>
          <w:bCs/>
        </w:rPr>
        <w:t>Employer engagement in skills development opportunities</w:t>
      </w:r>
      <w:r w:rsidRPr="00820C89">
        <w:t xml:space="preserve"> – this ensures employers are actively aware and involved in skill development and enables them to create workplace in which Indigenous Australians can integrate the skills they have learned </w:t>
      </w:r>
    </w:p>
    <w:p w14:paraId="2C863B5C" w14:textId="77777777" w:rsidR="00AA7248" w:rsidRPr="00820C89" w:rsidRDefault="00AA7248" w:rsidP="00AA7248">
      <w:pPr>
        <w:pStyle w:val="ListBullet"/>
        <w:spacing w:before="60" w:after="60"/>
        <w:contextualSpacing w:val="0"/>
      </w:pPr>
      <w:r w:rsidRPr="00820C89">
        <w:rPr>
          <w:b/>
          <w:bCs/>
        </w:rPr>
        <w:lastRenderedPageBreak/>
        <w:t>Sector-based approach can assist in meeting future labour market demands</w:t>
      </w:r>
      <w:r w:rsidRPr="00820C89">
        <w:t xml:space="preserve"> – this ensures that training is relevant and translates into employment</w:t>
      </w:r>
    </w:p>
    <w:p w14:paraId="349FFDF5" w14:textId="77777777" w:rsidR="00AA7248" w:rsidRPr="00820C89" w:rsidRDefault="00AA7248" w:rsidP="00AA7248">
      <w:pPr>
        <w:pStyle w:val="ListBullet"/>
        <w:spacing w:before="60" w:after="60"/>
        <w:contextualSpacing w:val="0"/>
      </w:pPr>
      <w:r w:rsidRPr="00820C89">
        <w:rPr>
          <w:b/>
          <w:bCs/>
        </w:rPr>
        <w:t>Provision of training within a workplace setting</w:t>
      </w:r>
      <w:r w:rsidRPr="00820C89">
        <w:t xml:space="preserve"> – this ensures that training is easily transferrable to employment, as in many cases Indigenous Australians may not have prior work experience in the field they are seeking employment in </w:t>
      </w:r>
    </w:p>
    <w:p w14:paraId="78DE690E" w14:textId="77777777" w:rsidR="00AA7248" w:rsidRPr="00820C89" w:rsidRDefault="00AA7248" w:rsidP="00AA7248">
      <w:pPr>
        <w:pStyle w:val="ListBullet"/>
        <w:spacing w:before="60" w:after="60"/>
        <w:contextualSpacing w:val="0"/>
      </w:pPr>
      <w:r w:rsidRPr="00820C89">
        <w:rPr>
          <w:b/>
          <w:bCs/>
        </w:rPr>
        <w:t>Culturally appropriate mentoring programs</w:t>
      </w:r>
      <w:r w:rsidRPr="00820C89">
        <w:t xml:space="preserve"> – this assists in ensuring that all aspects of the workplace (such as recruitment and training) are culturally sensitive and respectful. Ideally, the mentor should be Indigenous but where this is not possible, the mentor should undertake extensive training in Indigenous cultures, customs and values. </w:t>
      </w:r>
    </w:p>
    <w:p w14:paraId="0771421D" w14:textId="77777777" w:rsidR="00AA7248" w:rsidRPr="00820C89" w:rsidRDefault="00AA7248" w:rsidP="00AA7248">
      <w:pPr>
        <w:pStyle w:val="ListBullet"/>
        <w:spacing w:before="60" w:after="60"/>
        <w:contextualSpacing w:val="0"/>
      </w:pPr>
      <w:r w:rsidRPr="00820C89">
        <w:rPr>
          <w:b/>
          <w:bCs/>
        </w:rPr>
        <w:t>Foundational skills training</w:t>
      </w:r>
      <w:r w:rsidRPr="00820C89">
        <w:t xml:space="preserve"> – this ensures that Indigenous Australians have necessary generic skills – such as literacy, numeracy, problem-solving and presentation skills – essential in accessing, participating and retaining employment.</w:t>
      </w:r>
      <w:r w:rsidRPr="00820C89">
        <w:rPr>
          <w:rStyle w:val="FootnoteReference"/>
        </w:rPr>
        <w:footnoteReference w:id="294"/>
      </w:r>
      <w:r w:rsidRPr="00820C89">
        <w:t xml:space="preserve"> </w:t>
      </w:r>
    </w:p>
    <w:p w14:paraId="11C0F83C" w14:textId="600C762E" w:rsidR="008F54A1" w:rsidRDefault="008F54A1" w:rsidP="008F54A1">
      <w:pPr>
        <w:pStyle w:val="ListBullet"/>
        <w:numPr>
          <w:ilvl w:val="0"/>
          <w:numId w:val="0"/>
        </w:numPr>
        <w:spacing w:before="60" w:after="60"/>
        <w:contextualSpacing w:val="0"/>
      </w:pPr>
    </w:p>
    <w:p w14:paraId="3BB3C7D9" w14:textId="77777777" w:rsidR="008F54A1" w:rsidRPr="00820C89" w:rsidRDefault="008F54A1" w:rsidP="008F54A1">
      <w:pPr>
        <w:shd w:val="clear" w:color="auto" w:fill="DFF0F9" w:themeFill="accent3" w:themeFillTint="33"/>
        <w:rPr>
          <w:b/>
          <w:bCs/>
          <w:color w:val="62B5E5" w:themeColor="accent3"/>
        </w:rPr>
      </w:pPr>
      <w:r w:rsidRPr="00820C89">
        <w:rPr>
          <w:b/>
          <w:bCs/>
        </w:rPr>
        <w:t>Box 9: Yarn’n Aboriginal Employment Services</w:t>
      </w:r>
    </w:p>
    <w:p w14:paraId="7B06B163" w14:textId="77777777" w:rsidR="008F54A1" w:rsidRPr="00820C89" w:rsidRDefault="008F54A1" w:rsidP="008F54A1">
      <w:pPr>
        <w:pStyle w:val="ListBullet2"/>
        <w:numPr>
          <w:ilvl w:val="0"/>
          <w:numId w:val="0"/>
        </w:numPr>
        <w:shd w:val="clear" w:color="auto" w:fill="DFF0F9" w:themeFill="accent3" w:themeFillTint="33"/>
      </w:pPr>
      <w:r w:rsidRPr="00820C89">
        <w:t>Based in Sydney, Yarn’n Aboriginal Employment Services focuses on promoting Indigenous employment within the health sector by partnering with local employers to develop employment programs that focus on training, development and adapting ‘mainstream’ employment practices that can create additional barriers to sustaining employment.</w:t>
      </w:r>
      <w:r w:rsidRPr="00820C89">
        <w:rPr>
          <w:rStyle w:val="FootnoteReference"/>
        </w:rPr>
        <w:footnoteReference w:id="295"/>
      </w:r>
      <w:r w:rsidRPr="00820C89">
        <w:t xml:space="preserve"> </w:t>
      </w:r>
    </w:p>
    <w:p w14:paraId="4AD00FD6" w14:textId="77777777" w:rsidR="008F54A1" w:rsidRPr="00820C89" w:rsidRDefault="008F54A1" w:rsidP="008F54A1">
      <w:pPr>
        <w:pStyle w:val="ListBullet2"/>
        <w:numPr>
          <w:ilvl w:val="0"/>
          <w:numId w:val="0"/>
        </w:numPr>
        <w:shd w:val="clear" w:color="auto" w:fill="DFF0F9" w:themeFill="accent3" w:themeFillTint="33"/>
      </w:pPr>
    </w:p>
    <w:p w14:paraId="2AFC5BBC" w14:textId="77777777" w:rsidR="008F54A1" w:rsidRPr="00820C89" w:rsidRDefault="008F54A1" w:rsidP="008F54A1">
      <w:pPr>
        <w:pStyle w:val="ListBullet2"/>
        <w:numPr>
          <w:ilvl w:val="0"/>
          <w:numId w:val="0"/>
        </w:numPr>
        <w:shd w:val="clear" w:color="auto" w:fill="DFF0F9" w:themeFill="accent3" w:themeFillTint="33"/>
      </w:pPr>
      <w:r w:rsidRPr="00820C89">
        <w:t>For employers, Yarn’n Aboriginal Employment Services provides advice on culturally appropriate recruitment practices, support for Indigenous candidates, as well as support to supervisors to build culturally sensitive workplaces.</w:t>
      </w:r>
      <w:r w:rsidRPr="00820C89">
        <w:rPr>
          <w:rStyle w:val="FootnoteReference"/>
        </w:rPr>
        <w:footnoteReference w:id="296"/>
      </w:r>
      <w:r w:rsidRPr="00820C89">
        <w:t xml:space="preserve"> </w:t>
      </w:r>
    </w:p>
    <w:p w14:paraId="591EB6C6" w14:textId="2E5810B7" w:rsidR="008F54A1" w:rsidRPr="00820C89" w:rsidRDefault="008F54A1" w:rsidP="008F54A1">
      <w:pPr>
        <w:pStyle w:val="ListBullet"/>
        <w:numPr>
          <w:ilvl w:val="0"/>
          <w:numId w:val="0"/>
        </w:numPr>
        <w:shd w:val="clear" w:color="auto" w:fill="DFF0F9" w:themeFill="accent3" w:themeFillTint="33"/>
        <w:spacing w:before="60" w:after="60"/>
        <w:contextualSpacing w:val="0"/>
      </w:pPr>
      <w:r w:rsidRPr="00820C89">
        <w:t>For Indigenous jobseekers, the ‘Health Jobs Connect’ initiative provided training and employment, with 150 placements into health sector employment. This approach ensures that training is relevant, job-specific and easily transferrable to employment.</w:t>
      </w:r>
      <w:r w:rsidRPr="00820C89">
        <w:rPr>
          <w:rStyle w:val="FootnoteReference"/>
        </w:rPr>
        <w:footnoteReference w:id="297"/>
      </w:r>
    </w:p>
    <w:p w14:paraId="2572EC64" w14:textId="77777777" w:rsidR="00AA7248" w:rsidRPr="00820C89" w:rsidRDefault="00AA7248" w:rsidP="0041777D">
      <w:pPr>
        <w:pStyle w:val="Appendixhead2"/>
        <w:spacing w:after="60"/>
      </w:pPr>
      <w:bookmarkStart w:id="235" w:name="_Toc57053527"/>
      <w:r w:rsidRPr="00820C89">
        <w:t>Conclusions</w:t>
      </w:r>
      <w:bookmarkEnd w:id="235"/>
    </w:p>
    <w:p w14:paraId="44E386DA" w14:textId="77777777" w:rsidR="00AA7248" w:rsidRPr="00820C89" w:rsidRDefault="00AA7248" w:rsidP="00AA7248">
      <w:r w:rsidRPr="00820C89">
        <w:t xml:space="preserve">The literature scan presented in this report has been added to and refined over the course of the evaluation, as new evidence and lines of inquiry came to light. This review provides the evaluation guidance on where existing evidence is strongest, and where evaluation findings will be required to shed more light. </w:t>
      </w:r>
    </w:p>
    <w:p w14:paraId="67B940D2" w14:textId="77777777" w:rsidR="00AA7248" w:rsidRPr="00820C89" w:rsidRDefault="00AA7248" w:rsidP="004C1A69">
      <w:pPr>
        <w:pStyle w:val="Heading3"/>
      </w:pPr>
      <w:bookmarkStart w:id="236" w:name="_Toc57053528"/>
      <w:r w:rsidRPr="00820C89">
        <w:t>Limitations of existing literature</w:t>
      </w:r>
      <w:bookmarkEnd w:id="236"/>
    </w:p>
    <w:p w14:paraId="48F89A25" w14:textId="77777777" w:rsidR="00AA7248" w:rsidRPr="00820C89" w:rsidRDefault="00AA7248" w:rsidP="00AA7248">
      <w:r w:rsidRPr="00820C89">
        <w:t xml:space="preserve">The paucity of available literature on successful IEPs generates several challenges for this evaluation, but also more generally for the continued development and roll out of IEPs, as it demonstrates the need for a rigorous body of evidence to support design and implementation. The lack of evidence in this sphere is particularly hindered by an absence of extensive, collaborative and Indigenous-led research to inform ongoing improvement of outcomes relating to Indigenous Australians. </w:t>
      </w:r>
    </w:p>
    <w:p w14:paraId="043E5FD4" w14:textId="77777777" w:rsidR="00AA7248" w:rsidRPr="00820C89" w:rsidRDefault="00AA7248" w:rsidP="00AA7248">
      <w:r w:rsidRPr="00820C89">
        <w:t xml:space="preserve">A long-standing limitation of existing literature is the scarcity of Indigenous voices in studies pertaining to employment strategies and outcomes. Promisingly, research is increasingly capturing the insights of Indigenous participants, and increasingly research is being undertaken by Indigenous </w:t>
      </w:r>
      <w:r w:rsidRPr="00820C89">
        <w:lastRenderedPageBreak/>
        <w:t xml:space="preserve">researchers. While a welcome evolution, there remains risks associated with how the current literature affects the way that IEPs are developed and evaluated. </w:t>
      </w:r>
    </w:p>
    <w:p w14:paraId="67EEE815" w14:textId="77777777" w:rsidR="00AA7248" w:rsidRPr="00820C89" w:rsidRDefault="00AA7248" w:rsidP="00AA7248">
      <w:r w:rsidRPr="00820C89">
        <w:t>As Constable (2009) notes, privileging employer (and non-Indigenous) voices often results in the use of deficit language and a deficit approach to appraising Indigenous employment initiatives.</w:t>
      </w:r>
      <w:r w:rsidRPr="00820C89">
        <w:rPr>
          <w:rStyle w:val="FootnoteReference"/>
        </w:rPr>
        <w:footnoteReference w:id="298"/>
      </w:r>
      <w:r w:rsidRPr="00820C89">
        <w:t xml:space="preserve"> By privileging employer views, research centres on the failings of Indigenous participants and does not as strongly consider the role that employers, the environment and the context have. </w:t>
      </w:r>
    </w:p>
    <w:p w14:paraId="534A63F1" w14:textId="77777777" w:rsidR="00AA7248" w:rsidRPr="00820C89" w:rsidRDefault="00AA7248" w:rsidP="00AA7248">
      <w:r w:rsidRPr="00820C89">
        <w:t>This type of analysis identifies the scale of what remains unknown, exposing the limitations in the research to quantify factors linked to Indigenous Australian labour market disadvantage. Research gaps appear to include:</w:t>
      </w:r>
    </w:p>
    <w:p w14:paraId="67E8E71F" w14:textId="77777777" w:rsidR="00AA7248" w:rsidRPr="00820C89" w:rsidRDefault="00AA7248" w:rsidP="00AA7248">
      <w:pPr>
        <w:pStyle w:val="ListBullet"/>
        <w:spacing w:before="60" w:after="60"/>
        <w:contextualSpacing w:val="0"/>
      </w:pPr>
      <w:r w:rsidRPr="00820C89">
        <w:t xml:space="preserve">factors influencing Indigenous Australians to seek paid employment, in what ways these influences are different from non-Indigenous employment seekers and how public policy can respond to these differences; </w:t>
      </w:r>
    </w:p>
    <w:p w14:paraId="6CF7708B" w14:textId="77777777" w:rsidR="00AA7248" w:rsidRPr="00820C89" w:rsidRDefault="00AA7248" w:rsidP="00AA7248">
      <w:pPr>
        <w:pStyle w:val="ListBullet"/>
        <w:spacing w:before="60" w:after="60"/>
        <w:contextualSpacing w:val="0"/>
      </w:pPr>
      <w:r w:rsidRPr="00820C89">
        <w:t xml:space="preserve">whether – and to what extent – a tension exists between cultural practices and maintaining paid employment, for some Indigenous Australians; and </w:t>
      </w:r>
    </w:p>
    <w:p w14:paraId="6BA56DFE" w14:textId="77777777" w:rsidR="00AA7248" w:rsidRPr="00820C89" w:rsidRDefault="00AA7248" w:rsidP="00AA7248">
      <w:pPr>
        <w:pStyle w:val="ListBullet"/>
        <w:spacing w:before="60" w:after="60"/>
        <w:contextualSpacing w:val="0"/>
      </w:pPr>
      <w:r w:rsidRPr="00820C89">
        <w:t>the extent of labour market discrimination of Indigenous Australians and how to reduce it.</w:t>
      </w:r>
      <w:r w:rsidRPr="00820C89">
        <w:rPr>
          <w:rStyle w:val="FootnoteReference"/>
        </w:rPr>
        <w:footnoteReference w:id="299"/>
      </w:r>
      <w:r w:rsidRPr="00820C89">
        <w:t xml:space="preserve"> </w:t>
      </w:r>
    </w:p>
    <w:p w14:paraId="44799FE3" w14:textId="77777777" w:rsidR="00AA7248" w:rsidRPr="00820C89" w:rsidRDefault="00AA7248" w:rsidP="00AA7248">
      <w:r w:rsidRPr="00820C89">
        <w:t>Quantitative evidence of Indigenous employment, if not the determinants of this employment, has been facilitated by the available data. This includes:</w:t>
      </w:r>
    </w:p>
    <w:p w14:paraId="08F78FA0" w14:textId="77777777" w:rsidR="00AA7248" w:rsidRPr="00820C89" w:rsidRDefault="00AA7248" w:rsidP="00AA7248">
      <w:pPr>
        <w:pStyle w:val="ListBullet"/>
        <w:spacing w:before="60" w:after="60"/>
        <w:contextualSpacing w:val="0"/>
      </w:pPr>
      <w:r w:rsidRPr="00820C89">
        <w:rPr>
          <w:b/>
          <w:bCs/>
        </w:rPr>
        <w:t>The Australian Census</w:t>
      </w:r>
      <w:r w:rsidRPr="00820C89">
        <w:t xml:space="preserve"> which captures data on Australian individuals, families and dwellings and provides insights into levels of education, income, and family and living arrangements</w:t>
      </w:r>
    </w:p>
    <w:p w14:paraId="1C4D9D88" w14:textId="4F1678AA" w:rsidR="00AA7248" w:rsidRPr="00820C89" w:rsidRDefault="0003615B" w:rsidP="00AA7248">
      <w:pPr>
        <w:pStyle w:val="ListBullet"/>
        <w:spacing w:before="60" w:after="60"/>
        <w:contextualSpacing w:val="0"/>
      </w:pPr>
      <w:r w:rsidRPr="00820C89">
        <w:rPr>
          <w:b/>
          <w:bCs/>
        </w:rPr>
        <w:t xml:space="preserve">National Aboriginal and Torres Strait Islander Social Survey </w:t>
      </w:r>
      <w:r w:rsidR="00AA7248" w:rsidRPr="00820C89">
        <w:t>(NATSIS) which captures data on Aboriginal and Torres Strait Islander populations and provides insights into areas of social concern including health, education, culture, and labour force participation, and is conducted every 6 years</w:t>
      </w:r>
    </w:p>
    <w:p w14:paraId="68A12AEB" w14:textId="77777777" w:rsidR="00AA7248" w:rsidRPr="00820C89" w:rsidRDefault="00AA7248" w:rsidP="00AA7248">
      <w:pPr>
        <w:pStyle w:val="ListBullet"/>
        <w:spacing w:before="60" w:after="60"/>
        <w:contextualSpacing w:val="0"/>
      </w:pPr>
      <w:r w:rsidRPr="00820C89">
        <w:rPr>
          <w:b/>
          <w:bCs/>
        </w:rPr>
        <w:t>Household, Income and Labour Dynamics in Australia</w:t>
      </w:r>
      <w:r w:rsidRPr="00820C89">
        <w:t xml:space="preserve"> (HILDA) which captures data on Australian households and their occupants and provides insights into economic and personal wellbeing, labour market dynamics and family life</w:t>
      </w:r>
    </w:p>
    <w:p w14:paraId="09F86246" w14:textId="77777777" w:rsidR="00AA7248" w:rsidRPr="00820C89" w:rsidRDefault="00AA7248" w:rsidP="00AA7248">
      <w:pPr>
        <w:pStyle w:val="ListBullet"/>
        <w:spacing w:before="60" w:after="60"/>
        <w:contextualSpacing w:val="0"/>
      </w:pPr>
      <w:r w:rsidRPr="00820C89">
        <w:rPr>
          <w:b/>
          <w:bCs/>
        </w:rPr>
        <w:t>Australian Workplace Industrial Relations Survey</w:t>
      </w:r>
      <w:r w:rsidRPr="00820C89">
        <w:t xml:space="preserve"> (AWIRS) which captures data on workplace employees and employers and provides insights on enterprise operations and indicators of performance, employment practices, wage-setting and outcomes, and employee experiences.</w:t>
      </w:r>
    </w:p>
    <w:p w14:paraId="18DED64C" w14:textId="77777777" w:rsidR="00AA7248" w:rsidRPr="00820C89" w:rsidRDefault="00AA7248" w:rsidP="00AA7248">
      <w:r w:rsidRPr="00820C89">
        <w:t xml:space="preserve">These sources of data can be useful, but they contain relatively small Indigenous samples and often do not collect data in </w:t>
      </w:r>
      <w:r w:rsidRPr="00820C89">
        <w:rPr>
          <w:i/>
          <w:iCs/>
        </w:rPr>
        <w:t xml:space="preserve">very remote </w:t>
      </w:r>
      <w:r w:rsidRPr="00820C89">
        <w:t xml:space="preserve">areas of Australia. To fill these gaps, research in this area largely uses qualitative methods and evidence, noting that this form of research presents different  limitations, including the dominance of employer and non-Indigenous voices. </w:t>
      </w:r>
    </w:p>
    <w:p w14:paraId="37CFE44C" w14:textId="77777777" w:rsidR="00AA7248" w:rsidRPr="00820C89" w:rsidRDefault="00AA7248" w:rsidP="00AA7248">
      <w:r w:rsidRPr="00820C89">
        <w:t>Due to these overarching strengths and limitations of the existing IEP literature, the evaluation has been designed and executed with the following considerations in mind:</w:t>
      </w:r>
    </w:p>
    <w:p w14:paraId="3D760469" w14:textId="77777777" w:rsidR="00AA7248" w:rsidRPr="00820C89" w:rsidRDefault="00AA7248" w:rsidP="00AA7248">
      <w:pPr>
        <w:pStyle w:val="ListBullet"/>
        <w:spacing w:before="60" w:after="60"/>
        <w:contextualSpacing w:val="0"/>
      </w:pPr>
      <w:r w:rsidRPr="00820C89">
        <w:t>Indigenous voices are not always represented so the evaluation deliberately includes greater collaboration with Indigenous stakeholders through an in-depth regional consultation process</w:t>
      </w:r>
    </w:p>
    <w:p w14:paraId="739410F3" w14:textId="77777777" w:rsidR="00AA7248" w:rsidRPr="00820C89" w:rsidRDefault="00AA7248" w:rsidP="00AA7248">
      <w:pPr>
        <w:pStyle w:val="ListBullet"/>
        <w:spacing w:before="60" w:after="60"/>
        <w:contextualSpacing w:val="0"/>
      </w:pPr>
      <w:r w:rsidRPr="00820C89">
        <w:t>the limited quantitative data means that the limitations of quantitative data will be factored into analysis and qualitative data will be fundamental to developing evaluative findings</w:t>
      </w:r>
    </w:p>
    <w:p w14:paraId="125B2E32" w14:textId="77777777" w:rsidR="00AA7248" w:rsidRPr="00820C89" w:rsidRDefault="00AA7248" w:rsidP="00AA7248">
      <w:pPr>
        <w:pStyle w:val="ListBullet"/>
        <w:spacing w:before="60" w:after="60"/>
        <w:contextualSpacing w:val="0"/>
      </w:pPr>
      <w:r w:rsidRPr="00820C89">
        <w:lastRenderedPageBreak/>
        <w:t xml:space="preserve">IEP success indicators are typically short-term focused and so the evaluation will seek to measure the long-term impacts of IEPs. </w:t>
      </w:r>
    </w:p>
    <w:p w14:paraId="4F07E7A4" w14:textId="77777777" w:rsidR="00AA7248" w:rsidRPr="00820C89" w:rsidRDefault="00AA7248" w:rsidP="004C1A69">
      <w:pPr>
        <w:pStyle w:val="Heading3"/>
      </w:pPr>
      <w:bookmarkStart w:id="237" w:name="_Toc57053529"/>
      <w:r w:rsidRPr="00820C89">
        <w:t>Perspectives on the value of employment</w:t>
      </w:r>
      <w:bookmarkEnd w:id="237"/>
    </w:p>
    <w:p w14:paraId="7D4E503F" w14:textId="77777777" w:rsidR="00AA7248" w:rsidRPr="00820C89" w:rsidRDefault="00AA7248" w:rsidP="00AA7248">
      <w:r w:rsidRPr="00820C89">
        <w:t xml:space="preserve">The lived experience of Indigenous community suggests there exists a cultural clash between Western and Indigenous Australian employment norms and outcomes expectations, and the ways in which employment is intrinsically and extrinsically valued (or the strength of shared conceptions about the very nature of work). </w:t>
      </w:r>
    </w:p>
    <w:p w14:paraId="406980A4" w14:textId="77777777" w:rsidR="00AA7248" w:rsidRPr="00820C89" w:rsidRDefault="00AA7248" w:rsidP="00AA7248">
      <w:r w:rsidRPr="00820C89">
        <w:t xml:space="preserve">A discrepancy in shared views on these types of first principles issues has a likely flow on effect to the success of programs, reinforcing that employment initiatives should be designed, implemented and evaluated to incorporate Indigenous conceptions of work and to ensure they are aligned to cultural, community and personal values. </w:t>
      </w:r>
    </w:p>
    <w:p w14:paraId="2A78E1E1" w14:textId="77777777" w:rsidR="00AA7248" w:rsidRPr="00820C89" w:rsidRDefault="00AA7248" w:rsidP="00AA7248">
      <w:r w:rsidRPr="00820C89">
        <w:t xml:space="preserve">The literature scan has demonstrated that research on the fact and/or strength of this cultural clash is disappointingly limited. It further reveals that there is limited literature available exploring the </w:t>
      </w:r>
      <w:r w:rsidRPr="00820C89">
        <w:rPr>
          <w:i/>
          <w:iCs/>
        </w:rPr>
        <w:t>difference between</w:t>
      </w:r>
      <w:r w:rsidRPr="00820C89">
        <w:t xml:space="preserve"> Indigenous and non-Indigenous Australians regarding the Anglo-Western employment perspective and none that explores the related question of differences in conception of, and relationship to, employers and the broader idea of Australia’s economic institutions. </w:t>
      </w:r>
    </w:p>
    <w:p w14:paraId="7A7E4775" w14:textId="77777777" w:rsidR="00AA7248" w:rsidRPr="00820C89" w:rsidRDefault="00AA7248" w:rsidP="00AA7248">
      <w:r w:rsidRPr="00820C89">
        <w:t>Underpinning a Western social and economic perspective relating to employment outcomes is the idea that paid employment is a ‘rational’ use of time with participation motivated by intrinsic and extrinsic reward and where movement into (and then through) careers is a function of equal access to tools of advancement.  In this Western perspective, extrinsic reward is largely measured as individual financial reward, and intrinsic reward through conceptions of pride and self-fulfilment directed at the individual level, rather than collective achievements and outcomes.</w:t>
      </w:r>
      <w:r w:rsidRPr="00820C89">
        <w:rPr>
          <w:rStyle w:val="FootnoteReference"/>
        </w:rPr>
        <w:footnoteReference w:id="300"/>
      </w:r>
      <w:r w:rsidRPr="00820C89">
        <w:t xml:space="preserve"> </w:t>
      </w:r>
    </w:p>
    <w:p w14:paraId="598841B9" w14:textId="77777777" w:rsidR="00AA7248" w:rsidRPr="00820C89" w:rsidRDefault="00AA7248" w:rsidP="00AA7248">
      <w:r w:rsidRPr="00820C89">
        <w:t>There is limited room in this ‘rational, self-motivating’ framework for the sometimes subtle but nonetheless affecting differences in perspectives on work and differing perspectives on personal and community value. It is further assumed that this self-motivating rationality is sufficiently rewarding to overcome any effects of entrenched, inter-generational experience that emerge as barriers at the individual level.</w:t>
      </w:r>
      <w:r w:rsidRPr="00820C89">
        <w:rPr>
          <w:rStyle w:val="FootnoteReference"/>
        </w:rPr>
        <w:footnoteReference w:id="301"/>
      </w:r>
    </w:p>
    <w:p w14:paraId="5B4E378A" w14:textId="77777777" w:rsidR="00AA7248" w:rsidRPr="00820C89" w:rsidRDefault="00AA7248" w:rsidP="00AA7248">
      <w:r w:rsidRPr="00820C89">
        <w:t>In contrast, the value derived from employment for Indigenous Australians is less about individual financial benefit and operates in complex relationship to community and collective values.</w:t>
      </w:r>
      <w:r w:rsidRPr="00820C89">
        <w:rPr>
          <w:rStyle w:val="FootnoteReference"/>
        </w:rPr>
        <w:footnoteReference w:id="302"/>
      </w:r>
      <w:r w:rsidRPr="00820C89">
        <w:t xml:space="preserve"> Employment offers avenues to enhance social relationships and contribute meaningfully to community, enhancing sense of belonging, pride and self-worth.</w:t>
      </w:r>
      <w:r w:rsidRPr="00820C89">
        <w:rPr>
          <w:rStyle w:val="FootnoteReference"/>
        </w:rPr>
        <w:footnoteReference w:id="303"/>
      </w:r>
    </w:p>
    <w:p w14:paraId="62B58119" w14:textId="77777777" w:rsidR="00AA7248" w:rsidRPr="00820C89" w:rsidRDefault="00AA7248" w:rsidP="00AA7248">
      <w:r w:rsidRPr="00820C89">
        <w:t>In line with this, research has increasingly recognised the need for a differentiated approach to employment initiatives for Indigenous Australians, in light of poor outcomes for programs that combined them in an undifferentiated ‘mainstream’ approach.</w:t>
      </w:r>
      <w:r w:rsidRPr="00820C89">
        <w:rPr>
          <w:rStyle w:val="FootnoteReference"/>
        </w:rPr>
        <w:footnoteReference w:id="304"/>
      </w:r>
      <w:r w:rsidRPr="00820C89">
        <w:t xml:space="preserve"> ‘Mainstreaming’ has been varyingly preferred through different government environments and so has been a common feature of many historical Indigenous employment policies. </w:t>
      </w:r>
    </w:p>
    <w:p w14:paraId="68267F5C" w14:textId="77777777" w:rsidR="00AA7248" w:rsidRPr="00820C89" w:rsidRDefault="00AA7248" w:rsidP="00AA7248">
      <w:r w:rsidRPr="00820C89">
        <w:lastRenderedPageBreak/>
        <w:t>No research could be identified that sought to deeply consider an alternative, preferred economic model of value and work to balance the inherent bias of the Western economic tradition. Perhaps this is the missing piece of the puzzle for future research investigation. At the very least it would enrich the policy environment for government and allow stronger testing for a new conception employment outcomes for Indigenous Australians and potentially all Australians.</w:t>
      </w:r>
    </w:p>
    <w:p w14:paraId="27F0E01D" w14:textId="77777777" w:rsidR="00AA7248" w:rsidRPr="00820C89" w:rsidRDefault="00AA7248" w:rsidP="004C1A69">
      <w:pPr>
        <w:pStyle w:val="Heading3"/>
      </w:pPr>
      <w:bookmarkStart w:id="238" w:name="_Toc57053530"/>
      <w:r w:rsidRPr="00820C89">
        <w:t>Utilising the literature scan findings in the evaluation</w:t>
      </w:r>
      <w:bookmarkEnd w:id="238"/>
    </w:p>
    <w:p w14:paraId="5ED27D65" w14:textId="77777777" w:rsidR="00AA7248" w:rsidRPr="00820C89" w:rsidRDefault="00AA7248" w:rsidP="00AA7248">
      <w:r w:rsidRPr="00820C89">
        <w:t>The literature scan findings have been used both in the creation of the evaluation strategy as well as in undertaking an appropriateness assessment of the alignment of the IEPs design with evidence of best practice.</w:t>
      </w:r>
    </w:p>
    <w:p w14:paraId="4C2162C2" w14:textId="77777777" w:rsidR="00AA7248" w:rsidRPr="00820C89" w:rsidRDefault="00AA7248" w:rsidP="00AA7248">
      <w:r w:rsidRPr="00820C89">
        <w:t xml:space="preserve">The findings from this literature scan have been used will be used to inform the creation and implementation of the evaluation framework. </w:t>
      </w:r>
    </w:p>
    <w:p w14:paraId="37D688DD" w14:textId="77777777" w:rsidR="00AA7248" w:rsidRPr="00820C89" w:rsidRDefault="00AA7248" w:rsidP="00AA7248">
      <w:r w:rsidRPr="00820C89">
        <w:t>The key learnings and their impact on both the evaluation strategy and appropriateness assessment include:</w:t>
      </w:r>
    </w:p>
    <w:p w14:paraId="3C4D5EB3" w14:textId="77777777" w:rsidR="00AA7248" w:rsidRPr="00820C89" w:rsidRDefault="00AA7248" w:rsidP="00AA7248">
      <w:pPr>
        <w:pStyle w:val="Caption"/>
        <w:rPr>
          <w:b/>
          <w:color w:val="86BC25" w:themeColor="accent1"/>
        </w:rPr>
      </w:pPr>
      <w:r w:rsidRPr="00820C89">
        <w:rPr>
          <w:b/>
          <w:color w:val="86BC25" w:themeColor="accent1"/>
        </w:rPr>
        <w:t xml:space="preserve">Key learning 1: Indigenous voices and narratives are under-represented in available literature on </w:t>
      </w:r>
      <w:r w:rsidRPr="00820C89">
        <w:rPr>
          <w:b/>
          <w:bCs/>
          <w:color w:val="86BC25" w:themeColor="accent1"/>
        </w:rPr>
        <w:t>Indigenous employment programs</w:t>
      </w:r>
      <w:r w:rsidRPr="00820C89">
        <w:rPr>
          <w:b/>
          <w:color w:val="86BC25" w:themeColor="accent1"/>
        </w:rPr>
        <w:t xml:space="preserve">. </w:t>
      </w:r>
    </w:p>
    <w:p w14:paraId="7F36DFC0" w14:textId="77777777" w:rsidR="00AA7248" w:rsidRPr="00820C89" w:rsidRDefault="00AA7248" w:rsidP="00AA7248">
      <w:pPr>
        <w:pStyle w:val="ListBullet"/>
        <w:spacing w:before="60" w:after="60"/>
        <w:contextualSpacing w:val="0"/>
        <w:rPr>
          <w:i/>
        </w:rPr>
      </w:pPr>
      <w:r w:rsidRPr="00820C89">
        <w:rPr>
          <w:i/>
        </w:rPr>
        <w:t xml:space="preserve">The evaluation strategy has been designed and executed to ensure that the </w:t>
      </w:r>
      <w:r w:rsidRPr="00820C89">
        <w:rPr>
          <w:i/>
          <w:iCs/>
        </w:rPr>
        <w:t xml:space="preserve">experiences of Indigenous people are central to the stakeholder engagement strategy. This has included ensuring that the </w:t>
      </w:r>
      <w:r w:rsidRPr="00820C89">
        <w:rPr>
          <w:i/>
        </w:rPr>
        <w:t xml:space="preserve">employment experiences and the everyday barriers inhibiting access to and retention in employment </w:t>
      </w:r>
      <w:r w:rsidRPr="00820C89">
        <w:rPr>
          <w:i/>
          <w:iCs/>
        </w:rPr>
        <w:t xml:space="preserve">for Indigenous participants </w:t>
      </w:r>
      <w:r w:rsidRPr="00820C89">
        <w:rPr>
          <w:i/>
        </w:rPr>
        <w:t>have been prioritised</w:t>
      </w:r>
      <w:r w:rsidRPr="00820C89">
        <w:rPr>
          <w:i/>
          <w:iCs/>
        </w:rPr>
        <w:t>, so that they can be more fully understood.</w:t>
      </w:r>
    </w:p>
    <w:p w14:paraId="7732CA13" w14:textId="77777777" w:rsidR="00AA7248" w:rsidRPr="00820C89" w:rsidRDefault="00AA7248" w:rsidP="00AA7248">
      <w:pPr>
        <w:pStyle w:val="ListBullet"/>
        <w:spacing w:before="60" w:after="60"/>
        <w:contextualSpacing w:val="0"/>
        <w:rPr>
          <w:i/>
        </w:rPr>
      </w:pPr>
      <w:r w:rsidRPr="00820C89">
        <w:rPr>
          <w:i/>
        </w:rPr>
        <w:t>When conducting stakeholder consultations, a participatory approach has been used, which has allowed for Indigenous participants to share their experiences in a way that is culturally safe</w:t>
      </w:r>
      <w:r w:rsidRPr="00820C89">
        <w:rPr>
          <w:i/>
          <w:iCs/>
        </w:rPr>
        <w:t xml:space="preserve"> and has allowed for honest reflections on participant experience with the EPI, VTEC and TAEG programs.</w:t>
      </w:r>
    </w:p>
    <w:p w14:paraId="727F2885" w14:textId="77777777" w:rsidR="00AA7248" w:rsidRPr="00820C89" w:rsidRDefault="00AA7248" w:rsidP="00AA7248">
      <w:pPr>
        <w:pStyle w:val="ListBullet"/>
        <w:spacing w:before="60" w:after="60"/>
        <w:contextualSpacing w:val="0"/>
        <w:rPr>
          <w:i/>
        </w:rPr>
      </w:pPr>
      <w:r w:rsidRPr="00820C89">
        <w:rPr>
          <w:i/>
          <w:iCs/>
        </w:rPr>
        <w:t xml:space="preserve">The appropriateness assessment acknowledges that existing evidence is dominated by non-Indigenous perspectives. This means that the evaluation considers appropriateness in line with current evidence, yet also recognises that this evidence may not be tailored to reflect the experiences of Indigenous jobseekers and employees.    </w:t>
      </w:r>
    </w:p>
    <w:p w14:paraId="13426CA2" w14:textId="77777777" w:rsidR="00AA7248" w:rsidRPr="00820C89" w:rsidRDefault="00AA7248" w:rsidP="00AA7248">
      <w:pPr>
        <w:pStyle w:val="Caption"/>
        <w:rPr>
          <w:b/>
          <w:color w:val="86BC25" w:themeColor="accent1"/>
        </w:rPr>
      </w:pPr>
      <w:r w:rsidRPr="00820C89">
        <w:rPr>
          <w:b/>
          <w:color w:val="86BC25" w:themeColor="accent1"/>
        </w:rPr>
        <w:t xml:space="preserve">Key learning 2: </w:t>
      </w:r>
      <w:r w:rsidRPr="00820C89">
        <w:rPr>
          <w:b/>
          <w:bCs/>
          <w:color w:val="86BC25" w:themeColor="accent1"/>
        </w:rPr>
        <w:t>The current employment gap between Indigenous and non-Indigenous Australians in the product of complex</w:t>
      </w:r>
      <w:r w:rsidRPr="00820C89">
        <w:rPr>
          <w:b/>
          <w:color w:val="86BC25" w:themeColor="accent1"/>
        </w:rPr>
        <w:t xml:space="preserve"> historical, cultural and social factors, and cannot be considered in isolation of this context.</w:t>
      </w:r>
    </w:p>
    <w:p w14:paraId="764E2F22" w14:textId="77777777" w:rsidR="00AA7248" w:rsidRPr="00820C89" w:rsidRDefault="00AA7248" w:rsidP="00AA7248">
      <w:pPr>
        <w:pStyle w:val="ListBullet"/>
        <w:spacing w:before="60" w:after="60"/>
        <w:contextualSpacing w:val="0"/>
        <w:rPr>
          <w:i/>
        </w:rPr>
      </w:pPr>
      <w:r w:rsidRPr="00820C89">
        <w:rPr>
          <w:i/>
        </w:rPr>
        <w:t>The evaluation is</w:t>
      </w:r>
      <w:r w:rsidRPr="00820C89">
        <w:rPr>
          <w:i/>
          <w:iCs/>
        </w:rPr>
        <w:t xml:space="preserve"> cognisant</w:t>
      </w:r>
      <w:r w:rsidRPr="00820C89">
        <w:rPr>
          <w:i/>
        </w:rPr>
        <w:t xml:space="preserve"> of </w:t>
      </w:r>
      <w:r w:rsidRPr="00820C89">
        <w:rPr>
          <w:i/>
          <w:iCs/>
        </w:rPr>
        <w:t xml:space="preserve">how </w:t>
      </w:r>
      <w:r w:rsidRPr="00820C89">
        <w:rPr>
          <w:i/>
        </w:rPr>
        <w:t xml:space="preserve">Western values and expectations of employment </w:t>
      </w:r>
      <w:r w:rsidRPr="00820C89">
        <w:rPr>
          <w:i/>
          <w:iCs/>
        </w:rPr>
        <w:t xml:space="preserve">have </w:t>
      </w:r>
      <w:r w:rsidRPr="00820C89">
        <w:rPr>
          <w:i/>
        </w:rPr>
        <w:t xml:space="preserve">historically </w:t>
      </w:r>
      <w:r w:rsidRPr="00820C89">
        <w:rPr>
          <w:i/>
          <w:iCs/>
        </w:rPr>
        <w:t>been privileged -</w:t>
      </w:r>
      <w:r w:rsidRPr="00820C89">
        <w:rPr>
          <w:i/>
        </w:rPr>
        <w:t xml:space="preserve"> whether </w:t>
      </w:r>
      <w:r w:rsidRPr="00820C89">
        <w:rPr>
          <w:i/>
          <w:iCs/>
        </w:rPr>
        <w:t>explicitly</w:t>
      </w:r>
      <w:r w:rsidRPr="00820C89">
        <w:rPr>
          <w:i/>
        </w:rPr>
        <w:t xml:space="preserve"> or </w:t>
      </w:r>
      <w:r w:rsidRPr="00820C89">
        <w:rPr>
          <w:i/>
          <w:iCs/>
        </w:rPr>
        <w:t>implicitly - and how this impacts on</w:t>
      </w:r>
      <w:r w:rsidRPr="00820C89">
        <w:rPr>
          <w:i/>
        </w:rPr>
        <w:t xml:space="preserve"> the design and implementation of IEPs and employment programs more generally.</w:t>
      </w:r>
    </w:p>
    <w:p w14:paraId="3073129B" w14:textId="77777777" w:rsidR="00AA7248" w:rsidRPr="00820C89" w:rsidRDefault="00AA7248" w:rsidP="00AA7248">
      <w:pPr>
        <w:pStyle w:val="ListBullet"/>
        <w:spacing w:before="60" w:after="60"/>
        <w:contextualSpacing w:val="0"/>
        <w:rPr>
          <w:i/>
        </w:rPr>
      </w:pPr>
      <w:r w:rsidRPr="00820C89">
        <w:rPr>
          <w:i/>
        </w:rPr>
        <w:t>The evaluation is cognisant of the lived experience of Indigenous Australians in engaging with employment and employment assistance programs.</w:t>
      </w:r>
    </w:p>
    <w:p w14:paraId="499D8379" w14:textId="77777777" w:rsidR="00AA7248" w:rsidRPr="00820C89" w:rsidRDefault="00AA7248" w:rsidP="00AA7248">
      <w:pPr>
        <w:pStyle w:val="ListBullet"/>
        <w:spacing w:before="60" w:after="60"/>
        <w:contextualSpacing w:val="0"/>
        <w:rPr>
          <w:i/>
          <w:iCs/>
        </w:rPr>
      </w:pPr>
      <w:r w:rsidRPr="00820C89">
        <w:rPr>
          <w:i/>
          <w:iCs/>
        </w:rPr>
        <w:t>The evaluation considers what successful employment outcomes look like in an Indigenous Australian context, recognising this may differ from mainstream models (such as through a focus on entrepreneurship and self-determination).</w:t>
      </w:r>
    </w:p>
    <w:p w14:paraId="3AC99784" w14:textId="77777777" w:rsidR="00AA7248" w:rsidRPr="00820C89" w:rsidRDefault="00AA7248" w:rsidP="00AA7248">
      <w:pPr>
        <w:pStyle w:val="Caption"/>
        <w:rPr>
          <w:b/>
          <w:color w:val="86BC25" w:themeColor="accent1"/>
        </w:rPr>
      </w:pPr>
      <w:r w:rsidRPr="00820C89">
        <w:rPr>
          <w:b/>
          <w:color w:val="86BC25" w:themeColor="accent1"/>
        </w:rPr>
        <w:lastRenderedPageBreak/>
        <w:t xml:space="preserve">Key learning 3: The success factors of IEPs – including a place-based approach, wrap-around support and self-determination – </w:t>
      </w:r>
      <w:r w:rsidRPr="00820C89">
        <w:rPr>
          <w:b/>
          <w:bCs/>
          <w:color w:val="86BC25" w:themeColor="accent1"/>
        </w:rPr>
        <w:t>can be understood outside of Western economic traditions (though also have utility in general employment programs).</w:t>
      </w:r>
      <w:r w:rsidRPr="00820C89">
        <w:rPr>
          <w:b/>
          <w:color w:val="86BC25" w:themeColor="accent1"/>
        </w:rPr>
        <w:t xml:space="preserve"> </w:t>
      </w:r>
    </w:p>
    <w:p w14:paraId="62C685A2" w14:textId="77777777" w:rsidR="00AA7248" w:rsidRPr="00820C89" w:rsidRDefault="00AA7248" w:rsidP="00AA7248">
      <w:pPr>
        <w:pStyle w:val="ListBullet"/>
        <w:spacing w:before="60" w:after="60"/>
        <w:contextualSpacing w:val="0"/>
        <w:rPr>
          <w:i/>
        </w:rPr>
      </w:pPr>
      <w:r w:rsidRPr="00820C89">
        <w:rPr>
          <w:i/>
          <w:iCs/>
        </w:rPr>
        <w:t>When evaluating the appropriateness of the design, implementation and impact of the IEPs in scope, these key factors are taken into consideration. Moreover, the evaluation understands that these success factors may look different in each community and so the stakeholder engagement approach has focused on uncovering how the programs work within specific circumstances.</w:t>
      </w:r>
    </w:p>
    <w:p w14:paraId="75017A28" w14:textId="77777777" w:rsidR="00AA7248" w:rsidRPr="00820C89" w:rsidRDefault="00AA7248" w:rsidP="00AA7248">
      <w:pPr>
        <w:pStyle w:val="ListBullet"/>
        <w:spacing w:before="60" w:after="60"/>
        <w:contextualSpacing w:val="0"/>
        <w:rPr>
          <w:i/>
        </w:rPr>
      </w:pPr>
      <w:r w:rsidRPr="00820C89">
        <w:rPr>
          <w:i/>
          <w:iCs/>
        </w:rPr>
        <w:t>This work endeavours to complement the established economic evaluation metrics by investigating potentially different measurements for consideration of future research and/or policy design.</w:t>
      </w:r>
    </w:p>
    <w:p w14:paraId="54B8365C" w14:textId="77777777" w:rsidR="00AA7248" w:rsidRPr="00820C89" w:rsidRDefault="00AA7248" w:rsidP="00AA7248">
      <w:pPr>
        <w:pStyle w:val="ListBullet"/>
        <w:spacing w:before="60" w:after="60"/>
        <w:contextualSpacing w:val="0"/>
        <w:rPr>
          <w:i/>
          <w:iCs/>
        </w:rPr>
      </w:pPr>
      <w:r w:rsidRPr="00820C89">
        <w:rPr>
          <w:i/>
          <w:iCs/>
        </w:rPr>
        <w:t>The evaluation has an opportunity to shed light on the broader outcomes relating to the social, personal and attitudinal impacts of IEPs through the primary research undertaken. Participant and community consultations will provide in-depth insights into these personal outcomes.</w:t>
      </w:r>
    </w:p>
    <w:p w14:paraId="3A0A3B91" w14:textId="77777777" w:rsidR="00AA7248" w:rsidRPr="00820C89" w:rsidRDefault="00AA7248" w:rsidP="00AA7248">
      <w:pPr>
        <w:pStyle w:val="Caption"/>
        <w:rPr>
          <w:b/>
          <w:color w:val="86BC25" w:themeColor="accent1"/>
        </w:rPr>
      </w:pPr>
      <w:r w:rsidRPr="00820C89">
        <w:rPr>
          <w:b/>
          <w:color w:val="86BC25" w:themeColor="accent1"/>
        </w:rPr>
        <w:t>Key learning 4: Despite the limitations of the literature, the literature scan has identified an established group of principles and design features that are associated with best practice employment programs generally and Indigenous employment programs specifically.</w:t>
      </w:r>
    </w:p>
    <w:p w14:paraId="2A917ABF" w14:textId="4D8314DC" w:rsidR="00805FF8" w:rsidRPr="004837A8" w:rsidRDefault="00AA7248" w:rsidP="004837A8">
      <w:pPr>
        <w:pStyle w:val="ListBullet"/>
        <w:spacing w:before="60" w:after="60"/>
        <w:contextualSpacing w:val="0"/>
        <w:rPr>
          <w:i/>
          <w:iCs/>
        </w:rPr>
      </w:pPr>
      <w:r w:rsidRPr="00820C89">
        <w:rPr>
          <w:i/>
          <w:iCs/>
        </w:rPr>
        <w:t>The evaluation builds on the established evidence base identified in this literature scan as the list of identified principles and design features is used to anchor the appropriateness assessmen</w:t>
      </w:r>
      <w:r w:rsidR="004837A8">
        <w:rPr>
          <w:i/>
          <w:iCs/>
        </w:rPr>
        <w:t>t within the evaluation report.</w:t>
      </w:r>
    </w:p>
    <w:p w14:paraId="2A1EA996" w14:textId="77777777" w:rsidR="008C03CC" w:rsidRPr="00820C89" w:rsidRDefault="008C03CC" w:rsidP="00715F70">
      <w:pPr>
        <w:pStyle w:val="Heading11"/>
      </w:pPr>
      <w:bookmarkStart w:id="239" w:name="_Toc57022920"/>
      <w:bookmarkStart w:id="240" w:name="_Toc82710793"/>
      <w:bookmarkStart w:id="241" w:name="_Toc101343312"/>
      <w:r w:rsidRPr="00820C89">
        <w:rPr>
          <w:rFonts w:eastAsia="Times New Roman" w:cs="Arial"/>
          <w:bCs w:val="0"/>
          <w:szCs w:val="20"/>
        </w:rPr>
        <w:lastRenderedPageBreak/>
        <w:t xml:space="preserve">Appendix </w:t>
      </w:r>
      <w:r w:rsidR="004C1A69" w:rsidRPr="00820C89">
        <w:rPr>
          <w:rFonts w:eastAsia="Times New Roman" w:cs="Arial"/>
          <w:bCs w:val="0"/>
          <w:szCs w:val="20"/>
        </w:rPr>
        <w:t>B</w:t>
      </w:r>
      <w:r w:rsidRPr="00820C89">
        <w:t>: State and Territory Indigenous Employment Policies</w:t>
      </w:r>
      <w:bookmarkEnd w:id="239"/>
      <w:bookmarkEnd w:id="240"/>
      <w:bookmarkEnd w:id="241"/>
    </w:p>
    <w:p w14:paraId="755C9BCE" w14:textId="77777777" w:rsidR="007E1F70" w:rsidRPr="00820C89" w:rsidRDefault="008C03CC" w:rsidP="00715F70">
      <w:pPr>
        <w:pStyle w:val="AppendixTableCaption"/>
        <w:outlineLvl w:val="1"/>
      </w:pPr>
      <w:bookmarkStart w:id="242" w:name="_Toc101343313"/>
      <w:r w:rsidRPr="00820C89">
        <w:t>: High-level summary of state and territory Indigenous employment policies</w:t>
      </w:r>
      <w:bookmarkEnd w:id="242"/>
    </w:p>
    <w:tbl>
      <w:tblPr>
        <w:tblStyle w:val="Deloittetable"/>
        <w:tblW w:w="0" w:type="auto"/>
        <w:tblLook w:val="04A0" w:firstRow="1" w:lastRow="0" w:firstColumn="1" w:lastColumn="0" w:noHBand="0" w:noVBand="1"/>
      </w:tblPr>
      <w:tblGrid>
        <w:gridCol w:w="1691"/>
        <w:gridCol w:w="7229"/>
        <w:gridCol w:w="106"/>
      </w:tblGrid>
      <w:tr w:rsidR="008C03CC" w:rsidRPr="00820C89" w14:paraId="59303894" w14:textId="77777777" w:rsidTr="00087C85">
        <w:trPr>
          <w:gridAfter w:val="1"/>
          <w:cnfStyle w:val="100000000000" w:firstRow="1" w:lastRow="0" w:firstColumn="0" w:lastColumn="0" w:oddVBand="0" w:evenVBand="0" w:oddHBand="0" w:evenHBand="0" w:firstRowFirstColumn="0" w:firstRowLastColumn="0" w:lastRowFirstColumn="0" w:lastRowLastColumn="0"/>
          <w:wAfter w:w="106" w:type="dxa"/>
          <w:tblHeader/>
        </w:trPr>
        <w:tc>
          <w:tcPr>
            <w:tcW w:w="1691" w:type="dxa"/>
          </w:tcPr>
          <w:p w14:paraId="2781D8B1" w14:textId="77777777" w:rsidR="008C03CC" w:rsidRPr="00820C89" w:rsidRDefault="008C03CC" w:rsidP="008C03CC">
            <w:pPr>
              <w:rPr>
                <w:rFonts w:asciiTheme="majorHAnsi" w:hAnsiTheme="majorHAnsi"/>
                <w:b/>
              </w:rPr>
            </w:pPr>
            <w:r w:rsidRPr="00820C89">
              <w:rPr>
                <w:rFonts w:asciiTheme="majorHAnsi" w:hAnsiTheme="majorHAnsi"/>
                <w:b/>
              </w:rPr>
              <w:t xml:space="preserve">State / Territory </w:t>
            </w:r>
          </w:p>
        </w:tc>
        <w:tc>
          <w:tcPr>
            <w:tcW w:w="7229" w:type="dxa"/>
          </w:tcPr>
          <w:p w14:paraId="3B62D272" w14:textId="77777777" w:rsidR="008C03CC" w:rsidRPr="00820C89" w:rsidRDefault="008C03CC" w:rsidP="008C03CC">
            <w:pPr>
              <w:rPr>
                <w:rFonts w:asciiTheme="majorHAnsi" w:hAnsiTheme="majorHAnsi"/>
                <w:b/>
              </w:rPr>
            </w:pPr>
            <w:r w:rsidRPr="00820C89">
              <w:rPr>
                <w:rFonts w:asciiTheme="majorHAnsi" w:hAnsiTheme="majorHAnsi"/>
                <w:b/>
              </w:rPr>
              <w:t xml:space="preserve">Description of Indigenous Employment Policies </w:t>
            </w:r>
          </w:p>
        </w:tc>
      </w:tr>
      <w:tr w:rsidR="008C03CC" w:rsidRPr="00820C89" w14:paraId="7CB4A171" w14:textId="77777777" w:rsidTr="008C03CC">
        <w:tc>
          <w:tcPr>
            <w:tcW w:w="1691" w:type="dxa"/>
          </w:tcPr>
          <w:p w14:paraId="29F76573" w14:textId="77777777" w:rsidR="008C03CC" w:rsidRPr="00820C89" w:rsidRDefault="008C03CC" w:rsidP="008C03CC">
            <w:pPr>
              <w:rPr>
                <w:rFonts w:asciiTheme="majorHAnsi" w:hAnsiTheme="majorHAnsi"/>
              </w:rPr>
            </w:pPr>
            <w:r w:rsidRPr="00820C89">
              <w:rPr>
                <w:rFonts w:asciiTheme="majorHAnsi" w:hAnsiTheme="majorHAnsi"/>
              </w:rPr>
              <w:t xml:space="preserve">Victoria </w:t>
            </w:r>
          </w:p>
        </w:tc>
        <w:tc>
          <w:tcPr>
            <w:tcW w:w="7335" w:type="dxa"/>
            <w:gridSpan w:val="2"/>
          </w:tcPr>
          <w:p w14:paraId="12FBC4E5" w14:textId="77777777" w:rsidR="008C03CC" w:rsidRPr="00820C89" w:rsidRDefault="008C03CC" w:rsidP="00715F70">
            <w:pPr>
              <w:pStyle w:val="ListParagraph"/>
              <w:numPr>
                <w:ilvl w:val="0"/>
                <w:numId w:val="16"/>
              </w:numPr>
              <w:rPr>
                <w:rFonts w:asciiTheme="majorHAnsi" w:hAnsiTheme="majorHAnsi"/>
              </w:rPr>
            </w:pPr>
            <w:r w:rsidRPr="00820C89">
              <w:rPr>
                <w:rFonts w:asciiTheme="majorHAnsi" w:hAnsiTheme="majorHAnsi"/>
              </w:rPr>
              <w:t>The Jobs Victoria Employment Network (JVEN) is the Victorian Government’s major activity to help Victorians facing barriers to employment into jobs.</w:t>
            </w:r>
          </w:p>
          <w:p w14:paraId="5FBD500B" w14:textId="77777777" w:rsidR="008C03CC" w:rsidRPr="00820C89" w:rsidRDefault="008C03CC" w:rsidP="00715F70">
            <w:pPr>
              <w:pStyle w:val="ListParagraph"/>
              <w:numPr>
                <w:ilvl w:val="0"/>
                <w:numId w:val="16"/>
              </w:numPr>
              <w:rPr>
                <w:rFonts w:asciiTheme="majorHAnsi" w:hAnsiTheme="majorHAnsi"/>
              </w:rPr>
            </w:pPr>
            <w:r w:rsidRPr="00820C89">
              <w:rPr>
                <w:rFonts w:asciiTheme="majorHAnsi" w:hAnsiTheme="majorHAnsi"/>
              </w:rPr>
              <w:t>Under the first JVEN funding round, five targeted services for Aboriginal jobseekers received a total of $5.6 million to support 480 job placements. In addition, 16 multi-target applications received a total of $17.1 million for programs that included Aboriginal jobseekers as a target group.</w:t>
            </w:r>
          </w:p>
        </w:tc>
      </w:tr>
      <w:tr w:rsidR="008C03CC" w:rsidRPr="00820C89" w14:paraId="7285BA4C" w14:textId="77777777" w:rsidTr="008C03CC">
        <w:tc>
          <w:tcPr>
            <w:tcW w:w="1691" w:type="dxa"/>
          </w:tcPr>
          <w:p w14:paraId="38A25806" w14:textId="77777777" w:rsidR="008C03CC" w:rsidRPr="00820C89" w:rsidRDefault="008C03CC" w:rsidP="008C03CC">
            <w:pPr>
              <w:rPr>
                <w:rFonts w:asciiTheme="majorHAnsi" w:hAnsiTheme="majorHAnsi"/>
              </w:rPr>
            </w:pPr>
            <w:r w:rsidRPr="00820C89">
              <w:rPr>
                <w:rFonts w:asciiTheme="majorHAnsi" w:hAnsiTheme="majorHAnsi"/>
              </w:rPr>
              <w:t>New South Wales</w:t>
            </w:r>
          </w:p>
        </w:tc>
        <w:tc>
          <w:tcPr>
            <w:tcW w:w="7335" w:type="dxa"/>
            <w:gridSpan w:val="2"/>
          </w:tcPr>
          <w:p w14:paraId="4717AE47" w14:textId="77777777" w:rsidR="008C03CC" w:rsidRPr="00820C89" w:rsidRDefault="008C03CC" w:rsidP="00715F70">
            <w:pPr>
              <w:pStyle w:val="ListParagraph"/>
              <w:numPr>
                <w:ilvl w:val="0"/>
                <w:numId w:val="16"/>
              </w:numPr>
              <w:rPr>
                <w:rFonts w:asciiTheme="majorHAnsi" w:hAnsiTheme="majorHAnsi"/>
              </w:rPr>
            </w:pPr>
            <w:r w:rsidRPr="00820C89">
              <w:rPr>
                <w:rFonts w:asciiTheme="majorHAnsi" w:hAnsiTheme="majorHAnsi"/>
              </w:rPr>
              <w:t xml:space="preserve">The NSW Aboriginal Employment Strategy aims to increase the representation of Indigenous Australians in the </w:t>
            </w:r>
            <w:r w:rsidR="00E5422D" w:rsidRPr="00820C89">
              <w:rPr>
                <w:rFonts w:asciiTheme="majorHAnsi" w:hAnsiTheme="majorHAnsi"/>
              </w:rPr>
              <w:t>state’s</w:t>
            </w:r>
            <w:r w:rsidRPr="00820C89">
              <w:rPr>
                <w:rFonts w:asciiTheme="majorHAnsi" w:hAnsiTheme="majorHAnsi"/>
              </w:rPr>
              <w:t xml:space="preserve"> public service to be at least 3% of all non-executive levels, and at least 114 senior leadership roles.</w:t>
            </w:r>
          </w:p>
        </w:tc>
      </w:tr>
      <w:tr w:rsidR="008C03CC" w:rsidRPr="00820C89" w14:paraId="53310FAE" w14:textId="77777777" w:rsidTr="008C03CC">
        <w:tc>
          <w:tcPr>
            <w:tcW w:w="1691" w:type="dxa"/>
          </w:tcPr>
          <w:p w14:paraId="0F48F404" w14:textId="77777777" w:rsidR="008C03CC" w:rsidRPr="00820C89" w:rsidRDefault="008C03CC" w:rsidP="008C03CC">
            <w:pPr>
              <w:rPr>
                <w:rFonts w:asciiTheme="majorHAnsi" w:hAnsiTheme="majorHAnsi"/>
              </w:rPr>
            </w:pPr>
            <w:r w:rsidRPr="00820C89">
              <w:rPr>
                <w:rFonts w:asciiTheme="majorHAnsi" w:hAnsiTheme="majorHAnsi"/>
              </w:rPr>
              <w:t>Tasmania</w:t>
            </w:r>
          </w:p>
        </w:tc>
        <w:tc>
          <w:tcPr>
            <w:tcW w:w="7335" w:type="dxa"/>
            <w:gridSpan w:val="2"/>
          </w:tcPr>
          <w:p w14:paraId="7CC60169" w14:textId="77777777" w:rsidR="008C03CC" w:rsidRPr="00820C89" w:rsidRDefault="008C03CC" w:rsidP="00715F70">
            <w:pPr>
              <w:pStyle w:val="ListParagraph"/>
              <w:numPr>
                <w:ilvl w:val="0"/>
                <w:numId w:val="16"/>
              </w:numPr>
              <w:rPr>
                <w:rFonts w:asciiTheme="majorHAnsi" w:hAnsiTheme="majorHAnsi"/>
              </w:rPr>
            </w:pPr>
            <w:r w:rsidRPr="00820C89">
              <w:rPr>
                <w:rFonts w:asciiTheme="majorHAnsi" w:hAnsiTheme="majorHAnsi"/>
              </w:rPr>
              <w:t>The Tasmanian State Service has set a target of increasing the representation of Indigenous Australians in its service from 3% to 3.5% and has created 70 additional roles that are specifically for Aboriginal people.</w:t>
            </w:r>
          </w:p>
        </w:tc>
      </w:tr>
      <w:tr w:rsidR="008C03CC" w:rsidRPr="00820C89" w14:paraId="55A8A013" w14:textId="77777777" w:rsidTr="008C03CC">
        <w:tc>
          <w:tcPr>
            <w:tcW w:w="1691" w:type="dxa"/>
          </w:tcPr>
          <w:p w14:paraId="1C336DD7" w14:textId="77777777" w:rsidR="008C03CC" w:rsidRPr="00820C89" w:rsidRDefault="008C03CC" w:rsidP="008C03CC">
            <w:pPr>
              <w:rPr>
                <w:rFonts w:asciiTheme="majorHAnsi" w:hAnsiTheme="majorHAnsi"/>
              </w:rPr>
            </w:pPr>
            <w:r w:rsidRPr="00820C89">
              <w:rPr>
                <w:rFonts w:asciiTheme="majorHAnsi" w:hAnsiTheme="majorHAnsi"/>
              </w:rPr>
              <w:t xml:space="preserve">Queensland </w:t>
            </w:r>
          </w:p>
        </w:tc>
        <w:tc>
          <w:tcPr>
            <w:tcW w:w="7335" w:type="dxa"/>
            <w:gridSpan w:val="2"/>
          </w:tcPr>
          <w:p w14:paraId="7C098C98" w14:textId="77777777" w:rsidR="008C03CC" w:rsidRPr="00820C89" w:rsidRDefault="008C03CC" w:rsidP="00715F70">
            <w:pPr>
              <w:pStyle w:val="ListParagraph"/>
              <w:numPr>
                <w:ilvl w:val="0"/>
                <w:numId w:val="17"/>
              </w:numPr>
              <w:rPr>
                <w:rFonts w:asciiTheme="majorHAnsi" w:hAnsiTheme="majorHAnsi"/>
              </w:rPr>
            </w:pPr>
            <w:r w:rsidRPr="00820C89">
              <w:rPr>
                <w:rFonts w:asciiTheme="majorHAnsi" w:hAnsiTheme="majorHAnsi"/>
              </w:rPr>
              <w:t xml:space="preserve">The Skilling Queenslanders for Work (SQW) program provides training and support to unemployed and underemployed people. The program represents a significant investment of $420 million over six years, and features Indigenous jobseekers as being one of the key target cohorts. </w:t>
            </w:r>
          </w:p>
          <w:p w14:paraId="1563ABF7" w14:textId="77777777" w:rsidR="008C03CC" w:rsidRPr="00820C89" w:rsidRDefault="008C03CC" w:rsidP="00715F70">
            <w:pPr>
              <w:pStyle w:val="ListParagraph"/>
              <w:numPr>
                <w:ilvl w:val="0"/>
                <w:numId w:val="17"/>
              </w:numPr>
              <w:rPr>
                <w:rFonts w:asciiTheme="majorHAnsi" w:hAnsiTheme="majorHAnsi"/>
              </w:rPr>
            </w:pPr>
            <w:r w:rsidRPr="00820C89">
              <w:rPr>
                <w:rFonts w:asciiTheme="majorHAnsi" w:hAnsiTheme="majorHAnsi"/>
              </w:rPr>
              <w:t>The Queensland Government Youth Employment Program (YEP) supports Aboriginal and Torres Strait Islander people in the state who are either recent high-school graduates or who have completed a Certificate III or higher and are not currently being assisted by a job agency. YEP provides jobseekers with pre-employment support along with training opportunities.</w:t>
            </w:r>
          </w:p>
          <w:p w14:paraId="2BC8E93D" w14:textId="77777777" w:rsidR="008C03CC" w:rsidRPr="00820C89" w:rsidRDefault="008C03CC" w:rsidP="00715F70">
            <w:pPr>
              <w:pStyle w:val="ListParagraph"/>
              <w:numPr>
                <w:ilvl w:val="0"/>
                <w:numId w:val="17"/>
              </w:numPr>
              <w:rPr>
                <w:rFonts w:asciiTheme="majorHAnsi" w:hAnsiTheme="majorHAnsi"/>
              </w:rPr>
            </w:pPr>
            <w:r w:rsidRPr="00820C89">
              <w:rPr>
                <w:rFonts w:asciiTheme="majorHAnsi" w:hAnsiTheme="majorHAnsi"/>
              </w:rPr>
              <w:t>The Queensland Indigenous Procurement Policy (QIPP) aims to increase the value of Queensland Government procurement spend awarded to Indigenous businesses to be 3 per cent of addressable spend by 2022.</w:t>
            </w:r>
          </w:p>
        </w:tc>
      </w:tr>
      <w:tr w:rsidR="008C03CC" w:rsidRPr="00820C89" w14:paraId="4615924F" w14:textId="77777777" w:rsidTr="008C03CC">
        <w:tc>
          <w:tcPr>
            <w:tcW w:w="1691" w:type="dxa"/>
          </w:tcPr>
          <w:p w14:paraId="4111EDB7" w14:textId="77777777" w:rsidR="008C03CC" w:rsidRPr="00820C89" w:rsidRDefault="008C03CC" w:rsidP="008C03CC">
            <w:pPr>
              <w:rPr>
                <w:rFonts w:asciiTheme="majorHAnsi" w:hAnsiTheme="majorHAnsi"/>
              </w:rPr>
            </w:pPr>
            <w:r w:rsidRPr="00820C89">
              <w:rPr>
                <w:rFonts w:asciiTheme="majorHAnsi" w:hAnsiTheme="majorHAnsi"/>
              </w:rPr>
              <w:t>South Australia</w:t>
            </w:r>
          </w:p>
        </w:tc>
        <w:tc>
          <w:tcPr>
            <w:tcW w:w="7335" w:type="dxa"/>
            <w:gridSpan w:val="2"/>
          </w:tcPr>
          <w:p w14:paraId="67D96623" w14:textId="77777777" w:rsidR="008C03CC" w:rsidRPr="00820C89" w:rsidRDefault="008C03CC" w:rsidP="00715F70">
            <w:pPr>
              <w:pStyle w:val="ListParagraph"/>
              <w:numPr>
                <w:ilvl w:val="0"/>
                <w:numId w:val="18"/>
              </w:numPr>
              <w:rPr>
                <w:rFonts w:asciiTheme="majorHAnsi" w:hAnsiTheme="majorHAnsi"/>
              </w:rPr>
            </w:pPr>
            <w:r w:rsidRPr="00820C89">
              <w:rPr>
                <w:rFonts w:asciiTheme="majorHAnsi" w:hAnsiTheme="majorHAnsi"/>
              </w:rPr>
              <w:t>The South Australian Government aims to increase the number and diversity of Aboriginal businesses winning government procurement processes.</w:t>
            </w:r>
          </w:p>
          <w:p w14:paraId="1A3032B2" w14:textId="77777777" w:rsidR="008C03CC" w:rsidRPr="00820C89" w:rsidRDefault="008C03CC" w:rsidP="00715F70">
            <w:pPr>
              <w:pStyle w:val="ListParagraph"/>
              <w:numPr>
                <w:ilvl w:val="0"/>
                <w:numId w:val="18"/>
              </w:numPr>
              <w:rPr>
                <w:rFonts w:asciiTheme="majorHAnsi" w:hAnsiTheme="majorHAnsi"/>
              </w:rPr>
            </w:pPr>
            <w:r w:rsidRPr="00820C89">
              <w:rPr>
                <w:rFonts w:asciiTheme="majorHAnsi" w:hAnsiTheme="majorHAnsi"/>
              </w:rPr>
              <w:t xml:space="preserve">They aim to achieve this </w:t>
            </w:r>
            <w:r w:rsidR="00B12764" w:rsidRPr="00820C89">
              <w:rPr>
                <w:rFonts w:asciiTheme="majorHAnsi" w:hAnsiTheme="majorHAnsi"/>
              </w:rPr>
              <w:t>through</w:t>
            </w:r>
            <w:r w:rsidRPr="00820C89">
              <w:rPr>
                <w:rFonts w:asciiTheme="majorHAnsi" w:hAnsiTheme="majorHAnsi"/>
              </w:rPr>
              <w:t xml:space="preserve"> 1) encouraging businesses to sign-up to the South Australian Aboriginal Business Register, which aims to connect businesses with procurement policies and 2) Increasing the weighting of Aboriginal </w:t>
            </w:r>
            <w:r w:rsidRPr="00820C89">
              <w:rPr>
                <w:rFonts w:asciiTheme="majorHAnsi" w:hAnsiTheme="majorHAnsi"/>
              </w:rPr>
              <w:lastRenderedPageBreak/>
              <w:t>business tenders such that Aboriginal businesses are more likely to win contracts.</w:t>
            </w:r>
          </w:p>
        </w:tc>
      </w:tr>
      <w:tr w:rsidR="008C03CC" w:rsidRPr="00820C89" w14:paraId="0B7A4563" w14:textId="77777777" w:rsidTr="008C03CC">
        <w:tc>
          <w:tcPr>
            <w:tcW w:w="1691" w:type="dxa"/>
          </w:tcPr>
          <w:p w14:paraId="449AAAA7" w14:textId="77777777" w:rsidR="008C03CC" w:rsidRPr="00820C89" w:rsidRDefault="008C03CC" w:rsidP="008C03CC">
            <w:pPr>
              <w:rPr>
                <w:rFonts w:asciiTheme="majorHAnsi" w:hAnsiTheme="majorHAnsi"/>
              </w:rPr>
            </w:pPr>
            <w:r w:rsidRPr="00820C89">
              <w:rPr>
                <w:rFonts w:asciiTheme="majorHAnsi" w:hAnsiTheme="majorHAnsi"/>
              </w:rPr>
              <w:lastRenderedPageBreak/>
              <w:t>Western Australia</w:t>
            </w:r>
          </w:p>
        </w:tc>
        <w:tc>
          <w:tcPr>
            <w:tcW w:w="7335" w:type="dxa"/>
            <w:gridSpan w:val="2"/>
          </w:tcPr>
          <w:p w14:paraId="7C91AD38" w14:textId="77777777" w:rsidR="008C03CC" w:rsidRPr="00820C89" w:rsidRDefault="008C03CC" w:rsidP="00715F70">
            <w:pPr>
              <w:pStyle w:val="ListParagraph"/>
              <w:numPr>
                <w:ilvl w:val="0"/>
                <w:numId w:val="19"/>
              </w:numPr>
              <w:rPr>
                <w:rFonts w:asciiTheme="majorHAnsi" w:hAnsiTheme="majorHAnsi"/>
              </w:rPr>
            </w:pPr>
            <w:r w:rsidRPr="00820C89">
              <w:rPr>
                <w:rFonts w:asciiTheme="majorHAnsi" w:hAnsiTheme="majorHAnsi"/>
              </w:rPr>
              <w:t xml:space="preserve">The Aboriginal Traineeship Program provides young Indigenous Australians with the opportunity to start a career in the public service by undertaking a 12-month paid work placement and completing a nationally recognised Certificate III in Government. </w:t>
            </w:r>
          </w:p>
          <w:p w14:paraId="7BAF3467" w14:textId="77777777" w:rsidR="008C03CC" w:rsidRPr="00820C89" w:rsidRDefault="008C03CC" w:rsidP="00715F70">
            <w:pPr>
              <w:pStyle w:val="ListParagraph"/>
              <w:numPr>
                <w:ilvl w:val="0"/>
                <w:numId w:val="19"/>
              </w:numPr>
              <w:rPr>
                <w:rFonts w:asciiTheme="majorHAnsi" w:hAnsiTheme="majorHAnsi"/>
              </w:rPr>
            </w:pPr>
            <w:r w:rsidRPr="00820C89">
              <w:rPr>
                <w:rFonts w:asciiTheme="majorHAnsi" w:hAnsiTheme="majorHAnsi"/>
              </w:rPr>
              <w:t xml:space="preserve">The Western Australian Government has created the Aboriginal Services Jobs Board to try and match Indigenous jobseekers with employment opportunities in the public and private sector. </w:t>
            </w:r>
          </w:p>
        </w:tc>
      </w:tr>
      <w:tr w:rsidR="008C03CC" w:rsidRPr="00820C89" w14:paraId="7A240499" w14:textId="77777777" w:rsidTr="008C03CC">
        <w:tc>
          <w:tcPr>
            <w:tcW w:w="1691" w:type="dxa"/>
          </w:tcPr>
          <w:p w14:paraId="6CC4A514" w14:textId="77777777" w:rsidR="008C03CC" w:rsidRPr="00820C89" w:rsidRDefault="008C03CC" w:rsidP="008C03CC">
            <w:pPr>
              <w:rPr>
                <w:rFonts w:asciiTheme="majorHAnsi" w:hAnsiTheme="majorHAnsi"/>
              </w:rPr>
            </w:pPr>
            <w:r w:rsidRPr="00820C89">
              <w:rPr>
                <w:rFonts w:asciiTheme="majorHAnsi" w:hAnsiTheme="majorHAnsi"/>
              </w:rPr>
              <w:t xml:space="preserve">Australian Capital Territory </w:t>
            </w:r>
          </w:p>
        </w:tc>
        <w:tc>
          <w:tcPr>
            <w:tcW w:w="7335" w:type="dxa"/>
            <w:gridSpan w:val="2"/>
          </w:tcPr>
          <w:p w14:paraId="4EFDE05C" w14:textId="77777777" w:rsidR="008C03CC" w:rsidRPr="00820C89" w:rsidRDefault="008C03CC" w:rsidP="00715F70">
            <w:pPr>
              <w:pStyle w:val="ListParagraph"/>
              <w:numPr>
                <w:ilvl w:val="0"/>
                <w:numId w:val="20"/>
              </w:numPr>
              <w:rPr>
                <w:rFonts w:asciiTheme="majorHAnsi" w:hAnsiTheme="majorHAnsi"/>
              </w:rPr>
            </w:pPr>
            <w:r w:rsidRPr="00820C89">
              <w:rPr>
                <w:rFonts w:asciiTheme="majorHAnsi" w:hAnsiTheme="majorHAnsi"/>
              </w:rPr>
              <w:t xml:space="preserve">Aboriginal and Torres Strait Islander Vocational Employment Program aims to increase the representation of Indigenous staff in the ACT Public Service by providing work experience and training to jobseekers, with an ongoing job in the public service upon program completion. </w:t>
            </w:r>
          </w:p>
          <w:p w14:paraId="7C94F911" w14:textId="77777777" w:rsidR="008C03CC" w:rsidRPr="00820C89" w:rsidRDefault="008C03CC" w:rsidP="00715F70">
            <w:pPr>
              <w:pStyle w:val="ListParagraph"/>
              <w:numPr>
                <w:ilvl w:val="0"/>
                <w:numId w:val="20"/>
              </w:numPr>
              <w:rPr>
                <w:rFonts w:asciiTheme="majorHAnsi" w:hAnsiTheme="majorHAnsi"/>
              </w:rPr>
            </w:pPr>
            <w:r w:rsidRPr="00820C89">
              <w:rPr>
                <w:rFonts w:asciiTheme="majorHAnsi" w:hAnsiTheme="majorHAnsi"/>
              </w:rPr>
              <w:t>The ACT Government Aboriginal and Torres Strait Islander Procurement Policy aims to increase the territory’s procurement from Indigenous businesses. In order to achieve this the government has created the Canberra Region Aboriginal and Torres Strait Islander Enterprise List to provide a consolidated overview of Indigenous businesses in the region. The government has set a target of spending 2% of its 2021-22 addressable spend on Indigenous businesses.</w:t>
            </w:r>
          </w:p>
        </w:tc>
      </w:tr>
      <w:tr w:rsidR="008C03CC" w:rsidRPr="00820C89" w14:paraId="2C5DB3CD" w14:textId="77777777" w:rsidTr="008C03CC">
        <w:tc>
          <w:tcPr>
            <w:tcW w:w="1691" w:type="dxa"/>
          </w:tcPr>
          <w:p w14:paraId="52D15280" w14:textId="77777777" w:rsidR="008C03CC" w:rsidRPr="00820C89" w:rsidRDefault="008C03CC" w:rsidP="008C03CC">
            <w:pPr>
              <w:rPr>
                <w:rFonts w:asciiTheme="majorHAnsi" w:hAnsiTheme="majorHAnsi"/>
              </w:rPr>
            </w:pPr>
            <w:r w:rsidRPr="00820C89">
              <w:rPr>
                <w:rFonts w:asciiTheme="majorHAnsi" w:hAnsiTheme="majorHAnsi"/>
              </w:rPr>
              <w:t>Northern Territory</w:t>
            </w:r>
          </w:p>
        </w:tc>
        <w:tc>
          <w:tcPr>
            <w:tcW w:w="7335" w:type="dxa"/>
            <w:gridSpan w:val="2"/>
          </w:tcPr>
          <w:p w14:paraId="4356C826" w14:textId="77777777" w:rsidR="008C03CC" w:rsidRPr="00820C89" w:rsidRDefault="008C03CC" w:rsidP="00715F70">
            <w:pPr>
              <w:pStyle w:val="ListParagraph"/>
              <w:numPr>
                <w:ilvl w:val="0"/>
                <w:numId w:val="20"/>
              </w:numPr>
              <w:rPr>
                <w:rFonts w:asciiTheme="majorHAnsi" w:hAnsiTheme="majorHAnsi"/>
              </w:rPr>
            </w:pPr>
            <w:r w:rsidRPr="00820C89">
              <w:rPr>
                <w:rFonts w:asciiTheme="majorHAnsi" w:hAnsiTheme="majorHAnsi"/>
              </w:rPr>
              <w:t>The Aboriginal Employment Grants (AEG) program consists of the Aboriginal Workforce Grants (AWG) initiative and the Aboriginal Responsive Skilling Grants (ARSG).</w:t>
            </w:r>
          </w:p>
          <w:p w14:paraId="734936DD" w14:textId="77777777" w:rsidR="008C03CC" w:rsidRPr="00820C89" w:rsidRDefault="008C03CC" w:rsidP="00715F70">
            <w:pPr>
              <w:pStyle w:val="ListParagraph"/>
              <w:numPr>
                <w:ilvl w:val="0"/>
                <w:numId w:val="20"/>
              </w:numPr>
              <w:rPr>
                <w:rFonts w:asciiTheme="majorHAnsi" w:hAnsiTheme="majorHAnsi"/>
              </w:rPr>
            </w:pPr>
            <w:r w:rsidRPr="00820C89">
              <w:rPr>
                <w:rFonts w:asciiTheme="majorHAnsi" w:hAnsiTheme="majorHAnsi"/>
              </w:rPr>
              <w:t>AWGs provide funding for businesses to pursue a project that creates employment opportunities for Indigenous Australians.</w:t>
            </w:r>
          </w:p>
          <w:p w14:paraId="5ACAAD0D" w14:textId="77777777" w:rsidR="008C03CC" w:rsidRPr="00820C89" w:rsidRDefault="008C03CC" w:rsidP="00715F70">
            <w:pPr>
              <w:pStyle w:val="ListParagraph"/>
              <w:numPr>
                <w:ilvl w:val="0"/>
                <w:numId w:val="20"/>
              </w:numPr>
              <w:rPr>
                <w:rFonts w:asciiTheme="majorHAnsi" w:hAnsiTheme="majorHAnsi"/>
              </w:rPr>
            </w:pPr>
            <w:r w:rsidRPr="00820C89">
              <w:rPr>
                <w:rFonts w:asciiTheme="majorHAnsi" w:hAnsiTheme="majorHAnsi"/>
              </w:rPr>
              <w:t>The ARSG provides funding for accredited and non-accredited training for Aboriginal people living in urban, regional and remote NT communities.</w:t>
            </w:r>
          </w:p>
        </w:tc>
      </w:tr>
    </w:tbl>
    <w:p w14:paraId="21C77E6A" w14:textId="77777777" w:rsidR="008C03CC" w:rsidRPr="00820C89" w:rsidRDefault="008C03CC" w:rsidP="008C03CC">
      <w:pPr>
        <w:pStyle w:val="Source"/>
        <w:rPr>
          <w:rFonts w:asciiTheme="majorHAnsi" w:hAnsiTheme="majorHAnsi"/>
        </w:rPr>
      </w:pPr>
      <w:r w:rsidRPr="00820C89">
        <w:rPr>
          <w:rFonts w:asciiTheme="majorHAnsi" w:hAnsiTheme="majorHAnsi"/>
        </w:rPr>
        <w:t>Source: State and territory government resources; stakeholder consultations. Note: state and territory stakeholder consultations are still being completed, and this table will likely be updated when additional information is obtained from these consultations.</w:t>
      </w:r>
    </w:p>
    <w:p w14:paraId="7D497229" w14:textId="77777777" w:rsidR="008F4BB0" w:rsidRPr="00820C89" w:rsidRDefault="008F4BB0">
      <w:pPr>
        <w:spacing w:after="0"/>
      </w:pPr>
      <w:r w:rsidRPr="00820C89">
        <w:br w:type="page"/>
      </w:r>
    </w:p>
    <w:p w14:paraId="05AD7DF1" w14:textId="77777777" w:rsidR="008F4BB0" w:rsidRPr="00820C89" w:rsidRDefault="008F4BB0" w:rsidP="008F4BB0">
      <w:pPr>
        <w:pStyle w:val="Heading11"/>
        <w:rPr>
          <w:rFonts w:asciiTheme="majorHAnsi" w:hAnsiTheme="majorHAnsi"/>
        </w:rPr>
      </w:pPr>
      <w:bookmarkStart w:id="243" w:name="_Toc82710794"/>
      <w:bookmarkStart w:id="244" w:name="_Toc101343314"/>
      <w:r w:rsidRPr="00820C89">
        <w:rPr>
          <w:rFonts w:asciiTheme="majorHAnsi" w:hAnsiTheme="majorHAnsi"/>
        </w:rPr>
        <w:lastRenderedPageBreak/>
        <w:t xml:space="preserve">Appendix </w:t>
      </w:r>
      <w:r w:rsidR="004C1A69" w:rsidRPr="00820C89">
        <w:rPr>
          <w:rFonts w:asciiTheme="majorHAnsi" w:hAnsiTheme="majorHAnsi"/>
        </w:rPr>
        <w:t>C</w:t>
      </w:r>
      <w:r w:rsidRPr="00820C89">
        <w:rPr>
          <w:rFonts w:asciiTheme="majorHAnsi" w:hAnsiTheme="majorHAnsi"/>
        </w:rPr>
        <w:t xml:space="preserve">: </w:t>
      </w:r>
      <w:r w:rsidR="009A2364" w:rsidRPr="00820C89">
        <w:rPr>
          <w:rFonts w:asciiTheme="majorHAnsi" w:hAnsiTheme="majorHAnsi"/>
        </w:rPr>
        <w:t>E</w:t>
      </w:r>
      <w:r w:rsidR="00ED76A0" w:rsidRPr="00820C89">
        <w:rPr>
          <w:rFonts w:asciiTheme="majorHAnsi" w:hAnsiTheme="majorHAnsi"/>
        </w:rPr>
        <w:t>conometrics</w:t>
      </w:r>
      <w:r w:rsidR="009A2364" w:rsidRPr="00820C89">
        <w:rPr>
          <w:rFonts w:asciiTheme="majorHAnsi" w:hAnsiTheme="majorHAnsi"/>
        </w:rPr>
        <w:t xml:space="preserve"> &amp; RED data analysis</w:t>
      </w:r>
      <w:bookmarkEnd w:id="243"/>
      <w:bookmarkEnd w:id="244"/>
    </w:p>
    <w:p w14:paraId="6BC54184" w14:textId="77777777" w:rsidR="00230B31" w:rsidRPr="00820C89" w:rsidRDefault="00230B31" w:rsidP="001705CB">
      <w:pPr>
        <w:rPr>
          <w:b/>
          <w:bCs/>
          <w:i/>
          <w:iCs/>
        </w:rPr>
      </w:pPr>
      <w:r w:rsidRPr="00820C89">
        <w:rPr>
          <w:b/>
          <w:bCs/>
          <w:i/>
          <w:iCs/>
        </w:rPr>
        <w:t>The RED dataset</w:t>
      </w:r>
    </w:p>
    <w:p w14:paraId="096F6349" w14:textId="77777777" w:rsidR="000D2EBA" w:rsidRPr="00820C89" w:rsidRDefault="005F227A" w:rsidP="001705CB">
      <w:r w:rsidRPr="00820C89">
        <w:t>D</w:t>
      </w:r>
      <w:r w:rsidR="007564C5" w:rsidRPr="00820C89">
        <w:t xml:space="preserve">ata from the Research Evaluation Database (RED) </w:t>
      </w:r>
      <w:r w:rsidRPr="00820C89">
        <w:t>is</w:t>
      </w:r>
      <w:r w:rsidR="007564C5" w:rsidRPr="00820C89">
        <w:t xml:space="preserve"> used to estimate the long-term employment outcomes of IEP participants. The RED contains information </w:t>
      </w:r>
      <w:r w:rsidR="0051137A" w:rsidRPr="00820C89">
        <w:t>on a sample (</w:t>
      </w:r>
      <w:r w:rsidR="00837D3F" w:rsidRPr="00820C89">
        <w:t xml:space="preserve">of approximately 85% </w:t>
      </w:r>
      <w:r w:rsidR="005D5845" w:rsidRPr="00820C89">
        <w:t>of the total population) of IEP participants</w:t>
      </w:r>
      <w:r w:rsidR="0049214C" w:rsidRPr="00820C89">
        <w:t xml:space="preserve"> and identifies </w:t>
      </w:r>
      <w:r w:rsidR="00C46261" w:rsidRPr="00820C89">
        <w:t>whether t</w:t>
      </w:r>
      <w:r w:rsidR="00E75131" w:rsidRPr="00820C89">
        <w:t>hey</w:t>
      </w:r>
      <w:r w:rsidR="00AA09FB" w:rsidRPr="00820C89">
        <w:t xml:space="preserve"> are receiving</w:t>
      </w:r>
      <w:r w:rsidR="00D0172F" w:rsidRPr="00820C89">
        <w:t xml:space="preserve"> income support payments or not</w:t>
      </w:r>
      <w:r w:rsidR="00550590" w:rsidRPr="00820C89">
        <w:t xml:space="preserve"> a given period of months after they exit the IEP</w:t>
      </w:r>
      <w:r w:rsidR="00D0172F" w:rsidRPr="00820C89">
        <w:t xml:space="preserve">. </w:t>
      </w:r>
      <w:r w:rsidR="00567309" w:rsidRPr="00820C89">
        <w:t>T</w:t>
      </w:r>
      <w:r w:rsidR="00D045B0" w:rsidRPr="00820C89">
        <w:t>his measure is intended to act as a proxy for whether</w:t>
      </w:r>
      <w:r w:rsidR="00E75131" w:rsidRPr="00820C89">
        <w:t xml:space="preserve"> participants are engaging in paid employment or not</w:t>
      </w:r>
      <w:r w:rsidR="00821773" w:rsidRPr="00820C89">
        <w:t xml:space="preserve">. </w:t>
      </w:r>
      <w:r w:rsidR="00130543" w:rsidRPr="00820C89">
        <w:t>I</w:t>
      </w:r>
      <w:r w:rsidR="00821773" w:rsidRPr="00820C89">
        <w:t xml:space="preserve">t is acknowledged that this is unlikely to be a perfect measure of an </w:t>
      </w:r>
      <w:r w:rsidR="00E1607D" w:rsidRPr="00820C89">
        <w:t>individual’s</w:t>
      </w:r>
      <w:r w:rsidR="00821773" w:rsidRPr="00820C89">
        <w:t xml:space="preserve"> employment status, as it is possible that individuals earn income from non-employment related activities that preclude them from receiving income support.</w:t>
      </w:r>
    </w:p>
    <w:p w14:paraId="1140A497" w14:textId="77777777" w:rsidR="005D5845" w:rsidRPr="00820C89" w:rsidRDefault="00C46A82" w:rsidP="001705CB">
      <w:r w:rsidRPr="00820C89">
        <w:t>This evaluation uses an</w:t>
      </w:r>
      <w:r w:rsidR="00CF5E68" w:rsidRPr="00820C89">
        <w:t xml:space="preserve"> extract from the RED that includes participants who commenced in the program </w:t>
      </w:r>
      <w:r w:rsidR="002F0BCB" w:rsidRPr="00820C89">
        <w:t>from</w:t>
      </w:r>
      <w:r w:rsidR="00F44FC6" w:rsidRPr="00820C89">
        <w:t xml:space="preserve"> </w:t>
      </w:r>
      <w:r w:rsidR="00CF5E68" w:rsidRPr="00820C89">
        <w:t xml:space="preserve">between </w:t>
      </w:r>
      <w:r w:rsidR="00EB277B" w:rsidRPr="00820C89">
        <w:t>July 2015 and July 2019.</w:t>
      </w:r>
      <w:r w:rsidR="005F227A" w:rsidRPr="00820C89">
        <w:t xml:space="preserve"> </w:t>
      </w:r>
      <w:r w:rsidR="00273424" w:rsidRPr="00820C89">
        <w:t>T</w:t>
      </w:r>
      <w:r w:rsidR="005F227A" w:rsidRPr="00820C89">
        <w:t xml:space="preserve">his timeframe </w:t>
      </w:r>
      <w:r w:rsidR="005F227A" w:rsidRPr="00820C89" w:rsidDel="00273424">
        <w:t xml:space="preserve">is </w:t>
      </w:r>
      <w:r w:rsidR="00273424" w:rsidRPr="00820C89">
        <w:t>not identical</w:t>
      </w:r>
      <w:r w:rsidR="00046257" w:rsidRPr="00820C89">
        <w:t xml:space="preserve"> to that used in the broader evaluation (from program inception to December 2019), as data from this extended timeframe</w:t>
      </w:r>
      <w:r w:rsidR="00046257" w:rsidRPr="00820C89" w:rsidDel="007320A3">
        <w:t xml:space="preserve"> </w:t>
      </w:r>
      <w:r w:rsidR="00046257" w:rsidRPr="00820C89">
        <w:t>could not be obtained</w:t>
      </w:r>
      <w:r w:rsidR="00044933" w:rsidRPr="00820C89">
        <w:t xml:space="preserve"> from </w:t>
      </w:r>
      <w:r w:rsidR="0018117D" w:rsidRPr="00820C89">
        <w:t xml:space="preserve">the </w:t>
      </w:r>
      <w:r w:rsidR="00044933" w:rsidRPr="00820C89">
        <w:t>RED.</w:t>
      </w:r>
      <w:r w:rsidR="009E3EF9" w:rsidRPr="00820C89">
        <w:t xml:space="preserve"> </w:t>
      </w:r>
      <w:r w:rsidR="00044933" w:rsidRPr="00820C89">
        <w:t>However, t</w:t>
      </w:r>
      <w:r w:rsidR="00D31572" w:rsidRPr="00820C89">
        <w:t xml:space="preserve">he sample from the RED </w:t>
      </w:r>
      <w:r w:rsidR="00416B01" w:rsidRPr="00820C89">
        <w:t>appears to be</w:t>
      </w:r>
      <w:r w:rsidR="00D31572" w:rsidRPr="00820C89">
        <w:t xml:space="preserve"> highly representative of the broader IEP</w:t>
      </w:r>
      <w:r w:rsidR="00416B01" w:rsidRPr="00820C89">
        <w:t xml:space="preserve"> population</w:t>
      </w:r>
      <w:r w:rsidR="00D31572" w:rsidRPr="00820C89">
        <w:t xml:space="preserve">, suggesting that </w:t>
      </w:r>
      <w:r w:rsidR="000C4573" w:rsidRPr="00820C89">
        <w:t xml:space="preserve">there are unlikely to be issues in </w:t>
      </w:r>
      <w:r w:rsidR="005511C1" w:rsidRPr="00820C89">
        <w:t xml:space="preserve">generalising </w:t>
      </w:r>
      <w:r w:rsidR="000C4573" w:rsidRPr="00820C89">
        <w:t>findings.</w:t>
      </w:r>
    </w:p>
    <w:p w14:paraId="77F6E9C0" w14:textId="77777777" w:rsidR="005D5845" w:rsidRPr="00820C89" w:rsidRDefault="005511C1" w:rsidP="00715F70">
      <w:pPr>
        <w:pStyle w:val="AppendixTableCaption"/>
        <w:outlineLvl w:val="1"/>
      </w:pPr>
      <w:bookmarkStart w:id="245" w:name="_Toc101343315"/>
      <w:r w:rsidRPr="00820C89">
        <w:t>: Summary of participant characteristics in RED and IEP program data</w:t>
      </w:r>
      <w:bookmarkEnd w:id="245"/>
    </w:p>
    <w:tbl>
      <w:tblPr>
        <w:tblStyle w:val="Deloittetable"/>
        <w:tblW w:w="0" w:type="auto"/>
        <w:tblLook w:val="04A0" w:firstRow="1" w:lastRow="0" w:firstColumn="1" w:lastColumn="0" w:noHBand="0" w:noVBand="1"/>
      </w:tblPr>
      <w:tblGrid>
        <w:gridCol w:w="1540"/>
        <w:gridCol w:w="3695"/>
        <w:gridCol w:w="3696"/>
      </w:tblGrid>
      <w:tr w:rsidR="001705CB" w:rsidRPr="00820C89" w14:paraId="01B89500" w14:textId="77777777" w:rsidTr="00087C85">
        <w:trPr>
          <w:cnfStyle w:val="100000000000" w:firstRow="1" w:lastRow="0" w:firstColumn="0" w:lastColumn="0" w:oddVBand="0" w:evenVBand="0" w:oddHBand="0" w:evenHBand="0" w:firstRowFirstColumn="0" w:firstRowLastColumn="0" w:lastRowFirstColumn="0" w:lastRowLastColumn="0"/>
          <w:tblHeader/>
        </w:trPr>
        <w:tc>
          <w:tcPr>
            <w:tcW w:w="1540" w:type="dxa"/>
          </w:tcPr>
          <w:p w14:paraId="56727418" w14:textId="77777777" w:rsidR="001705CB" w:rsidRPr="00820C89" w:rsidRDefault="00D36484" w:rsidP="00D36484">
            <w:r w:rsidRPr="00820C89">
              <w:rPr>
                <w:b/>
                <w:bCs/>
              </w:rPr>
              <w:t>Characteristics</w:t>
            </w:r>
          </w:p>
        </w:tc>
        <w:tc>
          <w:tcPr>
            <w:tcW w:w="3695" w:type="dxa"/>
            <w:hideMark/>
          </w:tcPr>
          <w:p w14:paraId="7FDC949B" w14:textId="77777777" w:rsidR="001705CB" w:rsidRPr="00820C89" w:rsidRDefault="001705CB">
            <w:pPr>
              <w:jc w:val="center"/>
              <w:rPr>
                <w:b/>
                <w:bCs/>
              </w:rPr>
            </w:pPr>
            <w:r w:rsidRPr="00820C89">
              <w:rPr>
                <w:b/>
                <w:bCs/>
              </w:rPr>
              <w:t>IEP Program Data</w:t>
            </w:r>
          </w:p>
        </w:tc>
        <w:tc>
          <w:tcPr>
            <w:tcW w:w="3696" w:type="dxa"/>
            <w:hideMark/>
          </w:tcPr>
          <w:p w14:paraId="4C3E00FC" w14:textId="77777777" w:rsidR="001705CB" w:rsidRPr="00820C89" w:rsidRDefault="001705CB">
            <w:pPr>
              <w:jc w:val="center"/>
              <w:rPr>
                <w:b/>
                <w:bCs/>
              </w:rPr>
            </w:pPr>
            <w:r w:rsidRPr="00820C89">
              <w:rPr>
                <w:b/>
                <w:bCs/>
              </w:rPr>
              <w:t>RED Snapshot</w:t>
            </w:r>
          </w:p>
        </w:tc>
      </w:tr>
      <w:tr w:rsidR="001705CB" w:rsidRPr="00820C89" w14:paraId="1253E07F" w14:textId="77777777" w:rsidTr="003A645E">
        <w:tc>
          <w:tcPr>
            <w:tcW w:w="1540" w:type="dxa"/>
            <w:hideMark/>
          </w:tcPr>
          <w:p w14:paraId="2138BF20" w14:textId="77777777" w:rsidR="001705CB" w:rsidRPr="00820C89" w:rsidRDefault="001705CB">
            <w:r w:rsidRPr="00820C89">
              <w:t>Male</w:t>
            </w:r>
          </w:p>
        </w:tc>
        <w:tc>
          <w:tcPr>
            <w:tcW w:w="3695" w:type="dxa"/>
            <w:hideMark/>
          </w:tcPr>
          <w:p w14:paraId="1908E2DB" w14:textId="77777777" w:rsidR="001705CB" w:rsidRPr="00820C89" w:rsidRDefault="001705CB">
            <w:pPr>
              <w:jc w:val="center"/>
            </w:pPr>
            <w:r w:rsidRPr="00820C89">
              <w:rPr>
                <w:color w:val="000000"/>
              </w:rPr>
              <w:t>56%</w:t>
            </w:r>
          </w:p>
        </w:tc>
        <w:tc>
          <w:tcPr>
            <w:tcW w:w="3696" w:type="dxa"/>
            <w:hideMark/>
          </w:tcPr>
          <w:p w14:paraId="04F3A6D5" w14:textId="77777777" w:rsidR="001705CB" w:rsidRPr="00820C89" w:rsidRDefault="001705CB">
            <w:pPr>
              <w:jc w:val="center"/>
              <w:rPr>
                <w:color w:val="000000"/>
              </w:rPr>
            </w:pPr>
            <w:r w:rsidRPr="00820C89">
              <w:rPr>
                <w:color w:val="000000"/>
              </w:rPr>
              <w:t>57%</w:t>
            </w:r>
          </w:p>
        </w:tc>
      </w:tr>
      <w:tr w:rsidR="001705CB" w:rsidRPr="00820C89" w14:paraId="2659FA9C" w14:textId="77777777" w:rsidTr="003A645E">
        <w:tc>
          <w:tcPr>
            <w:tcW w:w="1540" w:type="dxa"/>
            <w:hideMark/>
          </w:tcPr>
          <w:p w14:paraId="36D81492" w14:textId="77777777" w:rsidR="001705CB" w:rsidRPr="00820C89" w:rsidRDefault="001705CB">
            <w:r w:rsidRPr="00820C89">
              <w:t>Female</w:t>
            </w:r>
          </w:p>
        </w:tc>
        <w:tc>
          <w:tcPr>
            <w:tcW w:w="3695" w:type="dxa"/>
            <w:hideMark/>
          </w:tcPr>
          <w:p w14:paraId="1A99F3DE" w14:textId="77777777" w:rsidR="001705CB" w:rsidRPr="00820C89" w:rsidRDefault="001705CB">
            <w:pPr>
              <w:jc w:val="center"/>
            </w:pPr>
            <w:r w:rsidRPr="00820C89">
              <w:rPr>
                <w:color w:val="000000"/>
              </w:rPr>
              <w:t>44%</w:t>
            </w:r>
          </w:p>
        </w:tc>
        <w:tc>
          <w:tcPr>
            <w:tcW w:w="3696" w:type="dxa"/>
            <w:hideMark/>
          </w:tcPr>
          <w:p w14:paraId="1F2D426C" w14:textId="77777777" w:rsidR="001705CB" w:rsidRPr="00820C89" w:rsidRDefault="001705CB">
            <w:pPr>
              <w:jc w:val="center"/>
              <w:rPr>
                <w:color w:val="000000"/>
              </w:rPr>
            </w:pPr>
            <w:r w:rsidRPr="00820C89">
              <w:rPr>
                <w:color w:val="000000"/>
              </w:rPr>
              <w:t>43%</w:t>
            </w:r>
          </w:p>
        </w:tc>
      </w:tr>
      <w:tr w:rsidR="001705CB" w:rsidRPr="00820C89" w14:paraId="6DEE6583" w14:textId="77777777" w:rsidTr="003A645E">
        <w:tc>
          <w:tcPr>
            <w:tcW w:w="1540" w:type="dxa"/>
            <w:hideMark/>
          </w:tcPr>
          <w:p w14:paraId="64EFF030" w14:textId="77777777" w:rsidR="001705CB" w:rsidRPr="00820C89" w:rsidRDefault="001705CB">
            <w:r w:rsidRPr="00820C89">
              <w:t>Metropolitan</w:t>
            </w:r>
          </w:p>
        </w:tc>
        <w:tc>
          <w:tcPr>
            <w:tcW w:w="3695" w:type="dxa"/>
            <w:hideMark/>
          </w:tcPr>
          <w:p w14:paraId="63DE4025" w14:textId="77777777" w:rsidR="001705CB" w:rsidRPr="00820C89" w:rsidRDefault="001705CB">
            <w:pPr>
              <w:jc w:val="center"/>
            </w:pPr>
            <w:r w:rsidRPr="00820C89">
              <w:rPr>
                <w:color w:val="000000"/>
              </w:rPr>
              <w:t>56%</w:t>
            </w:r>
          </w:p>
        </w:tc>
        <w:tc>
          <w:tcPr>
            <w:tcW w:w="3696" w:type="dxa"/>
            <w:hideMark/>
          </w:tcPr>
          <w:p w14:paraId="604FBC0F" w14:textId="77777777" w:rsidR="001705CB" w:rsidRPr="00820C89" w:rsidRDefault="001705CB">
            <w:pPr>
              <w:jc w:val="center"/>
              <w:rPr>
                <w:color w:val="000000"/>
              </w:rPr>
            </w:pPr>
            <w:r w:rsidRPr="00820C89">
              <w:rPr>
                <w:color w:val="000000"/>
              </w:rPr>
              <w:t>57%</w:t>
            </w:r>
          </w:p>
        </w:tc>
      </w:tr>
      <w:tr w:rsidR="001705CB" w:rsidRPr="00820C89" w14:paraId="0B21960F" w14:textId="77777777" w:rsidTr="003A645E">
        <w:tc>
          <w:tcPr>
            <w:tcW w:w="1540" w:type="dxa"/>
            <w:hideMark/>
          </w:tcPr>
          <w:p w14:paraId="6DB9392A" w14:textId="77777777" w:rsidR="001705CB" w:rsidRPr="00820C89" w:rsidRDefault="001705CB">
            <w:r w:rsidRPr="00820C89">
              <w:t>Regional</w:t>
            </w:r>
          </w:p>
        </w:tc>
        <w:tc>
          <w:tcPr>
            <w:tcW w:w="3695" w:type="dxa"/>
            <w:hideMark/>
          </w:tcPr>
          <w:p w14:paraId="75D2F3B8" w14:textId="77777777" w:rsidR="001705CB" w:rsidRPr="00820C89" w:rsidRDefault="001705CB">
            <w:pPr>
              <w:jc w:val="center"/>
            </w:pPr>
            <w:r w:rsidRPr="00820C89">
              <w:rPr>
                <w:color w:val="000000"/>
              </w:rPr>
              <w:t>28%</w:t>
            </w:r>
          </w:p>
        </w:tc>
        <w:tc>
          <w:tcPr>
            <w:tcW w:w="3696" w:type="dxa"/>
            <w:hideMark/>
          </w:tcPr>
          <w:p w14:paraId="38DCD69A" w14:textId="77777777" w:rsidR="001705CB" w:rsidRPr="00820C89" w:rsidRDefault="001705CB">
            <w:pPr>
              <w:jc w:val="center"/>
              <w:rPr>
                <w:color w:val="000000"/>
              </w:rPr>
            </w:pPr>
            <w:r w:rsidRPr="00820C89">
              <w:rPr>
                <w:color w:val="000000"/>
              </w:rPr>
              <w:t>29%</w:t>
            </w:r>
          </w:p>
        </w:tc>
      </w:tr>
      <w:tr w:rsidR="001705CB" w:rsidRPr="00820C89" w14:paraId="765B73C9" w14:textId="77777777" w:rsidTr="003A645E">
        <w:tc>
          <w:tcPr>
            <w:tcW w:w="1540" w:type="dxa"/>
            <w:hideMark/>
          </w:tcPr>
          <w:p w14:paraId="22867533" w14:textId="77777777" w:rsidR="001705CB" w:rsidRPr="00820C89" w:rsidRDefault="001705CB">
            <w:r w:rsidRPr="00820C89">
              <w:t>Remote</w:t>
            </w:r>
          </w:p>
        </w:tc>
        <w:tc>
          <w:tcPr>
            <w:tcW w:w="3695" w:type="dxa"/>
            <w:hideMark/>
          </w:tcPr>
          <w:p w14:paraId="1B4ADE67" w14:textId="77777777" w:rsidR="001705CB" w:rsidRPr="00820C89" w:rsidRDefault="001705CB">
            <w:pPr>
              <w:jc w:val="center"/>
            </w:pPr>
            <w:r w:rsidRPr="00820C89">
              <w:rPr>
                <w:color w:val="000000"/>
              </w:rPr>
              <w:t>14%</w:t>
            </w:r>
          </w:p>
        </w:tc>
        <w:tc>
          <w:tcPr>
            <w:tcW w:w="3696" w:type="dxa"/>
            <w:hideMark/>
          </w:tcPr>
          <w:p w14:paraId="2242C3BA" w14:textId="77777777" w:rsidR="001705CB" w:rsidRPr="00820C89" w:rsidRDefault="001705CB">
            <w:pPr>
              <w:jc w:val="center"/>
              <w:rPr>
                <w:color w:val="000000"/>
              </w:rPr>
            </w:pPr>
            <w:r w:rsidRPr="00820C89">
              <w:rPr>
                <w:color w:val="000000"/>
              </w:rPr>
              <w:t>14%</w:t>
            </w:r>
          </w:p>
        </w:tc>
      </w:tr>
      <w:tr w:rsidR="001705CB" w:rsidRPr="00820C89" w14:paraId="4DCE1477" w14:textId="77777777" w:rsidTr="003A645E">
        <w:tc>
          <w:tcPr>
            <w:tcW w:w="1540" w:type="dxa"/>
            <w:hideMark/>
          </w:tcPr>
          <w:p w14:paraId="2D75CF38" w14:textId="77777777" w:rsidR="001705CB" w:rsidRPr="00820C89" w:rsidRDefault="001705CB">
            <w:r w:rsidRPr="00820C89">
              <w:t>Under 25</w:t>
            </w:r>
          </w:p>
        </w:tc>
        <w:tc>
          <w:tcPr>
            <w:tcW w:w="3695" w:type="dxa"/>
            <w:hideMark/>
          </w:tcPr>
          <w:p w14:paraId="1B9B7216" w14:textId="77777777" w:rsidR="001705CB" w:rsidRPr="00820C89" w:rsidRDefault="001705CB">
            <w:pPr>
              <w:jc w:val="center"/>
            </w:pPr>
            <w:r w:rsidRPr="00820C89">
              <w:rPr>
                <w:color w:val="000000"/>
              </w:rPr>
              <w:t>44%</w:t>
            </w:r>
          </w:p>
        </w:tc>
        <w:tc>
          <w:tcPr>
            <w:tcW w:w="3696" w:type="dxa"/>
            <w:hideMark/>
          </w:tcPr>
          <w:p w14:paraId="35746832" w14:textId="77777777" w:rsidR="001705CB" w:rsidRPr="00820C89" w:rsidRDefault="001705CB">
            <w:pPr>
              <w:jc w:val="center"/>
              <w:rPr>
                <w:color w:val="000000"/>
              </w:rPr>
            </w:pPr>
            <w:r w:rsidRPr="00820C89">
              <w:rPr>
                <w:color w:val="000000"/>
              </w:rPr>
              <w:t>42%</w:t>
            </w:r>
          </w:p>
        </w:tc>
      </w:tr>
      <w:tr w:rsidR="001705CB" w:rsidRPr="00820C89" w14:paraId="305E2790" w14:textId="77777777" w:rsidTr="003A645E">
        <w:trPr>
          <w:trHeight w:val="21"/>
        </w:trPr>
        <w:tc>
          <w:tcPr>
            <w:tcW w:w="1540" w:type="dxa"/>
            <w:hideMark/>
          </w:tcPr>
          <w:p w14:paraId="75F3EBF3" w14:textId="77777777" w:rsidR="001705CB" w:rsidRPr="00820C89" w:rsidRDefault="001705CB">
            <w:r w:rsidRPr="00820C89">
              <w:t>25-44</w:t>
            </w:r>
          </w:p>
        </w:tc>
        <w:tc>
          <w:tcPr>
            <w:tcW w:w="3695" w:type="dxa"/>
            <w:hideMark/>
          </w:tcPr>
          <w:p w14:paraId="29AFB780" w14:textId="77777777" w:rsidR="001705CB" w:rsidRPr="00820C89" w:rsidRDefault="001705CB">
            <w:pPr>
              <w:jc w:val="center"/>
            </w:pPr>
            <w:r w:rsidRPr="00820C89">
              <w:rPr>
                <w:color w:val="000000"/>
              </w:rPr>
              <w:t>42%</w:t>
            </w:r>
          </w:p>
        </w:tc>
        <w:tc>
          <w:tcPr>
            <w:tcW w:w="3696" w:type="dxa"/>
            <w:hideMark/>
          </w:tcPr>
          <w:p w14:paraId="551F6478" w14:textId="77777777" w:rsidR="001705CB" w:rsidRPr="00820C89" w:rsidRDefault="001705CB">
            <w:pPr>
              <w:jc w:val="center"/>
              <w:rPr>
                <w:color w:val="000000"/>
              </w:rPr>
            </w:pPr>
            <w:r w:rsidRPr="00820C89">
              <w:rPr>
                <w:color w:val="000000"/>
              </w:rPr>
              <w:t>44%</w:t>
            </w:r>
          </w:p>
        </w:tc>
      </w:tr>
      <w:tr w:rsidR="001705CB" w:rsidRPr="00820C89" w14:paraId="278AC319" w14:textId="77777777" w:rsidTr="003A645E">
        <w:tc>
          <w:tcPr>
            <w:tcW w:w="1540" w:type="dxa"/>
            <w:hideMark/>
          </w:tcPr>
          <w:p w14:paraId="27207C3B" w14:textId="77777777" w:rsidR="001705CB" w:rsidRPr="00820C89" w:rsidRDefault="001705CB">
            <w:r w:rsidRPr="00820C89">
              <w:t>Over 45</w:t>
            </w:r>
          </w:p>
        </w:tc>
        <w:tc>
          <w:tcPr>
            <w:tcW w:w="3695" w:type="dxa"/>
            <w:hideMark/>
          </w:tcPr>
          <w:p w14:paraId="244AB0C3" w14:textId="77777777" w:rsidR="001705CB" w:rsidRPr="00820C89" w:rsidRDefault="001705CB">
            <w:pPr>
              <w:jc w:val="center"/>
            </w:pPr>
            <w:r w:rsidRPr="00820C89">
              <w:rPr>
                <w:color w:val="000000"/>
              </w:rPr>
              <w:t>13%</w:t>
            </w:r>
          </w:p>
        </w:tc>
        <w:tc>
          <w:tcPr>
            <w:tcW w:w="3696" w:type="dxa"/>
            <w:hideMark/>
          </w:tcPr>
          <w:p w14:paraId="606BEDB3" w14:textId="77777777" w:rsidR="001705CB" w:rsidRPr="00820C89" w:rsidRDefault="001705CB">
            <w:pPr>
              <w:jc w:val="center"/>
              <w:rPr>
                <w:color w:val="000000"/>
              </w:rPr>
            </w:pPr>
            <w:r w:rsidRPr="00820C89">
              <w:rPr>
                <w:color w:val="000000"/>
              </w:rPr>
              <w:t>14%</w:t>
            </w:r>
          </w:p>
        </w:tc>
      </w:tr>
    </w:tbl>
    <w:p w14:paraId="116B4C1C" w14:textId="77777777" w:rsidR="008F4BB0" w:rsidRPr="00820C89" w:rsidRDefault="005511C1" w:rsidP="005511C1">
      <w:pPr>
        <w:pStyle w:val="Source"/>
      </w:pPr>
      <w:r w:rsidRPr="00820C89">
        <w:t>Source: Research Evaluation Database (2015 to 2019). IEP Program Data (2014 to 2019)</w:t>
      </w:r>
    </w:p>
    <w:p w14:paraId="0A6AF170" w14:textId="27F03909" w:rsidR="00230B31" w:rsidRPr="00820C89" w:rsidRDefault="000F4F13" w:rsidP="0009629E">
      <w:r w:rsidRPr="00820C89">
        <w:lastRenderedPageBreak/>
        <w:t xml:space="preserve">For the purpose this evaluation, data from the RED </w:t>
      </w:r>
      <w:r w:rsidR="00EB3F24" w:rsidRPr="00820C89">
        <w:t xml:space="preserve">only examines whether participants are receiving payments from the Newstart or Youth Allowance </w:t>
      </w:r>
      <w:r w:rsidR="00B67CB5" w:rsidRPr="00820C89">
        <w:t>(Other) programs</w:t>
      </w:r>
      <w:r w:rsidR="002637FC" w:rsidRPr="00820C89">
        <w:t xml:space="preserve">, </w:t>
      </w:r>
      <w:r w:rsidR="00E92E56" w:rsidRPr="00820C89">
        <w:t>with other types of welfare payments being excluded</w:t>
      </w:r>
      <w:r w:rsidR="00B67CB5" w:rsidRPr="00820C89">
        <w:t>.</w:t>
      </w:r>
    </w:p>
    <w:p w14:paraId="43BD0A4A" w14:textId="77777777" w:rsidR="00230B31" w:rsidRPr="00820C89" w:rsidRDefault="00230B31" w:rsidP="00230B31">
      <w:pPr>
        <w:rPr>
          <w:b/>
          <w:bCs/>
          <w:i/>
          <w:iCs/>
        </w:rPr>
      </w:pPr>
      <w:r w:rsidRPr="00820C89">
        <w:rPr>
          <w:b/>
          <w:bCs/>
          <w:i/>
          <w:iCs/>
        </w:rPr>
        <w:t>Econometric results</w:t>
      </w:r>
    </w:p>
    <w:p w14:paraId="55A60D59" w14:textId="6A312BF2" w:rsidR="003339C4" w:rsidRPr="00820C89" w:rsidRDefault="00A01A35" w:rsidP="00230B31">
      <w:r w:rsidRPr="00820C89">
        <w:t xml:space="preserve">Deloitte Access </w:t>
      </w:r>
      <w:r w:rsidR="00E33183" w:rsidRPr="00820C89">
        <w:t xml:space="preserve">Economics </w:t>
      </w:r>
      <w:r w:rsidR="00844623" w:rsidRPr="00820C89">
        <w:rPr>
          <w:rFonts w:ascii="Calibri" w:hAnsi="Calibri" w:cs="Calibri"/>
          <w:sz w:val="22"/>
          <w:szCs w:val="22"/>
        </w:rPr>
        <w:t>used regression techniques to estimate the association of a set of participant characteristics on income support status, controlling for select characteristics</w:t>
      </w:r>
      <w:r w:rsidR="006B6236" w:rsidRPr="00820C89">
        <w:rPr>
          <w:rFonts w:ascii="Calibri" w:hAnsi="Calibri" w:cs="Calibri"/>
          <w:sz w:val="22"/>
          <w:szCs w:val="22"/>
        </w:rPr>
        <w:t>.</w:t>
      </w:r>
    </w:p>
    <w:p w14:paraId="337AF536" w14:textId="77777777" w:rsidR="00315A1B" w:rsidRPr="00820C89" w:rsidRDefault="00315A1B" w:rsidP="00230B31">
      <w:r w:rsidRPr="00820C89">
        <w:t>Broadly, these models followed the form of:</w:t>
      </w:r>
    </w:p>
    <w:p w14:paraId="0F1DEC77" w14:textId="77777777" w:rsidR="00230B31" w:rsidRPr="00820C89" w:rsidRDefault="00F1362E" w:rsidP="0009629E">
      <w:pPr>
        <w:rPr>
          <w:rFonts w:eastAsiaTheme="minorEastAsia"/>
          <w:iCs/>
          <w:sz w:val="24"/>
          <w:szCs w:val="24"/>
        </w:rPr>
      </w:pPr>
      <m:oMathPara>
        <m:oMathParaPr>
          <m:jc m:val="left"/>
        </m:oMathParaPr>
        <m:oMath>
          <m:func>
            <m:funcPr>
              <m:ctrlPr>
                <w:rPr>
                  <w:rFonts w:ascii="Cambria Math" w:hAnsi="Cambria Math"/>
                  <w:i/>
                  <w:iCs/>
                </w:rPr>
              </m:ctrlPr>
            </m:funcPr>
            <m:fName>
              <m:r>
                <m:rPr>
                  <m:sty m:val="p"/>
                </m:rPr>
                <w:rPr>
                  <w:rFonts w:ascii="Cambria Math" w:hAnsi="Cambria Math"/>
                </w:rPr>
                <m:t>Pr</m:t>
              </m:r>
            </m:fName>
            <m:e>
              <m:d>
                <m:dPr>
                  <m:ctrlPr>
                    <w:rPr>
                      <w:rFonts w:ascii="Cambria Math" w:hAnsi="Cambria Math"/>
                      <w:i/>
                      <w:iCs/>
                    </w:rPr>
                  </m:ctrlPr>
                </m:dPr>
                <m:e>
                  <m:sSub>
                    <m:sSubPr>
                      <m:ctrlPr>
                        <w:rPr>
                          <w:rFonts w:ascii="Cambria Math" w:hAnsi="Cambria Math"/>
                          <w:i/>
                          <w:iCs/>
                        </w:rPr>
                      </m:ctrlPr>
                    </m:sSubPr>
                    <m:e>
                      <m:r>
                        <w:rPr>
                          <w:rFonts w:ascii="Cambria Math" w:hAnsi="Cambria Math"/>
                        </w:rPr>
                        <m:t>Income support</m:t>
                      </m:r>
                    </m:e>
                    <m:sub>
                      <m:r>
                        <w:rPr>
                          <w:rFonts w:ascii="Cambria Math" w:hAnsi="Cambria Math"/>
                        </w:rPr>
                        <m:t>t+1,j</m:t>
                      </m:r>
                    </m:sub>
                  </m:sSub>
                </m:e>
                <m:e>
                  <m:sSub>
                    <m:sSubPr>
                      <m:ctrlPr>
                        <w:rPr>
                          <w:rFonts w:ascii="Cambria Math" w:hAnsi="Cambria Math"/>
                          <w:i/>
                          <w:iCs/>
                        </w:rPr>
                      </m:ctrlPr>
                    </m:sSubPr>
                    <m:e>
                      <m:r>
                        <w:rPr>
                          <w:rFonts w:ascii="Cambria Math" w:hAnsi="Cambria Math"/>
                        </w:rPr>
                        <m:t>Income support</m:t>
                      </m:r>
                    </m:e>
                    <m:sub>
                      <m:r>
                        <w:rPr>
                          <w:rFonts w:ascii="Cambria Math" w:hAnsi="Cambria Math"/>
                        </w:rPr>
                        <m:t>t,j</m:t>
                      </m:r>
                    </m:sub>
                  </m:sSub>
                </m:e>
              </m:d>
            </m:e>
          </m:func>
          <m:r>
            <w:rPr>
              <w:rFonts w:ascii="Cambria Math" w:hAnsi="Cambria Math"/>
            </w:rPr>
            <m:t>=</m:t>
          </m:r>
          <m:r>
            <w:rPr>
              <w:rFonts w:ascii="Cambria Math" w:hAnsi="Cambria Math"/>
              <w:sz w:val="24"/>
              <w:szCs w:val="24"/>
            </w:rPr>
            <m:t>f</m:t>
          </m:r>
          <m:d>
            <m:dPr>
              <m:ctrlPr>
                <w:rPr>
                  <w:rFonts w:ascii="Cambria Math" w:hAnsi="Cambria Math"/>
                  <w:i/>
                  <w:iCs/>
                  <w:sz w:val="24"/>
                  <w:szCs w:val="24"/>
                </w:rPr>
              </m:ctrlPr>
            </m:dPr>
            <m:e>
              <m:sSub>
                <m:sSubPr>
                  <m:ctrlPr>
                    <w:rPr>
                      <w:rFonts w:ascii="Cambria Math" w:hAnsi="Cambria Math"/>
                      <w:i/>
                      <w:iCs/>
                    </w:rPr>
                  </m:ctrlPr>
                </m:sSubPr>
                <m:e>
                  <m:r>
                    <w:rPr>
                      <w:rFonts w:ascii="Cambria Math" w:hAnsi="Cambria Math"/>
                    </w:rPr>
                    <m:t>β</m:t>
                  </m:r>
                </m:e>
                <m:sub>
                  <m:r>
                    <w:rPr>
                      <w:rFonts w:ascii="Cambria Math" w:hAnsi="Cambria Math"/>
                    </w:rPr>
                    <m:t>j</m:t>
                  </m:r>
                </m:sub>
              </m:sSub>
              <m:r>
                <w:rPr>
                  <w:rFonts w:ascii="Cambria Math" w:hAnsi="Cambria Math"/>
                  <w:sz w:val="24"/>
                  <w:szCs w:val="24"/>
                </w:rPr>
                <m:t>X</m:t>
              </m:r>
            </m:e>
          </m:d>
        </m:oMath>
      </m:oMathPara>
    </w:p>
    <w:p w14:paraId="0A054E87" w14:textId="77777777" w:rsidR="00423789" w:rsidRPr="00820C89" w:rsidRDefault="00AD5DEF" w:rsidP="0009629E">
      <w:pPr>
        <w:rPr>
          <w:rFonts w:eastAsiaTheme="minorEastAsia"/>
          <w:iCs/>
        </w:rPr>
      </w:pPr>
      <w:r w:rsidRPr="00820C89">
        <w:t xml:space="preserve">Where </w:t>
      </w:r>
      <m:oMath>
        <m:func>
          <m:funcPr>
            <m:ctrlPr>
              <w:rPr>
                <w:rFonts w:ascii="Cambria Math" w:hAnsi="Cambria Math"/>
                <w:i/>
                <w:iCs/>
              </w:rPr>
            </m:ctrlPr>
          </m:funcPr>
          <m:fName>
            <m:r>
              <m:rPr>
                <m:sty m:val="p"/>
              </m:rPr>
              <w:rPr>
                <w:rFonts w:ascii="Cambria Math" w:hAnsi="Cambria Math"/>
              </w:rPr>
              <m:t>Pr</m:t>
            </m:r>
          </m:fName>
          <m:e>
            <m:d>
              <m:dPr>
                <m:ctrlPr>
                  <w:rPr>
                    <w:rFonts w:ascii="Cambria Math" w:hAnsi="Cambria Math"/>
                    <w:i/>
                    <w:iCs/>
                  </w:rPr>
                </m:ctrlPr>
              </m:dPr>
              <m:e>
                <m:sSub>
                  <m:sSubPr>
                    <m:ctrlPr>
                      <w:rPr>
                        <w:rFonts w:ascii="Cambria Math" w:hAnsi="Cambria Math"/>
                        <w:i/>
                        <w:iCs/>
                      </w:rPr>
                    </m:ctrlPr>
                  </m:sSubPr>
                  <m:e>
                    <m:r>
                      <w:rPr>
                        <w:rFonts w:ascii="Cambria Math" w:hAnsi="Cambria Math"/>
                      </w:rPr>
                      <m:t>Income support</m:t>
                    </m:r>
                  </m:e>
                  <m:sub>
                    <m:r>
                      <w:rPr>
                        <w:rFonts w:ascii="Cambria Math" w:hAnsi="Cambria Math"/>
                      </w:rPr>
                      <m:t>t+1,j</m:t>
                    </m:r>
                  </m:sub>
                </m:sSub>
              </m:e>
              <m:e>
                <m:sSub>
                  <m:sSubPr>
                    <m:ctrlPr>
                      <w:rPr>
                        <w:rFonts w:ascii="Cambria Math" w:hAnsi="Cambria Math"/>
                        <w:i/>
                        <w:iCs/>
                      </w:rPr>
                    </m:ctrlPr>
                  </m:sSubPr>
                  <m:e>
                    <m:r>
                      <w:rPr>
                        <w:rFonts w:ascii="Cambria Math" w:hAnsi="Cambria Math"/>
                      </w:rPr>
                      <m:t>Income support</m:t>
                    </m:r>
                  </m:e>
                  <m:sub>
                    <m:r>
                      <w:rPr>
                        <w:rFonts w:ascii="Cambria Math" w:hAnsi="Cambria Math"/>
                      </w:rPr>
                      <m:t>t,j</m:t>
                    </m:r>
                  </m:sub>
                </m:sSub>
              </m:e>
            </m:d>
          </m:e>
        </m:func>
      </m:oMath>
      <w:r w:rsidR="003A6EBF" w:rsidRPr="00820C89">
        <w:rPr>
          <w:rFonts w:eastAsiaTheme="minorEastAsia"/>
          <w:iCs/>
        </w:rPr>
        <w:t xml:space="preserve"> represents the probability that </w:t>
      </w:r>
      <w:r w:rsidR="00A6260F" w:rsidRPr="00820C89">
        <w:rPr>
          <w:rFonts w:eastAsiaTheme="minorEastAsia"/>
          <w:iCs/>
        </w:rPr>
        <w:t>an individual is receiving income support in a future time period</w:t>
      </w:r>
      <w:r w:rsidR="002549FE" w:rsidRPr="00820C89">
        <w:rPr>
          <w:rFonts w:eastAsiaTheme="minorEastAsia"/>
          <w:iCs/>
        </w:rPr>
        <w:t>, conditional on the probability that they were receiving income support on program entry</w:t>
      </w:r>
      <w:r w:rsidR="005051CB" w:rsidRPr="00820C89">
        <w:rPr>
          <w:rFonts w:eastAsiaTheme="minorEastAsia"/>
          <w:iCs/>
        </w:rPr>
        <w:t>, and</w:t>
      </w:r>
      <w:r w:rsidR="002549FE" w:rsidRPr="00820C89">
        <w:rPr>
          <w:rFonts w:eastAsiaTheme="minorEastAsia"/>
          <w:iCs/>
        </w:rPr>
        <w:t xml:space="preserve"> </w:t>
      </w:r>
      <m:oMath>
        <m:sSub>
          <m:sSubPr>
            <m:ctrlPr>
              <w:rPr>
                <w:rFonts w:ascii="Cambria Math" w:hAnsi="Cambria Math"/>
                <w:i/>
                <w:iCs/>
              </w:rPr>
            </m:ctrlPr>
          </m:sSubPr>
          <m:e>
            <m:r>
              <w:rPr>
                <w:rFonts w:ascii="Cambria Math" w:hAnsi="Cambria Math"/>
              </w:rPr>
              <m:t>β</m:t>
            </m:r>
          </m:e>
          <m:sub>
            <m:r>
              <w:rPr>
                <w:rFonts w:ascii="Cambria Math" w:hAnsi="Cambria Math"/>
              </w:rPr>
              <m:t>j</m:t>
            </m:r>
          </m:sub>
        </m:sSub>
        <m:r>
          <w:rPr>
            <w:rFonts w:ascii="Cambria Math" w:hAnsi="Cambria Math"/>
            <w:sz w:val="24"/>
            <w:szCs w:val="24"/>
          </w:rPr>
          <m:t>X</m:t>
        </m:r>
      </m:oMath>
      <w:r w:rsidR="002549FE" w:rsidRPr="00820C89">
        <w:rPr>
          <w:rFonts w:eastAsiaTheme="minorEastAsia"/>
          <w:sz w:val="24"/>
          <w:szCs w:val="24"/>
        </w:rPr>
        <w:t xml:space="preserve"> </w:t>
      </w:r>
      <w:r w:rsidR="002549FE" w:rsidRPr="00820C89">
        <w:t xml:space="preserve">represents the set of individual characteristics that are being controlled </w:t>
      </w:r>
      <w:r w:rsidR="004F4B07" w:rsidRPr="00820C89">
        <w:t xml:space="preserve">for, including </w:t>
      </w:r>
      <w:r w:rsidR="00D243C9" w:rsidRPr="00820C89">
        <w:rPr>
          <w:rFonts w:eastAsiaTheme="minorEastAsia"/>
          <w:iCs/>
        </w:rPr>
        <w:t>participants</w:t>
      </w:r>
      <w:r w:rsidR="008448E5" w:rsidRPr="00820C89">
        <w:rPr>
          <w:rFonts w:eastAsiaTheme="minorEastAsia"/>
          <w:iCs/>
        </w:rPr>
        <w:t>’</w:t>
      </w:r>
      <w:r w:rsidR="00D243C9" w:rsidRPr="00820C89">
        <w:rPr>
          <w:rFonts w:eastAsiaTheme="minorEastAsia"/>
          <w:iCs/>
        </w:rPr>
        <w:t xml:space="preserve"> age</w:t>
      </w:r>
      <w:r w:rsidR="00347F56" w:rsidRPr="00820C89">
        <w:rPr>
          <w:rFonts w:eastAsiaTheme="minorEastAsia"/>
          <w:iCs/>
        </w:rPr>
        <w:t xml:space="preserve">, gender, remoteness, state of participation, year of </w:t>
      </w:r>
      <w:r w:rsidR="00BA4A42" w:rsidRPr="00820C89">
        <w:rPr>
          <w:rFonts w:eastAsiaTheme="minorEastAsia"/>
          <w:iCs/>
        </w:rPr>
        <w:t>participation</w:t>
      </w:r>
      <w:r w:rsidR="00347F56" w:rsidRPr="00820C89">
        <w:rPr>
          <w:rFonts w:eastAsiaTheme="minorEastAsia"/>
          <w:iCs/>
        </w:rPr>
        <w:t xml:space="preserve"> and 26-week employment </w:t>
      </w:r>
      <w:r w:rsidR="00BA4A42" w:rsidRPr="00820C89">
        <w:rPr>
          <w:rFonts w:eastAsiaTheme="minorEastAsia"/>
          <w:iCs/>
        </w:rPr>
        <w:t>outcome.</w:t>
      </w:r>
    </w:p>
    <w:p w14:paraId="08A2347D" w14:textId="7B6FD986" w:rsidR="005E2C24" w:rsidRPr="00820C89" w:rsidRDefault="00F9107C" w:rsidP="0009629E">
      <w:pPr>
        <w:rPr>
          <w:rFonts w:eastAsiaTheme="minorEastAsia"/>
          <w:iCs/>
        </w:rPr>
      </w:pPr>
      <w:r w:rsidRPr="00820C89">
        <w:rPr>
          <w:rFonts w:eastAsiaTheme="minorEastAsia"/>
          <w:iCs/>
        </w:rPr>
        <w:t>Tables A.3 to A.</w:t>
      </w:r>
      <w:r w:rsidR="008575D7" w:rsidRPr="00820C89">
        <w:rPr>
          <w:rFonts w:eastAsiaTheme="minorEastAsia"/>
          <w:iCs/>
        </w:rPr>
        <w:t>7</w:t>
      </w:r>
      <w:r w:rsidRPr="00820C89">
        <w:rPr>
          <w:rFonts w:eastAsiaTheme="minorEastAsia"/>
          <w:iCs/>
        </w:rPr>
        <w:t xml:space="preserve"> </w:t>
      </w:r>
      <w:r w:rsidR="006157BF" w:rsidRPr="00820C89">
        <w:rPr>
          <w:rFonts w:eastAsiaTheme="minorEastAsia"/>
          <w:iCs/>
        </w:rPr>
        <w:t xml:space="preserve">below </w:t>
      </w:r>
      <w:r w:rsidRPr="00820C89">
        <w:rPr>
          <w:rFonts w:eastAsiaTheme="minorEastAsia"/>
          <w:iCs/>
        </w:rPr>
        <w:t xml:space="preserve">present the </w:t>
      </w:r>
      <w:r w:rsidR="008575D7" w:rsidRPr="00820C89">
        <w:rPr>
          <w:rFonts w:eastAsiaTheme="minorEastAsia"/>
          <w:iCs/>
        </w:rPr>
        <w:t xml:space="preserve">regression results from a selection </w:t>
      </w:r>
      <w:r w:rsidR="00A36C99" w:rsidRPr="00820C89">
        <w:rPr>
          <w:rFonts w:eastAsiaTheme="minorEastAsia"/>
          <w:iCs/>
        </w:rPr>
        <w:t xml:space="preserve">of the </w:t>
      </w:r>
      <w:r w:rsidR="003203E9" w:rsidRPr="00820C89">
        <w:rPr>
          <w:rFonts w:eastAsiaTheme="minorEastAsia"/>
          <w:iCs/>
        </w:rPr>
        <w:t>logistic</w:t>
      </w:r>
      <w:r w:rsidR="00A36C99" w:rsidRPr="00820C89">
        <w:rPr>
          <w:rFonts w:eastAsiaTheme="minorEastAsia"/>
          <w:iCs/>
        </w:rPr>
        <w:t xml:space="preserve"> models that were run that are most relevant to the findings discussed in this report</w:t>
      </w:r>
      <w:r w:rsidRPr="00820C89">
        <w:rPr>
          <w:rFonts w:eastAsiaTheme="minorEastAsia"/>
          <w:iCs/>
        </w:rPr>
        <w:t xml:space="preserve">. </w:t>
      </w:r>
      <w:r w:rsidR="00081597" w:rsidRPr="00820C89">
        <w:rPr>
          <w:rFonts w:eastAsiaTheme="minorEastAsia"/>
          <w:iCs/>
        </w:rPr>
        <w:t>T</w:t>
      </w:r>
      <w:r w:rsidRPr="00820C89">
        <w:rPr>
          <w:rFonts w:eastAsiaTheme="minorEastAsia"/>
          <w:iCs/>
        </w:rPr>
        <w:t>he dependent</w:t>
      </w:r>
      <w:r w:rsidR="002F26C9" w:rsidRPr="00820C89">
        <w:rPr>
          <w:rFonts w:eastAsiaTheme="minorEastAsia"/>
          <w:iCs/>
        </w:rPr>
        <w:t xml:space="preserve"> variable</w:t>
      </w:r>
      <w:r w:rsidRPr="00820C89">
        <w:rPr>
          <w:rFonts w:eastAsiaTheme="minorEastAsia"/>
          <w:iCs/>
        </w:rPr>
        <w:t xml:space="preserve"> </w:t>
      </w:r>
      <w:r w:rsidR="00D000E0" w:rsidRPr="00820C89">
        <w:rPr>
          <w:rFonts w:eastAsiaTheme="minorEastAsia"/>
          <w:iCs/>
        </w:rPr>
        <w:t xml:space="preserve">across these models </w:t>
      </w:r>
      <w:r w:rsidR="00081597" w:rsidRPr="00820C89">
        <w:rPr>
          <w:rFonts w:eastAsiaTheme="minorEastAsia"/>
          <w:iCs/>
        </w:rPr>
        <w:t>is not the same and is identified above each table.</w:t>
      </w:r>
    </w:p>
    <w:p w14:paraId="528C4818" w14:textId="39EEF0BE" w:rsidR="009647E5" w:rsidRPr="00820C89" w:rsidRDefault="00B7613E" w:rsidP="007D0BB1">
      <w:r w:rsidRPr="00820C89">
        <w:rPr>
          <w:rFonts w:eastAsiaTheme="minorEastAsia"/>
          <w:iCs/>
        </w:rPr>
        <w:t>T</w:t>
      </w:r>
      <w:r w:rsidR="003203E9" w:rsidRPr="00820C89">
        <w:rPr>
          <w:rFonts w:eastAsiaTheme="minorEastAsia"/>
          <w:iCs/>
        </w:rPr>
        <w:t xml:space="preserve">he odds ratios </w:t>
      </w:r>
      <w:r w:rsidR="006F6E90" w:rsidRPr="00820C89">
        <w:rPr>
          <w:rFonts w:eastAsiaTheme="minorEastAsia"/>
          <w:iCs/>
        </w:rPr>
        <w:t xml:space="preserve">derived from logistic models </w:t>
      </w:r>
      <w:r w:rsidR="00272347" w:rsidRPr="00820C89">
        <w:rPr>
          <w:rFonts w:eastAsiaTheme="minorEastAsia"/>
          <w:iCs/>
        </w:rPr>
        <w:t xml:space="preserve">(which represents </w:t>
      </w:r>
      <w:r w:rsidR="00171DF1" w:rsidRPr="00820C89">
        <w:rPr>
          <w:rFonts w:eastAsiaTheme="minorEastAsia"/>
          <w:iCs/>
        </w:rPr>
        <w:t>the likelihood of an outcome occurring relative to an outcome not occurring</w:t>
      </w:r>
      <w:r w:rsidR="00272347" w:rsidRPr="00820C89">
        <w:rPr>
          <w:rFonts w:eastAsiaTheme="minorEastAsia"/>
          <w:iCs/>
        </w:rPr>
        <w:t xml:space="preserve">) </w:t>
      </w:r>
      <w:r w:rsidR="006F6E90" w:rsidRPr="00820C89">
        <w:rPr>
          <w:rFonts w:eastAsiaTheme="minorEastAsia"/>
          <w:iCs/>
        </w:rPr>
        <w:t xml:space="preserve">cannot be </w:t>
      </w:r>
      <w:r w:rsidR="00272347" w:rsidRPr="00820C89">
        <w:rPr>
          <w:rFonts w:eastAsiaTheme="minorEastAsia"/>
          <w:iCs/>
        </w:rPr>
        <w:t xml:space="preserve">interpretated as </w:t>
      </w:r>
      <w:r w:rsidRPr="00820C89">
        <w:rPr>
          <w:rFonts w:eastAsiaTheme="minorEastAsia"/>
          <w:iCs/>
        </w:rPr>
        <w:t xml:space="preserve">the risk ratio or probability associated with an </w:t>
      </w:r>
      <w:r w:rsidR="00D1650E" w:rsidRPr="00820C89">
        <w:rPr>
          <w:rFonts w:eastAsiaTheme="minorEastAsia"/>
          <w:iCs/>
        </w:rPr>
        <w:t xml:space="preserve">outcome </w:t>
      </w:r>
      <w:r w:rsidR="00845C8C" w:rsidRPr="00820C89">
        <w:rPr>
          <w:rFonts w:eastAsiaTheme="minorEastAsia"/>
          <w:iCs/>
        </w:rPr>
        <w:t>occurring</w:t>
      </w:r>
      <w:r w:rsidR="005D4CB0" w:rsidRPr="00820C89">
        <w:rPr>
          <w:rFonts w:eastAsiaTheme="minorEastAsia"/>
          <w:iCs/>
        </w:rPr>
        <w:t xml:space="preserve"> where the outcome has a 10% or more chance of occurring</w:t>
      </w:r>
      <w:r w:rsidR="00845C8C" w:rsidRPr="00820C89">
        <w:rPr>
          <w:rFonts w:eastAsiaTheme="minorEastAsia"/>
          <w:iCs/>
        </w:rPr>
        <w:t>.</w:t>
      </w:r>
      <w:r w:rsidR="00845C8C" w:rsidRPr="00820C89">
        <w:rPr>
          <w:rStyle w:val="FootnoteReference"/>
          <w:rFonts w:eastAsiaTheme="minorEastAsia"/>
          <w:iCs/>
        </w:rPr>
        <w:footnoteReference w:id="305"/>
      </w:r>
      <w:r w:rsidR="00845C8C" w:rsidRPr="00820C89">
        <w:rPr>
          <w:rFonts w:eastAsiaTheme="minorEastAsia"/>
          <w:iCs/>
        </w:rPr>
        <w:t xml:space="preserve"> </w:t>
      </w:r>
      <w:r w:rsidR="005D4CB0" w:rsidRPr="00820C89">
        <w:rPr>
          <w:rFonts w:eastAsiaTheme="minorEastAsia"/>
          <w:iCs/>
        </w:rPr>
        <w:t xml:space="preserve">Given that this applies </w:t>
      </w:r>
      <w:r w:rsidR="009B1F93" w:rsidRPr="00820C89">
        <w:rPr>
          <w:rFonts w:eastAsiaTheme="minorEastAsia"/>
          <w:iCs/>
        </w:rPr>
        <w:t xml:space="preserve">to labour market outcomes, </w:t>
      </w:r>
      <w:r w:rsidR="007D0BB1" w:rsidRPr="00820C89">
        <w:rPr>
          <w:rFonts w:eastAsiaTheme="minorEastAsia"/>
          <w:iCs/>
        </w:rPr>
        <w:t xml:space="preserve">several </w:t>
      </w:r>
      <w:r w:rsidR="00A37FB9" w:rsidRPr="00820C89">
        <w:t xml:space="preserve">transformations were </w:t>
      </w:r>
      <w:r w:rsidR="009B1F93" w:rsidRPr="00820C89">
        <w:t xml:space="preserve">consequently </w:t>
      </w:r>
      <w:r w:rsidR="00A37FB9" w:rsidRPr="00820C89">
        <w:t xml:space="preserve">required to calculate the probability values listed </w:t>
      </w:r>
      <w:r w:rsidR="009B21B4" w:rsidRPr="00820C89">
        <w:t>below</w:t>
      </w:r>
      <w:r w:rsidR="00A37FB9" w:rsidRPr="00820C89">
        <w:t xml:space="preserve">. </w:t>
      </w:r>
    </w:p>
    <w:p w14:paraId="5FD77782" w14:textId="4A9D70D6" w:rsidR="0094056D" w:rsidRPr="001656D4" w:rsidRDefault="00A37FB9" w:rsidP="001656D4">
      <w:r w:rsidRPr="00820C89">
        <w:t>In their original form, the logistic regression returns</w:t>
      </w:r>
      <w:r w:rsidRPr="00820C89">
        <w:rPr>
          <w:rFonts w:eastAsia="Verdana" w:cs="Times New Roman"/>
          <w:b/>
          <w:bCs/>
          <w:color w:val="86BC25"/>
        </w:rPr>
        <w:t xml:space="preserve"> </w:t>
      </w:r>
      <w:r w:rsidRPr="00820C89">
        <w:t xml:space="preserve">the log odds of the outcome variable (i.e. </w:t>
      </w:r>
      <w:r w:rsidR="00F4375B" w:rsidRPr="00820C89">
        <w:t>income support status</w:t>
      </w:r>
      <w:r w:rsidR="00343BBA" w:rsidRPr="00820C89">
        <w:t>).</w:t>
      </w:r>
      <w:r w:rsidRPr="00820C89">
        <w:t xml:space="preserve"> The coefficients were </w:t>
      </w:r>
      <w:r w:rsidR="007C41FC" w:rsidRPr="00820C89">
        <w:t>added to the ‘base case’</w:t>
      </w:r>
      <w:r w:rsidR="0070786F" w:rsidRPr="00820C89">
        <w:t xml:space="preserve"> (</w:t>
      </w:r>
      <w:r w:rsidR="0070786F" w:rsidRPr="001656D4">
        <w:rPr>
          <w:iCs/>
        </w:rPr>
        <w:t>VTEC, Male, Metropolitan, 2015, NSW, did not achieve 26-week outcome</w:t>
      </w:r>
      <w:r w:rsidR="0070786F" w:rsidRPr="00820C89">
        <w:t>)</w:t>
      </w:r>
      <w:r w:rsidR="007C41FC" w:rsidRPr="00820C89">
        <w:t xml:space="preserve"> and </w:t>
      </w:r>
      <w:r w:rsidRPr="00820C89">
        <w:t xml:space="preserve">exponentiated in order to yield a series of odds outcomes. Finally, these odds ratios were transformed into probabilities and then compared to their corresponding base case in order to </w:t>
      </w:r>
      <w:r w:rsidR="007C41FC" w:rsidRPr="00820C89">
        <w:t xml:space="preserve">derive </w:t>
      </w:r>
      <w:r w:rsidRPr="00820C89">
        <w:t xml:space="preserve">a set of marginal effects. These marginal effects </w:t>
      </w:r>
      <w:r w:rsidR="001E044E" w:rsidRPr="00820C89">
        <w:t xml:space="preserve">provide </w:t>
      </w:r>
      <w:r w:rsidRPr="00820C89">
        <w:t xml:space="preserve">an indication of the nature (either positive or negative) and magnitude of the </w:t>
      </w:r>
      <w:r w:rsidR="00E778F4" w:rsidRPr="00820C89">
        <w:t xml:space="preserve">associative relationship </w:t>
      </w:r>
      <w:r w:rsidRPr="00820C89">
        <w:t>that exist</w:t>
      </w:r>
      <w:r w:rsidR="00E778F4" w:rsidRPr="00820C89">
        <w:t>s</w:t>
      </w:r>
      <w:r w:rsidRPr="00820C89">
        <w:t xml:space="preserve"> between the outcome and explanatory variables</w:t>
      </w:r>
      <w:r w:rsidR="00E778F4" w:rsidRPr="00820C89">
        <w:t xml:space="preserve"> for an individual who is </w:t>
      </w:r>
      <w:r w:rsidR="00E778F4" w:rsidRPr="001656D4">
        <w:rPr>
          <w:iCs/>
        </w:rPr>
        <w:t>VTEC, Male, Metropolitan, 2015, NSW, did not achieve 26-week outcome</w:t>
      </w:r>
      <w:r w:rsidR="0070786F" w:rsidRPr="00820C89">
        <w:rPr>
          <w:iCs/>
        </w:rPr>
        <w:t xml:space="preserve">. Note that </w:t>
      </w:r>
      <w:r w:rsidR="0070786F" w:rsidRPr="00820C89">
        <w:t>the effect sizes may differ for individuals with other characteristics due to the non-linear nature of the probability estimates.</w:t>
      </w:r>
    </w:p>
    <w:p w14:paraId="733105B2" w14:textId="308E4B15" w:rsidR="00BA4A42" w:rsidRPr="00820C89" w:rsidRDefault="00A37FB9" w:rsidP="003A6118">
      <w:pPr>
        <w:jc w:val="both"/>
      </w:pPr>
      <w:r w:rsidRPr="00820C89">
        <w:t>When interpreting these results, the statistical significance between the relationships was also considered. Statistical significance refers to the precision of the estimate, and the confidence that an estimate is not equal to zero. For example, an estimate that is statistically significant at the 5% confidence level can be interpreted as having 95% confidence that the estimate is not equal to zero, and therefore a statistically significant relationship exists.</w:t>
      </w:r>
    </w:p>
    <w:p w14:paraId="2BE8CD65" w14:textId="4CF9DF48" w:rsidR="006950CB" w:rsidRPr="00820C89" w:rsidRDefault="00716D4A" w:rsidP="006950CB">
      <w:r w:rsidRPr="00820C89">
        <w:t>Note that f</w:t>
      </w:r>
      <w:r w:rsidR="006950CB" w:rsidRPr="00820C89">
        <w:t>or the income support models, 2015 was used as the base year as it is the first year that data was recorded for. However, for the 26-week income support model, 2016 was used as the base year due to 2015 being an atypical year as the program just started. The use of a separate base does not affect the interpretation of the other variables, and the sample between the two models are common.</w:t>
      </w:r>
    </w:p>
    <w:p w14:paraId="0D71BDCA" w14:textId="63B52A77" w:rsidR="00F23B5C" w:rsidRPr="00820C89" w:rsidRDefault="00F23B5C" w:rsidP="00715F70">
      <w:pPr>
        <w:pStyle w:val="AppendixTableCaption"/>
        <w:outlineLvl w:val="1"/>
      </w:pPr>
      <w:bookmarkStart w:id="246" w:name="_Toc101343316"/>
      <w:r w:rsidRPr="00820C89">
        <w:lastRenderedPageBreak/>
        <w:t xml:space="preserve">: Regression results from model </w:t>
      </w:r>
      <w:r w:rsidR="00862FD4" w:rsidRPr="00820C89">
        <w:t>2</w:t>
      </w:r>
      <w:bookmarkEnd w:id="246"/>
    </w:p>
    <w:p w14:paraId="5F8A980B" w14:textId="20444D6C" w:rsidR="00F23B5C" w:rsidRPr="00820C89" w:rsidRDefault="00F23B5C" w:rsidP="00F23B5C">
      <w:pPr>
        <w:rPr>
          <w:i/>
          <w:iCs/>
          <w:lang w:eastAsia="en-AU"/>
        </w:rPr>
      </w:pPr>
      <w:r w:rsidRPr="00820C89">
        <w:rPr>
          <w:i/>
          <w:iCs/>
          <w:lang w:eastAsia="en-AU"/>
        </w:rPr>
        <w:t xml:space="preserve">Dependent variable = </w:t>
      </w:r>
      <w:r w:rsidR="00923810" w:rsidRPr="00820C89">
        <w:rPr>
          <w:i/>
          <w:iCs/>
          <w:lang w:eastAsia="en-AU"/>
        </w:rPr>
        <w:t>achieved 26-week milestone</w:t>
      </w:r>
    </w:p>
    <w:tbl>
      <w:tblPr>
        <w:tblStyle w:val="Deloittetable"/>
        <w:tblW w:w="5000" w:type="pct"/>
        <w:tblLook w:val="04A0" w:firstRow="1" w:lastRow="0" w:firstColumn="1" w:lastColumn="0" w:noHBand="0" w:noVBand="1"/>
      </w:tblPr>
      <w:tblGrid>
        <w:gridCol w:w="2354"/>
        <w:gridCol w:w="1714"/>
        <w:gridCol w:w="1717"/>
        <w:gridCol w:w="1717"/>
        <w:gridCol w:w="1717"/>
      </w:tblGrid>
      <w:tr w:rsidR="002314D2" w:rsidRPr="00820C89" w14:paraId="393CDBAD" w14:textId="77777777" w:rsidTr="00087C85">
        <w:trPr>
          <w:cnfStyle w:val="100000000000" w:firstRow="1" w:lastRow="0" w:firstColumn="0" w:lastColumn="0" w:oddVBand="0" w:evenVBand="0" w:oddHBand="0" w:evenHBand="0" w:firstRowFirstColumn="0" w:firstRowLastColumn="0" w:lastRowFirstColumn="0" w:lastRowLastColumn="0"/>
          <w:trHeight w:val="315"/>
          <w:tblHeader/>
        </w:trPr>
        <w:tc>
          <w:tcPr>
            <w:tcW w:w="1277" w:type="pct"/>
            <w:shd w:val="clear" w:color="auto" w:fill="auto"/>
            <w:noWrap/>
            <w:hideMark/>
          </w:tcPr>
          <w:p w14:paraId="62F7B789" w14:textId="77777777" w:rsidR="00F23B5C" w:rsidRPr="00820C89" w:rsidRDefault="00F23B5C" w:rsidP="006D2536">
            <w:pPr>
              <w:spacing w:after="0" w:line="240" w:lineRule="auto"/>
              <w:rPr>
                <w:rFonts w:asciiTheme="majorHAnsi" w:hAnsiTheme="majorHAnsi"/>
                <w:b/>
                <w:szCs w:val="17"/>
              </w:rPr>
            </w:pPr>
            <w:r w:rsidRPr="00820C89">
              <w:rPr>
                <w:rFonts w:asciiTheme="majorHAnsi" w:hAnsiTheme="majorHAnsi"/>
                <w:b/>
                <w:szCs w:val="17"/>
              </w:rPr>
              <w:t> Variable</w:t>
            </w:r>
          </w:p>
        </w:tc>
        <w:tc>
          <w:tcPr>
            <w:tcW w:w="930" w:type="pct"/>
            <w:shd w:val="clear" w:color="auto" w:fill="auto"/>
            <w:hideMark/>
          </w:tcPr>
          <w:p w14:paraId="5448DEEE" w14:textId="77777777" w:rsidR="00F23B5C" w:rsidRPr="00820C89" w:rsidRDefault="00F23B5C" w:rsidP="006D2536">
            <w:pPr>
              <w:spacing w:after="0" w:line="240" w:lineRule="auto"/>
              <w:jc w:val="center"/>
              <w:rPr>
                <w:rFonts w:asciiTheme="majorHAnsi" w:hAnsiTheme="majorHAnsi"/>
                <w:b/>
                <w:szCs w:val="17"/>
              </w:rPr>
            </w:pPr>
            <w:r w:rsidRPr="00820C89">
              <w:rPr>
                <w:rFonts w:asciiTheme="majorHAnsi" w:hAnsiTheme="majorHAnsi"/>
                <w:b/>
                <w:szCs w:val="17"/>
              </w:rPr>
              <w:t>Probability</w:t>
            </w:r>
          </w:p>
        </w:tc>
        <w:tc>
          <w:tcPr>
            <w:tcW w:w="931" w:type="pct"/>
            <w:shd w:val="clear" w:color="auto" w:fill="auto"/>
          </w:tcPr>
          <w:p w14:paraId="0A9D3A57" w14:textId="77777777" w:rsidR="00F23B5C" w:rsidRPr="00820C89" w:rsidRDefault="00F23B5C" w:rsidP="006D2536">
            <w:pPr>
              <w:spacing w:after="0" w:line="240" w:lineRule="auto"/>
              <w:jc w:val="center"/>
              <w:rPr>
                <w:rFonts w:asciiTheme="majorHAnsi" w:hAnsiTheme="majorHAnsi"/>
                <w:b/>
                <w:szCs w:val="17"/>
              </w:rPr>
            </w:pPr>
            <w:r w:rsidRPr="00820C89">
              <w:rPr>
                <w:rFonts w:asciiTheme="majorHAnsi" w:hAnsiTheme="majorHAnsi"/>
                <w:b/>
                <w:szCs w:val="17"/>
              </w:rPr>
              <w:t>95% Confidence Interval</w:t>
            </w:r>
          </w:p>
        </w:tc>
        <w:tc>
          <w:tcPr>
            <w:tcW w:w="931" w:type="pct"/>
            <w:shd w:val="clear" w:color="auto" w:fill="auto"/>
            <w:hideMark/>
          </w:tcPr>
          <w:p w14:paraId="4CD3C1F8" w14:textId="77777777" w:rsidR="00F23B5C" w:rsidRPr="00820C89" w:rsidRDefault="00F23B5C" w:rsidP="006D2536">
            <w:pPr>
              <w:spacing w:after="0" w:line="240" w:lineRule="auto"/>
              <w:jc w:val="center"/>
              <w:rPr>
                <w:rFonts w:asciiTheme="majorHAnsi" w:hAnsiTheme="majorHAnsi"/>
                <w:b/>
                <w:szCs w:val="17"/>
              </w:rPr>
            </w:pPr>
            <w:r w:rsidRPr="00820C89">
              <w:rPr>
                <w:rFonts w:asciiTheme="majorHAnsi" w:hAnsiTheme="majorHAnsi"/>
                <w:b/>
                <w:szCs w:val="17"/>
              </w:rPr>
              <w:t xml:space="preserve">Probability difference </w:t>
            </w:r>
          </w:p>
          <w:p w14:paraId="72C520EE" w14:textId="77777777" w:rsidR="00F23B5C" w:rsidRPr="00820C89" w:rsidRDefault="00F23B5C" w:rsidP="006D2536">
            <w:pPr>
              <w:spacing w:after="0" w:line="240" w:lineRule="auto"/>
              <w:jc w:val="center"/>
              <w:rPr>
                <w:rFonts w:asciiTheme="majorHAnsi" w:hAnsiTheme="majorHAnsi"/>
                <w:b/>
                <w:szCs w:val="17"/>
              </w:rPr>
            </w:pPr>
            <w:r w:rsidRPr="00820C89">
              <w:rPr>
                <w:rFonts w:asciiTheme="majorHAnsi" w:hAnsiTheme="majorHAnsi"/>
                <w:b/>
                <w:szCs w:val="17"/>
              </w:rPr>
              <w:t>(for central estimate)</w:t>
            </w:r>
          </w:p>
        </w:tc>
        <w:tc>
          <w:tcPr>
            <w:tcW w:w="931" w:type="pct"/>
            <w:shd w:val="clear" w:color="auto" w:fill="auto"/>
          </w:tcPr>
          <w:p w14:paraId="0F8D4280" w14:textId="77777777" w:rsidR="00F23B5C" w:rsidRPr="00820C89" w:rsidRDefault="00F23B5C" w:rsidP="006D2536">
            <w:pPr>
              <w:spacing w:after="0" w:line="240" w:lineRule="auto"/>
              <w:jc w:val="center"/>
              <w:rPr>
                <w:rFonts w:asciiTheme="majorHAnsi" w:hAnsiTheme="majorHAnsi"/>
                <w:b/>
                <w:szCs w:val="17"/>
              </w:rPr>
            </w:pPr>
            <w:r w:rsidRPr="00820C89">
              <w:rPr>
                <w:rFonts w:asciiTheme="majorHAnsi" w:hAnsiTheme="majorHAnsi"/>
                <w:b/>
                <w:szCs w:val="17"/>
              </w:rPr>
              <w:t>Statistical Significance</w:t>
            </w:r>
          </w:p>
        </w:tc>
      </w:tr>
      <w:tr w:rsidR="007F0B43" w:rsidRPr="00820C89" w14:paraId="77B5DFEF" w14:textId="77777777" w:rsidTr="00B34AC9">
        <w:trPr>
          <w:trHeight w:val="315"/>
        </w:trPr>
        <w:tc>
          <w:tcPr>
            <w:tcW w:w="1277" w:type="pct"/>
            <w:shd w:val="clear" w:color="auto" w:fill="auto"/>
          </w:tcPr>
          <w:p w14:paraId="6EC45802" w14:textId="77777777" w:rsidR="003D3869" w:rsidRPr="00820C89" w:rsidRDefault="003D3869" w:rsidP="008A51DA">
            <w:pPr>
              <w:spacing w:after="0" w:line="240" w:lineRule="auto"/>
              <w:rPr>
                <w:rFonts w:asciiTheme="majorHAnsi" w:hAnsiTheme="majorHAnsi"/>
                <w:bCs/>
                <w:szCs w:val="17"/>
              </w:rPr>
            </w:pPr>
            <w:r w:rsidRPr="00820C89">
              <w:rPr>
                <w:rFonts w:asciiTheme="majorHAnsi" w:hAnsiTheme="majorHAnsi"/>
                <w:bCs/>
                <w:szCs w:val="17"/>
              </w:rPr>
              <w:t xml:space="preserve">Intercept </w:t>
            </w:r>
          </w:p>
          <w:p w14:paraId="7D712E99" w14:textId="134F04CC" w:rsidR="003D3869" w:rsidRPr="00820C89" w:rsidRDefault="003D3869" w:rsidP="008A51DA">
            <w:pPr>
              <w:spacing w:after="0" w:line="240" w:lineRule="auto"/>
              <w:rPr>
                <w:rFonts w:asciiTheme="majorHAnsi" w:hAnsiTheme="majorHAnsi"/>
                <w:bCs/>
                <w:szCs w:val="17"/>
              </w:rPr>
            </w:pPr>
            <w:r w:rsidRPr="00820C89">
              <w:rPr>
                <w:rFonts w:asciiTheme="majorHAnsi" w:hAnsiTheme="majorHAnsi"/>
                <w:bCs/>
                <w:szCs w:val="17"/>
              </w:rPr>
              <w:t>(VTEC, Male, Metropolitan,</w:t>
            </w:r>
            <w:r w:rsidR="00626811" w:rsidRPr="00820C89">
              <w:rPr>
                <w:rFonts w:asciiTheme="majorHAnsi" w:hAnsiTheme="majorHAnsi"/>
                <w:bCs/>
                <w:szCs w:val="17"/>
              </w:rPr>
              <w:t xml:space="preserve"> </w:t>
            </w:r>
            <w:r w:rsidRPr="00820C89">
              <w:rPr>
                <w:rFonts w:asciiTheme="majorHAnsi" w:hAnsiTheme="majorHAnsi"/>
                <w:bCs/>
                <w:szCs w:val="17"/>
              </w:rPr>
              <w:t>NSW, aged 25-44)</w:t>
            </w:r>
          </w:p>
        </w:tc>
        <w:tc>
          <w:tcPr>
            <w:tcW w:w="930" w:type="pct"/>
            <w:shd w:val="clear" w:color="auto" w:fill="auto"/>
          </w:tcPr>
          <w:p w14:paraId="2944FE45" w14:textId="0A6F1C90" w:rsidR="003D3869" w:rsidRPr="00820C89" w:rsidRDefault="003D3869" w:rsidP="008A51DA">
            <w:pPr>
              <w:spacing w:after="0" w:line="240" w:lineRule="auto"/>
              <w:jc w:val="center"/>
              <w:rPr>
                <w:rFonts w:asciiTheme="majorHAnsi" w:hAnsiTheme="majorHAnsi"/>
                <w:bCs/>
                <w:szCs w:val="17"/>
              </w:rPr>
            </w:pPr>
            <w:r w:rsidRPr="00820C89">
              <w:rPr>
                <w:rFonts w:asciiTheme="majorHAnsi" w:hAnsiTheme="majorHAnsi"/>
                <w:bCs/>
                <w:szCs w:val="17"/>
              </w:rPr>
              <w:t>0.58</w:t>
            </w:r>
          </w:p>
        </w:tc>
        <w:tc>
          <w:tcPr>
            <w:tcW w:w="931" w:type="pct"/>
            <w:shd w:val="clear" w:color="auto" w:fill="auto"/>
          </w:tcPr>
          <w:p w14:paraId="56DB71A9" w14:textId="77777777" w:rsidR="003D3869" w:rsidRPr="00820C89" w:rsidRDefault="003D3869" w:rsidP="008A51DA">
            <w:pPr>
              <w:spacing w:after="0" w:line="240" w:lineRule="auto"/>
              <w:jc w:val="center"/>
              <w:rPr>
                <w:rFonts w:asciiTheme="majorHAnsi" w:hAnsiTheme="majorHAnsi"/>
                <w:bCs/>
                <w:szCs w:val="17"/>
              </w:rPr>
            </w:pPr>
          </w:p>
        </w:tc>
        <w:tc>
          <w:tcPr>
            <w:tcW w:w="931" w:type="pct"/>
            <w:shd w:val="clear" w:color="auto" w:fill="auto"/>
          </w:tcPr>
          <w:p w14:paraId="3BA43D02" w14:textId="77777777" w:rsidR="003D3869" w:rsidRPr="00820C89" w:rsidRDefault="003D3869" w:rsidP="008A51DA">
            <w:pPr>
              <w:spacing w:after="0" w:line="240" w:lineRule="auto"/>
              <w:jc w:val="center"/>
              <w:rPr>
                <w:rFonts w:asciiTheme="majorHAnsi" w:hAnsiTheme="majorHAnsi"/>
                <w:bCs/>
                <w:szCs w:val="17"/>
              </w:rPr>
            </w:pPr>
          </w:p>
        </w:tc>
        <w:tc>
          <w:tcPr>
            <w:tcW w:w="931" w:type="pct"/>
            <w:shd w:val="clear" w:color="auto" w:fill="auto"/>
          </w:tcPr>
          <w:p w14:paraId="26C53CAF" w14:textId="62632F7B" w:rsidR="003D3869" w:rsidRPr="00820C89" w:rsidRDefault="00AD71A7"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745BE117" w14:textId="77777777" w:rsidTr="00B34AC9">
        <w:trPr>
          <w:trHeight w:val="315"/>
        </w:trPr>
        <w:tc>
          <w:tcPr>
            <w:tcW w:w="1277" w:type="pct"/>
            <w:shd w:val="clear" w:color="auto" w:fill="auto"/>
          </w:tcPr>
          <w:p w14:paraId="3EE79E5D" w14:textId="0C7A1AA4"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EPI</w:t>
            </w:r>
          </w:p>
        </w:tc>
        <w:tc>
          <w:tcPr>
            <w:tcW w:w="930" w:type="pct"/>
            <w:shd w:val="clear" w:color="auto" w:fill="auto"/>
          </w:tcPr>
          <w:p w14:paraId="56B32608" w14:textId="63A76B52"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0.71</w:t>
            </w:r>
          </w:p>
        </w:tc>
        <w:tc>
          <w:tcPr>
            <w:tcW w:w="931" w:type="pct"/>
            <w:shd w:val="clear" w:color="auto" w:fill="auto"/>
          </w:tcPr>
          <w:p w14:paraId="31C6EF5A" w14:textId="54B8194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[0.66,0.76]</w:t>
            </w:r>
          </w:p>
        </w:tc>
        <w:tc>
          <w:tcPr>
            <w:tcW w:w="931" w:type="pct"/>
            <w:shd w:val="clear" w:color="auto" w:fill="auto"/>
          </w:tcPr>
          <w:p w14:paraId="37D91F7F" w14:textId="4886C220"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0.14</w:t>
            </w:r>
          </w:p>
        </w:tc>
        <w:tc>
          <w:tcPr>
            <w:tcW w:w="931" w:type="pct"/>
            <w:shd w:val="clear" w:color="auto" w:fill="auto"/>
          </w:tcPr>
          <w:p w14:paraId="1F9A0FC6" w14:textId="7D1E2995" w:rsidR="008631D5" w:rsidRPr="00820C89" w:rsidRDefault="00AD71A7"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7978B531" w14:textId="77777777" w:rsidTr="00B34AC9">
        <w:trPr>
          <w:trHeight w:val="315"/>
        </w:trPr>
        <w:tc>
          <w:tcPr>
            <w:tcW w:w="1277" w:type="pct"/>
            <w:shd w:val="clear" w:color="auto" w:fill="auto"/>
          </w:tcPr>
          <w:p w14:paraId="03D7181C" w14:textId="435CC139"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TAEG</w:t>
            </w:r>
          </w:p>
        </w:tc>
        <w:tc>
          <w:tcPr>
            <w:tcW w:w="930" w:type="pct"/>
            <w:shd w:val="clear" w:color="auto" w:fill="auto"/>
          </w:tcPr>
          <w:p w14:paraId="6DC49B3F" w14:textId="28CD0CAC"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w:t>
            </w:r>
          </w:p>
        </w:tc>
        <w:tc>
          <w:tcPr>
            <w:tcW w:w="931" w:type="pct"/>
            <w:shd w:val="clear" w:color="auto" w:fill="auto"/>
          </w:tcPr>
          <w:p w14:paraId="2A84BF1E" w14:textId="35ADBB70"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[0.49,0.6]</w:t>
            </w:r>
          </w:p>
        </w:tc>
        <w:tc>
          <w:tcPr>
            <w:tcW w:w="931" w:type="pct"/>
            <w:shd w:val="clear" w:color="auto" w:fill="auto"/>
          </w:tcPr>
          <w:p w14:paraId="41A4A5DC" w14:textId="74D228FA"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-0.03</w:t>
            </w:r>
          </w:p>
        </w:tc>
        <w:tc>
          <w:tcPr>
            <w:tcW w:w="931" w:type="pct"/>
            <w:shd w:val="clear" w:color="auto" w:fill="auto"/>
          </w:tcPr>
          <w:p w14:paraId="647BB918" w14:textId="4183CAF9" w:rsidR="008631D5" w:rsidRPr="00820C89" w:rsidRDefault="00AD71A7"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6F58051A" w14:textId="77777777" w:rsidTr="00B34AC9">
        <w:trPr>
          <w:trHeight w:val="315"/>
        </w:trPr>
        <w:tc>
          <w:tcPr>
            <w:tcW w:w="1277" w:type="pct"/>
            <w:shd w:val="clear" w:color="auto" w:fill="auto"/>
          </w:tcPr>
          <w:p w14:paraId="26CC1316" w14:textId="586D71A9"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Female</w:t>
            </w:r>
          </w:p>
        </w:tc>
        <w:tc>
          <w:tcPr>
            <w:tcW w:w="930" w:type="pct"/>
            <w:shd w:val="clear" w:color="auto" w:fill="auto"/>
          </w:tcPr>
          <w:p w14:paraId="7E04F740" w14:textId="5D6BDAD4"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0.65</w:t>
            </w:r>
          </w:p>
        </w:tc>
        <w:tc>
          <w:tcPr>
            <w:tcW w:w="931" w:type="pct"/>
            <w:shd w:val="clear" w:color="auto" w:fill="auto"/>
          </w:tcPr>
          <w:p w14:paraId="1F8E3E4D" w14:textId="64FC95F2"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[0.6,0.7]</w:t>
            </w:r>
          </w:p>
        </w:tc>
        <w:tc>
          <w:tcPr>
            <w:tcW w:w="931" w:type="pct"/>
            <w:shd w:val="clear" w:color="auto" w:fill="auto"/>
          </w:tcPr>
          <w:p w14:paraId="2EF8C0C1" w14:textId="3D7B04F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0.08</w:t>
            </w:r>
          </w:p>
        </w:tc>
        <w:tc>
          <w:tcPr>
            <w:tcW w:w="931" w:type="pct"/>
            <w:shd w:val="clear" w:color="auto" w:fill="auto"/>
          </w:tcPr>
          <w:p w14:paraId="1807691C" w14:textId="01CD0C02" w:rsidR="008631D5" w:rsidRPr="00820C89" w:rsidRDefault="00AD71A7"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50516707" w14:textId="77777777" w:rsidTr="00B34AC9">
        <w:trPr>
          <w:trHeight w:val="315"/>
        </w:trPr>
        <w:tc>
          <w:tcPr>
            <w:tcW w:w="1277" w:type="pct"/>
            <w:shd w:val="clear" w:color="auto" w:fill="auto"/>
          </w:tcPr>
          <w:p w14:paraId="1EC89D8D" w14:textId="79AE44F2"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Inner Regional Australia</w:t>
            </w:r>
          </w:p>
        </w:tc>
        <w:tc>
          <w:tcPr>
            <w:tcW w:w="930" w:type="pct"/>
            <w:shd w:val="clear" w:color="auto" w:fill="auto"/>
          </w:tcPr>
          <w:p w14:paraId="1150DB4E" w14:textId="0DB6E7A3"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0.57</w:t>
            </w:r>
          </w:p>
        </w:tc>
        <w:tc>
          <w:tcPr>
            <w:tcW w:w="931" w:type="pct"/>
            <w:shd w:val="clear" w:color="auto" w:fill="auto"/>
          </w:tcPr>
          <w:p w14:paraId="65F9F1D6" w14:textId="49115216"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[0.5,0.63]</w:t>
            </w:r>
          </w:p>
        </w:tc>
        <w:tc>
          <w:tcPr>
            <w:tcW w:w="931" w:type="pct"/>
            <w:shd w:val="clear" w:color="auto" w:fill="auto"/>
          </w:tcPr>
          <w:p w14:paraId="40BF88EA" w14:textId="337970C9"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-0.01</w:t>
            </w:r>
          </w:p>
        </w:tc>
        <w:tc>
          <w:tcPr>
            <w:tcW w:w="931" w:type="pct"/>
            <w:shd w:val="clear" w:color="auto" w:fill="auto"/>
          </w:tcPr>
          <w:p w14:paraId="0EF4619C" w14:textId="77777777" w:rsidR="008631D5" w:rsidRPr="00820C89" w:rsidRDefault="008631D5" w:rsidP="008A51DA">
            <w:pPr>
              <w:spacing w:after="0" w:line="240" w:lineRule="auto"/>
              <w:jc w:val="center"/>
              <w:rPr>
                <w:rFonts w:asciiTheme="majorHAnsi" w:hAnsiTheme="majorHAnsi"/>
                <w:bCs/>
                <w:szCs w:val="17"/>
              </w:rPr>
            </w:pPr>
          </w:p>
        </w:tc>
      </w:tr>
      <w:tr w:rsidR="008631D5" w:rsidRPr="00820C89" w14:paraId="6C43E93A" w14:textId="77777777" w:rsidTr="00B34AC9">
        <w:trPr>
          <w:trHeight w:val="315"/>
        </w:trPr>
        <w:tc>
          <w:tcPr>
            <w:tcW w:w="1277" w:type="pct"/>
            <w:shd w:val="clear" w:color="auto" w:fill="auto"/>
          </w:tcPr>
          <w:p w14:paraId="5DEA4AB6" w14:textId="2D97EEFA"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Outer Regional Australia</w:t>
            </w:r>
          </w:p>
        </w:tc>
        <w:tc>
          <w:tcPr>
            <w:tcW w:w="930" w:type="pct"/>
            <w:shd w:val="clear" w:color="auto" w:fill="auto"/>
          </w:tcPr>
          <w:p w14:paraId="004119CA" w14:textId="3CE10BEA"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0.64</w:t>
            </w:r>
          </w:p>
        </w:tc>
        <w:tc>
          <w:tcPr>
            <w:tcW w:w="931" w:type="pct"/>
            <w:shd w:val="clear" w:color="auto" w:fill="auto"/>
          </w:tcPr>
          <w:p w14:paraId="5C86FC8C" w14:textId="3886E26B"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[0.58,0.7]</w:t>
            </w:r>
          </w:p>
        </w:tc>
        <w:tc>
          <w:tcPr>
            <w:tcW w:w="931" w:type="pct"/>
            <w:shd w:val="clear" w:color="auto" w:fill="auto"/>
          </w:tcPr>
          <w:p w14:paraId="41938078" w14:textId="54E8A3B0"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0.07</w:t>
            </w:r>
          </w:p>
        </w:tc>
        <w:tc>
          <w:tcPr>
            <w:tcW w:w="931" w:type="pct"/>
            <w:shd w:val="clear" w:color="auto" w:fill="auto"/>
          </w:tcPr>
          <w:p w14:paraId="52B45C40" w14:textId="2C4705F2" w:rsidR="008631D5" w:rsidRPr="00820C89" w:rsidRDefault="005B6924"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762AE883" w14:textId="77777777" w:rsidTr="00B34AC9">
        <w:trPr>
          <w:trHeight w:val="315"/>
        </w:trPr>
        <w:tc>
          <w:tcPr>
            <w:tcW w:w="1277" w:type="pct"/>
            <w:shd w:val="clear" w:color="auto" w:fill="auto"/>
          </w:tcPr>
          <w:p w14:paraId="04573815" w14:textId="38B7B86C"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Remote and Very Remote Australia</w:t>
            </w:r>
          </w:p>
        </w:tc>
        <w:tc>
          <w:tcPr>
            <w:tcW w:w="930" w:type="pct"/>
            <w:shd w:val="clear" w:color="auto" w:fill="auto"/>
          </w:tcPr>
          <w:p w14:paraId="210F2139" w14:textId="2092F696"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0.66</w:t>
            </w:r>
          </w:p>
        </w:tc>
        <w:tc>
          <w:tcPr>
            <w:tcW w:w="931" w:type="pct"/>
            <w:shd w:val="clear" w:color="auto" w:fill="auto"/>
          </w:tcPr>
          <w:p w14:paraId="5C7A45E5" w14:textId="29A90734"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[0.6,0.72]</w:t>
            </w:r>
          </w:p>
        </w:tc>
        <w:tc>
          <w:tcPr>
            <w:tcW w:w="931" w:type="pct"/>
            <w:shd w:val="clear" w:color="auto" w:fill="auto"/>
          </w:tcPr>
          <w:p w14:paraId="59D85940" w14:textId="7BDC7A84"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0.09</w:t>
            </w:r>
          </w:p>
        </w:tc>
        <w:tc>
          <w:tcPr>
            <w:tcW w:w="931" w:type="pct"/>
            <w:shd w:val="clear" w:color="auto" w:fill="auto"/>
          </w:tcPr>
          <w:p w14:paraId="5BE4DE24" w14:textId="2F9EDB5C" w:rsidR="008631D5" w:rsidRPr="00820C89" w:rsidRDefault="005B6924"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6341E937" w14:textId="77777777" w:rsidTr="00B34AC9">
        <w:trPr>
          <w:trHeight w:val="315"/>
        </w:trPr>
        <w:tc>
          <w:tcPr>
            <w:tcW w:w="1277" w:type="pct"/>
            <w:shd w:val="clear" w:color="auto" w:fill="auto"/>
          </w:tcPr>
          <w:p w14:paraId="6726D6D5" w14:textId="7B2AEBA3"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2015</w:t>
            </w:r>
          </w:p>
        </w:tc>
        <w:tc>
          <w:tcPr>
            <w:tcW w:w="930" w:type="pct"/>
            <w:shd w:val="clear" w:color="auto" w:fill="auto"/>
          </w:tcPr>
          <w:p w14:paraId="580CA349" w14:textId="410AA58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0.03</w:t>
            </w:r>
          </w:p>
        </w:tc>
        <w:tc>
          <w:tcPr>
            <w:tcW w:w="931" w:type="pct"/>
            <w:shd w:val="clear" w:color="auto" w:fill="auto"/>
          </w:tcPr>
          <w:p w14:paraId="77E115A9" w14:textId="548611AF"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[0.02,0.07]</w:t>
            </w:r>
          </w:p>
        </w:tc>
        <w:tc>
          <w:tcPr>
            <w:tcW w:w="931" w:type="pct"/>
            <w:shd w:val="clear" w:color="auto" w:fill="auto"/>
          </w:tcPr>
          <w:p w14:paraId="1108F50D" w14:textId="54550327"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w:t>
            </w:r>
          </w:p>
        </w:tc>
        <w:tc>
          <w:tcPr>
            <w:tcW w:w="931" w:type="pct"/>
            <w:shd w:val="clear" w:color="auto" w:fill="auto"/>
          </w:tcPr>
          <w:p w14:paraId="1FADA28E" w14:textId="3981F132" w:rsidR="008631D5" w:rsidRPr="00820C89" w:rsidRDefault="005B6924"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271460C4" w14:textId="77777777" w:rsidTr="00B34AC9">
        <w:trPr>
          <w:trHeight w:val="315"/>
        </w:trPr>
        <w:tc>
          <w:tcPr>
            <w:tcW w:w="1277" w:type="pct"/>
            <w:shd w:val="clear" w:color="auto" w:fill="auto"/>
          </w:tcPr>
          <w:p w14:paraId="729CD5B1" w14:textId="389EB557"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2017</w:t>
            </w:r>
          </w:p>
        </w:tc>
        <w:tc>
          <w:tcPr>
            <w:tcW w:w="930" w:type="pct"/>
            <w:shd w:val="clear" w:color="auto" w:fill="auto"/>
          </w:tcPr>
          <w:p w14:paraId="05BEEB07" w14:textId="507CAEAA"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0.56</w:t>
            </w:r>
          </w:p>
        </w:tc>
        <w:tc>
          <w:tcPr>
            <w:tcW w:w="931" w:type="pct"/>
            <w:shd w:val="clear" w:color="auto" w:fill="auto"/>
          </w:tcPr>
          <w:p w14:paraId="084B2B9C" w14:textId="36613E77"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[0.5,0.62]</w:t>
            </w:r>
          </w:p>
        </w:tc>
        <w:tc>
          <w:tcPr>
            <w:tcW w:w="931" w:type="pct"/>
            <w:shd w:val="clear" w:color="auto" w:fill="auto"/>
          </w:tcPr>
          <w:p w14:paraId="46D4BEC3" w14:textId="5C66C9E8"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-0.01</w:t>
            </w:r>
          </w:p>
        </w:tc>
        <w:tc>
          <w:tcPr>
            <w:tcW w:w="931" w:type="pct"/>
            <w:shd w:val="clear" w:color="auto" w:fill="auto"/>
          </w:tcPr>
          <w:p w14:paraId="6AA7166E" w14:textId="6F5C00EA" w:rsidR="008631D5" w:rsidRPr="00820C89" w:rsidRDefault="008631D5" w:rsidP="008A51DA">
            <w:pPr>
              <w:spacing w:after="0" w:line="240" w:lineRule="auto"/>
              <w:jc w:val="center"/>
              <w:rPr>
                <w:rFonts w:asciiTheme="majorHAnsi" w:hAnsiTheme="majorHAnsi"/>
                <w:bCs/>
                <w:szCs w:val="17"/>
              </w:rPr>
            </w:pPr>
          </w:p>
        </w:tc>
      </w:tr>
      <w:tr w:rsidR="008631D5" w:rsidRPr="00820C89" w14:paraId="136CA1FD" w14:textId="77777777" w:rsidTr="00B34AC9">
        <w:trPr>
          <w:trHeight w:val="315"/>
        </w:trPr>
        <w:tc>
          <w:tcPr>
            <w:tcW w:w="1277" w:type="pct"/>
            <w:shd w:val="clear" w:color="auto" w:fill="auto"/>
          </w:tcPr>
          <w:p w14:paraId="53D0FAC5" w14:textId="3B9F9E73"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2018</w:t>
            </w:r>
          </w:p>
        </w:tc>
        <w:tc>
          <w:tcPr>
            <w:tcW w:w="930" w:type="pct"/>
            <w:shd w:val="clear" w:color="auto" w:fill="auto"/>
          </w:tcPr>
          <w:p w14:paraId="133140EB" w14:textId="5A45974F"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0.57</w:t>
            </w:r>
          </w:p>
        </w:tc>
        <w:tc>
          <w:tcPr>
            <w:tcW w:w="931" w:type="pct"/>
            <w:shd w:val="clear" w:color="auto" w:fill="auto"/>
          </w:tcPr>
          <w:p w14:paraId="639439AE" w14:textId="4BA6378B"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[0.51,0.63]</w:t>
            </w:r>
          </w:p>
        </w:tc>
        <w:tc>
          <w:tcPr>
            <w:tcW w:w="931" w:type="pct"/>
            <w:shd w:val="clear" w:color="auto" w:fill="auto"/>
          </w:tcPr>
          <w:p w14:paraId="4875BEE6" w14:textId="6E5CA1D8"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0.00</w:t>
            </w:r>
          </w:p>
        </w:tc>
        <w:tc>
          <w:tcPr>
            <w:tcW w:w="931" w:type="pct"/>
            <w:shd w:val="clear" w:color="auto" w:fill="auto"/>
          </w:tcPr>
          <w:p w14:paraId="68294C9A" w14:textId="4B101D52" w:rsidR="008631D5" w:rsidRPr="00820C89" w:rsidRDefault="008631D5" w:rsidP="008A51DA">
            <w:pPr>
              <w:spacing w:after="0" w:line="240" w:lineRule="auto"/>
              <w:jc w:val="center"/>
              <w:rPr>
                <w:rFonts w:asciiTheme="majorHAnsi" w:hAnsiTheme="majorHAnsi"/>
                <w:bCs/>
                <w:szCs w:val="17"/>
              </w:rPr>
            </w:pPr>
          </w:p>
        </w:tc>
      </w:tr>
      <w:tr w:rsidR="008631D5" w:rsidRPr="00820C89" w14:paraId="4DFB3ED7" w14:textId="77777777" w:rsidTr="00B34AC9">
        <w:trPr>
          <w:trHeight w:val="315"/>
        </w:trPr>
        <w:tc>
          <w:tcPr>
            <w:tcW w:w="1277" w:type="pct"/>
            <w:shd w:val="clear" w:color="auto" w:fill="auto"/>
          </w:tcPr>
          <w:p w14:paraId="498F2BEB" w14:textId="758E856E"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2019</w:t>
            </w:r>
          </w:p>
        </w:tc>
        <w:tc>
          <w:tcPr>
            <w:tcW w:w="930" w:type="pct"/>
            <w:shd w:val="clear" w:color="auto" w:fill="auto"/>
          </w:tcPr>
          <w:p w14:paraId="1494BB61" w14:textId="3ACA8C96"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0.61</w:t>
            </w:r>
          </w:p>
        </w:tc>
        <w:tc>
          <w:tcPr>
            <w:tcW w:w="931" w:type="pct"/>
            <w:shd w:val="clear" w:color="auto" w:fill="auto"/>
          </w:tcPr>
          <w:p w14:paraId="28E52605" w14:textId="42ADA0F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[0.54,0.67]</w:t>
            </w:r>
          </w:p>
        </w:tc>
        <w:tc>
          <w:tcPr>
            <w:tcW w:w="931" w:type="pct"/>
            <w:shd w:val="clear" w:color="auto" w:fill="auto"/>
          </w:tcPr>
          <w:p w14:paraId="79F066FA" w14:textId="72B9D02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0.03</w:t>
            </w:r>
          </w:p>
        </w:tc>
        <w:tc>
          <w:tcPr>
            <w:tcW w:w="931" w:type="pct"/>
            <w:shd w:val="clear" w:color="auto" w:fill="auto"/>
          </w:tcPr>
          <w:p w14:paraId="16AB8ADF" w14:textId="36087E18" w:rsidR="008631D5" w:rsidRPr="00820C89" w:rsidRDefault="005B6924"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76EA610D" w14:textId="77777777" w:rsidTr="00B34AC9">
        <w:trPr>
          <w:trHeight w:val="315"/>
        </w:trPr>
        <w:tc>
          <w:tcPr>
            <w:tcW w:w="1277" w:type="pct"/>
            <w:shd w:val="clear" w:color="auto" w:fill="auto"/>
          </w:tcPr>
          <w:p w14:paraId="3AA68FEE" w14:textId="77A1BD20"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Over 45</w:t>
            </w:r>
          </w:p>
        </w:tc>
        <w:tc>
          <w:tcPr>
            <w:tcW w:w="930" w:type="pct"/>
            <w:shd w:val="clear" w:color="auto" w:fill="auto"/>
          </w:tcPr>
          <w:p w14:paraId="22EC5E6D" w14:textId="07803CFF"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0.56</w:t>
            </w:r>
          </w:p>
        </w:tc>
        <w:tc>
          <w:tcPr>
            <w:tcW w:w="931" w:type="pct"/>
            <w:shd w:val="clear" w:color="auto" w:fill="auto"/>
          </w:tcPr>
          <w:p w14:paraId="60EF4194" w14:textId="1A042867"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[0.5,0.63]</w:t>
            </w:r>
          </w:p>
        </w:tc>
        <w:tc>
          <w:tcPr>
            <w:tcW w:w="931" w:type="pct"/>
            <w:shd w:val="clear" w:color="auto" w:fill="auto"/>
          </w:tcPr>
          <w:p w14:paraId="55B3BDA1" w14:textId="5D727B2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-0.01</w:t>
            </w:r>
          </w:p>
        </w:tc>
        <w:tc>
          <w:tcPr>
            <w:tcW w:w="931" w:type="pct"/>
            <w:shd w:val="clear" w:color="auto" w:fill="auto"/>
          </w:tcPr>
          <w:p w14:paraId="6B7EB4C9" w14:textId="60B2A771" w:rsidR="008631D5" w:rsidRPr="00820C89" w:rsidRDefault="008631D5" w:rsidP="008A51DA">
            <w:pPr>
              <w:spacing w:after="0" w:line="240" w:lineRule="auto"/>
              <w:jc w:val="center"/>
              <w:rPr>
                <w:rFonts w:asciiTheme="majorHAnsi" w:hAnsiTheme="majorHAnsi"/>
                <w:bCs/>
                <w:szCs w:val="17"/>
              </w:rPr>
            </w:pPr>
          </w:p>
        </w:tc>
      </w:tr>
      <w:tr w:rsidR="008631D5" w:rsidRPr="00820C89" w14:paraId="5A92D06F" w14:textId="77777777" w:rsidTr="00B34AC9">
        <w:trPr>
          <w:trHeight w:val="315"/>
        </w:trPr>
        <w:tc>
          <w:tcPr>
            <w:tcW w:w="1277" w:type="pct"/>
            <w:shd w:val="clear" w:color="auto" w:fill="auto"/>
          </w:tcPr>
          <w:p w14:paraId="189A2E6E" w14:textId="12E171AF"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Under 25</w:t>
            </w:r>
          </w:p>
        </w:tc>
        <w:tc>
          <w:tcPr>
            <w:tcW w:w="930" w:type="pct"/>
            <w:shd w:val="clear" w:color="auto" w:fill="auto"/>
          </w:tcPr>
          <w:p w14:paraId="6DF3EB6E" w14:textId="5DB0C8B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0.56</w:t>
            </w:r>
          </w:p>
        </w:tc>
        <w:tc>
          <w:tcPr>
            <w:tcW w:w="931" w:type="pct"/>
            <w:shd w:val="clear" w:color="auto" w:fill="auto"/>
          </w:tcPr>
          <w:p w14:paraId="419BC103" w14:textId="2C8EABA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[0.5,0.61]</w:t>
            </w:r>
          </w:p>
        </w:tc>
        <w:tc>
          <w:tcPr>
            <w:tcW w:w="931" w:type="pct"/>
            <w:shd w:val="clear" w:color="auto" w:fill="auto"/>
          </w:tcPr>
          <w:p w14:paraId="0F487938" w14:textId="0BEB2FB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-0.02</w:t>
            </w:r>
          </w:p>
        </w:tc>
        <w:tc>
          <w:tcPr>
            <w:tcW w:w="931" w:type="pct"/>
            <w:shd w:val="clear" w:color="auto" w:fill="auto"/>
          </w:tcPr>
          <w:p w14:paraId="6A5F06BF" w14:textId="227ACCFA" w:rsidR="008631D5" w:rsidRPr="00820C89" w:rsidRDefault="008631D5" w:rsidP="008A51DA">
            <w:pPr>
              <w:spacing w:after="0" w:line="240" w:lineRule="auto"/>
              <w:jc w:val="center"/>
              <w:rPr>
                <w:rFonts w:asciiTheme="majorHAnsi" w:hAnsiTheme="majorHAnsi"/>
                <w:bCs/>
                <w:szCs w:val="17"/>
              </w:rPr>
            </w:pPr>
          </w:p>
        </w:tc>
      </w:tr>
      <w:tr w:rsidR="008631D5" w:rsidRPr="00820C89" w14:paraId="33BB51DD" w14:textId="77777777" w:rsidTr="00B34AC9">
        <w:trPr>
          <w:trHeight w:val="315"/>
        </w:trPr>
        <w:tc>
          <w:tcPr>
            <w:tcW w:w="1277" w:type="pct"/>
            <w:shd w:val="clear" w:color="auto" w:fill="auto"/>
          </w:tcPr>
          <w:p w14:paraId="4D53269D" w14:textId="6DD30031"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NT</w:t>
            </w:r>
          </w:p>
        </w:tc>
        <w:tc>
          <w:tcPr>
            <w:tcW w:w="930" w:type="pct"/>
            <w:shd w:val="clear" w:color="auto" w:fill="auto"/>
          </w:tcPr>
          <w:p w14:paraId="09FD2B48" w14:textId="62102822"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0.61</w:t>
            </w:r>
          </w:p>
        </w:tc>
        <w:tc>
          <w:tcPr>
            <w:tcW w:w="931" w:type="pct"/>
            <w:shd w:val="clear" w:color="auto" w:fill="auto"/>
          </w:tcPr>
          <w:p w14:paraId="50721F41" w14:textId="785BA39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[0.53,0.68]</w:t>
            </w:r>
          </w:p>
        </w:tc>
        <w:tc>
          <w:tcPr>
            <w:tcW w:w="931" w:type="pct"/>
            <w:shd w:val="clear" w:color="auto" w:fill="auto"/>
          </w:tcPr>
          <w:p w14:paraId="4525DFFF" w14:textId="5891F07E"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0.03</w:t>
            </w:r>
          </w:p>
        </w:tc>
        <w:tc>
          <w:tcPr>
            <w:tcW w:w="931" w:type="pct"/>
            <w:shd w:val="clear" w:color="auto" w:fill="auto"/>
          </w:tcPr>
          <w:p w14:paraId="590F1C3E" w14:textId="77777777" w:rsidR="008631D5" w:rsidRPr="00820C89" w:rsidRDefault="008631D5" w:rsidP="008A51DA">
            <w:pPr>
              <w:spacing w:after="0" w:line="240" w:lineRule="auto"/>
              <w:jc w:val="center"/>
              <w:rPr>
                <w:rFonts w:asciiTheme="majorHAnsi" w:hAnsiTheme="majorHAnsi"/>
                <w:bCs/>
                <w:szCs w:val="17"/>
              </w:rPr>
            </w:pPr>
          </w:p>
        </w:tc>
      </w:tr>
      <w:tr w:rsidR="008631D5" w:rsidRPr="00820C89" w14:paraId="6459746A" w14:textId="77777777" w:rsidTr="00B34AC9">
        <w:trPr>
          <w:trHeight w:val="315"/>
        </w:trPr>
        <w:tc>
          <w:tcPr>
            <w:tcW w:w="1277" w:type="pct"/>
            <w:shd w:val="clear" w:color="auto" w:fill="auto"/>
          </w:tcPr>
          <w:p w14:paraId="34404EDF" w14:textId="52BB4BCA"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QLD</w:t>
            </w:r>
          </w:p>
        </w:tc>
        <w:tc>
          <w:tcPr>
            <w:tcW w:w="930" w:type="pct"/>
            <w:shd w:val="clear" w:color="auto" w:fill="auto"/>
          </w:tcPr>
          <w:p w14:paraId="221E94B5" w14:textId="20E08788"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w:t>
            </w:r>
          </w:p>
        </w:tc>
        <w:tc>
          <w:tcPr>
            <w:tcW w:w="931" w:type="pct"/>
            <w:shd w:val="clear" w:color="auto" w:fill="auto"/>
          </w:tcPr>
          <w:p w14:paraId="0A3BB97A" w14:textId="6E9EEE94"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[0.48,0.6]</w:t>
            </w:r>
          </w:p>
        </w:tc>
        <w:tc>
          <w:tcPr>
            <w:tcW w:w="931" w:type="pct"/>
            <w:shd w:val="clear" w:color="auto" w:fill="auto"/>
          </w:tcPr>
          <w:p w14:paraId="30472901" w14:textId="71C40563"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-0.03</w:t>
            </w:r>
          </w:p>
        </w:tc>
        <w:tc>
          <w:tcPr>
            <w:tcW w:w="931" w:type="pct"/>
            <w:shd w:val="clear" w:color="auto" w:fill="auto"/>
          </w:tcPr>
          <w:p w14:paraId="34FCE13B" w14:textId="4270B36D" w:rsidR="008631D5" w:rsidRPr="00820C89" w:rsidRDefault="00E34DFE"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212B39C0" w14:textId="77777777" w:rsidTr="00B34AC9">
        <w:trPr>
          <w:trHeight w:val="315"/>
        </w:trPr>
        <w:tc>
          <w:tcPr>
            <w:tcW w:w="1277" w:type="pct"/>
            <w:shd w:val="clear" w:color="auto" w:fill="auto"/>
          </w:tcPr>
          <w:p w14:paraId="56D3FA7F" w14:textId="7657651D"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SA</w:t>
            </w:r>
          </w:p>
        </w:tc>
        <w:tc>
          <w:tcPr>
            <w:tcW w:w="930" w:type="pct"/>
            <w:shd w:val="clear" w:color="auto" w:fill="auto"/>
          </w:tcPr>
          <w:p w14:paraId="1D3DBADF" w14:textId="60BC2473"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0.62</w:t>
            </w:r>
          </w:p>
        </w:tc>
        <w:tc>
          <w:tcPr>
            <w:tcW w:w="931" w:type="pct"/>
            <w:shd w:val="clear" w:color="auto" w:fill="auto"/>
          </w:tcPr>
          <w:p w14:paraId="6436C398" w14:textId="62339C2C"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[0.54,0.69]</w:t>
            </w:r>
          </w:p>
        </w:tc>
        <w:tc>
          <w:tcPr>
            <w:tcW w:w="931" w:type="pct"/>
            <w:shd w:val="clear" w:color="auto" w:fill="auto"/>
          </w:tcPr>
          <w:p w14:paraId="23FA7C1B" w14:textId="080F8B39"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0.04</w:t>
            </w:r>
          </w:p>
        </w:tc>
        <w:tc>
          <w:tcPr>
            <w:tcW w:w="931" w:type="pct"/>
            <w:shd w:val="clear" w:color="auto" w:fill="auto"/>
          </w:tcPr>
          <w:p w14:paraId="5B77E223" w14:textId="198D605F" w:rsidR="008631D5" w:rsidRPr="00820C89" w:rsidRDefault="008631D5" w:rsidP="008A51DA">
            <w:pPr>
              <w:spacing w:after="0" w:line="240" w:lineRule="auto"/>
              <w:jc w:val="center"/>
              <w:rPr>
                <w:rFonts w:asciiTheme="majorHAnsi" w:hAnsiTheme="majorHAnsi"/>
                <w:bCs/>
                <w:szCs w:val="17"/>
              </w:rPr>
            </w:pPr>
          </w:p>
        </w:tc>
      </w:tr>
      <w:tr w:rsidR="008631D5" w:rsidRPr="00820C89" w14:paraId="15AC6718" w14:textId="77777777" w:rsidTr="00B34AC9">
        <w:trPr>
          <w:trHeight w:val="315"/>
        </w:trPr>
        <w:tc>
          <w:tcPr>
            <w:tcW w:w="1277" w:type="pct"/>
            <w:shd w:val="clear" w:color="auto" w:fill="auto"/>
          </w:tcPr>
          <w:p w14:paraId="125336D8" w14:textId="11CEF67C"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TAS</w:t>
            </w:r>
          </w:p>
        </w:tc>
        <w:tc>
          <w:tcPr>
            <w:tcW w:w="930" w:type="pct"/>
            <w:shd w:val="clear" w:color="auto" w:fill="auto"/>
          </w:tcPr>
          <w:p w14:paraId="1D6BC9DF" w14:textId="2CCF4AE3"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0.70</w:t>
            </w:r>
          </w:p>
        </w:tc>
        <w:tc>
          <w:tcPr>
            <w:tcW w:w="931" w:type="pct"/>
            <w:shd w:val="clear" w:color="auto" w:fill="auto"/>
          </w:tcPr>
          <w:p w14:paraId="4B2C3BD7" w14:textId="70FB404A"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[0.59,0.78]</w:t>
            </w:r>
          </w:p>
        </w:tc>
        <w:tc>
          <w:tcPr>
            <w:tcW w:w="931" w:type="pct"/>
            <w:shd w:val="clear" w:color="auto" w:fill="auto"/>
          </w:tcPr>
          <w:p w14:paraId="7B007A0C" w14:textId="575CBEAE"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0.12</w:t>
            </w:r>
          </w:p>
        </w:tc>
        <w:tc>
          <w:tcPr>
            <w:tcW w:w="931" w:type="pct"/>
            <w:shd w:val="clear" w:color="auto" w:fill="auto"/>
          </w:tcPr>
          <w:p w14:paraId="5C57217C" w14:textId="350D5B98" w:rsidR="008631D5" w:rsidRPr="00820C89" w:rsidRDefault="00E34DFE"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7E2BE73A" w14:textId="77777777" w:rsidTr="00B34AC9">
        <w:trPr>
          <w:trHeight w:val="315"/>
        </w:trPr>
        <w:tc>
          <w:tcPr>
            <w:tcW w:w="1277" w:type="pct"/>
            <w:shd w:val="clear" w:color="auto" w:fill="auto"/>
          </w:tcPr>
          <w:p w14:paraId="019E601B" w14:textId="4BD2AAB8"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VIC</w:t>
            </w:r>
          </w:p>
        </w:tc>
        <w:tc>
          <w:tcPr>
            <w:tcW w:w="930" w:type="pct"/>
            <w:shd w:val="clear" w:color="auto" w:fill="auto"/>
          </w:tcPr>
          <w:p w14:paraId="33D9A20F" w14:textId="2778AAA7"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0.64</w:t>
            </w:r>
          </w:p>
        </w:tc>
        <w:tc>
          <w:tcPr>
            <w:tcW w:w="931" w:type="pct"/>
            <w:shd w:val="clear" w:color="auto" w:fill="auto"/>
          </w:tcPr>
          <w:p w14:paraId="3F2AE068" w14:textId="71DE3DD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[0.58,0.71]</w:t>
            </w:r>
          </w:p>
        </w:tc>
        <w:tc>
          <w:tcPr>
            <w:tcW w:w="931" w:type="pct"/>
            <w:shd w:val="clear" w:color="auto" w:fill="auto"/>
          </w:tcPr>
          <w:p w14:paraId="6AEFDBA5" w14:textId="1C0C0329"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0.07</w:t>
            </w:r>
          </w:p>
        </w:tc>
        <w:tc>
          <w:tcPr>
            <w:tcW w:w="931" w:type="pct"/>
            <w:shd w:val="clear" w:color="auto" w:fill="auto"/>
          </w:tcPr>
          <w:p w14:paraId="0ECA33A5" w14:textId="27B4D697" w:rsidR="008631D5" w:rsidRPr="00820C89" w:rsidRDefault="00E34DFE"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54DC2457" w14:textId="77777777" w:rsidTr="00B34AC9">
        <w:trPr>
          <w:trHeight w:val="315"/>
        </w:trPr>
        <w:tc>
          <w:tcPr>
            <w:tcW w:w="1277" w:type="pct"/>
            <w:shd w:val="clear" w:color="auto" w:fill="auto"/>
          </w:tcPr>
          <w:p w14:paraId="7552954D" w14:textId="6BEC2D1B"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WA</w:t>
            </w:r>
          </w:p>
        </w:tc>
        <w:tc>
          <w:tcPr>
            <w:tcW w:w="930" w:type="pct"/>
            <w:shd w:val="clear" w:color="auto" w:fill="auto"/>
          </w:tcPr>
          <w:p w14:paraId="7C36A746" w14:textId="5B378762"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w:t>
            </w:r>
          </w:p>
        </w:tc>
        <w:tc>
          <w:tcPr>
            <w:tcW w:w="931" w:type="pct"/>
            <w:shd w:val="clear" w:color="auto" w:fill="auto"/>
          </w:tcPr>
          <w:p w14:paraId="57BC35D1" w14:textId="75F7046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[0.47,0.6]</w:t>
            </w:r>
          </w:p>
        </w:tc>
        <w:tc>
          <w:tcPr>
            <w:tcW w:w="931" w:type="pct"/>
            <w:shd w:val="clear" w:color="auto" w:fill="auto"/>
          </w:tcPr>
          <w:p w14:paraId="6A6989D6" w14:textId="13E20F98"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-0.04</w:t>
            </w:r>
          </w:p>
        </w:tc>
        <w:tc>
          <w:tcPr>
            <w:tcW w:w="931" w:type="pct"/>
            <w:shd w:val="clear" w:color="auto" w:fill="auto"/>
          </w:tcPr>
          <w:p w14:paraId="6DD9BAB2" w14:textId="2C68A0AA" w:rsidR="008631D5" w:rsidRPr="00820C89" w:rsidRDefault="00B00176"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0F74183B" w14:textId="77777777" w:rsidTr="00B34AC9">
        <w:trPr>
          <w:trHeight w:val="315"/>
        </w:trPr>
        <w:tc>
          <w:tcPr>
            <w:tcW w:w="1277" w:type="pct"/>
            <w:shd w:val="clear" w:color="auto" w:fill="auto"/>
          </w:tcPr>
          <w:p w14:paraId="1C6B0A2E" w14:textId="419E9054"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On income support for &gt;1 year on program entry</w:t>
            </w:r>
          </w:p>
        </w:tc>
        <w:tc>
          <w:tcPr>
            <w:tcW w:w="930" w:type="pct"/>
            <w:shd w:val="clear" w:color="auto" w:fill="auto"/>
          </w:tcPr>
          <w:p w14:paraId="517241C1" w14:textId="7C5195B6"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0.55</w:t>
            </w:r>
          </w:p>
        </w:tc>
        <w:tc>
          <w:tcPr>
            <w:tcW w:w="931" w:type="pct"/>
            <w:shd w:val="clear" w:color="auto" w:fill="auto"/>
          </w:tcPr>
          <w:p w14:paraId="2751680D" w14:textId="207085D0"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[0.5,0.61]</w:t>
            </w:r>
          </w:p>
        </w:tc>
        <w:tc>
          <w:tcPr>
            <w:tcW w:w="931" w:type="pct"/>
            <w:shd w:val="clear" w:color="auto" w:fill="auto"/>
          </w:tcPr>
          <w:p w14:paraId="79117384" w14:textId="627CE992"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-0.02</w:t>
            </w:r>
          </w:p>
        </w:tc>
        <w:tc>
          <w:tcPr>
            <w:tcW w:w="931" w:type="pct"/>
            <w:shd w:val="clear" w:color="auto" w:fill="auto"/>
          </w:tcPr>
          <w:p w14:paraId="2D898305" w14:textId="44E8619E" w:rsidR="008631D5" w:rsidRPr="00820C89" w:rsidRDefault="00B00176"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bl>
    <w:p w14:paraId="73D258DC" w14:textId="1EFD9E84" w:rsidR="00F23B5C" w:rsidRPr="00820C89" w:rsidRDefault="00F23B5C" w:rsidP="00F23B5C">
      <w:pPr>
        <w:pStyle w:val="Source"/>
      </w:pPr>
      <w:r w:rsidRPr="00820C89">
        <w:t>Source: DAE Regression Analysis. Note: *** = significant at the 0.1% level, ** = significant at the 1% level, * = significant at the 5% level</w:t>
      </w:r>
      <w:r w:rsidR="008E25C3" w:rsidRPr="00820C89">
        <w:t xml:space="preserve">. </w:t>
      </w:r>
    </w:p>
    <w:p w14:paraId="5B6D5C10" w14:textId="77777777" w:rsidR="00F23B5C" w:rsidRPr="00820C89" w:rsidRDefault="00F23B5C" w:rsidP="007F0B43"/>
    <w:p w14:paraId="7C7833B6" w14:textId="77777777" w:rsidR="00A07247" w:rsidRPr="00820C89" w:rsidRDefault="008C0B74" w:rsidP="00715F70">
      <w:pPr>
        <w:pStyle w:val="AppendixTableCaption"/>
        <w:outlineLvl w:val="1"/>
      </w:pPr>
      <w:bookmarkStart w:id="247" w:name="_Toc101343317"/>
      <w:r w:rsidRPr="00820C89">
        <w:lastRenderedPageBreak/>
        <w:t xml:space="preserve">: Regression results from </w:t>
      </w:r>
      <w:r w:rsidR="00493FDB" w:rsidRPr="00820C89">
        <w:t>model 4B</w:t>
      </w:r>
      <w:bookmarkEnd w:id="247"/>
    </w:p>
    <w:p w14:paraId="2A64D484" w14:textId="77777777" w:rsidR="00C379C3" w:rsidRPr="00820C89" w:rsidRDefault="00C379C3" w:rsidP="00C379C3">
      <w:pPr>
        <w:rPr>
          <w:i/>
          <w:iCs/>
          <w:lang w:eastAsia="en-AU"/>
        </w:rPr>
      </w:pPr>
      <w:r w:rsidRPr="00820C89">
        <w:rPr>
          <w:i/>
          <w:iCs/>
          <w:lang w:eastAsia="en-AU"/>
        </w:rPr>
        <w:t xml:space="preserve">Dependent variable = likelihood that an individual is receiving income support </w:t>
      </w:r>
      <w:r w:rsidR="004446D4" w:rsidRPr="00820C89">
        <w:rPr>
          <w:i/>
          <w:iCs/>
          <w:lang w:eastAsia="en-AU"/>
        </w:rPr>
        <w:t>12 months after</w:t>
      </w:r>
      <w:r w:rsidRPr="00820C89">
        <w:rPr>
          <w:i/>
          <w:iCs/>
          <w:lang w:eastAsia="en-AU"/>
        </w:rPr>
        <w:t xml:space="preserve"> program exit</w:t>
      </w:r>
    </w:p>
    <w:tbl>
      <w:tblPr>
        <w:tblStyle w:val="Deloittetable"/>
        <w:tblW w:w="5000" w:type="pct"/>
        <w:tblLayout w:type="fixed"/>
        <w:tblLook w:val="04A0" w:firstRow="1" w:lastRow="0" w:firstColumn="1" w:lastColumn="0" w:noHBand="0" w:noVBand="1"/>
      </w:tblPr>
      <w:tblGrid>
        <w:gridCol w:w="2561"/>
        <w:gridCol w:w="1663"/>
        <w:gridCol w:w="1667"/>
        <w:gridCol w:w="1663"/>
        <w:gridCol w:w="1665"/>
      </w:tblGrid>
      <w:tr w:rsidR="004A2F11" w:rsidRPr="00820C89" w14:paraId="0CB90417" w14:textId="77777777" w:rsidTr="00087C85">
        <w:trPr>
          <w:cnfStyle w:val="100000000000" w:firstRow="1" w:lastRow="0" w:firstColumn="0" w:lastColumn="0" w:oddVBand="0" w:evenVBand="0" w:oddHBand="0" w:evenHBand="0" w:firstRowFirstColumn="0" w:firstRowLastColumn="0" w:lastRowFirstColumn="0" w:lastRowLastColumn="0"/>
          <w:trHeight w:val="315"/>
          <w:tblHeader/>
        </w:trPr>
        <w:tc>
          <w:tcPr>
            <w:tcW w:w="1389" w:type="pct"/>
            <w:tcBorders>
              <w:bottom w:val="single" w:sz="4" w:space="0" w:color="000000" w:themeColor="text1"/>
            </w:tcBorders>
            <w:noWrap/>
            <w:vAlign w:val="center"/>
            <w:hideMark/>
          </w:tcPr>
          <w:p w14:paraId="7939881E" w14:textId="11FE91CB" w:rsidR="004A2F11" w:rsidRPr="00820C89" w:rsidRDefault="004A2F11" w:rsidP="004A2F11">
            <w:pPr>
              <w:spacing w:after="0" w:line="240" w:lineRule="auto"/>
              <w:rPr>
                <w:rFonts w:asciiTheme="majorHAnsi" w:hAnsiTheme="majorHAnsi"/>
                <w:b/>
                <w:szCs w:val="17"/>
              </w:rPr>
            </w:pPr>
            <w:r w:rsidRPr="00820C89">
              <w:rPr>
                <w:rFonts w:asciiTheme="majorHAnsi" w:hAnsiTheme="majorHAnsi"/>
                <w:b/>
                <w:szCs w:val="17"/>
              </w:rPr>
              <w:t> Variable</w:t>
            </w:r>
          </w:p>
        </w:tc>
        <w:tc>
          <w:tcPr>
            <w:tcW w:w="902" w:type="pct"/>
            <w:tcBorders>
              <w:bottom w:val="single" w:sz="4" w:space="0" w:color="000000" w:themeColor="text1"/>
            </w:tcBorders>
            <w:vAlign w:val="center"/>
            <w:hideMark/>
          </w:tcPr>
          <w:p w14:paraId="2F27E1A2" w14:textId="6E2BD06A" w:rsidR="004A2F11" w:rsidRPr="00820C89" w:rsidRDefault="004A2F11" w:rsidP="004A2F11">
            <w:pPr>
              <w:spacing w:after="0" w:line="240" w:lineRule="auto"/>
              <w:jc w:val="center"/>
              <w:rPr>
                <w:rFonts w:asciiTheme="majorHAnsi" w:hAnsiTheme="majorHAnsi"/>
                <w:b/>
                <w:szCs w:val="17"/>
              </w:rPr>
            </w:pPr>
            <w:r w:rsidRPr="00820C89">
              <w:rPr>
                <w:b/>
                <w:sz w:val="18"/>
              </w:rPr>
              <w:t>Probability</w:t>
            </w:r>
          </w:p>
        </w:tc>
        <w:tc>
          <w:tcPr>
            <w:tcW w:w="904" w:type="pct"/>
            <w:tcBorders>
              <w:bottom w:val="single" w:sz="4" w:space="0" w:color="000000" w:themeColor="text1"/>
            </w:tcBorders>
          </w:tcPr>
          <w:p w14:paraId="2F2F2900" w14:textId="209A03FE" w:rsidR="004A2F11" w:rsidRPr="00820C89" w:rsidRDefault="004A2F11" w:rsidP="004A2F11">
            <w:pPr>
              <w:spacing w:after="0" w:line="240" w:lineRule="auto"/>
              <w:jc w:val="center"/>
              <w:rPr>
                <w:rFonts w:asciiTheme="majorHAnsi" w:hAnsiTheme="majorHAnsi"/>
                <w:b/>
                <w:szCs w:val="17"/>
                <w:u w:val="single"/>
              </w:rPr>
            </w:pPr>
            <w:r w:rsidRPr="00820C89">
              <w:rPr>
                <w:b/>
              </w:rPr>
              <w:t>95% Confidence Interval</w:t>
            </w:r>
          </w:p>
        </w:tc>
        <w:tc>
          <w:tcPr>
            <w:tcW w:w="902" w:type="pct"/>
            <w:tcBorders>
              <w:bottom w:val="single" w:sz="4" w:space="0" w:color="000000" w:themeColor="text1"/>
            </w:tcBorders>
            <w:vAlign w:val="center"/>
          </w:tcPr>
          <w:p w14:paraId="26A3628D" w14:textId="77777777" w:rsidR="004A2F11" w:rsidRPr="00820C89" w:rsidRDefault="004A2F11" w:rsidP="004A2F11">
            <w:pPr>
              <w:spacing w:after="0" w:line="240" w:lineRule="auto"/>
              <w:jc w:val="center"/>
              <w:rPr>
                <w:b/>
                <w:sz w:val="18"/>
              </w:rPr>
            </w:pPr>
            <w:r w:rsidRPr="00820C89">
              <w:rPr>
                <w:b/>
                <w:sz w:val="18"/>
              </w:rPr>
              <w:t xml:space="preserve">Probability difference </w:t>
            </w:r>
          </w:p>
          <w:p w14:paraId="2807CBB6" w14:textId="46EC24A8" w:rsidR="004A2F11" w:rsidRPr="00820C89" w:rsidRDefault="004A2F11" w:rsidP="004A2F11">
            <w:pPr>
              <w:spacing w:after="0" w:line="240" w:lineRule="auto"/>
              <w:jc w:val="center"/>
              <w:rPr>
                <w:rFonts w:asciiTheme="majorHAnsi" w:hAnsiTheme="majorHAnsi"/>
                <w:b/>
                <w:szCs w:val="17"/>
                <w:u w:val="single"/>
              </w:rPr>
            </w:pPr>
            <w:r w:rsidRPr="00820C89">
              <w:rPr>
                <w:b/>
                <w:sz w:val="18"/>
              </w:rPr>
              <w:t>(for central estimate)</w:t>
            </w:r>
          </w:p>
        </w:tc>
        <w:tc>
          <w:tcPr>
            <w:tcW w:w="903" w:type="pct"/>
            <w:tcBorders>
              <w:bottom w:val="single" w:sz="4" w:space="0" w:color="000000" w:themeColor="text1"/>
            </w:tcBorders>
            <w:vAlign w:val="center"/>
          </w:tcPr>
          <w:p w14:paraId="4E1EC003" w14:textId="6C470BCF" w:rsidR="004A2F11" w:rsidRPr="00820C89" w:rsidRDefault="004A2F11" w:rsidP="004A2F11">
            <w:pPr>
              <w:spacing w:after="0" w:line="240" w:lineRule="auto"/>
              <w:jc w:val="center"/>
              <w:rPr>
                <w:rFonts w:asciiTheme="majorHAnsi" w:hAnsiTheme="majorHAnsi"/>
                <w:b/>
                <w:szCs w:val="17"/>
                <w:u w:val="single"/>
              </w:rPr>
            </w:pPr>
            <w:r w:rsidRPr="00820C89">
              <w:rPr>
                <w:b/>
              </w:rPr>
              <w:t>Statistical</w:t>
            </w:r>
            <w:r w:rsidRPr="00820C89">
              <w:rPr>
                <w:b/>
                <w:u w:val="single"/>
              </w:rPr>
              <w:t xml:space="preserve"> Significance</w:t>
            </w:r>
          </w:p>
        </w:tc>
      </w:tr>
      <w:tr w:rsidR="00695C0B" w:rsidRPr="00820C89" w14:paraId="3BBEFDAD" w14:textId="77777777" w:rsidTr="00AC4D57">
        <w:trPr>
          <w:trHeight w:val="315"/>
        </w:trPr>
        <w:tc>
          <w:tcPr>
            <w:tcW w:w="1389" w:type="pct"/>
            <w:tcBorders>
              <w:top w:val="single" w:sz="4" w:space="0" w:color="000000" w:themeColor="text1"/>
              <w:bottom w:val="single" w:sz="4" w:space="0" w:color="auto"/>
            </w:tcBorders>
          </w:tcPr>
          <w:p w14:paraId="065291E0" w14:textId="64271A66" w:rsidR="00695C0B" w:rsidRPr="00820C89" w:rsidRDefault="00695C0B" w:rsidP="00695C0B">
            <w:pPr>
              <w:spacing w:after="0" w:line="240" w:lineRule="auto"/>
            </w:pPr>
            <w:r w:rsidRPr="00820C89">
              <w:t>Intercept</w:t>
            </w:r>
            <w:r w:rsidR="004568BE" w:rsidRPr="00820C89">
              <w:t xml:space="preserve"> (VTEC, Male, Metropolitan, 2015, NSW, did not achieve 26-week outcome, aged 25-44)</w:t>
            </w:r>
          </w:p>
        </w:tc>
        <w:tc>
          <w:tcPr>
            <w:tcW w:w="902" w:type="pct"/>
            <w:tcBorders>
              <w:top w:val="single" w:sz="4" w:space="0" w:color="000000" w:themeColor="text1"/>
              <w:bottom w:val="single" w:sz="4" w:space="0" w:color="auto"/>
            </w:tcBorders>
            <w:vAlign w:val="center"/>
          </w:tcPr>
          <w:p w14:paraId="28B2E950" w14:textId="0B996A3D" w:rsidR="00695C0B" w:rsidRPr="00820C89" w:rsidRDefault="008406BB" w:rsidP="00695C0B">
            <w:pPr>
              <w:spacing w:after="0" w:line="240" w:lineRule="auto"/>
              <w:jc w:val="center"/>
            </w:pPr>
            <w:r w:rsidRPr="00820C89">
              <w:t>0.47</w:t>
            </w:r>
          </w:p>
        </w:tc>
        <w:tc>
          <w:tcPr>
            <w:tcW w:w="904" w:type="pct"/>
            <w:tcBorders>
              <w:top w:val="single" w:sz="4" w:space="0" w:color="000000" w:themeColor="text1"/>
              <w:left w:val="nil"/>
              <w:bottom w:val="single" w:sz="4" w:space="0" w:color="auto"/>
              <w:right w:val="nil"/>
            </w:tcBorders>
            <w:shd w:val="clear" w:color="000000" w:fill="FFFFFF"/>
            <w:vAlign w:val="center"/>
          </w:tcPr>
          <w:p w14:paraId="72AD641B" w14:textId="77777777" w:rsidR="00695C0B" w:rsidRPr="00820C89" w:rsidRDefault="00695C0B" w:rsidP="00695C0B">
            <w:pPr>
              <w:spacing w:after="0" w:line="240" w:lineRule="auto"/>
              <w:jc w:val="center"/>
            </w:pPr>
          </w:p>
        </w:tc>
        <w:tc>
          <w:tcPr>
            <w:tcW w:w="902" w:type="pct"/>
            <w:tcBorders>
              <w:top w:val="single" w:sz="4" w:space="0" w:color="000000" w:themeColor="text1"/>
              <w:bottom w:val="single" w:sz="4" w:space="0" w:color="auto"/>
            </w:tcBorders>
            <w:shd w:val="clear" w:color="auto" w:fill="auto"/>
            <w:vAlign w:val="center"/>
          </w:tcPr>
          <w:p w14:paraId="00E649A6" w14:textId="77777777" w:rsidR="00695C0B" w:rsidRPr="00820C89" w:rsidRDefault="00695C0B" w:rsidP="00695C0B">
            <w:pPr>
              <w:spacing w:after="0" w:line="240" w:lineRule="auto"/>
              <w:jc w:val="center"/>
            </w:pPr>
          </w:p>
        </w:tc>
        <w:tc>
          <w:tcPr>
            <w:tcW w:w="903" w:type="pct"/>
            <w:tcBorders>
              <w:top w:val="single" w:sz="4" w:space="0" w:color="000000" w:themeColor="text1"/>
              <w:bottom w:val="single" w:sz="4" w:space="0" w:color="auto"/>
              <w:right w:val="nil"/>
            </w:tcBorders>
            <w:shd w:val="clear" w:color="auto" w:fill="auto"/>
          </w:tcPr>
          <w:p w14:paraId="1DA41B7B" w14:textId="77777777" w:rsidR="00695C0B" w:rsidRPr="00820C89" w:rsidRDefault="00695C0B" w:rsidP="00695C0B">
            <w:pPr>
              <w:spacing w:after="0" w:line="240" w:lineRule="auto"/>
              <w:jc w:val="center"/>
            </w:pPr>
          </w:p>
        </w:tc>
      </w:tr>
      <w:tr w:rsidR="00112E0C" w:rsidRPr="00820C89" w14:paraId="4A63FB26" w14:textId="77777777" w:rsidTr="00AC4D57">
        <w:trPr>
          <w:trHeight w:val="315"/>
        </w:trPr>
        <w:tc>
          <w:tcPr>
            <w:tcW w:w="1389" w:type="pct"/>
            <w:tcBorders>
              <w:top w:val="single" w:sz="4" w:space="0" w:color="auto"/>
              <w:bottom w:val="single" w:sz="4" w:space="0" w:color="auto"/>
            </w:tcBorders>
          </w:tcPr>
          <w:p w14:paraId="7FD04077" w14:textId="18F41C2D" w:rsidR="00112E0C" w:rsidRPr="00820C89" w:rsidRDefault="00112E0C" w:rsidP="00112E0C">
            <w:pPr>
              <w:spacing w:after="0" w:line="240" w:lineRule="auto"/>
            </w:pPr>
            <w:r w:rsidRPr="00820C89">
              <w:t>EPI</w:t>
            </w:r>
          </w:p>
        </w:tc>
        <w:tc>
          <w:tcPr>
            <w:tcW w:w="902" w:type="pct"/>
            <w:tcBorders>
              <w:top w:val="single" w:sz="4" w:space="0" w:color="auto"/>
              <w:left w:val="nil"/>
              <w:bottom w:val="single" w:sz="4" w:space="0" w:color="auto"/>
              <w:right w:val="nil"/>
            </w:tcBorders>
            <w:shd w:val="clear" w:color="000000" w:fill="FFFFFF"/>
            <w:vAlign w:val="center"/>
          </w:tcPr>
          <w:p w14:paraId="7346107C" w14:textId="3BF633B9" w:rsidR="00112E0C" w:rsidRPr="00820C89" w:rsidRDefault="00112E0C" w:rsidP="00112E0C">
            <w:pPr>
              <w:spacing w:after="0" w:line="240" w:lineRule="auto"/>
              <w:jc w:val="center"/>
            </w:pPr>
            <w:r w:rsidRPr="00820C89">
              <w:t>0.47</w:t>
            </w:r>
          </w:p>
        </w:tc>
        <w:tc>
          <w:tcPr>
            <w:tcW w:w="904" w:type="pct"/>
            <w:tcBorders>
              <w:top w:val="single" w:sz="4" w:space="0" w:color="auto"/>
              <w:left w:val="nil"/>
              <w:bottom w:val="single" w:sz="4" w:space="0" w:color="auto"/>
              <w:right w:val="nil"/>
            </w:tcBorders>
            <w:shd w:val="clear" w:color="000000" w:fill="FFFFFF"/>
            <w:vAlign w:val="center"/>
          </w:tcPr>
          <w:p w14:paraId="7FA05E5D" w14:textId="31ABA288" w:rsidR="00112E0C" w:rsidRPr="00820C89" w:rsidRDefault="00112E0C" w:rsidP="00112E0C">
            <w:pPr>
              <w:spacing w:after="0" w:line="240" w:lineRule="auto"/>
              <w:jc w:val="center"/>
            </w:pPr>
            <w:r w:rsidRPr="00820C89">
              <w:t>[0.33,0.61]</w:t>
            </w:r>
          </w:p>
        </w:tc>
        <w:tc>
          <w:tcPr>
            <w:tcW w:w="902" w:type="pct"/>
            <w:tcBorders>
              <w:top w:val="single" w:sz="4" w:space="0" w:color="auto"/>
              <w:left w:val="nil"/>
              <w:bottom w:val="single" w:sz="4" w:space="0" w:color="auto"/>
              <w:right w:val="nil"/>
            </w:tcBorders>
            <w:shd w:val="clear" w:color="000000" w:fill="FFFFFF"/>
            <w:vAlign w:val="center"/>
          </w:tcPr>
          <w:p w14:paraId="61F35D9B" w14:textId="41135B15" w:rsidR="00112E0C" w:rsidRPr="00820C89" w:rsidRDefault="008677D4" w:rsidP="00112E0C">
            <w:pPr>
              <w:spacing w:after="0" w:line="240" w:lineRule="auto"/>
              <w:jc w:val="center"/>
            </w:pPr>
            <w:r w:rsidRPr="00820C89">
              <w:t>0.00</w:t>
            </w:r>
          </w:p>
        </w:tc>
        <w:tc>
          <w:tcPr>
            <w:tcW w:w="903" w:type="pct"/>
            <w:tcBorders>
              <w:top w:val="single" w:sz="4" w:space="0" w:color="auto"/>
              <w:left w:val="nil"/>
              <w:bottom w:val="single" w:sz="4" w:space="0" w:color="auto"/>
              <w:right w:val="nil"/>
            </w:tcBorders>
            <w:shd w:val="clear" w:color="auto" w:fill="auto"/>
          </w:tcPr>
          <w:p w14:paraId="505AE730" w14:textId="77777777" w:rsidR="00112E0C" w:rsidRPr="00820C89" w:rsidRDefault="00112E0C" w:rsidP="00112E0C">
            <w:pPr>
              <w:spacing w:after="0" w:line="240" w:lineRule="auto"/>
              <w:jc w:val="center"/>
            </w:pPr>
          </w:p>
        </w:tc>
      </w:tr>
      <w:tr w:rsidR="000F6515" w:rsidRPr="00820C89" w14:paraId="4E88E96F" w14:textId="77777777" w:rsidTr="006B5A98">
        <w:trPr>
          <w:trHeight w:val="315"/>
        </w:trPr>
        <w:tc>
          <w:tcPr>
            <w:tcW w:w="1389" w:type="pct"/>
            <w:tcBorders>
              <w:top w:val="single" w:sz="4" w:space="0" w:color="auto"/>
              <w:bottom w:val="single" w:sz="4" w:space="0" w:color="auto"/>
            </w:tcBorders>
            <w:shd w:val="clear" w:color="auto" w:fill="auto"/>
          </w:tcPr>
          <w:p w14:paraId="78A6AB0E" w14:textId="67E9BA98" w:rsidR="00112E0C" w:rsidRPr="00820C89" w:rsidRDefault="00112E0C" w:rsidP="00112E0C">
            <w:pPr>
              <w:spacing w:after="0" w:line="240" w:lineRule="auto"/>
            </w:pPr>
            <w:r w:rsidRPr="00820C89">
              <w:t>TAEG</w:t>
            </w:r>
          </w:p>
        </w:tc>
        <w:tc>
          <w:tcPr>
            <w:tcW w:w="902" w:type="pct"/>
            <w:tcBorders>
              <w:top w:val="single" w:sz="4" w:space="0" w:color="auto"/>
              <w:left w:val="nil"/>
              <w:bottom w:val="single" w:sz="4" w:space="0" w:color="auto"/>
              <w:right w:val="nil"/>
            </w:tcBorders>
            <w:shd w:val="clear" w:color="auto" w:fill="auto"/>
            <w:vAlign w:val="center"/>
          </w:tcPr>
          <w:p w14:paraId="2CFD3884" w14:textId="6F2B1C4B" w:rsidR="00112E0C" w:rsidRPr="00820C89" w:rsidRDefault="00112E0C" w:rsidP="00112E0C">
            <w:pPr>
              <w:spacing w:after="0" w:line="240" w:lineRule="auto"/>
              <w:jc w:val="center"/>
            </w:pPr>
            <w:r w:rsidRPr="00820C89">
              <w:t>0.44</w:t>
            </w:r>
          </w:p>
        </w:tc>
        <w:tc>
          <w:tcPr>
            <w:tcW w:w="904" w:type="pct"/>
            <w:tcBorders>
              <w:top w:val="single" w:sz="4" w:space="0" w:color="auto"/>
              <w:left w:val="nil"/>
              <w:bottom w:val="single" w:sz="4" w:space="0" w:color="auto"/>
              <w:right w:val="nil"/>
            </w:tcBorders>
            <w:shd w:val="clear" w:color="auto" w:fill="auto"/>
            <w:vAlign w:val="center"/>
          </w:tcPr>
          <w:p w14:paraId="184D34FC" w14:textId="2086F939" w:rsidR="00112E0C" w:rsidRPr="00820C89" w:rsidRDefault="00112E0C" w:rsidP="00112E0C">
            <w:pPr>
              <w:spacing w:after="0" w:line="240" w:lineRule="auto"/>
              <w:jc w:val="center"/>
            </w:pPr>
            <w:r w:rsidRPr="00820C89">
              <w:t>[0.33,0.57]</w:t>
            </w:r>
          </w:p>
        </w:tc>
        <w:tc>
          <w:tcPr>
            <w:tcW w:w="902" w:type="pct"/>
            <w:tcBorders>
              <w:top w:val="single" w:sz="4" w:space="0" w:color="auto"/>
              <w:left w:val="nil"/>
              <w:bottom w:val="single" w:sz="4" w:space="0" w:color="auto"/>
              <w:right w:val="nil"/>
            </w:tcBorders>
            <w:shd w:val="clear" w:color="auto" w:fill="auto"/>
            <w:vAlign w:val="center"/>
          </w:tcPr>
          <w:p w14:paraId="096DE052" w14:textId="1E99FCDD" w:rsidR="00112E0C" w:rsidRPr="00820C89" w:rsidRDefault="008677D4" w:rsidP="00112E0C">
            <w:pPr>
              <w:spacing w:after="0" w:line="240" w:lineRule="auto"/>
              <w:jc w:val="center"/>
            </w:pPr>
            <w:r w:rsidRPr="00820C89">
              <w:t>-0.02</w:t>
            </w:r>
          </w:p>
        </w:tc>
        <w:tc>
          <w:tcPr>
            <w:tcW w:w="903" w:type="pct"/>
            <w:tcBorders>
              <w:top w:val="single" w:sz="4" w:space="0" w:color="auto"/>
              <w:left w:val="nil"/>
              <w:bottom w:val="single" w:sz="4" w:space="0" w:color="auto"/>
              <w:right w:val="nil"/>
            </w:tcBorders>
            <w:shd w:val="clear" w:color="auto" w:fill="auto"/>
          </w:tcPr>
          <w:p w14:paraId="57435E63" w14:textId="77777777" w:rsidR="00112E0C" w:rsidRPr="00820C89" w:rsidRDefault="00112E0C" w:rsidP="00112E0C">
            <w:pPr>
              <w:spacing w:after="0" w:line="240" w:lineRule="auto"/>
              <w:jc w:val="center"/>
            </w:pPr>
          </w:p>
        </w:tc>
      </w:tr>
      <w:tr w:rsidR="00DE7683" w:rsidRPr="00820C89" w14:paraId="3602EFF7" w14:textId="77777777" w:rsidTr="006B5A98">
        <w:trPr>
          <w:trHeight w:val="315"/>
        </w:trPr>
        <w:tc>
          <w:tcPr>
            <w:tcW w:w="1389" w:type="pct"/>
            <w:tcBorders>
              <w:top w:val="single" w:sz="4" w:space="0" w:color="auto"/>
              <w:bottom w:val="single" w:sz="4" w:space="0" w:color="auto"/>
            </w:tcBorders>
          </w:tcPr>
          <w:p w14:paraId="75702F9F" w14:textId="0CA847AB" w:rsidR="00112E0C" w:rsidRPr="00820C89" w:rsidRDefault="00112E0C" w:rsidP="00112E0C">
            <w:pPr>
              <w:spacing w:after="0" w:line="240" w:lineRule="auto"/>
            </w:pPr>
            <w:r w:rsidRPr="00820C89">
              <w:t>Female</w:t>
            </w:r>
          </w:p>
        </w:tc>
        <w:tc>
          <w:tcPr>
            <w:tcW w:w="902" w:type="pct"/>
            <w:tcBorders>
              <w:top w:val="single" w:sz="4" w:space="0" w:color="auto"/>
              <w:left w:val="nil"/>
              <w:bottom w:val="single" w:sz="4" w:space="0" w:color="auto"/>
              <w:right w:val="nil"/>
            </w:tcBorders>
            <w:shd w:val="clear" w:color="000000" w:fill="FFFFFF"/>
            <w:vAlign w:val="center"/>
          </w:tcPr>
          <w:p w14:paraId="6BDFE0F8" w14:textId="63E94C26" w:rsidR="00112E0C" w:rsidRPr="00820C89" w:rsidRDefault="00112E0C" w:rsidP="00112E0C">
            <w:pPr>
              <w:spacing w:after="0" w:line="240" w:lineRule="auto"/>
              <w:jc w:val="center"/>
            </w:pPr>
            <w:r w:rsidRPr="00820C89">
              <w:t>0.53</w:t>
            </w:r>
          </w:p>
        </w:tc>
        <w:tc>
          <w:tcPr>
            <w:tcW w:w="904" w:type="pct"/>
            <w:tcBorders>
              <w:top w:val="single" w:sz="4" w:space="0" w:color="auto"/>
              <w:left w:val="nil"/>
              <w:bottom w:val="single" w:sz="4" w:space="0" w:color="auto"/>
              <w:right w:val="nil"/>
            </w:tcBorders>
            <w:shd w:val="clear" w:color="000000" w:fill="FFFFFF"/>
            <w:vAlign w:val="center"/>
          </w:tcPr>
          <w:p w14:paraId="14ABEAA1" w14:textId="7513D3EC" w:rsidR="00112E0C" w:rsidRPr="00820C89" w:rsidRDefault="00112E0C" w:rsidP="00112E0C">
            <w:pPr>
              <w:spacing w:after="0" w:line="240" w:lineRule="auto"/>
              <w:jc w:val="center"/>
            </w:pPr>
            <w:r w:rsidRPr="00820C89">
              <w:t>[0.41,0.64]</w:t>
            </w:r>
          </w:p>
        </w:tc>
        <w:tc>
          <w:tcPr>
            <w:tcW w:w="902" w:type="pct"/>
            <w:tcBorders>
              <w:top w:val="single" w:sz="4" w:space="0" w:color="auto"/>
              <w:left w:val="nil"/>
              <w:bottom w:val="single" w:sz="4" w:space="0" w:color="auto"/>
              <w:right w:val="nil"/>
            </w:tcBorders>
            <w:shd w:val="clear" w:color="000000" w:fill="FFFFFF"/>
            <w:vAlign w:val="center"/>
          </w:tcPr>
          <w:p w14:paraId="06C66DD4" w14:textId="148661A9" w:rsidR="00112E0C" w:rsidRPr="00820C89" w:rsidRDefault="008677D4" w:rsidP="00112E0C">
            <w:pPr>
              <w:spacing w:after="0" w:line="240" w:lineRule="auto"/>
              <w:jc w:val="center"/>
            </w:pPr>
            <w:r w:rsidRPr="00820C89">
              <w:t>0.06</w:t>
            </w:r>
          </w:p>
        </w:tc>
        <w:tc>
          <w:tcPr>
            <w:tcW w:w="903" w:type="pct"/>
            <w:tcBorders>
              <w:top w:val="single" w:sz="4" w:space="0" w:color="auto"/>
              <w:left w:val="nil"/>
              <w:bottom w:val="single" w:sz="4" w:space="0" w:color="auto"/>
              <w:right w:val="nil"/>
            </w:tcBorders>
            <w:shd w:val="clear" w:color="000000" w:fill="FFFFFF"/>
          </w:tcPr>
          <w:p w14:paraId="05700881" w14:textId="7C4098B8" w:rsidR="00112E0C" w:rsidRPr="00820C89" w:rsidRDefault="000965B2" w:rsidP="00112E0C">
            <w:pPr>
              <w:spacing w:after="0" w:line="240" w:lineRule="auto"/>
              <w:jc w:val="center"/>
            </w:pPr>
            <w:r w:rsidRPr="00820C89">
              <w:t>**</w:t>
            </w:r>
          </w:p>
        </w:tc>
      </w:tr>
      <w:tr w:rsidR="00DE7683" w:rsidRPr="00820C89" w14:paraId="0EB70B05" w14:textId="77777777" w:rsidTr="006B5A98">
        <w:trPr>
          <w:trHeight w:val="315"/>
        </w:trPr>
        <w:tc>
          <w:tcPr>
            <w:tcW w:w="1389" w:type="pct"/>
            <w:tcBorders>
              <w:top w:val="single" w:sz="4" w:space="0" w:color="auto"/>
              <w:bottom w:val="single" w:sz="4" w:space="0" w:color="auto"/>
            </w:tcBorders>
          </w:tcPr>
          <w:p w14:paraId="29BCABED" w14:textId="2ED2148F" w:rsidR="00112E0C" w:rsidRPr="00820C89" w:rsidRDefault="00112E0C" w:rsidP="00112E0C">
            <w:pPr>
              <w:spacing w:after="0" w:line="240" w:lineRule="auto"/>
            </w:pPr>
            <w:r w:rsidRPr="00820C89">
              <w:t>Inner Regional Australia</w:t>
            </w:r>
          </w:p>
        </w:tc>
        <w:tc>
          <w:tcPr>
            <w:tcW w:w="902" w:type="pct"/>
            <w:tcBorders>
              <w:top w:val="single" w:sz="4" w:space="0" w:color="auto"/>
              <w:left w:val="nil"/>
              <w:bottom w:val="single" w:sz="4" w:space="0" w:color="auto"/>
              <w:right w:val="nil"/>
            </w:tcBorders>
            <w:shd w:val="clear" w:color="000000" w:fill="FFFFFF"/>
            <w:vAlign w:val="center"/>
          </w:tcPr>
          <w:p w14:paraId="461C6ABB" w14:textId="081B4505" w:rsidR="00112E0C" w:rsidRPr="00820C89" w:rsidRDefault="00112E0C" w:rsidP="00112E0C">
            <w:pPr>
              <w:spacing w:after="0" w:line="240" w:lineRule="auto"/>
              <w:jc w:val="center"/>
            </w:pPr>
            <w:r w:rsidRPr="00820C89">
              <w:t>0.54</w:t>
            </w:r>
          </w:p>
        </w:tc>
        <w:tc>
          <w:tcPr>
            <w:tcW w:w="904" w:type="pct"/>
            <w:tcBorders>
              <w:top w:val="single" w:sz="4" w:space="0" w:color="auto"/>
              <w:left w:val="nil"/>
              <w:bottom w:val="single" w:sz="4" w:space="0" w:color="auto"/>
              <w:right w:val="nil"/>
            </w:tcBorders>
            <w:shd w:val="clear" w:color="000000" w:fill="FFFFFF"/>
            <w:vAlign w:val="center"/>
          </w:tcPr>
          <w:p w14:paraId="109FD6E7" w14:textId="14B60B3C" w:rsidR="00112E0C" w:rsidRPr="00820C89" w:rsidRDefault="00112E0C" w:rsidP="00112E0C">
            <w:pPr>
              <w:spacing w:after="0" w:line="240" w:lineRule="auto"/>
              <w:jc w:val="center"/>
            </w:pPr>
            <w:r w:rsidRPr="00820C89">
              <w:t>[0.4,0.67]</w:t>
            </w:r>
          </w:p>
        </w:tc>
        <w:tc>
          <w:tcPr>
            <w:tcW w:w="902" w:type="pct"/>
            <w:tcBorders>
              <w:top w:val="single" w:sz="4" w:space="0" w:color="auto"/>
              <w:left w:val="nil"/>
              <w:bottom w:val="single" w:sz="4" w:space="0" w:color="auto"/>
              <w:right w:val="nil"/>
            </w:tcBorders>
            <w:shd w:val="clear" w:color="000000" w:fill="FFFFFF"/>
            <w:vAlign w:val="center"/>
          </w:tcPr>
          <w:p w14:paraId="4B375449" w14:textId="025D4CCA" w:rsidR="00112E0C" w:rsidRPr="00820C89" w:rsidRDefault="008677D4" w:rsidP="00112E0C">
            <w:pPr>
              <w:spacing w:after="0" w:line="240" w:lineRule="auto"/>
              <w:jc w:val="center"/>
            </w:pPr>
            <w:r w:rsidRPr="00820C89">
              <w:t>0.07</w:t>
            </w:r>
          </w:p>
        </w:tc>
        <w:tc>
          <w:tcPr>
            <w:tcW w:w="903" w:type="pct"/>
            <w:tcBorders>
              <w:top w:val="single" w:sz="4" w:space="0" w:color="auto"/>
              <w:left w:val="nil"/>
              <w:bottom w:val="single" w:sz="4" w:space="0" w:color="auto"/>
              <w:right w:val="nil"/>
            </w:tcBorders>
            <w:shd w:val="clear" w:color="000000" w:fill="FFFFFF"/>
          </w:tcPr>
          <w:p w14:paraId="24A951E2" w14:textId="3B1413AE" w:rsidR="00112E0C" w:rsidRPr="00820C89" w:rsidRDefault="008D0C76" w:rsidP="00112E0C">
            <w:pPr>
              <w:spacing w:after="0" w:line="240" w:lineRule="auto"/>
              <w:jc w:val="center"/>
            </w:pPr>
            <w:r w:rsidRPr="00820C89">
              <w:t>*</w:t>
            </w:r>
          </w:p>
        </w:tc>
      </w:tr>
      <w:tr w:rsidR="00DE7683" w:rsidRPr="00820C89" w14:paraId="6EA1B690" w14:textId="77777777" w:rsidTr="006B5A98">
        <w:trPr>
          <w:trHeight w:val="315"/>
        </w:trPr>
        <w:tc>
          <w:tcPr>
            <w:tcW w:w="1389" w:type="pct"/>
            <w:tcBorders>
              <w:top w:val="single" w:sz="4" w:space="0" w:color="auto"/>
              <w:bottom w:val="single" w:sz="4" w:space="0" w:color="auto"/>
            </w:tcBorders>
          </w:tcPr>
          <w:p w14:paraId="1F2E6FF9" w14:textId="4C6B7695" w:rsidR="00112E0C" w:rsidRPr="00820C89" w:rsidRDefault="00112E0C" w:rsidP="00112E0C">
            <w:pPr>
              <w:spacing w:after="0" w:line="240" w:lineRule="auto"/>
            </w:pPr>
            <w:r w:rsidRPr="00820C89">
              <w:t>Outer Regional Australia</w:t>
            </w:r>
          </w:p>
        </w:tc>
        <w:tc>
          <w:tcPr>
            <w:tcW w:w="902" w:type="pct"/>
            <w:tcBorders>
              <w:top w:val="single" w:sz="4" w:space="0" w:color="auto"/>
              <w:left w:val="nil"/>
              <w:bottom w:val="single" w:sz="4" w:space="0" w:color="auto"/>
              <w:right w:val="nil"/>
            </w:tcBorders>
            <w:shd w:val="clear" w:color="000000" w:fill="FFFFFF"/>
            <w:vAlign w:val="center"/>
          </w:tcPr>
          <w:p w14:paraId="538A5CED" w14:textId="193383EC" w:rsidR="00112E0C" w:rsidRPr="00820C89" w:rsidRDefault="00112E0C" w:rsidP="00112E0C">
            <w:pPr>
              <w:spacing w:after="0" w:line="240" w:lineRule="auto"/>
              <w:jc w:val="center"/>
            </w:pPr>
            <w:r w:rsidRPr="00820C89">
              <w:t>0.48</w:t>
            </w:r>
          </w:p>
        </w:tc>
        <w:tc>
          <w:tcPr>
            <w:tcW w:w="904" w:type="pct"/>
            <w:tcBorders>
              <w:top w:val="single" w:sz="4" w:space="0" w:color="auto"/>
              <w:left w:val="nil"/>
              <w:bottom w:val="single" w:sz="4" w:space="0" w:color="auto"/>
              <w:right w:val="nil"/>
            </w:tcBorders>
            <w:shd w:val="clear" w:color="000000" w:fill="FFFFFF"/>
            <w:vAlign w:val="center"/>
          </w:tcPr>
          <w:p w14:paraId="4E143097" w14:textId="26D9B213" w:rsidR="00112E0C" w:rsidRPr="00820C89" w:rsidRDefault="00112E0C" w:rsidP="00112E0C">
            <w:pPr>
              <w:spacing w:after="0" w:line="240" w:lineRule="auto"/>
              <w:jc w:val="center"/>
            </w:pPr>
            <w:r w:rsidRPr="00820C89">
              <w:t>[0.34,0.62]</w:t>
            </w:r>
          </w:p>
        </w:tc>
        <w:tc>
          <w:tcPr>
            <w:tcW w:w="902" w:type="pct"/>
            <w:tcBorders>
              <w:top w:val="single" w:sz="4" w:space="0" w:color="auto"/>
              <w:left w:val="nil"/>
              <w:bottom w:val="single" w:sz="4" w:space="0" w:color="auto"/>
              <w:right w:val="nil"/>
            </w:tcBorders>
            <w:shd w:val="clear" w:color="000000" w:fill="FFFFFF"/>
            <w:vAlign w:val="center"/>
          </w:tcPr>
          <w:p w14:paraId="7E1BD626" w14:textId="5057A44B" w:rsidR="00112E0C" w:rsidRPr="00820C89" w:rsidRDefault="008677D4" w:rsidP="00112E0C">
            <w:pPr>
              <w:spacing w:after="0" w:line="240" w:lineRule="auto"/>
              <w:jc w:val="center"/>
            </w:pPr>
            <w:r w:rsidRPr="00820C89">
              <w:t>0.01</w:t>
            </w:r>
          </w:p>
        </w:tc>
        <w:tc>
          <w:tcPr>
            <w:tcW w:w="903" w:type="pct"/>
            <w:tcBorders>
              <w:top w:val="single" w:sz="4" w:space="0" w:color="auto"/>
              <w:left w:val="nil"/>
              <w:bottom w:val="single" w:sz="4" w:space="0" w:color="auto"/>
              <w:right w:val="nil"/>
            </w:tcBorders>
            <w:shd w:val="clear" w:color="000000" w:fill="FFFFFF"/>
          </w:tcPr>
          <w:p w14:paraId="0CF358C8" w14:textId="77777777" w:rsidR="00112E0C" w:rsidRPr="00820C89" w:rsidRDefault="00112E0C" w:rsidP="00112E0C">
            <w:pPr>
              <w:spacing w:after="0" w:line="240" w:lineRule="auto"/>
              <w:jc w:val="center"/>
            </w:pPr>
          </w:p>
        </w:tc>
      </w:tr>
      <w:tr w:rsidR="00DE7683" w:rsidRPr="00820C89" w14:paraId="40EA2B77" w14:textId="77777777" w:rsidTr="006B5A98">
        <w:trPr>
          <w:trHeight w:val="315"/>
        </w:trPr>
        <w:tc>
          <w:tcPr>
            <w:tcW w:w="1389" w:type="pct"/>
            <w:tcBorders>
              <w:top w:val="single" w:sz="4" w:space="0" w:color="auto"/>
              <w:bottom w:val="single" w:sz="4" w:space="0" w:color="auto"/>
            </w:tcBorders>
          </w:tcPr>
          <w:p w14:paraId="4CE59E35" w14:textId="51B11AA7" w:rsidR="00112E0C" w:rsidRPr="00820C89" w:rsidRDefault="00112E0C" w:rsidP="00112E0C">
            <w:pPr>
              <w:spacing w:after="0" w:line="240" w:lineRule="auto"/>
            </w:pPr>
            <w:r w:rsidRPr="00820C89">
              <w:t>Remote and Very Remote Australia</w:t>
            </w:r>
          </w:p>
        </w:tc>
        <w:tc>
          <w:tcPr>
            <w:tcW w:w="902" w:type="pct"/>
            <w:tcBorders>
              <w:top w:val="single" w:sz="4" w:space="0" w:color="auto"/>
              <w:left w:val="nil"/>
              <w:bottom w:val="single" w:sz="4" w:space="0" w:color="auto"/>
              <w:right w:val="nil"/>
            </w:tcBorders>
            <w:shd w:val="clear" w:color="000000" w:fill="FFFFFF"/>
            <w:vAlign w:val="center"/>
          </w:tcPr>
          <w:p w14:paraId="1FF346AD" w14:textId="6858A390" w:rsidR="00112E0C" w:rsidRPr="00820C89" w:rsidRDefault="00112E0C" w:rsidP="00112E0C">
            <w:pPr>
              <w:spacing w:after="0" w:line="240" w:lineRule="auto"/>
              <w:jc w:val="center"/>
            </w:pPr>
            <w:r w:rsidRPr="00820C89">
              <w:t>0.43</w:t>
            </w:r>
          </w:p>
        </w:tc>
        <w:tc>
          <w:tcPr>
            <w:tcW w:w="904" w:type="pct"/>
            <w:tcBorders>
              <w:top w:val="single" w:sz="4" w:space="0" w:color="auto"/>
              <w:left w:val="nil"/>
              <w:bottom w:val="single" w:sz="4" w:space="0" w:color="auto"/>
              <w:right w:val="nil"/>
            </w:tcBorders>
            <w:shd w:val="clear" w:color="000000" w:fill="FFFFFF"/>
            <w:vAlign w:val="center"/>
          </w:tcPr>
          <w:p w14:paraId="72AE088F" w14:textId="08913C00" w:rsidR="00112E0C" w:rsidRPr="00820C89" w:rsidRDefault="00112E0C" w:rsidP="00112E0C">
            <w:pPr>
              <w:spacing w:after="0" w:line="240" w:lineRule="auto"/>
              <w:jc w:val="center"/>
            </w:pPr>
            <w:r w:rsidRPr="00820C89">
              <w:t>[0.29,0.57]</w:t>
            </w:r>
          </w:p>
        </w:tc>
        <w:tc>
          <w:tcPr>
            <w:tcW w:w="902" w:type="pct"/>
            <w:tcBorders>
              <w:top w:val="single" w:sz="4" w:space="0" w:color="auto"/>
              <w:left w:val="nil"/>
              <w:bottom w:val="single" w:sz="4" w:space="0" w:color="auto"/>
              <w:right w:val="nil"/>
            </w:tcBorders>
            <w:shd w:val="clear" w:color="000000" w:fill="FFFFFF"/>
            <w:vAlign w:val="center"/>
          </w:tcPr>
          <w:p w14:paraId="52EB1225" w14:textId="4D46B2F4" w:rsidR="00112E0C" w:rsidRPr="00820C89" w:rsidRDefault="008677D4" w:rsidP="00112E0C">
            <w:pPr>
              <w:spacing w:after="0" w:line="240" w:lineRule="auto"/>
              <w:jc w:val="center"/>
            </w:pPr>
            <w:r w:rsidRPr="00820C89">
              <w:t>-0.04</w:t>
            </w:r>
          </w:p>
        </w:tc>
        <w:tc>
          <w:tcPr>
            <w:tcW w:w="903" w:type="pct"/>
            <w:tcBorders>
              <w:top w:val="single" w:sz="4" w:space="0" w:color="auto"/>
              <w:left w:val="nil"/>
              <w:bottom w:val="single" w:sz="4" w:space="0" w:color="auto"/>
              <w:right w:val="nil"/>
            </w:tcBorders>
            <w:shd w:val="clear" w:color="000000" w:fill="FFFFFF"/>
          </w:tcPr>
          <w:p w14:paraId="1F23F13B" w14:textId="77777777" w:rsidR="00112E0C" w:rsidRPr="00820C89" w:rsidRDefault="00112E0C" w:rsidP="00112E0C">
            <w:pPr>
              <w:spacing w:after="0" w:line="240" w:lineRule="auto"/>
              <w:jc w:val="center"/>
            </w:pPr>
          </w:p>
        </w:tc>
      </w:tr>
      <w:tr w:rsidR="00DE7683" w:rsidRPr="00820C89" w14:paraId="75D31E04" w14:textId="77777777" w:rsidTr="006B5A98">
        <w:trPr>
          <w:trHeight w:val="315"/>
        </w:trPr>
        <w:tc>
          <w:tcPr>
            <w:tcW w:w="1389" w:type="pct"/>
            <w:tcBorders>
              <w:top w:val="single" w:sz="4" w:space="0" w:color="auto"/>
              <w:bottom w:val="single" w:sz="4" w:space="0" w:color="auto"/>
            </w:tcBorders>
          </w:tcPr>
          <w:p w14:paraId="7292558F" w14:textId="1258616C" w:rsidR="00112E0C" w:rsidRPr="00820C89" w:rsidRDefault="00112E0C" w:rsidP="00112E0C">
            <w:pPr>
              <w:spacing w:after="0" w:line="240" w:lineRule="auto"/>
            </w:pPr>
            <w:r w:rsidRPr="00820C89">
              <w:t>2016</w:t>
            </w:r>
          </w:p>
        </w:tc>
        <w:tc>
          <w:tcPr>
            <w:tcW w:w="902" w:type="pct"/>
            <w:tcBorders>
              <w:top w:val="single" w:sz="4" w:space="0" w:color="auto"/>
              <w:left w:val="nil"/>
              <w:bottom w:val="single" w:sz="4" w:space="0" w:color="auto"/>
              <w:right w:val="nil"/>
            </w:tcBorders>
            <w:shd w:val="clear" w:color="000000" w:fill="FFFFFF"/>
            <w:vAlign w:val="center"/>
          </w:tcPr>
          <w:p w14:paraId="72E94D47" w14:textId="2B87B94F" w:rsidR="00112E0C" w:rsidRPr="00820C89" w:rsidRDefault="00112E0C" w:rsidP="00112E0C">
            <w:pPr>
              <w:spacing w:after="0" w:line="240" w:lineRule="auto"/>
              <w:jc w:val="center"/>
            </w:pPr>
            <w:r w:rsidRPr="00820C89">
              <w:t>0.42</w:t>
            </w:r>
          </w:p>
        </w:tc>
        <w:tc>
          <w:tcPr>
            <w:tcW w:w="904" w:type="pct"/>
            <w:tcBorders>
              <w:top w:val="single" w:sz="4" w:space="0" w:color="auto"/>
              <w:left w:val="nil"/>
              <w:bottom w:val="single" w:sz="4" w:space="0" w:color="auto"/>
              <w:right w:val="nil"/>
            </w:tcBorders>
            <w:shd w:val="clear" w:color="000000" w:fill="FFFFFF"/>
            <w:vAlign w:val="center"/>
          </w:tcPr>
          <w:p w14:paraId="2BFBB0A4" w14:textId="46B78F36" w:rsidR="00112E0C" w:rsidRPr="00820C89" w:rsidRDefault="00112E0C" w:rsidP="00112E0C">
            <w:pPr>
              <w:spacing w:after="0" w:line="240" w:lineRule="auto"/>
              <w:jc w:val="center"/>
            </w:pPr>
            <w:r w:rsidRPr="00820C89">
              <w:t>[0.28,0.57]</w:t>
            </w:r>
          </w:p>
        </w:tc>
        <w:tc>
          <w:tcPr>
            <w:tcW w:w="902" w:type="pct"/>
            <w:tcBorders>
              <w:top w:val="single" w:sz="4" w:space="0" w:color="auto"/>
              <w:left w:val="nil"/>
              <w:bottom w:val="single" w:sz="4" w:space="0" w:color="auto"/>
              <w:right w:val="nil"/>
            </w:tcBorders>
            <w:shd w:val="clear" w:color="000000" w:fill="FFFFFF"/>
            <w:vAlign w:val="center"/>
          </w:tcPr>
          <w:p w14:paraId="7B468038" w14:textId="2C4C2617" w:rsidR="00112E0C" w:rsidRPr="00820C89" w:rsidRDefault="008677D4" w:rsidP="00112E0C">
            <w:pPr>
              <w:spacing w:after="0" w:line="240" w:lineRule="auto"/>
              <w:jc w:val="center"/>
            </w:pPr>
            <w:r w:rsidRPr="00820C89">
              <w:t>-0.05</w:t>
            </w:r>
          </w:p>
        </w:tc>
        <w:tc>
          <w:tcPr>
            <w:tcW w:w="903" w:type="pct"/>
            <w:tcBorders>
              <w:top w:val="single" w:sz="4" w:space="0" w:color="auto"/>
              <w:left w:val="nil"/>
              <w:bottom w:val="single" w:sz="4" w:space="0" w:color="auto"/>
              <w:right w:val="nil"/>
            </w:tcBorders>
            <w:shd w:val="clear" w:color="000000" w:fill="FFFFFF"/>
          </w:tcPr>
          <w:p w14:paraId="5AB1E60B" w14:textId="77777777" w:rsidR="00112E0C" w:rsidRPr="00820C89" w:rsidRDefault="00112E0C" w:rsidP="00112E0C">
            <w:pPr>
              <w:spacing w:after="0" w:line="240" w:lineRule="auto"/>
              <w:jc w:val="center"/>
            </w:pPr>
          </w:p>
        </w:tc>
      </w:tr>
      <w:tr w:rsidR="00DE7683" w:rsidRPr="00820C89" w14:paraId="4A3E0051" w14:textId="77777777" w:rsidTr="006B5A98">
        <w:trPr>
          <w:trHeight w:val="315"/>
        </w:trPr>
        <w:tc>
          <w:tcPr>
            <w:tcW w:w="1389" w:type="pct"/>
            <w:tcBorders>
              <w:top w:val="single" w:sz="4" w:space="0" w:color="auto"/>
              <w:bottom w:val="single" w:sz="4" w:space="0" w:color="auto"/>
            </w:tcBorders>
          </w:tcPr>
          <w:p w14:paraId="3F33807B" w14:textId="639E1D29" w:rsidR="00112E0C" w:rsidRPr="00820C89" w:rsidRDefault="00112E0C" w:rsidP="00112E0C">
            <w:pPr>
              <w:spacing w:after="0" w:line="240" w:lineRule="auto"/>
            </w:pPr>
            <w:r w:rsidRPr="00820C89">
              <w:t>2017</w:t>
            </w:r>
          </w:p>
        </w:tc>
        <w:tc>
          <w:tcPr>
            <w:tcW w:w="902" w:type="pct"/>
            <w:tcBorders>
              <w:top w:val="single" w:sz="4" w:space="0" w:color="auto"/>
              <w:left w:val="nil"/>
              <w:bottom w:val="single" w:sz="4" w:space="0" w:color="auto"/>
              <w:right w:val="nil"/>
            </w:tcBorders>
            <w:shd w:val="clear" w:color="000000" w:fill="FFFFFF"/>
            <w:vAlign w:val="center"/>
          </w:tcPr>
          <w:p w14:paraId="35D4C06E" w14:textId="10DCD80E" w:rsidR="00112E0C" w:rsidRPr="00820C89" w:rsidRDefault="00112E0C" w:rsidP="00112E0C">
            <w:pPr>
              <w:spacing w:after="0" w:line="240" w:lineRule="auto"/>
              <w:jc w:val="center"/>
            </w:pPr>
            <w:r w:rsidRPr="00820C89">
              <w:t>0.42</w:t>
            </w:r>
          </w:p>
        </w:tc>
        <w:tc>
          <w:tcPr>
            <w:tcW w:w="904" w:type="pct"/>
            <w:tcBorders>
              <w:top w:val="single" w:sz="4" w:space="0" w:color="auto"/>
              <w:left w:val="nil"/>
              <w:bottom w:val="single" w:sz="4" w:space="0" w:color="auto"/>
              <w:right w:val="nil"/>
            </w:tcBorders>
            <w:shd w:val="clear" w:color="000000" w:fill="FFFFFF"/>
            <w:vAlign w:val="center"/>
          </w:tcPr>
          <w:p w14:paraId="0B8B503E" w14:textId="0AFDE1D6" w:rsidR="00112E0C" w:rsidRPr="00820C89" w:rsidRDefault="00112E0C" w:rsidP="00112E0C">
            <w:pPr>
              <w:spacing w:after="0" w:line="240" w:lineRule="auto"/>
              <w:jc w:val="center"/>
            </w:pPr>
            <w:r w:rsidRPr="00820C89">
              <w:t>[0.25,0.6]</w:t>
            </w:r>
          </w:p>
        </w:tc>
        <w:tc>
          <w:tcPr>
            <w:tcW w:w="902" w:type="pct"/>
            <w:tcBorders>
              <w:top w:val="single" w:sz="4" w:space="0" w:color="auto"/>
              <w:left w:val="nil"/>
              <w:bottom w:val="single" w:sz="4" w:space="0" w:color="auto"/>
              <w:right w:val="nil"/>
            </w:tcBorders>
            <w:shd w:val="clear" w:color="000000" w:fill="FFFFFF"/>
            <w:vAlign w:val="center"/>
          </w:tcPr>
          <w:p w14:paraId="3DE71C52" w14:textId="005E05F8" w:rsidR="00112E0C" w:rsidRPr="00820C89" w:rsidRDefault="008677D4" w:rsidP="00112E0C">
            <w:pPr>
              <w:spacing w:after="0" w:line="240" w:lineRule="auto"/>
              <w:jc w:val="center"/>
            </w:pPr>
            <w:r w:rsidRPr="00820C89">
              <w:t>-0.05</w:t>
            </w:r>
          </w:p>
        </w:tc>
        <w:tc>
          <w:tcPr>
            <w:tcW w:w="903" w:type="pct"/>
            <w:tcBorders>
              <w:top w:val="single" w:sz="4" w:space="0" w:color="auto"/>
              <w:left w:val="nil"/>
              <w:bottom w:val="single" w:sz="4" w:space="0" w:color="auto"/>
              <w:right w:val="nil"/>
            </w:tcBorders>
            <w:shd w:val="clear" w:color="000000" w:fill="FFFFFF"/>
          </w:tcPr>
          <w:p w14:paraId="66363FE4" w14:textId="77777777" w:rsidR="00112E0C" w:rsidRPr="00820C89" w:rsidRDefault="00112E0C" w:rsidP="00112E0C">
            <w:pPr>
              <w:spacing w:after="0" w:line="240" w:lineRule="auto"/>
              <w:jc w:val="center"/>
            </w:pPr>
          </w:p>
        </w:tc>
      </w:tr>
      <w:tr w:rsidR="00DE7683" w:rsidRPr="00820C89" w14:paraId="7B72FE87" w14:textId="77777777" w:rsidTr="006B5A98">
        <w:trPr>
          <w:trHeight w:val="315"/>
        </w:trPr>
        <w:tc>
          <w:tcPr>
            <w:tcW w:w="1389" w:type="pct"/>
            <w:tcBorders>
              <w:top w:val="single" w:sz="4" w:space="0" w:color="auto"/>
              <w:bottom w:val="single" w:sz="4" w:space="0" w:color="auto"/>
            </w:tcBorders>
          </w:tcPr>
          <w:p w14:paraId="479F123F" w14:textId="43D19F30" w:rsidR="00112E0C" w:rsidRPr="00820C89" w:rsidRDefault="00112E0C" w:rsidP="00112E0C">
            <w:pPr>
              <w:spacing w:after="0" w:line="240" w:lineRule="auto"/>
            </w:pPr>
            <w:r w:rsidRPr="00820C89">
              <w:t>Over 45</w:t>
            </w:r>
          </w:p>
        </w:tc>
        <w:tc>
          <w:tcPr>
            <w:tcW w:w="902" w:type="pct"/>
            <w:tcBorders>
              <w:top w:val="single" w:sz="4" w:space="0" w:color="auto"/>
              <w:left w:val="nil"/>
              <w:bottom w:val="single" w:sz="4" w:space="0" w:color="auto"/>
              <w:right w:val="nil"/>
            </w:tcBorders>
            <w:shd w:val="clear" w:color="000000" w:fill="FFFFFF"/>
            <w:vAlign w:val="center"/>
          </w:tcPr>
          <w:p w14:paraId="3C8BC72A" w14:textId="03594816" w:rsidR="00112E0C" w:rsidRPr="00820C89" w:rsidRDefault="00112E0C" w:rsidP="00112E0C">
            <w:pPr>
              <w:spacing w:after="0" w:line="240" w:lineRule="auto"/>
              <w:jc w:val="center"/>
            </w:pPr>
            <w:r w:rsidRPr="00820C89">
              <w:t>0.53</w:t>
            </w:r>
          </w:p>
        </w:tc>
        <w:tc>
          <w:tcPr>
            <w:tcW w:w="904" w:type="pct"/>
            <w:tcBorders>
              <w:top w:val="single" w:sz="4" w:space="0" w:color="auto"/>
              <w:left w:val="nil"/>
              <w:bottom w:val="single" w:sz="4" w:space="0" w:color="auto"/>
              <w:right w:val="nil"/>
            </w:tcBorders>
            <w:shd w:val="clear" w:color="000000" w:fill="FFFFFF"/>
            <w:vAlign w:val="center"/>
          </w:tcPr>
          <w:p w14:paraId="0CE9345E" w14:textId="48CD92B4" w:rsidR="00112E0C" w:rsidRPr="00820C89" w:rsidRDefault="00112E0C" w:rsidP="00112E0C">
            <w:pPr>
              <w:spacing w:after="0" w:line="240" w:lineRule="auto"/>
              <w:jc w:val="center"/>
            </w:pPr>
            <w:r w:rsidRPr="00820C89">
              <w:t>[0.39,0.66]</w:t>
            </w:r>
          </w:p>
        </w:tc>
        <w:tc>
          <w:tcPr>
            <w:tcW w:w="902" w:type="pct"/>
            <w:tcBorders>
              <w:top w:val="single" w:sz="4" w:space="0" w:color="auto"/>
              <w:left w:val="nil"/>
              <w:bottom w:val="single" w:sz="4" w:space="0" w:color="auto"/>
              <w:right w:val="nil"/>
            </w:tcBorders>
            <w:shd w:val="clear" w:color="000000" w:fill="FFFFFF"/>
            <w:vAlign w:val="center"/>
          </w:tcPr>
          <w:p w14:paraId="59646CA6" w14:textId="3217A4C1" w:rsidR="00112E0C" w:rsidRPr="00820C89" w:rsidRDefault="008677D4" w:rsidP="00112E0C">
            <w:pPr>
              <w:spacing w:after="0" w:line="240" w:lineRule="auto"/>
              <w:jc w:val="center"/>
            </w:pPr>
            <w:r w:rsidRPr="00820C89">
              <w:t>0.06</w:t>
            </w:r>
          </w:p>
        </w:tc>
        <w:tc>
          <w:tcPr>
            <w:tcW w:w="903" w:type="pct"/>
            <w:tcBorders>
              <w:top w:val="single" w:sz="4" w:space="0" w:color="auto"/>
              <w:left w:val="nil"/>
              <w:bottom w:val="single" w:sz="4" w:space="0" w:color="auto"/>
              <w:right w:val="nil"/>
            </w:tcBorders>
            <w:shd w:val="clear" w:color="000000" w:fill="FFFFFF"/>
          </w:tcPr>
          <w:p w14:paraId="7CA906B3" w14:textId="2C19C30C" w:rsidR="00112E0C" w:rsidRPr="00820C89" w:rsidRDefault="00AA2BA3" w:rsidP="00112E0C">
            <w:pPr>
              <w:spacing w:after="0" w:line="240" w:lineRule="auto"/>
              <w:jc w:val="center"/>
            </w:pPr>
            <w:r w:rsidRPr="00820C89">
              <w:t>*</w:t>
            </w:r>
          </w:p>
        </w:tc>
      </w:tr>
      <w:tr w:rsidR="00DE7683" w:rsidRPr="00820C89" w14:paraId="48612B91" w14:textId="77777777" w:rsidTr="006B5A98">
        <w:trPr>
          <w:trHeight w:val="315"/>
        </w:trPr>
        <w:tc>
          <w:tcPr>
            <w:tcW w:w="1389" w:type="pct"/>
            <w:tcBorders>
              <w:top w:val="single" w:sz="4" w:space="0" w:color="auto"/>
              <w:bottom w:val="single" w:sz="4" w:space="0" w:color="auto"/>
            </w:tcBorders>
          </w:tcPr>
          <w:p w14:paraId="059B8AD7" w14:textId="5BD4C07D" w:rsidR="00112E0C" w:rsidRPr="00820C89" w:rsidRDefault="00112E0C" w:rsidP="00112E0C">
            <w:pPr>
              <w:spacing w:after="0" w:line="240" w:lineRule="auto"/>
            </w:pPr>
            <w:r w:rsidRPr="00820C89">
              <w:t>Under 25</w:t>
            </w:r>
          </w:p>
        </w:tc>
        <w:tc>
          <w:tcPr>
            <w:tcW w:w="902" w:type="pct"/>
            <w:tcBorders>
              <w:top w:val="single" w:sz="4" w:space="0" w:color="auto"/>
              <w:left w:val="nil"/>
              <w:bottom w:val="single" w:sz="4" w:space="0" w:color="auto"/>
              <w:right w:val="nil"/>
            </w:tcBorders>
            <w:shd w:val="clear" w:color="000000" w:fill="FFFFFF"/>
            <w:vAlign w:val="center"/>
          </w:tcPr>
          <w:p w14:paraId="3B2A0F15" w14:textId="132F33E9" w:rsidR="00112E0C" w:rsidRPr="00820C89" w:rsidRDefault="00112E0C" w:rsidP="00112E0C">
            <w:pPr>
              <w:spacing w:after="0" w:line="240" w:lineRule="auto"/>
              <w:jc w:val="center"/>
            </w:pPr>
            <w:r w:rsidRPr="00820C89">
              <w:t>0.43</w:t>
            </w:r>
          </w:p>
        </w:tc>
        <w:tc>
          <w:tcPr>
            <w:tcW w:w="904" w:type="pct"/>
            <w:tcBorders>
              <w:top w:val="single" w:sz="4" w:space="0" w:color="auto"/>
              <w:left w:val="nil"/>
              <w:bottom w:val="single" w:sz="4" w:space="0" w:color="auto"/>
              <w:right w:val="nil"/>
            </w:tcBorders>
            <w:shd w:val="clear" w:color="000000" w:fill="FFFFFF"/>
            <w:vAlign w:val="center"/>
          </w:tcPr>
          <w:p w14:paraId="471E9E24" w14:textId="1181D391" w:rsidR="00112E0C" w:rsidRPr="00820C89" w:rsidRDefault="00112E0C" w:rsidP="00112E0C">
            <w:pPr>
              <w:spacing w:after="0" w:line="240" w:lineRule="auto"/>
              <w:jc w:val="center"/>
            </w:pPr>
            <w:r w:rsidRPr="00820C89">
              <w:t>[0.31,0.55]</w:t>
            </w:r>
          </w:p>
        </w:tc>
        <w:tc>
          <w:tcPr>
            <w:tcW w:w="902" w:type="pct"/>
            <w:tcBorders>
              <w:top w:val="single" w:sz="4" w:space="0" w:color="auto"/>
              <w:left w:val="nil"/>
              <w:bottom w:val="single" w:sz="4" w:space="0" w:color="auto"/>
              <w:right w:val="nil"/>
            </w:tcBorders>
            <w:shd w:val="clear" w:color="000000" w:fill="FFFFFF"/>
            <w:vAlign w:val="center"/>
          </w:tcPr>
          <w:p w14:paraId="57915C37" w14:textId="501859A7" w:rsidR="00112E0C" w:rsidRPr="00820C89" w:rsidRDefault="008677D4" w:rsidP="00112E0C">
            <w:pPr>
              <w:spacing w:after="0" w:line="240" w:lineRule="auto"/>
              <w:jc w:val="center"/>
            </w:pPr>
            <w:r w:rsidRPr="00820C89">
              <w:t>-0.04</w:t>
            </w:r>
          </w:p>
        </w:tc>
        <w:tc>
          <w:tcPr>
            <w:tcW w:w="903" w:type="pct"/>
            <w:tcBorders>
              <w:top w:val="single" w:sz="4" w:space="0" w:color="auto"/>
              <w:left w:val="nil"/>
              <w:bottom w:val="single" w:sz="4" w:space="0" w:color="auto"/>
              <w:right w:val="nil"/>
            </w:tcBorders>
            <w:shd w:val="clear" w:color="000000" w:fill="FFFFFF"/>
          </w:tcPr>
          <w:p w14:paraId="7E8B7DAC" w14:textId="735C7075" w:rsidR="00112E0C" w:rsidRPr="00820C89" w:rsidRDefault="00AA2BA3" w:rsidP="00112E0C">
            <w:pPr>
              <w:spacing w:after="0" w:line="240" w:lineRule="auto"/>
              <w:jc w:val="center"/>
            </w:pPr>
            <w:r w:rsidRPr="00820C89">
              <w:t>*</w:t>
            </w:r>
          </w:p>
        </w:tc>
      </w:tr>
      <w:tr w:rsidR="00DE7683" w:rsidRPr="00820C89" w14:paraId="4A01FB16" w14:textId="77777777" w:rsidTr="006B5A98">
        <w:trPr>
          <w:trHeight w:val="315"/>
        </w:trPr>
        <w:tc>
          <w:tcPr>
            <w:tcW w:w="1389" w:type="pct"/>
            <w:tcBorders>
              <w:top w:val="single" w:sz="4" w:space="0" w:color="auto"/>
              <w:bottom w:val="single" w:sz="4" w:space="0" w:color="auto"/>
            </w:tcBorders>
          </w:tcPr>
          <w:p w14:paraId="52D12BB9" w14:textId="0BE96344" w:rsidR="00112E0C" w:rsidRPr="00820C89" w:rsidRDefault="00112E0C" w:rsidP="00112E0C">
            <w:pPr>
              <w:spacing w:after="0" w:line="240" w:lineRule="auto"/>
            </w:pPr>
            <w:r w:rsidRPr="00820C89">
              <w:t>ACT</w:t>
            </w:r>
          </w:p>
        </w:tc>
        <w:tc>
          <w:tcPr>
            <w:tcW w:w="902" w:type="pct"/>
            <w:tcBorders>
              <w:top w:val="single" w:sz="4" w:space="0" w:color="auto"/>
              <w:left w:val="nil"/>
              <w:bottom w:val="single" w:sz="4" w:space="0" w:color="auto"/>
              <w:right w:val="nil"/>
            </w:tcBorders>
            <w:shd w:val="clear" w:color="000000" w:fill="FFFFFF"/>
            <w:vAlign w:val="center"/>
          </w:tcPr>
          <w:p w14:paraId="3D872E13" w14:textId="14E722CD" w:rsidR="00112E0C" w:rsidRPr="00820C89" w:rsidRDefault="00112E0C" w:rsidP="00112E0C">
            <w:pPr>
              <w:spacing w:after="0" w:line="240" w:lineRule="auto"/>
              <w:jc w:val="center"/>
            </w:pPr>
            <w:r w:rsidRPr="00820C89">
              <w:t>0.49</w:t>
            </w:r>
          </w:p>
        </w:tc>
        <w:tc>
          <w:tcPr>
            <w:tcW w:w="904" w:type="pct"/>
            <w:tcBorders>
              <w:top w:val="single" w:sz="4" w:space="0" w:color="auto"/>
              <w:left w:val="nil"/>
              <w:bottom w:val="single" w:sz="4" w:space="0" w:color="auto"/>
              <w:right w:val="nil"/>
            </w:tcBorders>
            <w:shd w:val="clear" w:color="000000" w:fill="FFFFFF"/>
            <w:vAlign w:val="center"/>
          </w:tcPr>
          <w:p w14:paraId="39141E12" w14:textId="3C9E22CA" w:rsidR="00112E0C" w:rsidRPr="00820C89" w:rsidRDefault="00112E0C" w:rsidP="00112E0C">
            <w:pPr>
              <w:spacing w:after="0" w:line="240" w:lineRule="auto"/>
              <w:jc w:val="center"/>
            </w:pPr>
            <w:r w:rsidRPr="00820C89">
              <w:t>[0.28,0.7]</w:t>
            </w:r>
          </w:p>
        </w:tc>
        <w:tc>
          <w:tcPr>
            <w:tcW w:w="902" w:type="pct"/>
            <w:tcBorders>
              <w:top w:val="single" w:sz="4" w:space="0" w:color="auto"/>
              <w:left w:val="nil"/>
              <w:bottom w:val="single" w:sz="4" w:space="0" w:color="auto"/>
              <w:right w:val="nil"/>
            </w:tcBorders>
            <w:shd w:val="clear" w:color="000000" w:fill="FFFFFF"/>
            <w:vAlign w:val="center"/>
          </w:tcPr>
          <w:p w14:paraId="05FF6EE4" w14:textId="51344637" w:rsidR="00112E0C" w:rsidRPr="00820C89" w:rsidRDefault="008677D4" w:rsidP="00112E0C">
            <w:pPr>
              <w:spacing w:after="0" w:line="240" w:lineRule="auto"/>
              <w:jc w:val="center"/>
            </w:pPr>
            <w:r w:rsidRPr="00820C89">
              <w:t>0.02</w:t>
            </w:r>
          </w:p>
        </w:tc>
        <w:tc>
          <w:tcPr>
            <w:tcW w:w="903" w:type="pct"/>
            <w:tcBorders>
              <w:top w:val="single" w:sz="4" w:space="0" w:color="auto"/>
              <w:left w:val="nil"/>
              <w:bottom w:val="single" w:sz="4" w:space="0" w:color="auto"/>
              <w:right w:val="nil"/>
            </w:tcBorders>
            <w:shd w:val="clear" w:color="000000" w:fill="FFFFFF"/>
          </w:tcPr>
          <w:p w14:paraId="334DC817" w14:textId="4234E1BF" w:rsidR="00112E0C" w:rsidRPr="00820C89" w:rsidRDefault="00112E0C" w:rsidP="00112E0C">
            <w:pPr>
              <w:spacing w:after="0" w:line="240" w:lineRule="auto"/>
              <w:jc w:val="center"/>
            </w:pPr>
          </w:p>
        </w:tc>
      </w:tr>
      <w:tr w:rsidR="00DE7683" w:rsidRPr="00820C89" w14:paraId="013BCAB1" w14:textId="77777777" w:rsidTr="006B5A98">
        <w:trPr>
          <w:trHeight w:val="186"/>
        </w:trPr>
        <w:tc>
          <w:tcPr>
            <w:tcW w:w="1389" w:type="pct"/>
            <w:tcBorders>
              <w:top w:val="single" w:sz="4" w:space="0" w:color="auto"/>
              <w:bottom w:val="single" w:sz="4" w:space="0" w:color="auto"/>
            </w:tcBorders>
          </w:tcPr>
          <w:p w14:paraId="490A67F0" w14:textId="1391D1BE" w:rsidR="00112E0C" w:rsidRPr="00820C89" w:rsidRDefault="00112E0C" w:rsidP="00112E0C">
            <w:pPr>
              <w:spacing w:after="0" w:line="240" w:lineRule="auto"/>
            </w:pPr>
            <w:r w:rsidRPr="00820C89">
              <w:t>NT</w:t>
            </w:r>
          </w:p>
        </w:tc>
        <w:tc>
          <w:tcPr>
            <w:tcW w:w="902" w:type="pct"/>
            <w:tcBorders>
              <w:top w:val="single" w:sz="4" w:space="0" w:color="auto"/>
              <w:left w:val="nil"/>
              <w:bottom w:val="single" w:sz="4" w:space="0" w:color="auto"/>
              <w:right w:val="nil"/>
            </w:tcBorders>
            <w:shd w:val="clear" w:color="000000" w:fill="FFFFFF"/>
            <w:vAlign w:val="center"/>
          </w:tcPr>
          <w:p w14:paraId="2F424013" w14:textId="022ECBF2" w:rsidR="00112E0C" w:rsidRPr="00820C89" w:rsidRDefault="00112E0C" w:rsidP="00112E0C">
            <w:pPr>
              <w:spacing w:after="0" w:line="240" w:lineRule="auto"/>
              <w:jc w:val="center"/>
            </w:pPr>
            <w:r w:rsidRPr="00820C89">
              <w:t>0.57</w:t>
            </w:r>
          </w:p>
        </w:tc>
        <w:tc>
          <w:tcPr>
            <w:tcW w:w="904" w:type="pct"/>
            <w:tcBorders>
              <w:top w:val="single" w:sz="4" w:space="0" w:color="auto"/>
              <w:left w:val="nil"/>
              <w:bottom w:val="single" w:sz="4" w:space="0" w:color="auto"/>
              <w:right w:val="nil"/>
            </w:tcBorders>
            <w:shd w:val="clear" w:color="000000" w:fill="FFFFFF"/>
            <w:vAlign w:val="center"/>
          </w:tcPr>
          <w:p w14:paraId="4D8F18A3" w14:textId="19A9734E" w:rsidR="00112E0C" w:rsidRPr="00820C89" w:rsidRDefault="00112E0C" w:rsidP="00112E0C">
            <w:pPr>
              <w:spacing w:after="0" w:line="240" w:lineRule="auto"/>
              <w:jc w:val="center"/>
            </w:pPr>
            <w:r w:rsidRPr="00820C89">
              <w:t>[0.41,0.72]</w:t>
            </w:r>
          </w:p>
        </w:tc>
        <w:tc>
          <w:tcPr>
            <w:tcW w:w="902" w:type="pct"/>
            <w:tcBorders>
              <w:top w:val="single" w:sz="4" w:space="0" w:color="auto"/>
              <w:left w:val="nil"/>
              <w:bottom w:val="single" w:sz="4" w:space="0" w:color="auto"/>
              <w:right w:val="nil"/>
            </w:tcBorders>
            <w:shd w:val="clear" w:color="000000" w:fill="FFFFFF"/>
            <w:vAlign w:val="center"/>
          </w:tcPr>
          <w:p w14:paraId="1BA0E33C" w14:textId="5D76910F" w:rsidR="00112E0C" w:rsidRPr="00820C89" w:rsidRDefault="008677D4" w:rsidP="00112E0C">
            <w:pPr>
              <w:spacing w:after="0" w:line="240" w:lineRule="auto"/>
              <w:jc w:val="center"/>
            </w:pPr>
            <w:r w:rsidRPr="00820C89">
              <w:t>0.10</w:t>
            </w:r>
          </w:p>
        </w:tc>
        <w:tc>
          <w:tcPr>
            <w:tcW w:w="903" w:type="pct"/>
            <w:tcBorders>
              <w:top w:val="single" w:sz="4" w:space="0" w:color="auto"/>
              <w:left w:val="nil"/>
              <w:bottom w:val="single" w:sz="4" w:space="0" w:color="auto"/>
              <w:right w:val="nil"/>
            </w:tcBorders>
            <w:shd w:val="clear" w:color="000000" w:fill="FFFFFF"/>
          </w:tcPr>
          <w:p w14:paraId="063A2F78" w14:textId="0F01C998" w:rsidR="00112E0C" w:rsidRPr="00820C89" w:rsidRDefault="000C0FB4" w:rsidP="00112E0C">
            <w:pPr>
              <w:spacing w:after="0" w:line="240" w:lineRule="auto"/>
              <w:jc w:val="center"/>
            </w:pPr>
            <w:r w:rsidRPr="00820C89">
              <w:t>*</w:t>
            </w:r>
          </w:p>
        </w:tc>
      </w:tr>
      <w:tr w:rsidR="00DE7683" w:rsidRPr="00820C89" w14:paraId="3ABB9912" w14:textId="77777777" w:rsidTr="006B5A98">
        <w:trPr>
          <w:trHeight w:val="315"/>
        </w:trPr>
        <w:tc>
          <w:tcPr>
            <w:tcW w:w="1389" w:type="pct"/>
            <w:tcBorders>
              <w:top w:val="single" w:sz="4" w:space="0" w:color="auto"/>
              <w:bottom w:val="single" w:sz="4" w:space="0" w:color="auto"/>
            </w:tcBorders>
          </w:tcPr>
          <w:p w14:paraId="6DDB8F56" w14:textId="5C2815AD" w:rsidR="00112E0C" w:rsidRPr="00820C89" w:rsidRDefault="00112E0C" w:rsidP="00112E0C">
            <w:pPr>
              <w:spacing w:after="0" w:line="240" w:lineRule="auto"/>
            </w:pPr>
            <w:r w:rsidRPr="00820C89">
              <w:t>QLD</w:t>
            </w:r>
          </w:p>
        </w:tc>
        <w:tc>
          <w:tcPr>
            <w:tcW w:w="902" w:type="pct"/>
            <w:tcBorders>
              <w:top w:val="single" w:sz="4" w:space="0" w:color="auto"/>
              <w:left w:val="nil"/>
              <w:bottom w:val="single" w:sz="4" w:space="0" w:color="auto"/>
              <w:right w:val="nil"/>
            </w:tcBorders>
            <w:shd w:val="clear" w:color="000000" w:fill="FFFFFF"/>
            <w:vAlign w:val="center"/>
          </w:tcPr>
          <w:p w14:paraId="1B16C870" w14:textId="5852C29A" w:rsidR="00112E0C" w:rsidRPr="00820C89" w:rsidRDefault="00112E0C" w:rsidP="00112E0C">
            <w:pPr>
              <w:spacing w:after="0" w:line="240" w:lineRule="auto"/>
              <w:jc w:val="center"/>
            </w:pPr>
            <w:r w:rsidRPr="00820C89">
              <w:t>0.51</w:t>
            </w:r>
          </w:p>
        </w:tc>
        <w:tc>
          <w:tcPr>
            <w:tcW w:w="904" w:type="pct"/>
            <w:tcBorders>
              <w:top w:val="single" w:sz="4" w:space="0" w:color="auto"/>
              <w:left w:val="nil"/>
              <w:bottom w:val="single" w:sz="4" w:space="0" w:color="auto"/>
              <w:right w:val="nil"/>
            </w:tcBorders>
            <w:shd w:val="clear" w:color="000000" w:fill="FFFFFF"/>
            <w:vAlign w:val="center"/>
          </w:tcPr>
          <w:p w14:paraId="409740E7" w14:textId="14B93B99" w:rsidR="00112E0C" w:rsidRPr="00820C89" w:rsidRDefault="00112E0C" w:rsidP="00112E0C">
            <w:pPr>
              <w:spacing w:after="0" w:line="240" w:lineRule="auto"/>
              <w:jc w:val="center"/>
            </w:pPr>
            <w:r w:rsidRPr="00820C89">
              <w:t>[0.38,0.65]</w:t>
            </w:r>
          </w:p>
        </w:tc>
        <w:tc>
          <w:tcPr>
            <w:tcW w:w="902" w:type="pct"/>
            <w:tcBorders>
              <w:top w:val="single" w:sz="4" w:space="0" w:color="auto"/>
              <w:left w:val="nil"/>
              <w:bottom w:val="single" w:sz="4" w:space="0" w:color="auto"/>
              <w:right w:val="nil"/>
            </w:tcBorders>
            <w:shd w:val="clear" w:color="000000" w:fill="FFFFFF"/>
            <w:vAlign w:val="center"/>
          </w:tcPr>
          <w:p w14:paraId="541428CF" w14:textId="28A7C790" w:rsidR="00112E0C" w:rsidRPr="00820C89" w:rsidRDefault="008677D4" w:rsidP="00112E0C">
            <w:pPr>
              <w:spacing w:after="0" w:line="240" w:lineRule="auto"/>
              <w:jc w:val="center"/>
            </w:pPr>
            <w:r w:rsidRPr="00820C89">
              <w:t>0.05</w:t>
            </w:r>
          </w:p>
        </w:tc>
        <w:tc>
          <w:tcPr>
            <w:tcW w:w="903" w:type="pct"/>
            <w:tcBorders>
              <w:top w:val="single" w:sz="4" w:space="0" w:color="auto"/>
              <w:left w:val="nil"/>
              <w:bottom w:val="single" w:sz="4" w:space="0" w:color="auto"/>
              <w:right w:val="nil"/>
            </w:tcBorders>
            <w:shd w:val="clear" w:color="000000" w:fill="FFFFFF"/>
          </w:tcPr>
          <w:p w14:paraId="246E68EA" w14:textId="77777777" w:rsidR="00112E0C" w:rsidRPr="00820C89" w:rsidRDefault="00112E0C" w:rsidP="00112E0C">
            <w:pPr>
              <w:spacing w:after="0" w:line="240" w:lineRule="auto"/>
              <w:jc w:val="center"/>
            </w:pPr>
          </w:p>
        </w:tc>
      </w:tr>
      <w:tr w:rsidR="00DE7683" w:rsidRPr="00820C89" w14:paraId="738BFC15" w14:textId="77777777" w:rsidTr="006B5A98">
        <w:trPr>
          <w:trHeight w:val="315"/>
        </w:trPr>
        <w:tc>
          <w:tcPr>
            <w:tcW w:w="1389" w:type="pct"/>
            <w:tcBorders>
              <w:top w:val="single" w:sz="4" w:space="0" w:color="auto"/>
              <w:bottom w:val="single" w:sz="4" w:space="0" w:color="auto"/>
            </w:tcBorders>
          </w:tcPr>
          <w:p w14:paraId="49EC2CFE" w14:textId="08D47BC5" w:rsidR="00112E0C" w:rsidRPr="00820C89" w:rsidRDefault="00112E0C" w:rsidP="00112E0C">
            <w:pPr>
              <w:spacing w:after="0" w:line="240" w:lineRule="auto"/>
            </w:pPr>
            <w:r w:rsidRPr="00820C89">
              <w:t>SA</w:t>
            </w:r>
          </w:p>
        </w:tc>
        <w:tc>
          <w:tcPr>
            <w:tcW w:w="902" w:type="pct"/>
            <w:tcBorders>
              <w:top w:val="single" w:sz="4" w:space="0" w:color="auto"/>
              <w:left w:val="nil"/>
              <w:bottom w:val="single" w:sz="4" w:space="0" w:color="auto"/>
              <w:right w:val="nil"/>
            </w:tcBorders>
            <w:shd w:val="clear" w:color="000000" w:fill="FFFFFF"/>
            <w:vAlign w:val="center"/>
          </w:tcPr>
          <w:p w14:paraId="0486E3DE" w14:textId="7A0076EB" w:rsidR="00112E0C" w:rsidRPr="00820C89" w:rsidRDefault="00112E0C" w:rsidP="00112E0C">
            <w:pPr>
              <w:spacing w:after="0" w:line="240" w:lineRule="auto"/>
              <w:jc w:val="center"/>
            </w:pPr>
            <w:r w:rsidRPr="00820C89">
              <w:t>0.51</w:t>
            </w:r>
          </w:p>
        </w:tc>
        <w:tc>
          <w:tcPr>
            <w:tcW w:w="904" w:type="pct"/>
            <w:tcBorders>
              <w:top w:val="single" w:sz="4" w:space="0" w:color="auto"/>
              <w:left w:val="nil"/>
              <w:bottom w:val="single" w:sz="4" w:space="0" w:color="auto"/>
              <w:right w:val="nil"/>
            </w:tcBorders>
            <w:shd w:val="clear" w:color="000000" w:fill="FFFFFF"/>
            <w:vAlign w:val="center"/>
          </w:tcPr>
          <w:p w14:paraId="43A1B915" w14:textId="21302244" w:rsidR="00112E0C" w:rsidRPr="00820C89" w:rsidRDefault="00112E0C" w:rsidP="00112E0C">
            <w:pPr>
              <w:spacing w:after="0" w:line="240" w:lineRule="auto"/>
              <w:jc w:val="center"/>
            </w:pPr>
            <w:r w:rsidRPr="00820C89">
              <w:t>[0.34,0.67]</w:t>
            </w:r>
          </w:p>
        </w:tc>
        <w:tc>
          <w:tcPr>
            <w:tcW w:w="902" w:type="pct"/>
            <w:tcBorders>
              <w:top w:val="single" w:sz="4" w:space="0" w:color="auto"/>
              <w:left w:val="nil"/>
              <w:bottom w:val="single" w:sz="4" w:space="0" w:color="auto"/>
              <w:right w:val="nil"/>
            </w:tcBorders>
            <w:shd w:val="clear" w:color="000000" w:fill="FFFFFF"/>
            <w:vAlign w:val="center"/>
          </w:tcPr>
          <w:p w14:paraId="45E07C16" w14:textId="479FB45B" w:rsidR="00112E0C" w:rsidRPr="00820C89" w:rsidRDefault="008677D4" w:rsidP="00112E0C">
            <w:pPr>
              <w:spacing w:after="0" w:line="240" w:lineRule="auto"/>
              <w:jc w:val="center"/>
            </w:pPr>
            <w:r w:rsidRPr="00820C89">
              <w:t>0.04</w:t>
            </w:r>
          </w:p>
        </w:tc>
        <w:tc>
          <w:tcPr>
            <w:tcW w:w="903" w:type="pct"/>
            <w:tcBorders>
              <w:top w:val="single" w:sz="4" w:space="0" w:color="auto"/>
              <w:left w:val="nil"/>
              <w:bottom w:val="single" w:sz="4" w:space="0" w:color="auto"/>
              <w:right w:val="nil"/>
            </w:tcBorders>
            <w:shd w:val="clear" w:color="000000" w:fill="FFFFFF"/>
          </w:tcPr>
          <w:p w14:paraId="500539EC" w14:textId="77777777" w:rsidR="00112E0C" w:rsidRPr="00820C89" w:rsidRDefault="00112E0C" w:rsidP="00112E0C">
            <w:pPr>
              <w:spacing w:after="0" w:line="240" w:lineRule="auto"/>
              <w:jc w:val="center"/>
            </w:pPr>
          </w:p>
        </w:tc>
      </w:tr>
      <w:tr w:rsidR="00DE7683" w:rsidRPr="00820C89" w14:paraId="44885701" w14:textId="77777777" w:rsidTr="006B5A98">
        <w:trPr>
          <w:trHeight w:val="315"/>
        </w:trPr>
        <w:tc>
          <w:tcPr>
            <w:tcW w:w="1389" w:type="pct"/>
            <w:tcBorders>
              <w:top w:val="single" w:sz="4" w:space="0" w:color="auto"/>
              <w:bottom w:val="single" w:sz="4" w:space="0" w:color="auto"/>
            </w:tcBorders>
          </w:tcPr>
          <w:p w14:paraId="5C529A4D" w14:textId="5A9CF9F3" w:rsidR="00112E0C" w:rsidRPr="00820C89" w:rsidRDefault="00112E0C" w:rsidP="00112E0C">
            <w:pPr>
              <w:spacing w:after="0" w:line="240" w:lineRule="auto"/>
            </w:pPr>
            <w:r w:rsidRPr="00820C89">
              <w:t>TAS</w:t>
            </w:r>
          </w:p>
        </w:tc>
        <w:tc>
          <w:tcPr>
            <w:tcW w:w="902" w:type="pct"/>
            <w:tcBorders>
              <w:top w:val="single" w:sz="4" w:space="0" w:color="auto"/>
              <w:left w:val="nil"/>
              <w:bottom w:val="single" w:sz="4" w:space="0" w:color="auto"/>
              <w:right w:val="nil"/>
            </w:tcBorders>
            <w:shd w:val="clear" w:color="000000" w:fill="FFFFFF"/>
            <w:vAlign w:val="center"/>
          </w:tcPr>
          <w:p w14:paraId="67F672BB" w14:textId="7EDF1891" w:rsidR="00112E0C" w:rsidRPr="00820C89" w:rsidRDefault="00112E0C" w:rsidP="00112E0C">
            <w:pPr>
              <w:spacing w:after="0" w:line="240" w:lineRule="auto"/>
              <w:jc w:val="center"/>
            </w:pPr>
            <w:r w:rsidRPr="00820C89">
              <w:t>0.41</w:t>
            </w:r>
          </w:p>
        </w:tc>
        <w:tc>
          <w:tcPr>
            <w:tcW w:w="904" w:type="pct"/>
            <w:tcBorders>
              <w:top w:val="single" w:sz="4" w:space="0" w:color="auto"/>
              <w:left w:val="nil"/>
              <w:bottom w:val="single" w:sz="4" w:space="0" w:color="auto"/>
              <w:right w:val="nil"/>
            </w:tcBorders>
            <w:shd w:val="clear" w:color="000000" w:fill="FFFFFF"/>
            <w:vAlign w:val="center"/>
          </w:tcPr>
          <w:p w14:paraId="57EE68C8" w14:textId="4E9F61B2" w:rsidR="00112E0C" w:rsidRPr="00820C89" w:rsidRDefault="00112E0C" w:rsidP="00112E0C">
            <w:pPr>
              <w:spacing w:after="0" w:line="240" w:lineRule="auto"/>
              <w:jc w:val="center"/>
            </w:pPr>
            <w:r w:rsidRPr="00820C89">
              <w:t>[0.21,0.65]</w:t>
            </w:r>
          </w:p>
        </w:tc>
        <w:tc>
          <w:tcPr>
            <w:tcW w:w="902" w:type="pct"/>
            <w:tcBorders>
              <w:top w:val="single" w:sz="4" w:space="0" w:color="auto"/>
              <w:left w:val="nil"/>
              <w:bottom w:val="single" w:sz="4" w:space="0" w:color="auto"/>
              <w:right w:val="nil"/>
            </w:tcBorders>
            <w:shd w:val="clear" w:color="000000" w:fill="FFFFFF"/>
            <w:vAlign w:val="center"/>
          </w:tcPr>
          <w:p w14:paraId="749C6C50" w14:textId="54D6E71E" w:rsidR="00112E0C" w:rsidRPr="00820C89" w:rsidRDefault="008677D4" w:rsidP="00112E0C">
            <w:pPr>
              <w:spacing w:after="0" w:line="240" w:lineRule="auto"/>
              <w:jc w:val="center"/>
            </w:pPr>
            <w:r w:rsidRPr="00820C89">
              <w:t>-0.05</w:t>
            </w:r>
          </w:p>
        </w:tc>
        <w:tc>
          <w:tcPr>
            <w:tcW w:w="903" w:type="pct"/>
            <w:tcBorders>
              <w:top w:val="single" w:sz="4" w:space="0" w:color="auto"/>
              <w:left w:val="nil"/>
              <w:bottom w:val="single" w:sz="4" w:space="0" w:color="auto"/>
              <w:right w:val="nil"/>
            </w:tcBorders>
            <w:shd w:val="clear" w:color="000000" w:fill="FFFFFF"/>
          </w:tcPr>
          <w:p w14:paraId="2FF426FC" w14:textId="77777777" w:rsidR="00112E0C" w:rsidRPr="00820C89" w:rsidRDefault="00112E0C" w:rsidP="00112E0C">
            <w:pPr>
              <w:spacing w:after="0" w:line="240" w:lineRule="auto"/>
              <w:jc w:val="center"/>
            </w:pPr>
          </w:p>
        </w:tc>
      </w:tr>
      <w:tr w:rsidR="00DE7683" w:rsidRPr="00820C89" w14:paraId="3226FD1B" w14:textId="77777777" w:rsidTr="006B5A98">
        <w:trPr>
          <w:trHeight w:val="315"/>
        </w:trPr>
        <w:tc>
          <w:tcPr>
            <w:tcW w:w="1389" w:type="pct"/>
            <w:tcBorders>
              <w:top w:val="single" w:sz="4" w:space="0" w:color="auto"/>
              <w:bottom w:val="single" w:sz="4" w:space="0" w:color="auto"/>
            </w:tcBorders>
          </w:tcPr>
          <w:p w14:paraId="3D7EA9D0" w14:textId="532DC0C2" w:rsidR="00112E0C" w:rsidRPr="00820C89" w:rsidRDefault="00112E0C" w:rsidP="00112E0C">
            <w:pPr>
              <w:spacing w:after="0" w:line="240" w:lineRule="auto"/>
            </w:pPr>
            <w:r w:rsidRPr="00820C89">
              <w:t>VIC</w:t>
            </w:r>
          </w:p>
        </w:tc>
        <w:tc>
          <w:tcPr>
            <w:tcW w:w="902" w:type="pct"/>
            <w:tcBorders>
              <w:top w:val="single" w:sz="4" w:space="0" w:color="auto"/>
              <w:left w:val="nil"/>
              <w:bottom w:val="single" w:sz="4" w:space="0" w:color="auto"/>
              <w:right w:val="nil"/>
            </w:tcBorders>
            <w:shd w:val="clear" w:color="000000" w:fill="FFFFFF"/>
            <w:vAlign w:val="center"/>
          </w:tcPr>
          <w:p w14:paraId="3F457258" w14:textId="4FBE74FA" w:rsidR="00112E0C" w:rsidRPr="00820C89" w:rsidRDefault="00112E0C" w:rsidP="00112E0C">
            <w:pPr>
              <w:spacing w:after="0" w:line="240" w:lineRule="auto"/>
              <w:jc w:val="center"/>
            </w:pPr>
            <w:r w:rsidRPr="00820C89">
              <w:t>0.46</w:t>
            </w:r>
          </w:p>
        </w:tc>
        <w:tc>
          <w:tcPr>
            <w:tcW w:w="904" w:type="pct"/>
            <w:tcBorders>
              <w:top w:val="single" w:sz="4" w:space="0" w:color="auto"/>
              <w:left w:val="nil"/>
              <w:bottom w:val="single" w:sz="4" w:space="0" w:color="auto"/>
              <w:right w:val="nil"/>
            </w:tcBorders>
            <w:shd w:val="clear" w:color="000000" w:fill="FFFFFF"/>
            <w:vAlign w:val="center"/>
          </w:tcPr>
          <w:p w14:paraId="3E7843CE" w14:textId="5373BF15" w:rsidR="00112E0C" w:rsidRPr="00820C89" w:rsidRDefault="00112E0C" w:rsidP="00112E0C">
            <w:pPr>
              <w:spacing w:after="0" w:line="240" w:lineRule="auto"/>
              <w:jc w:val="center"/>
            </w:pPr>
            <w:r w:rsidRPr="00820C89">
              <w:t>[0.31,0.61]</w:t>
            </w:r>
          </w:p>
        </w:tc>
        <w:tc>
          <w:tcPr>
            <w:tcW w:w="902" w:type="pct"/>
            <w:tcBorders>
              <w:top w:val="single" w:sz="4" w:space="0" w:color="auto"/>
              <w:left w:val="nil"/>
              <w:bottom w:val="single" w:sz="4" w:space="0" w:color="auto"/>
              <w:right w:val="nil"/>
            </w:tcBorders>
            <w:shd w:val="clear" w:color="000000" w:fill="FFFFFF"/>
            <w:vAlign w:val="center"/>
          </w:tcPr>
          <w:p w14:paraId="66407561" w14:textId="536D3E7E" w:rsidR="00112E0C" w:rsidRPr="00820C89" w:rsidRDefault="008677D4" w:rsidP="00112E0C">
            <w:pPr>
              <w:spacing w:after="0" w:line="240" w:lineRule="auto"/>
              <w:jc w:val="center"/>
            </w:pPr>
            <w:r w:rsidRPr="00820C89">
              <w:t>-0.01</w:t>
            </w:r>
          </w:p>
        </w:tc>
        <w:tc>
          <w:tcPr>
            <w:tcW w:w="903" w:type="pct"/>
            <w:tcBorders>
              <w:top w:val="single" w:sz="4" w:space="0" w:color="auto"/>
              <w:left w:val="nil"/>
              <w:bottom w:val="single" w:sz="4" w:space="0" w:color="auto"/>
              <w:right w:val="nil"/>
            </w:tcBorders>
            <w:shd w:val="clear" w:color="000000" w:fill="FFFFFF"/>
          </w:tcPr>
          <w:p w14:paraId="51E3FB28" w14:textId="1F6ADA83" w:rsidR="00112E0C" w:rsidRPr="00820C89" w:rsidRDefault="00112E0C" w:rsidP="00112E0C">
            <w:pPr>
              <w:spacing w:after="0" w:line="240" w:lineRule="auto"/>
              <w:jc w:val="center"/>
            </w:pPr>
          </w:p>
        </w:tc>
      </w:tr>
      <w:tr w:rsidR="00DE7683" w:rsidRPr="00820C89" w14:paraId="57BFBDC5" w14:textId="77777777" w:rsidTr="006B5A98">
        <w:trPr>
          <w:trHeight w:val="315"/>
        </w:trPr>
        <w:tc>
          <w:tcPr>
            <w:tcW w:w="1389" w:type="pct"/>
            <w:tcBorders>
              <w:top w:val="single" w:sz="4" w:space="0" w:color="auto"/>
              <w:bottom w:val="single" w:sz="4" w:space="0" w:color="auto"/>
            </w:tcBorders>
          </w:tcPr>
          <w:p w14:paraId="1CC8CAE7" w14:textId="1D48B862" w:rsidR="00112E0C" w:rsidRPr="00820C89" w:rsidRDefault="00112E0C" w:rsidP="00112E0C">
            <w:pPr>
              <w:spacing w:after="0" w:line="240" w:lineRule="auto"/>
            </w:pPr>
            <w:r w:rsidRPr="00820C89">
              <w:t>WA</w:t>
            </w:r>
          </w:p>
        </w:tc>
        <w:tc>
          <w:tcPr>
            <w:tcW w:w="902" w:type="pct"/>
            <w:tcBorders>
              <w:top w:val="single" w:sz="4" w:space="0" w:color="auto"/>
              <w:left w:val="nil"/>
              <w:bottom w:val="single" w:sz="4" w:space="0" w:color="auto"/>
              <w:right w:val="nil"/>
            </w:tcBorders>
            <w:shd w:val="clear" w:color="000000" w:fill="FFFFFF"/>
            <w:vAlign w:val="center"/>
          </w:tcPr>
          <w:p w14:paraId="5E1CCE71" w14:textId="589A6FDD" w:rsidR="00112E0C" w:rsidRPr="00820C89" w:rsidRDefault="00112E0C" w:rsidP="00112E0C">
            <w:pPr>
              <w:spacing w:after="0" w:line="240" w:lineRule="auto"/>
              <w:jc w:val="center"/>
            </w:pPr>
            <w:r w:rsidRPr="00820C89">
              <w:t>0.57</w:t>
            </w:r>
          </w:p>
        </w:tc>
        <w:tc>
          <w:tcPr>
            <w:tcW w:w="904" w:type="pct"/>
            <w:tcBorders>
              <w:top w:val="single" w:sz="4" w:space="0" w:color="auto"/>
              <w:left w:val="nil"/>
              <w:bottom w:val="single" w:sz="4" w:space="0" w:color="auto"/>
              <w:right w:val="nil"/>
            </w:tcBorders>
            <w:shd w:val="clear" w:color="000000" w:fill="FFFFFF"/>
            <w:vAlign w:val="center"/>
          </w:tcPr>
          <w:p w14:paraId="7902AF90" w14:textId="1A76652B" w:rsidR="00112E0C" w:rsidRPr="00820C89" w:rsidRDefault="00112E0C" w:rsidP="00112E0C">
            <w:pPr>
              <w:spacing w:after="0" w:line="240" w:lineRule="auto"/>
              <w:jc w:val="center"/>
            </w:pPr>
            <w:r w:rsidRPr="00820C89">
              <w:t>[0.42,0.7]</w:t>
            </w:r>
          </w:p>
        </w:tc>
        <w:tc>
          <w:tcPr>
            <w:tcW w:w="902" w:type="pct"/>
            <w:tcBorders>
              <w:top w:val="single" w:sz="4" w:space="0" w:color="auto"/>
              <w:left w:val="nil"/>
              <w:bottom w:val="single" w:sz="4" w:space="0" w:color="auto"/>
              <w:right w:val="nil"/>
            </w:tcBorders>
            <w:shd w:val="clear" w:color="000000" w:fill="FFFFFF"/>
            <w:vAlign w:val="center"/>
          </w:tcPr>
          <w:p w14:paraId="1228ACAE" w14:textId="21034463" w:rsidR="00112E0C" w:rsidRPr="00820C89" w:rsidRDefault="008677D4" w:rsidP="00112E0C">
            <w:pPr>
              <w:spacing w:after="0" w:line="240" w:lineRule="auto"/>
              <w:jc w:val="center"/>
            </w:pPr>
            <w:r w:rsidRPr="00820C89">
              <w:t>0.10</w:t>
            </w:r>
          </w:p>
        </w:tc>
        <w:tc>
          <w:tcPr>
            <w:tcW w:w="903" w:type="pct"/>
            <w:tcBorders>
              <w:top w:val="single" w:sz="4" w:space="0" w:color="auto"/>
              <w:left w:val="nil"/>
              <w:bottom w:val="single" w:sz="4" w:space="0" w:color="auto"/>
              <w:right w:val="nil"/>
            </w:tcBorders>
            <w:shd w:val="clear" w:color="000000" w:fill="FFFFFF"/>
          </w:tcPr>
          <w:p w14:paraId="3D754AB4" w14:textId="2C324C26" w:rsidR="00112E0C" w:rsidRPr="00820C89" w:rsidRDefault="00B769DC" w:rsidP="00112E0C">
            <w:pPr>
              <w:spacing w:after="0" w:line="240" w:lineRule="auto"/>
              <w:jc w:val="center"/>
            </w:pPr>
            <w:r w:rsidRPr="00820C89">
              <w:t>**</w:t>
            </w:r>
          </w:p>
        </w:tc>
      </w:tr>
      <w:tr w:rsidR="00DE7683" w:rsidRPr="00820C89" w14:paraId="37D84600" w14:textId="77777777" w:rsidTr="006B5A98">
        <w:trPr>
          <w:trHeight w:val="315"/>
        </w:trPr>
        <w:tc>
          <w:tcPr>
            <w:tcW w:w="1389" w:type="pct"/>
            <w:tcBorders>
              <w:top w:val="single" w:sz="4" w:space="0" w:color="auto"/>
              <w:bottom w:val="single" w:sz="4" w:space="0" w:color="auto"/>
            </w:tcBorders>
          </w:tcPr>
          <w:p w14:paraId="71E01B5C" w14:textId="29D41DFF" w:rsidR="00112E0C" w:rsidRPr="00820C89" w:rsidRDefault="00112E0C" w:rsidP="00112E0C">
            <w:pPr>
              <w:spacing w:after="0" w:line="240" w:lineRule="auto"/>
            </w:pPr>
            <w:r w:rsidRPr="00820C89">
              <w:t>Achieve 26-week outcome</w:t>
            </w:r>
          </w:p>
        </w:tc>
        <w:tc>
          <w:tcPr>
            <w:tcW w:w="902" w:type="pct"/>
            <w:tcBorders>
              <w:top w:val="single" w:sz="4" w:space="0" w:color="auto"/>
              <w:left w:val="nil"/>
              <w:bottom w:val="single" w:sz="4" w:space="0" w:color="auto"/>
              <w:right w:val="nil"/>
            </w:tcBorders>
            <w:shd w:val="clear" w:color="000000" w:fill="FFFFFF"/>
            <w:vAlign w:val="center"/>
          </w:tcPr>
          <w:p w14:paraId="3D868EBC" w14:textId="37C25158" w:rsidR="00112E0C" w:rsidRPr="00820C89" w:rsidRDefault="00112E0C" w:rsidP="00112E0C">
            <w:pPr>
              <w:spacing w:after="0" w:line="240" w:lineRule="auto"/>
              <w:jc w:val="center"/>
            </w:pPr>
            <w:r w:rsidRPr="00820C89">
              <w:t>0.22</w:t>
            </w:r>
          </w:p>
        </w:tc>
        <w:tc>
          <w:tcPr>
            <w:tcW w:w="904" w:type="pct"/>
            <w:tcBorders>
              <w:top w:val="single" w:sz="4" w:space="0" w:color="auto"/>
              <w:left w:val="nil"/>
              <w:bottom w:val="single" w:sz="4" w:space="0" w:color="auto"/>
              <w:right w:val="nil"/>
            </w:tcBorders>
            <w:shd w:val="clear" w:color="000000" w:fill="FFFFFF"/>
            <w:vAlign w:val="center"/>
          </w:tcPr>
          <w:p w14:paraId="2CD7CF19" w14:textId="4B13E29C" w:rsidR="00112E0C" w:rsidRPr="00820C89" w:rsidRDefault="00112E0C" w:rsidP="00112E0C">
            <w:pPr>
              <w:spacing w:after="0" w:line="240" w:lineRule="auto"/>
              <w:jc w:val="center"/>
            </w:pPr>
            <w:r w:rsidRPr="00820C89">
              <w:t>[0.15,0.32]</w:t>
            </w:r>
          </w:p>
        </w:tc>
        <w:tc>
          <w:tcPr>
            <w:tcW w:w="902" w:type="pct"/>
            <w:tcBorders>
              <w:top w:val="single" w:sz="4" w:space="0" w:color="auto"/>
              <w:left w:val="nil"/>
              <w:bottom w:val="single" w:sz="4" w:space="0" w:color="auto"/>
              <w:right w:val="nil"/>
            </w:tcBorders>
            <w:shd w:val="clear" w:color="000000" w:fill="FFFFFF"/>
            <w:vAlign w:val="center"/>
          </w:tcPr>
          <w:p w14:paraId="6E1E94F1" w14:textId="156350ED" w:rsidR="00112E0C" w:rsidRPr="00820C89" w:rsidRDefault="008677D4" w:rsidP="00112E0C">
            <w:pPr>
              <w:spacing w:after="0" w:line="240" w:lineRule="auto"/>
              <w:jc w:val="center"/>
            </w:pPr>
            <w:r w:rsidRPr="00820C89">
              <w:t>-0.25</w:t>
            </w:r>
          </w:p>
        </w:tc>
        <w:tc>
          <w:tcPr>
            <w:tcW w:w="903" w:type="pct"/>
            <w:tcBorders>
              <w:top w:val="single" w:sz="4" w:space="0" w:color="auto"/>
              <w:left w:val="nil"/>
              <w:bottom w:val="single" w:sz="4" w:space="0" w:color="auto"/>
              <w:right w:val="nil"/>
            </w:tcBorders>
            <w:shd w:val="clear" w:color="000000" w:fill="FFFFFF"/>
          </w:tcPr>
          <w:p w14:paraId="2644C8CE" w14:textId="62F5AE35" w:rsidR="00112E0C" w:rsidRPr="00820C89" w:rsidRDefault="00B769DC" w:rsidP="00112E0C">
            <w:pPr>
              <w:spacing w:after="0" w:line="240" w:lineRule="auto"/>
              <w:jc w:val="center"/>
            </w:pPr>
            <w:r w:rsidRPr="00820C89">
              <w:t>***</w:t>
            </w:r>
          </w:p>
        </w:tc>
      </w:tr>
      <w:tr w:rsidR="00DE7683" w:rsidRPr="00820C89" w14:paraId="5A53E05C" w14:textId="77777777" w:rsidTr="006B5A98">
        <w:trPr>
          <w:trHeight w:val="315"/>
        </w:trPr>
        <w:tc>
          <w:tcPr>
            <w:tcW w:w="1389" w:type="pct"/>
            <w:tcBorders>
              <w:top w:val="single" w:sz="4" w:space="0" w:color="auto"/>
              <w:bottom w:val="single" w:sz="4" w:space="0" w:color="auto"/>
            </w:tcBorders>
            <w:vAlign w:val="center"/>
          </w:tcPr>
          <w:p w14:paraId="7F024C8E" w14:textId="498F9308" w:rsidR="00112E0C" w:rsidRPr="00820C89" w:rsidRDefault="00112E0C" w:rsidP="00112E0C">
            <w:pPr>
              <w:spacing w:after="0" w:line="240" w:lineRule="auto"/>
            </w:pPr>
            <w:r w:rsidRPr="00820C89">
              <w:t>On income support for &gt;1 year on program entry</w:t>
            </w:r>
          </w:p>
        </w:tc>
        <w:tc>
          <w:tcPr>
            <w:tcW w:w="902" w:type="pct"/>
            <w:tcBorders>
              <w:top w:val="single" w:sz="4" w:space="0" w:color="auto"/>
              <w:left w:val="nil"/>
              <w:bottom w:val="single" w:sz="4" w:space="0" w:color="auto"/>
              <w:right w:val="nil"/>
            </w:tcBorders>
            <w:shd w:val="clear" w:color="000000" w:fill="FFFFFF"/>
            <w:vAlign w:val="center"/>
          </w:tcPr>
          <w:p w14:paraId="163FECA2" w14:textId="34B77190" w:rsidR="00112E0C" w:rsidRPr="00820C89" w:rsidRDefault="00112E0C" w:rsidP="00112E0C">
            <w:pPr>
              <w:spacing w:after="0" w:line="240" w:lineRule="auto"/>
              <w:jc w:val="center"/>
            </w:pPr>
            <w:r w:rsidRPr="00820C89">
              <w:t>0.64</w:t>
            </w:r>
          </w:p>
        </w:tc>
        <w:tc>
          <w:tcPr>
            <w:tcW w:w="904" w:type="pct"/>
            <w:tcBorders>
              <w:top w:val="single" w:sz="4" w:space="0" w:color="auto"/>
              <w:left w:val="nil"/>
              <w:bottom w:val="single" w:sz="4" w:space="0" w:color="auto"/>
              <w:right w:val="nil"/>
            </w:tcBorders>
            <w:shd w:val="clear" w:color="000000" w:fill="FFFFFF"/>
            <w:vAlign w:val="center"/>
          </w:tcPr>
          <w:p w14:paraId="6648E9D3" w14:textId="54E95928" w:rsidR="00112E0C" w:rsidRPr="00820C89" w:rsidRDefault="00112E0C" w:rsidP="00112E0C">
            <w:pPr>
              <w:spacing w:after="0" w:line="240" w:lineRule="auto"/>
              <w:jc w:val="center"/>
            </w:pPr>
            <w:r w:rsidRPr="00820C89">
              <w:t>[0.52,0.74]</w:t>
            </w:r>
          </w:p>
        </w:tc>
        <w:tc>
          <w:tcPr>
            <w:tcW w:w="902" w:type="pct"/>
            <w:tcBorders>
              <w:top w:val="single" w:sz="4" w:space="0" w:color="auto"/>
              <w:left w:val="nil"/>
              <w:bottom w:val="single" w:sz="4" w:space="0" w:color="auto"/>
              <w:right w:val="nil"/>
            </w:tcBorders>
            <w:shd w:val="clear" w:color="000000" w:fill="FFFFFF"/>
            <w:vAlign w:val="center"/>
          </w:tcPr>
          <w:p w14:paraId="2D65BEDF" w14:textId="1E24481A" w:rsidR="00112E0C" w:rsidRPr="00820C89" w:rsidRDefault="008677D4" w:rsidP="00112E0C">
            <w:pPr>
              <w:spacing w:after="0" w:line="240" w:lineRule="auto"/>
              <w:jc w:val="center"/>
            </w:pPr>
            <w:r w:rsidRPr="00820C89">
              <w:t>0.17</w:t>
            </w:r>
          </w:p>
        </w:tc>
        <w:tc>
          <w:tcPr>
            <w:tcW w:w="903" w:type="pct"/>
            <w:tcBorders>
              <w:top w:val="single" w:sz="4" w:space="0" w:color="auto"/>
              <w:left w:val="nil"/>
              <w:bottom w:val="single" w:sz="4" w:space="0" w:color="auto"/>
              <w:right w:val="nil"/>
            </w:tcBorders>
            <w:shd w:val="clear" w:color="000000" w:fill="FFFFFF"/>
          </w:tcPr>
          <w:p w14:paraId="33583772" w14:textId="227512AC" w:rsidR="00112E0C" w:rsidRPr="00820C89" w:rsidRDefault="00B769DC" w:rsidP="00112E0C">
            <w:pPr>
              <w:spacing w:after="0" w:line="240" w:lineRule="auto"/>
              <w:jc w:val="center"/>
            </w:pPr>
            <w:r w:rsidRPr="00820C89">
              <w:t>***</w:t>
            </w:r>
          </w:p>
        </w:tc>
      </w:tr>
    </w:tbl>
    <w:p w14:paraId="5ED3225B" w14:textId="77777777" w:rsidR="00A925C0" w:rsidRPr="00820C89" w:rsidRDefault="00C0643B" w:rsidP="008D0725">
      <w:pPr>
        <w:pStyle w:val="Source"/>
      </w:pPr>
      <w:r w:rsidRPr="00820C89">
        <w:t>Source: DAE Regression Analysis. Note: *** = significant at the 0.1% level, ** = significant at the 1% level, * = significant at the 5% level</w:t>
      </w:r>
    </w:p>
    <w:p w14:paraId="64D9DD57" w14:textId="77777777" w:rsidR="00D43F98" w:rsidRPr="00820C89" w:rsidRDefault="00D43F98" w:rsidP="00715F70">
      <w:pPr>
        <w:pStyle w:val="AppendixTableCaption"/>
        <w:outlineLvl w:val="1"/>
      </w:pPr>
      <w:bookmarkStart w:id="248" w:name="_Toc101343318"/>
      <w:r w:rsidRPr="00820C89">
        <w:lastRenderedPageBreak/>
        <w:t>: Regression results from model 4C</w:t>
      </w:r>
      <w:bookmarkEnd w:id="248"/>
    </w:p>
    <w:p w14:paraId="150D3C1C" w14:textId="77777777" w:rsidR="00C379C3" w:rsidRPr="00820C89" w:rsidRDefault="004446D4" w:rsidP="00C379C3">
      <w:pPr>
        <w:rPr>
          <w:i/>
          <w:iCs/>
          <w:lang w:eastAsia="en-AU"/>
        </w:rPr>
      </w:pPr>
      <w:r w:rsidRPr="00820C89">
        <w:rPr>
          <w:i/>
          <w:iCs/>
          <w:lang w:eastAsia="en-AU"/>
        </w:rPr>
        <w:t>Dependent variable = likelihood that an individual is receiving income support 24 months after program exit</w:t>
      </w:r>
    </w:p>
    <w:tbl>
      <w:tblPr>
        <w:tblStyle w:val="Deloittetable"/>
        <w:tblW w:w="5000" w:type="pct"/>
        <w:tblLayout w:type="fixed"/>
        <w:tblLook w:val="04A0" w:firstRow="1" w:lastRow="0" w:firstColumn="1" w:lastColumn="0" w:noHBand="0" w:noVBand="1"/>
      </w:tblPr>
      <w:tblGrid>
        <w:gridCol w:w="2977"/>
        <w:gridCol w:w="1560"/>
        <w:gridCol w:w="1560"/>
        <w:gridCol w:w="1560"/>
        <w:gridCol w:w="1562"/>
      </w:tblGrid>
      <w:tr w:rsidR="00591828" w:rsidRPr="00820C89" w14:paraId="4A2A7D74" w14:textId="77777777" w:rsidTr="00087C85">
        <w:trPr>
          <w:cnfStyle w:val="100000000000" w:firstRow="1" w:lastRow="0" w:firstColumn="0" w:lastColumn="0" w:oddVBand="0" w:evenVBand="0" w:oddHBand="0" w:evenHBand="0" w:firstRowFirstColumn="0" w:firstRowLastColumn="0" w:lastRowFirstColumn="0" w:lastRowLastColumn="0"/>
          <w:trHeight w:val="315"/>
          <w:tblHeader/>
        </w:trPr>
        <w:tc>
          <w:tcPr>
            <w:tcW w:w="1615" w:type="pct"/>
            <w:tcBorders>
              <w:bottom w:val="single" w:sz="4" w:space="0" w:color="auto"/>
            </w:tcBorders>
            <w:noWrap/>
            <w:vAlign w:val="center"/>
            <w:hideMark/>
          </w:tcPr>
          <w:p w14:paraId="37C7A80F" w14:textId="6165A4F7" w:rsidR="00591828" w:rsidRPr="00820C89" w:rsidRDefault="00591828" w:rsidP="001656D4">
            <w:pPr>
              <w:spacing w:after="0" w:line="240" w:lineRule="auto"/>
              <w:jc w:val="center"/>
              <w:rPr>
                <w:rFonts w:asciiTheme="majorHAnsi" w:hAnsiTheme="majorHAnsi"/>
                <w:b/>
                <w:szCs w:val="17"/>
              </w:rPr>
            </w:pPr>
            <w:r w:rsidRPr="00820C89">
              <w:rPr>
                <w:rFonts w:asciiTheme="majorHAnsi" w:hAnsiTheme="majorHAnsi"/>
                <w:b/>
                <w:szCs w:val="17"/>
              </w:rPr>
              <w:t>Variable</w:t>
            </w:r>
          </w:p>
        </w:tc>
        <w:tc>
          <w:tcPr>
            <w:tcW w:w="846" w:type="pct"/>
            <w:tcBorders>
              <w:bottom w:val="single" w:sz="4" w:space="0" w:color="auto"/>
            </w:tcBorders>
            <w:vAlign w:val="center"/>
            <w:hideMark/>
          </w:tcPr>
          <w:p w14:paraId="01870F89" w14:textId="0324F8A6" w:rsidR="00591828" w:rsidRPr="00820C89" w:rsidRDefault="00591828" w:rsidP="004E0AE5">
            <w:pPr>
              <w:spacing w:after="0" w:line="240" w:lineRule="auto"/>
              <w:jc w:val="center"/>
              <w:rPr>
                <w:rFonts w:asciiTheme="majorHAnsi" w:hAnsiTheme="majorHAnsi"/>
                <w:b/>
                <w:szCs w:val="17"/>
              </w:rPr>
            </w:pPr>
            <w:r w:rsidRPr="00820C89">
              <w:rPr>
                <w:b/>
                <w:sz w:val="18"/>
              </w:rPr>
              <w:t>Probability</w:t>
            </w:r>
          </w:p>
        </w:tc>
        <w:tc>
          <w:tcPr>
            <w:tcW w:w="846" w:type="pct"/>
            <w:tcBorders>
              <w:bottom w:val="single" w:sz="4" w:space="0" w:color="auto"/>
            </w:tcBorders>
            <w:vAlign w:val="center"/>
          </w:tcPr>
          <w:p w14:paraId="79AC7DC8" w14:textId="79921092" w:rsidR="00591828" w:rsidRPr="00820C89" w:rsidRDefault="00591828" w:rsidP="004E0AE5">
            <w:pPr>
              <w:spacing w:after="0" w:line="240" w:lineRule="auto"/>
              <w:jc w:val="center"/>
              <w:rPr>
                <w:rFonts w:asciiTheme="majorHAnsi" w:hAnsiTheme="majorHAnsi"/>
                <w:b/>
                <w:szCs w:val="17"/>
                <w:u w:val="single"/>
              </w:rPr>
            </w:pPr>
            <w:r w:rsidRPr="00820C89">
              <w:rPr>
                <w:b/>
              </w:rPr>
              <w:t>95% Confidence Interval</w:t>
            </w:r>
          </w:p>
        </w:tc>
        <w:tc>
          <w:tcPr>
            <w:tcW w:w="846" w:type="pct"/>
            <w:tcBorders>
              <w:bottom w:val="single" w:sz="4" w:space="0" w:color="auto"/>
            </w:tcBorders>
            <w:vAlign w:val="center"/>
          </w:tcPr>
          <w:p w14:paraId="5EF6BA10" w14:textId="13769158" w:rsidR="00591828" w:rsidRPr="00820C89" w:rsidRDefault="00591828" w:rsidP="004E0AE5">
            <w:pPr>
              <w:spacing w:after="0" w:line="240" w:lineRule="auto"/>
              <w:jc w:val="center"/>
              <w:rPr>
                <w:b/>
                <w:sz w:val="18"/>
              </w:rPr>
            </w:pPr>
            <w:r w:rsidRPr="00820C89">
              <w:rPr>
                <w:b/>
                <w:sz w:val="18"/>
              </w:rPr>
              <w:t>Probability difference</w:t>
            </w:r>
          </w:p>
          <w:p w14:paraId="356BA435" w14:textId="3C63AC3B" w:rsidR="00591828" w:rsidRPr="00820C89" w:rsidRDefault="00591828" w:rsidP="004E0AE5">
            <w:pPr>
              <w:spacing w:after="0" w:line="240" w:lineRule="auto"/>
              <w:jc w:val="center"/>
              <w:rPr>
                <w:rFonts w:asciiTheme="majorHAnsi" w:hAnsiTheme="majorHAnsi"/>
                <w:b/>
                <w:szCs w:val="17"/>
                <w:u w:val="single"/>
              </w:rPr>
            </w:pPr>
            <w:r w:rsidRPr="00820C89">
              <w:rPr>
                <w:b/>
                <w:sz w:val="18"/>
              </w:rPr>
              <w:t>(for central estimate)</w:t>
            </w:r>
          </w:p>
        </w:tc>
        <w:tc>
          <w:tcPr>
            <w:tcW w:w="847" w:type="pct"/>
            <w:tcBorders>
              <w:bottom w:val="single" w:sz="4" w:space="0" w:color="auto"/>
            </w:tcBorders>
            <w:vAlign w:val="center"/>
          </w:tcPr>
          <w:p w14:paraId="7D8749E3" w14:textId="56D3288E" w:rsidR="00591828" w:rsidRPr="00820C89" w:rsidRDefault="00591828" w:rsidP="004E0AE5">
            <w:pPr>
              <w:spacing w:after="0" w:line="240" w:lineRule="auto"/>
              <w:jc w:val="center"/>
              <w:rPr>
                <w:rFonts w:asciiTheme="majorHAnsi" w:hAnsiTheme="majorHAnsi"/>
                <w:b/>
                <w:szCs w:val="17"/>
                <w:u w:val="single"/>
              </w:rPr>
            </w:pPr>
            <w:r w:rsidRPr="00820C89">
              <w:rPr>
                <w:b/>
              </w:rPr>
              <w:t>Statistical</w:t>
            </w:r>
            <w:r w:rsidRPr="00820C89">
              <w:rPr>
                <w:b/>
                <w:u w:val="single"/>
              </w:rPr>
              <w:t xml:space="preserve"> Significance</w:t>
            </w:r>
          </w:p>
        </w:tc>
      </w:tr>
      <w:tr w:rsidR="00B45D1A" w:rsidRPr="00820C89" w14:paraId="70A552B9" w14:textId="77777777" w:rsidTr="003F5CB9">
        <w:trPr>
          <w:trHeight w:val="315"/>
        </w:trPr>
        <w:tc>
          <w:tcPr>
            <w:tcW w:w="1615" w:type="pct"/>
            <w:tcBorders>
              <w:top w:val="single" w:sz="4" w:space="0" w:color="auto"/>
              <w:bottom w:val="single" w:sz="4" w:space="0" w:color="auto"/>
            </w:tcBorders>
          </w:tcPr>
          <w:p w14:paraId="2CD9A42B" w14:textId="4AB3730B" w:rsidR="002537C4" w:rsidRPr="00820C89" w:rsidRDefault="00B608C6" w:rsidP="002537C4">
            <w:pPr>
              <w:spacing w:after="0" w:line="240" w:lineRule="auto"/>
              <w:rPr>
                <w:rFonts w:asciiTheme="majorHAnsi" w:hAnsiTheme="majorHAnsi"/>
                <w:szCs w:val="17"/>
              </w:rPr>
            </w:pPr>
            <w:r w:rsidRPr="00820C89">
              <w:rPr>
                <w:rFonts w:asciiTheme="majorHAnsi" w:hAnsiTheme="majorHAnsi"/>
                <w:szCs w:val="17"/>
              </w:rPr>
              <w:t>Intercept</w:t>
            </w:r>
            <w:r w:rsidR="006C314B" w:rsidRPr="00820C89">
              <w:rPr>
                <w:rFonts w:asciiTheme="majorHAnsi" w:hAnsiTheme="majorHAnsi"/>
                <w:szCs w:val="17"/>
              </w:rPr>
              <w:t xml:space="preserve"> </w:t>
            </w:r>
            <w:r w:rsidR="006C314B" w:rsidRPr="00820C89">
              <w:rPr>
                <w:i/>
              </w:rPr>
              <w:t xml:space="preserve">(VTEC, Male, Metropolitan, 2015, NSW, did not achieve 26-week outcome, </w:t>
            </w:r>
            <w:r w:rsidR="006C314B" w:rsidRPr="00820C89">
              <w:rPr>
                <w:i/>
                <w:iCs/>
              </w:rPr>
              <w:t>aged 25-44</w:t>
            </w:r>
            <w:r w:rsidR="006C314B" w:rsidRPr="00820C89">
              <w:rPr>
                <w:i/>
              </w:rPr>
              <w:t>)</w:t>
            </w:r>
          </w:p>
        </w:tc>
        <w:tc>
          <w:tcPr>
            <w:tcW w:w="846" w:type="pct"/>
            <w:tcBorders>
              <w:top w:val="single" w:sz="4" w:space="0" w:color="auto"/>
              <w:left w:val="nil"/>
              <w:bottom w:val="single" w:sz="4" w:space="0" w:color="auto"/>
              <w:right w:val="nil"/>
            </w:tcBorders>
            <w:shd w:val="clear" w:color="000000" w:fill="FFFFFF"/>
            <w:vAlign w:val="center"/>
          </w:tcPr>
          <w:p w14:paraId="347BBDE5" w14:textId="3D906445" w:rsidR="002537C4"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0.46</w:t>
            </w:r>
          </w:p>
        </w:tc>
        <w:tc>
          <w:tcPr>
            <w:tcW w:w="846" w:type="pct"/>
            <w:tcBorders>
              <w:top w:val="single" w:sz="4" w:space="0" w:color="auto"/>
              <w:left w:val="nil"/>
              <w:bottom w:val="single" w:sz="4" w:space="0" w:color="auto"/>
              <w:right w:val="nil"/>
            </w:tcBorders>
            <w:shd w:val="clear" w:color="000000" w:fill="FFFFFF"/>
            <w:vAlign w:val="center"/>
          </w:tcPr>
          <w:p w14:paraId="0A30BD7B" w14:textId="6E1DD3FB" w:rsidR="002537C4" w:rsidRPr="00820C89" w:rsidRDefault="002537C4" w:rsidP="003F5CB9">
            <w:pPr>
              <w:spacing w:after="0" w:line="240" w:lineRule="auto"/>
              <w:jc w:val="center"/>
              <w:rPr>
                <w:rFonts w:asciiTheme="majorHAnsi" w:hAnsiTheme="majorHAnsi"/>
                <w:szCs w:val="17"/>
              </w:rPr>
            </w:pPr>
          </w:p>
        </w:tc>
        <w:tc>
          <w:tcPr>
            <w:tcW w:w="846" w:type="pct"/>
            <w:tcBorders>
              <w:top w:val="single" w:sz="4" w:space="0" w:color="auto"/>
              <w:left w:val="nil"/>
              <w:bottom w:val="single" w:sz="4" w:space="0" w:color="auto"/>
              <w:right w:val="nil"/>
            </w:tcBorders>
            <w:vAlign w:val="center"/>
          </w:tcPr>
          <w:p w14:paraId="0AE1CF82" w14:textId="77777777" w:rsidR="002537C4" w:rsidRPr="00820C89" w:rsidRDefault="002537C4" w:rsidP="003F5CB9">
            <w:pPr>
              <w:spacing w:after="0" w:line="240" w:lineRule="auto"/>
              <w:jc w:val="center"/>
              <w:rPr>
                <w:rFonts w:asciiTheme="majorHAnsi" w:hAnsiTheme="majorHAnsi"/>
                <w:szCs w:val="17"/>
              </w:rPr>
            </w:pPr>
          </w:p>
        </w:tc>
        <w:tc>
          <w:tcPr>
            <w:tcW w:w="847" w:type="pct"/>
            <w:tcBorders>
              <w:top w:val="single" w:sz="4" w:space="0" w:color="auto"/>
              <w:left w:val="nil"/>
              <w:bottom w:val="single" w:sz="4" w:space="0" w:color="auto"/>
            </w:tcBorders>
          </w:tcPr>
          <w:p w14:paraId="13E26E12" w14:textId="77777777" w:rsidR="002537C4" w:rsidRPr="00820C89" w:rsidRDefault="002537C4" w:rsidP="003F5CB9">
            <w:pPr>
              <w:spacing w:after="0" w:line="240" w:lineRule="auto"/>
              <w:jc w:val="center"/>
              <w:rPr>
                <w:rFonts w:asciiTheme="majorHAnsi" w:hAnsiTheme="majorHAnsi"/>
                <w:szCs w:val="17"/>
              </w:rPr>
            </w:pPr>
          </w:p>
        </w:tc>
      </w:tr>
      <w:tr w:rsidR="00CD0A2C" w:rsidRPr="00820C89" w14:paraId="0F415265" w14:textId="77777777" w:rsidTr="003F5CB9">
        <w:trPr>
          <w:trHeight w:val="315"/>
        </w:trPr>
        <w:tc>
          <w:tcPr>
            <w:tcW w:w="1615" w:type="pct"/>
            <w:tcBorders>
              <w:top w:val="single" w:sz="4" w:space="0" w:color="auto"/>
              <w:bottom w:val="single" w:sz="4" w:space="0" w:color="auto"/>
            </w:tcBorders>
          </w:tcPr>
          <w:p w14:paraId="71103359" w14:textId="42A601A0"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EPI</w:t>
            </w:r>
          </w:p>
        </w:tc>
        <w:tc>
          <w:tcPr>
            <w:tcW w:w="846" w:type="pct"/>
            <w:tcBorders>
              <w:top w:val="single" w:sz="4" w:space="0" w:color="auto"/>
              <w:left w:val="nil"/>
              <w:bottom w:val="single" w:sz="4" w:space="0" w:color="auto"/>
              <w:right w:val="nil"/>
            </w:tcBorders>
            <w:shd w:val="clear" w:color="000000" w:fill="FFFFFF"/>
            <w:vAlign w:val="center"/>
          </w:tcPr>
          <w:p w14:paraId="158ED5D2" w14:textId="67637C83"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0.41</w:t>
            </w:r>
          </w:p>
        </w:tc>
        <w:tc>
          <w:tcPr>
            <w:tcW w:w="846" w:type="pct"/>
            <w:tcBorders>
              <w:top w:val="single" w:sz="4" w:space="0" w:color="auto"/>
              <w:left w:val="nil"/>
              <w:bottom w:val="single" w:sz="4" w:space="0" w:color="auto"/>
              <w:right w:val="nil"/>
            </w:tcBorders>
            <w:shd w:val="clear" w:color="000000" w:fill="FFFFFF"/>
            <w:vAlign w:val="center"/>
          </w:tcPr>
          <w:p w14:paraId="4D5E27FD" w14:textId="79F60C35"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[0.28,0.56]</w:t>
            </w:r>
          </w:p>
        </w:tc>
        <w:tc>
          <w:tcPr>
            <w:tcW w:w="846" w:type="pct"/>
            <w:tcBorders>
              <w:top w:val="single" w:sz="4" w:space="0" w:color="auto"/>
              <w:left w:val="nil"/>
              <w:bottom w:val="single" w:sz="4" w:space="0" w:color="auto"/>
              <w:right w:val="nil"/>
            </w:tcBorders>
            <w:shd w:val="clear" w:color="000000" w:fill="FFFFFF"/>
            <w:vAlign w:val="center"/>
          </w:tcPr>
          <w:p w14:paraId="23AD8FC4" w14:textId="46CFA06D"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-0.04</w:t>
            </w:r>
          </w:p>
        </w:tc>
        <w:tc>
          <w:tcPr>
            <w:tcW w:w="847" w:type="pct"/>
            <w:tcBorders>
              <w:top w:val="single" w:sz="4" w:space="0" w:color="auto"/>
              <w:left w:val="nil"/>
              <w:bottom w:val="single" w:sz="4" w:space="0" w:color="auto"/>
            </w:tcBorders>
          </w:tcPr>
          <w:p w14:paraId="547107B3" w14:textId="77777777" w:rsidR="009C4E66" w:rsidRPr="00820C89" w:rsidRDefault="009C4E66" w:rsidP="003F5CB9">
            <w:pPr>
              <w:spacing w:after="0" w:line="240" w:lineRule="auto"/>
              <w:jc w:val="center"/>
              <w:rPr>
                <w:rFonts w:asciiTheme="majorHAnsi" w:hAnsiTheme="majorHAnsi"/>
                <w:szCs w:val="17"/>
              </w:rPr>
            </w:pPr>
          </w:p>
        </w:tc>
      </w:tr>
      <w:tr w:rsidR="00CD0A2C" w:rsidRPr="00820C89" w14:paraId="5615FA26" w14:textId="77777777" w:rsidTr="003F5CB9">
        <w:trPr>
          <w:trHeight w:val="315"/>
        </w:trPr>
        <w:tc>
          <w:tcPr>
            <w:tcW w:w="1615" w:type="pct"/>
            <w:tcBorders>
              <w:top w:val="single" w:sz="4" w:space="0" w:color="auto"/>
              <w:bottom w:val="single" w:sz="4" w:space="0" w:color="auto"/>
            </w:tcBorders>
          </w:tcPr>
          <w:p w14:paraId="5802A38A" w14:textId="75993E73"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TAEG</w:t>
            </w:r>
          </w:p>
        </w:tc>
        <w:tc>
          <w:tcPr>
            <w:tcW w:w="846" w:type="pct"/>
            <w:tcBorders>
              <w:top w:val="single" w:sz="4" w:space="0" w:color="auto"/>
              <w:left w:val="nil"/>
              <w:bottom w:val="single" w:sz="4" w:space="0" w:color="auto"/>
              <w:right w:val="nil"/>
            </w:tcBorders>
            <w:shd w:val="clear" w:color="000000" w:fill="FFFFFF"/>
            <w:vAlign w:val="center"/>
          </w:tcPr>
          <w:p w14:paraId="7848BD78" w14:textId="6EACA3E6"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0.41</w:t>
            </w:r>
          </w:p>
        </w:tc>
        <w:tc>
          <w:tcPr>
            <w:tcW w:w="846" w:type="pct"/>
            <w:tcBorders>
              <w:top w:val="single" w:sz="4" w:space="0" w:color="auto"/>
              <w:left w:val="nil"/>
              <w:bottom w:val="single" w:sz="4" w:space="0" w:color="auto"/>
              <w:right w:val="nil"/>
            </w:tcBorders>
            <w:shd w:val="clear" w:color="000000" w:fill="FFFFFF"/>
            <w:vAlign w:val="center"/>
          </w:tcPr>
          <w:p w14:paraId="5441D534" w14:textId="6F3F57B9"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[0.3,0.54]</w:t>
            </w:r>
          </w:p>
        </w:tc>
        <w:tc>
          <w:tcPr>
            <w:tcW w:w="846" w:type="pct"/>
            <w:tcBorders>
              <w:top w:val="single" w:sz="4" w:space="0" w:color="auto"/>
              <w:left w:val="nil"/>
              <w:bottom w:val="single" w:sz="4" w:space="0" w:color="auto"/>
              <w:right w:val="nil"/>
            </w:tcBorders>
            <w:shd w:val="clear" w:color="000000" w:fill="FFFFFF"/>
            <w:vAlign w:val="center"/>
          </w:tcPr>
          <w:p w14:paraId="1999AAB8" w14:textId="264A4373"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-0.04</w:t>
            </w:r>
          </w:p>
        </w:tc>
        <w:tc>
          <w:tcPr>
            <w:tcW w:w="847" w:type="pct"/>
            <w:tcBorders>
              <w:top w:val="single" w:sz="4" w:space="0" w:color="auto"/>
              <w:left w:val="nil"/>
              <w:bottom w:val="single" w:sz="4" w:space="0" w:color="auto"/>
            </w:tcBorders>
          </w:tcPr>
          <w:p w14:paraId="37370DB7" w14:textId="77777777" w:rsidR="009C4E66" w:rsidRPr="00820C89" w:rsidRDefault="009C4E66" w:rsidP="003F5CB9">
            <w:pPr>
              <w:spacing w:after="0" w:line="240" w:lineRule="auto"/>
              <w:jc w:val="center"/>
              <w:rPr>
                <w:rFonts w:asciiTheme="majorHAnsi" w:hAnsiTheme="majorHAnsi"/>
                <w:szCs w:val="17"/>
              </w:rPr>
            </w:pPr>
          </w:p>
        </w:tc>
      </w:tr>
      <w:tr w:rsidR="00CD0A2C" w:rsidRPr="00820C89" w14:paraId="0F658361" w14:textId="77777777" w:rsidTr="003F5CB9">
        <w:trPr>
          <w:trHeight w:val="315"/>
        </w:trPr>
        <w:tc>
          <w:tcPr>
            <w:tcW w:w="1615" w:type="pct"/>
            <w:tcBorders>
              <w:top w:val="single" w:sz="4" w:space="0" w:color="auto"/>
              <w:bottom w:val="single" w:sz="4" w:space="0" w:color="auto"/>
            </w:tcBorders>
          </w:tcPr>
          <w:p w14:paraId="242A6763" w14:textId="12FDAE20"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Female</w:t>
            </w:r>
          </w:p>
        </w:tc>
        <w:tc>
          <w:tcPr>
            <w:tcW w:w="846" w:type="pct"/>
            <w:tcBorders>
              <w:top w:val="single" w:sz="4" w:space="0" w:color="auto"/>
              <w:left w:val="nil"/>
              <w:bottom w:val="single" w:sz="4" w:space="0" w:color="auto"/>
              <w:right w:val="nil"/>
            </w:tcBorders>
            <w:shd w:val="clear" w:color="000000" w:fill="FFFFFF"/>
            <w:vAlign w:val="center"/>
          </w:tcPr>
          <w:p w14:paraId="09CD03CE" w14:textId="7018A77D"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0.49</w:t>
            </w:r>
          </w:p>
        </w:tc>
        <w:tc>
          <w:tcPr>
            <w:tcW w:w="846" w:type="pct"/>
            <w:tcBorders>
              <w:top w:val="single" w:sz="4" w:space="0" w:color="auto"/>
              <w:left w:val="nil"/>
              <w:bottom w:val="single" w:sz="4" w:space="0" w:color="auto"/>
              <w:right w:val="nil"/>
            </w:tcBorders>
            <w:shd w:val="clear" w:color="000000" w:fill="FFFFFF"/>
            <w:vAlign w:val="center"/>
          </w:tcPr>
          <w:p w14:paraId="3A1A2CC0" w14:textId="6C153889"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[0.37,0.61]</w:t>
            </w:r>
          </w:p>
        </w:tc>
        <w:tc>
          <w:tcPr>
            <w:tcW w:w="846" w:type="pct"/>
            <w:tcBorders>
              <w:top w:val="single" w:sz="4" w:space="0" w:color="auto"/>
              <w:left w:val="nil"/>
              <w:bottom w:val="single" w:sz="4" w:space="0" w:color="auto"/>
              <w:right w:val="nil"/>
            </w:tcBorders>
            <w:shd w:val="clear" w:color="000000" w:fill="FFFFFF"/>
            <w:vAlign w:val="center"/>
          </w:tcPr>
          <w:p w14:paraId="1917AA37" w14:textId="0A0A620E"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0.03</w:t>
            </w:r>
          </w:p>
        </w:tc>
        <w:tc>
          <w:tcPr>
            <w:tcW w:w="847" w:type="pct"/>
            <w:tcBorders>
              <w:top w:val="single" w:sz="4" w:space="0" w:color="auto"/>
              <w:left w:val="nil"/>
              <w:bottom w:val="single" w:sz="4" w:space="0" w:color="auto"/>
            </w:tcBorders>
          </w:tcPr>
          <w:p w14:paraId="3BE9B22F" w14:textId="77777777" w:rsidR="009C4E66" w:rsidRPr="00820C89" w:rsidRDefault="009C4E66" w:rsidP="003F5CB9">
            <w:pPr>
              <w:spacing w:after="0" w:line="240" w:lineRule="auto"/>
              <w:jc w:val="center"/>
              <w:rPr>
                <w:rFonts w:asciiTheme="majorHAnsi" w:hAnsiTheme="majorHAnsi"/>
                <w:szCs w:val="17"/>
              </w:rPr>
            </w:pPr>
          </w:p>
        </w:tc>
      </w:tr>
      <w:tr w:rsidR="00CD0A2C" w:rsidRPr="00820C89" w14:paraId="32DCDC0C" w14:textId="77777777" w:rsidTr="003F5CB9">
        <w:trPr>
          <w:trHeight w:val="315"/>
        </w:trPr>
        <w:tc>
          <w:tcPr>
            <w:tcW w:w="1615" w:type="pct"/>
            <w:tcBorders>
              <w:top w:val="single" w:sz="4" w:space="0" w:color="auto"/>
              <w:bottom w:val="single" w:sz="4" w:space="0" w:color="auto"/>
            </w:tcBorders>
          </w:tcPr>
          <w:p w14:paraId="446DCC99" w14:textId="290DCE47"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Inner Regional Australia</w:t>
            </w:r>
          </w:p>
        </w:tc>
        <w:tc>
          <w:tcPr>
            <w:tcW w:w="846" w:type="pct"/>
            <w:tcBorders>
              <w:top w:val="single" w:sz="4" w:space="0" w:color="auto"/>
              <w:left w:val="nil"/>
              <w:bottom w:val="single" w:sz="4" w:space="0" w:color="auto"/>
              <w:right w:val="nil"/>
            </w:tcBorders>
            <w:shd w:val="clear" w:color="000000" w:fill="FFFFFF"/>
            <w:vAlign w:val="center"/>
          </w:tcPr>
          <w:p w14:paraId="434ED170" w14:textId="7CDE46D7"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0.48</w:t>
            </w:r>
          </w:p>
        </w:tc>
        <w:tc>
          <w:tcPr>
            <w:tcW w:w="846" w:type="pct"/>
            <w:tcBorders>
              <w:top w:val="single" w:sz="4" w:space="0" w:color="auto"/>
              <w:left w:val="nil"/>
              <w:bottom w:val="single" w:sz="4" w:space="0" w:color="auto"/>
              <w:right w:val="nil"/>
            </w:tcBorders>
            <w:shd w:val="clear" w:color="000000" w:fill="FFFFFF"/>
            <w:vAlign w:val="center"/>
          </w:tcPr>
          <w:p w14:paraId="37E811DD" w14:textId="0526C201"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[0.34,0.62]</w:t>
            </w:r>
          </w:p>
        </w:tc>
        <w:tc>
          <w:tcPr>
            <w:tcW w:w="846" w:type="pct"/>
            <w:tcBorders>
              <w:top w:val="single" w:sz="4" w:space="0" w:color="auto"/>
              <w:left w:val="nil"/>
              <w:bottom w:val="single" w:sz="4" w:space="0" w:color="auto"/>
              <w:right w:val="nil"/>
            </w:tcBorders>
            <w:shd w:val="clear" w:color="000000" w:fill="FFFFFF"/>
            <w:vAlign w:val="center"/>
          </w:tcPr>
          <w:p w14:paraId="41C596F2" w14:textId="4B606D4E"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0.02</w:t>
            </w:r>
          </w:p>
        </w:tc>
        <w:tc>
          <w:tcPr>
            <w:tcW w:w="847" w:type="pct"/>
            <w:tcBorders>
              <w:top w:val="single" w:sz="4" w:space="0" w:color="auto"/>
              <w:left w:val="nil"/>
              <w:bottom w:val="single" w:sz="4" w:space="0" w:color="auto"/>
            </w:tcBorders>
          </w:tcPr>
          <w:p w14:paraId="543C92E9" w14:textId="77777777" w:rsidR="009C4E66" w:rsidRPr="00820C89" w:rsidRDefault="009C4E66" w:rsidP="003F5CB9">
            <w:pPr>
              <w:spacing w:after="0" w:line="240" w:lineRule="auto"/>
              <w:jc w:val="center"/>
              <w:rPr>
                <w:rFonts w:asciiTheme="majorHAnsi" w:hAnsiTheme="majorHAnsi"/>
                <w:szCs w:val="17"/>
              </w:rPr>
            </w:pPr>
          </w:p>
        </w:tc>
      </w:tr>
      <w:tr w:rsidR="00CD0A2C" w:rsidRPr="00820C89" w14:paraId="1FFF7BDF" w14:textId="77777777" w:rsidTr="003F5CB9">
        <w:trPr>
          <w:trHeight w:val="315"/>
        </w:trPr>
        <w:tc>
          <w:tcPr>
            <w:tcW w:w="1615" w:type="pct"/>
            <w:tcBorders>
              <w:top w:val="single" w:sz="4" w:space="0" w:color="auto"/>
              <w:bottom w:val="single" w:sz="4" w:space="0" w:color="auto"/>
            </w:tcBorders>
          </w:tcPr>
          <w:p w14:paraId="5DF2854F" w14:textId="11AF4CAB"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Outer Regional Australia</w:t>
            </w:r>
          </w:p>
        </w:tc>
        <w:tc>
          <w:tcPr>
            <w:tcW w:w="846" w:type="pct"/>
            <w:tcBorders>
              <w:top w:val="single" w:sz="4" w:space="0" w:color="auto"/>
              <w:left w:val="nil"/>
              <w:bottom w:val="single" w:sz="4" w:space="0" w:color="auto"/>
              <w:right w:val="nil"/>
            </w:tcBorders>
            <w:shd w:val="clear" w:color="000000" w:fill="FFFFFF"/>
            <w:vAlign w:val="center"/>
          </w:tcPr>
          <w:p w14:paraId="3BF11672" w14:textId="76509D9D"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0.45</w:t>
            </w:r>
          </w:p>
        </w:tc>
        <w:tc>
          <w:tcPr>
            <w:tcW w:w="846" w:type="pct"/>
            <w:tcBorders>
              <w:top w:val="single" w:sz="4" w:space="0" w:color="auto"/>
              <w:left w:val="nil"/>
              <w:bottom w:val="single" w:sz="4" w:space="0" w:color="auto"/>
              <w:right w:val="nil"/>
            </w:tcBorders>
            <w:shd w:val="clear" w:color="000000" w:fill="FFFFFF"/>
            <w:vAlign w:val="center"/>
          </w:tcPr>
          <w:p w14:paraId="57C3339F" w14:textId="3AED58EF"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[0.32,0.6]</w:t>
            </w:r>
          </w:p>
        </w:tc>
        <w:tc>
          <w:tcPr>
            <w:tcW w:w="846" w:type="pct"/>
            <w:tcBorders>
              <w:top w:val="single" w:sz="4" w:space="0" w:color="auto"/>
              <w:left w:val="nil"/>
              <w:bottom w:val="single" w:sz="4" w:space="0" w:color="auto"/>
              <w:right w:val="nil"/>
            </w:tcBorders>
            <w:shd w:val="clear" w:color="000000" w:fill="FFFFFF"/>
            <w:vAlign w:val="center"/>
          </w:tcPr>
          <w:p w14:paraId="2AF6D8B9" w14:textId="4D4E2858"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0.00</w:t>
            </w:r>
          </w:p>
        </w:tc>
        <w:tc>
          <w:tcPr>
            <w:tcW w:w="847" w:type="pct"/>
            <w:tcBorders>
              <w:top w:val="single" w:sz="4" w:space="0" w:color="auto"/>
              <w:left w:val="nil"/>
              <w:bottom w:val="single" w:sz="4" w:space="0" w:color="auto"/>
            </w:tcBorders>
          </w:tcPr>
          <w:p w14:paraId="5AE50BB8" w14:textId="5B374155" w:rsidR="009C4E66" w:rsidRPr="00820C89" w:rsidRDefault="009C4E66" w:rsidP="003F5CB9">
            <w:pPr>
              <w:spacing w:after="0" w:line="240" w:lineRule="auto"/>
              <w:jc w:val="center"/>
              <w:rPr>
                <w:rFonts w:asciiTheme="majorHAnsi" w:hAnsiTheme="majorHAnsi"/>
                <w:szCs w:val="17"/>
              </w:rPr>
            </w:pPr>
          </w:p>
        </w:tc>
      </w:tr>
      <w:tr w:rsidR="00CD0A2C" w:rsidRPr="00820C89" w14:paraId="46219DCF" w14:textId="77777777" w:rsidTr="003F5CB9">
        <w:trPr>
          <w:trHeight w:val="315"/>
        </w:trPr>
        <w:tc>
          <w:tcPr>
            <w:tcW w:w="1615" w:type="pct"/>
            <w:tcBorders>
              <w:top w:val="single" w:sz="4" w:space="0" w:color="auto"/>
              <w:bottom w:val="single" w:sz="4" w:space="0" w:color="auto"/>
            </w:tcBorders>
          </w:tcPr>
          <w:p w14:paraId="273FCE50" w14:textId="0D1CEB8E"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Remote and Very Remote Australia</w:t>
            </w:r>
          </w:p>
        </w:tc>
        <w:tc>
          <w:tcPr>
            <w:tcW w:w="846" w:type="pct"/>
            <w:tcBorders>
              <w:top w:val="single" w:sz="4" w:space="0" w:color="auto"/>
              <w:left w:val="nil"/>
              <w:bottom w:val="single" w:sz="4" w:space="0" w:color="auto"/>
              <w:right w:val="nil"/>
            </w:tcBorders>
            <w:shd w:val="clear" w:color="000000" w:fill="FFFFFF"/>
            <w:vAlign w:val="center"/>
          </w:tcPr>
          <w:p w14:paraId="55DAA4A9" w14:textId="0DBB8574"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0.35</w:t>
            </w:r>
          </w:p>
        </w:tc>
        <w:tc>
          <w:tcPr>
            <w:tcW w:w="846" w:type="pct"/>
            <w:tcBorders>
              <w:top w:val="single" w:sz="4" w:space="0" w:color="auto"/>
              <w:left w:val="nil"/>
              <w:bottom w:val="single" w:sz="4" w:space="0" w:color="auto"/>
              <w:right w:val="nil"/>
            </w:tcBorders>
            <w:shd w:val="clear" w:color="000000" w:fill="FFFFFF"/>
            <w:vAlign w:val="center"/>
          </w:tcPr>
          <w:p w14:paraId="25EDEE85" w14:textId="3E79A7FC"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[0.23,0.5]</w:t>
            </w:r>
          </w:p>
        </w:tc>
        <w:tc>
          <w:tcPr>
            <w:tcW w:w="846" w:type="pct"/>
            <w:tcBorders>
              <w:top w:val="single" w:sz="4" w:space="0" w:color="auto"/>
              <w:left w:val="nil"/>
              <w:bottom w:val="single" w:sz="4" w:space="0" w:color="auto"/>
              <w:right w:val="nil"/>
            </w:tcBorders>
            <w:shd w:val="clear" w:color="000000" w:fill="FFFFFF"/>
            <w:vAlign w:val="center"/>
          </w:tcPr>
          <w:p w14:paraId="3FEBB9D1" w14:textId="4A6E9E18"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-0.10</w:t>
            </w:r>
          </w:p>
        </w:tc>
        <w:tc>
          <w:tcPr>
            <w:tcW w:w="847" w:type="pct"/>
            <w:tcBorders>
              <w:top w:val="single" w:sz="4" w:space="0" w:color="auto"/>
              <w:left w:val="nil"/>
              <w:bottom w:val="single" w:sz="4" w:space="0" w:color="auto"/>
            </w:tcBorders>
          </w:tcPr>
          <w:p w14:paraId="51445945" w14:textId="122A8A87" w:rsidR="009C4E66" w:rsidRPr="00820C89" w:rsidRDefault="003709FA" w:rsidP="003F5CB9">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0BDB8BD1" w14:textId="77777777" w:rsidTr="003F5CB9">
        <w:trPr>
          <w:trHeight w:val="315"/>
        </w:trPr>
        <w:tc>
          <w:tcPr>
            <w:tcW w:w="1615" w:type="pct"/>
            <w:tcBorders>
              <w:top w:val="single" w:sz="4" w:space="0" w:color="auto"/>
              <w:bottom w:val="single" w:sz="4" w:space="0" w:color="auto"/>
            </w:tcBorders>
          </w:tcPr>
          <w:p w14:paraId="12AFDDB4" w14:textId="2985593D"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2016</w:t>
            </w:r>
          </w:p>
        </w:tc>
        <w:tc>
          <w:tcPr>
            <w:tcW w:w="846" w:type="pct"/>
            <w:tcBorders>
              <w:top w:val="single" w:sz="4" w:space="0" w:color="auto"/>
              <w:left w:val="nil"/>
              <w:bottom w:val="single" w:sz="4" w:space="0" w:color="auto"/>
              <w:right w:val="nil"/>
            </w:tcBorders>
            <w:shd w:val="clear" w:color="000000" w:fill="FFFFFF"/>
            <w:vAlign w:val="center"/>
          </w:tcPr>
          <w:p w14:paraId="7FD8EB26" w14:textId="6DFB5887"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0.40</w:t>
            </w:r>
          </w:p>
        </w:tc>
        <w:tc>
          <w:tcPr>
            <w:tcW w:w="846" w:type="pct"/>
            <w:tcBorders>
              <w:top w:val="single" w:sz="4" w:space="0" w:color="auto"/>
              <w:left w:val="nil"/>
              <w:bottom w:val="single" w:sz="4" w:space="0" w:color="auto"/>
              <w:right w:val="nil"/>
            </w:tcBorders>
            <w:shd w:val="clear" w:color="000000" w:fill="FFFFFF"/>
            <w:vAlign w:val="center"/>
          </w:tcPr>
          <w:p w14:paraId="1B4048FC" w14:textId="5C2E3C3F"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[0.26,0.54]</w:t>
            </w:r>
          </w:p>
        </w:tc>
        <w:tc>
          <w:tcPr>
            <w:tcW w:w="846" w:type="pct"/>
            <w:tcBorders>
              <w:top w:val="single" w:sz="4" w:space="0" w:color="auto"/>
              <w:left w:val="nil"/>
              <w:bottom w:val="single" w:sz="4" w:space="0" w:color="auto"/>
              <w:right w:val="nil"/>
            </w:tcBorders>
            <w:shd w:val="clear" w:color="000000" w:fill="FFFFFF"/>
            <w:vAlign w:val="center"/>
          </w:tcPr>
          <w:p w14:paraId="3FC209D0" w14:textId="10B3EEAA"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-0.06</w:t>
            </w:r>
          </w:p>
        </w:tc>
        <w:tc>
          <w:tcPr>
            <w:tcW w:w="847" w:type="pct"/>
            <w:tcBorders>
              <w:top w:val="single" w:sz="4" w:space="0" w:color="auto"/>
              <w:left w:val="nil"/>
              <w:bottom w:val="single" w:sz="4" w:space="0" w:color="auto"/>
            </w:tcBorders>
          </w:tcPr>
          <w:p w14:paraId="11FF57E4"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22085438" w14:textId="77777777" w:rsidTr="003F5CB9">
        <w:trPr>
          <w:trHeight w:val="315"/>
        </w:trPr>
        <w:tc>
          <w:tcPr>
            <w:tcW w:w="1615" w:type="pct"/>
            <w:tcBorders>
              <w:top w:val="single" w:sz="4" w:space="0" w:color="auto"/>
              <w:bottom w:val="single" w:sz="4" w:space="0" w:color="auto"/>
            </w:tcBorders>
          </w:tcPr>
          <w:p w14:paraId="008F7712" w14:textId="7BBD4AE7"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2017</w:t>
            </w:r>
          </w:p>
        </w:tc>
        <w:tc>
          <w:tcPr>
            <w:tcW w:w="846" w:type="pct"/>
            <w:tcBorders>
              <w:top w:val="single" w:sz="4" w:space="0" w:color="auto"/>
              <w:left w:val="nil"/>
              <w:bottom w:val="single" w:sz="4" w:space="0" w:color="auto"/>
              <w:right w:val="nil"/>
            </w:tcBorders>
            <w:shd w:val="clear" w:color="000000" w:fill="FFFFFF"/>
            <w:vAlign w:val="center"/>
          </w:tcPr>
          <w:p w14:paraId="1AD78C1D" w14:textId="5E802562"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0.47</w:t>
            </w:r>
          </w:p>
        </w:tc>
        <w:tc>
          <w:tcPr>
            <w:tcW w:w="846" w:type="pct"/>
            <w:tcBorders>
              <w:top w:val="single" w:sz="4" w:space="0" w:color="auto"/>
              <w:left w:val="nil"/>
              <w:bottom w:val="single" w:sz="4" w:space="0" w:color="auto"/>
              <w:right w:val="nil"/>
            </w:tcBorders>
            <w:shd w:val="clear" w:color="000000" w:fill="FFFFFF"/>
            <w:vAlign w:val="center"/>
          </w:tcPr>
          <w:p w14:paraId="62AD1886" w14:textId="74CA2496"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[0.29,0.65]</w:t>
            </w:r>
          </w:p>
        </w:tc>
        <w:tc>
          <w:tcPr>
            <w:tcW w:w="846" w:type="pct"/>
            <w:tcBorders>
              <w:top w:val="single" w:sz="4" w:space="0" w:color="auto"/>
              <w:left w:val="nil"/>
              <w:bottom w:val="single" w:sz="4" w:space="0" w:color="auto"/>
              <w:right w:val="nil"/>
            </w:tcBorders>
            <w:shd w:val="clear" w:color="000000" w:fill="FFFFFF"/>
            <w:vAlign w:val="center"/>
          </w:tcPr>
          <w:p w14:paraId="5A26EC35" w14:textId="61D7B178"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0.01</w:t>
            </w:r>
          </w:p>
        </w:tc>
        <w:tc>
          <w:tcPr>
            <w:tcW w:w="847" w:type="pct"/>
            <w:tcBorders>
              <w:top w:val="single" w:sz="4" w:space="0" w:color="auto"/>
              <w:left w:val="nil"/>
              <w:bottom w:val="single" w:sz="4" w:space="0" w:color="auto"/>
            </w:tcBorders>
          </w:tcPr>
          <w:p w14:paraId="22409106"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51660C9A" w14:textId="77777777" w:rsidTr="003F5CB9">
        <w:trPr>
          <w:trHeight w:val="315"/>
        </w:trPr>
        <w:tc>
          <w:tcPr>
            <w:tcW w:w="1615" w:type="pct"/>
            <w:tcBorders>
              <w:top w:val="single" w:sz="4" w:space="0" w:color="auto"/>
              <w:bottom w:val="single" w:sz="4" w:space="0" w:color="auto"/>
            </w:tcBorders>
          </w:tcPr>
          <w:p w14:paraId="3493B54C" w14:textId="27EF86A4"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Over 45</w:t>
            </w:r>
          </w:p>
        </w:tc>
        <w:tc>
          <w:tcPr>
            <w:tcW w:w="846" w:type="pct"/>
            <w:tcBorders>
              <w:top w:val="single" w:sz="4" w:space="0" w:color="auto"/>
              <w:left w:val="nil"/>
              <w:bottom w:val="single" w:sz="4" w:space="0" w:color="auto"/>
              <w:right w:val="nil"/>
            </w:tcBorders>
            <w:shd w:val="clear" w:color="000000" w:fill="FFFFFF"/>
            <w:vAlign w:val="center"/>
          </w:tcPr>
          <w:p w14:paraId="219EECFE" w14:textId="752701A1"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0.50</w:t>
            </w:r>
          </w:p>
        </w:tc>
        <w:tc>
          <w:tcPr>
            <w:tcW w:w="846" w:type="pct"/>
            <w:tcBorders>
              <w:top w:val="single" w:sz="4" w:space="0" w:color="auto"/>
              <w:left w:val="nil"/>
              <w:bottom w:val="single" w:sz="4" w:space="0" w:color="auto"/>
              <w:right w:val="nil"/>
            </w:tcBorders>
            <w:shd w:val="clear" w:color="000000" w:fill="FFFFFF"/>
            <w:vAlign w:val="center"/>
          </w:tcPr>
          <w:p w14:paraId="02B2CA49" w14:textId="09EA7752"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[0.36,0.63]</w:t>
            </w:r>
          </w:p>
        </w:tc>
        <w:tc>
          <w:tcPr>
            <w:tcW w:w="846" w:type="pct"/>
            <w:tcBorders>
              <w:top w:val="single" w:sz="4" w:space="0" w:color="auto"/>
              <w:left w:val="nil"/>
              <w:bottom w:val="single" w:sz="4" w:space="0" w:color="auto"/>
              <w:right w:val="nil"/>
            </w:tcBorders>
            <w:shd w:val="clear" w:color="000000" w:fill="FFFFFF"/>
            <w:vAlign w:val="center"/>
          </w:tcPr>
          <w:p w14:paraId="68F69194" w14:textId="2AC02DE6"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0.04</w:t>
            </w:r>
          </w:p>
        </w:tc>
        <w:tc>
          <w:tcPr>
            <w:tcW w:w="847" w:type="pct"/>
            <w:tcBorders>
              <w:top w:val="single" w:sz="4" w:space="0" w:color="auto"/>
              <w:left w:val="nil"/>
              <w:bottom w:val="single" w:sz="4" w:space="0" w:color="auto"/>
            </w:tcBorders>
          </w:tcPr>
          <w:p w14:paraId="563BDBA4"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7027B777" w14:textId="77777777" w:rsidTr="003F5CB9">
        <w:trPr>
          <w:trHeight w:val="315"/>
        </w:trPr>
        <w:tc>
          <w:tcPr>
            <w:tcW w:w="1615" w:type="pct"/>
            <w:tcBorders>
              <w:top w:val="single" w:sz="4" w:space="0" w:color="auto"/>
              <w:bottom w:val="single" w:sz="4" w:space="0" w:color="auto"/>
            </w:tcBorders>
          </w:tcPr>
          <w:p w14:paraId="52FE4A9C" w14:textId="2B0D0BD5"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Under 25</w:t>
            </w:r>
          </w:p>
        </w:tc>
        <w:tc>
          <w:tcPr>
            <w:tcW w:w="846" w:type="pct"/>
            <w:tcBorders>
              <w:top w:val="single" w:sz="4" w:space="0" w:color="auto"/>
              <w:left w:val="nil"/>
              <w:bottom w:val="single" w:sz="4" w:space="0" w:color="auto"/>
              <w:right w:val="nil"/>
            </w:tcBorders>
            <w:shd w:val="clear" w:color="000000" w:fill="FFFFFF"/>
            <w:vAlign w:val="center"/>
          </w:tcPr>
          <w:p w14:paraId="00811446" w14:textId="7476864E"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0.39</w:t>
            </w:r>
          </w:p>
        </w:tc>
        <w:tc>
          <w:tcPr>
            <w:tcW w:w="846" w:type="pct"/>
            <w:tcBorders>
              <w:top w:val="single" w:sz="4" w:space="0" w:color="auto"/>
              <w:left w:val="nil"/>
              <w:bottom w:val="single" w:sz="4" w:space="0" w:color="auto"/>
              <w:right w:val="nil"/>
            </w:tcBorders>
            <w:shd w:val="clear" w:color="000000" w:fill="FFFFFF"/>
            <w:vAlign w:val="center"/>
          </w:tcPr>
          <w:p w14:paraId="0F239D4F" w14:textId="02F03CC4"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[0.28,0.51]</w:t>
            </w:r>
          </w:p>
        </w:tc>
        <w:tc>
          <w:tcPr>
            <w:tcW w:w="846" w:type="pct"/>
            <w:tcBorders>
              <w:top w:val="single" w:sz="4" w:space="0" w:color="auto"/>
              <w:left w:val="nil"/>
              <w:bottom w:val="single" w:sz="4" w:space="0" w:color="auto"/>
              <w:right w:val="nil"/>
            </w:tcBorders>
            <w:shd w:val="clear" w:color="000000" w:fill="FFFFFF"/>
            <w:vAlign w:val="center"/>
          </w:tcPr>
          <w:p w14:paraId="72F36D7C" w14:textId="29AD9A36"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-0.06</w:t>
            </w:r>
          </w:p>
        </w:tc>
        <w:tc>
          <w:tcPr>
            <w:tcW w:w="847" w:type="pct"/>
            <w:tcBorders>
              <w:top w:val="single" w:sz="4" w:space="0" w:color="auto"/>
              <w:left w:val="nil"/>
              <w:bottom w:val="single" w:sz="4" w:space="0" w:color="auto"/>
            </w:tcBorders>
          </w:tcPr>
          <w:p w14:paraId="7FBC26C1" w14:textId="7B9C6582" w:rsidR="009C4E66" w:rsidRPr="00820C89" w:rsidRDefault="003709FA" w:rsidP="003F5CB9">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5DC4271E" w14:textId="77777777" w:rsidTr="003F5CB9">
        <w:trPr>
          <w:trHeight w:val="315"/>
        </w:trPr>
        <w:tc>
          <w:tcPr>
            <w:tcW w:w="1615" w:type="pct"/>
            <w:tcBorders>
              <w:top w:val="single" w:sz="4" w:space="0" w:color="auto"/>
              <w:bottom w:val="single" w:sz="4" w:space="0" w:color="auto"/>
            </w:tcBorders>
          </w:tcPr>
          <w:p w14:paraId="3EB64C16" w14:textId="2E8BC472"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ACT</w:t>
            </w:r>
          </w:p>
        </w:tc>
        <w:tc>
          <w:tcPr>
            <w:tcW w:w="846" w:type="pct"/>
            <w:tcBorders>
              <w:top w:val="single" w:sz="4" w:space="0" w:color="auto"/>
              <w:left w:val="nil"/>
              <w:bottom w:val="single" w:sz="4" w:space="0" w:color="auto"/>
              <w:right w:val="nil"/>
            </w:tcBorders>
            <w:shd w:val="clear" w:color="000000" w:fill="FFFFFF"/>
            <w:vAlign w:val="center"/>
          </w:tcPr>
          <w:p w14:paraId="7291CB92" w14:textId="020B5241"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0.41</w:t>
            </w:r>
          </w:p>
        </w:tc>
        <w:tc>
          <w:tcPr>
            <w:tcW w:w="846" w:type="pct"/>
            <w:tcBorders>
              <w:top w:val="single" w:sz="4" w:space="0" w:color="auto"/>
              <w:left w:val="nil"/>
              <w:bottom w:val="single" w:sz="4" w:space="0" w:color="auto"/>
              <w:right w:val="nil"/>
            </w:tcBorders>
            <w:shd w:val="clear" w:color="000000" w:fill="FFFFFF"/>
            <w:vAlign w:val="center"/>
          </w:tcPr>
          <w:p w14:paraId="20B3B75F" w14:textId="5557D29D"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[0.21,0.63]</w:t>
            </w:r>
          </w:p>
        </w:tc>
        <w:tc>
          <w:tcPr>
            <w:tcW w:w="846" w:type="pct"/>
            <w:tcBorders>
              <w:top w:val="single" w:sz="4" w:space="0" w:color="auto"/>
              <w:left w:val="nil"/>
              <w:bottom w:val="single" w:sz="4" w:space="0" w:color="auto"/>
              <w:right w:val="nil"/>
            </w:tcBorders>
            <w:shd w:val="clear" w:color="000000" w:fill="FFFFFF"/>
            <w:vAlign w:val="center"/>
          </w:tcPr>
          <w:p w14:paraId="5E3B893D" w14:textId="0401D24D"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-0.05</w:t>
            </w:r>
          </w:p>
        </w:tc>
        <w:tc>
          <w:tcPr>
            <w:tcW w:w="847" w:type="pct"/>
            <w:tcBorders>
              <w:top w:val="single" w:sz="4" w:space="0" w:color="auto"/>
              <w:left w:val="nil"/>
              <w:bottom w:val="single" w:sz="4" w:space="0" w:color="auto"/>
            </w:tcBorders>
          </w:tcPr>
          <w:p w14:paraId="2D0CC3E6" w14:textId="232C19FD" w:rsidR="009C4E66" w:rsidRPr="00820C89" w:rsidRDefault="009C4E66" w:rsidP="003F5CB9">
            <w:pPr>
              <w:spacing w:after="0" w:line="240" w:lineRule="auto"/>
              <w:jc w:val="center"/>
              <w:rPr>
                <w:rFonts w:asciiTheme="majorHAnsi" w:hAnsiTheme="majorHAnsi"/>
                <w:szCs w:val="17"/>
              </w:rPr>
            </w:pPr>
          </w:p>
        </w:tc>
      </w:tr>
      <w:tr w:rsidR="00E4128B" w:rsidRPr="00820C89" w14:paraId="047B151A" w14:textId="77777777" w:rsidTr="003F5CB9">
        <w:trPr>
          <w:trHeight w:val="315"/>
        </w:trPr>
        <w:tc>
          <w:tcPr>
            <w:tcW w:w="1615" w:type="pct"/>
            <w:tcBorders>
              <w:top w:val="single" w:sz="4" w:space="0" w:color="auto"/>
              <w:bottom w:val="single" w:sz="4" w:space="0" w:color="auto"/>
            </w:tcBorders>
          </w:tcPr>
          <w:p w14:paraId="491D9E90" w14:textId="42FC09A1"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NT</w:t>
            </w:r>
          </w:p>
        </w:tc>
        <w:tc>
          <w:tcPr>
            <w:tcW w:w="846" w:type="pct"/>
            <w:tcBorders>
              <w:top w:val="single" w:sz="4" w:space="0" w:color="auto"/>
              <w:left w:val="nil"/>
              <w:bottom w:val="single" w:sz="4" w:space="0" w:color="auto"/>
              <w:right w:val="nil"/>
            </w:tcBorders>
            <w:shd w:val="clear" w:color="000000" w:fill="FFFFFF"/>
            <w:vAlign w:val="center"/>
          </w:tcPr>
          <w:p w14:paraId="1058CD09" w14:textId="075F3B18"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0.62</w:t>
            </w:r>
          </w:p>
        </w:tc>
        <w:tc>
          <w:tcPr>
            <w:tcW w:w="846" w:type="pct"/>
            <w:tcBorders>
              <w:top w:val="single" w:sz="4" w:space="0" w:color="auto"/>
              <w:left w:val="nil"/>
              <w:bottom w:val="single" w:sz="4" w:space="0" w:color="auto"/>
              <w:right w:val="nil"/>
            </w:tcBorders>
            <w:shd w:val="clear" w:color="000000" w:fill="FFFFFF"/>
            <w:vAlign w:val="center"/>
          </w:tcPr>
          <w:p w14:paraId="011802B2" w14:textId="2537BFB5"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[0.46,0.76]</w:t>
            </w:r>
          </w:p>
        </w:tc>
        <w:tc>
          <w:tcPr>
            <w:tcW w:w="846" w:type="pct"/>
            <w:tcBorders>
              <w:top w:val="single" w:sz="4" w:space="0" w:color="auto"/>
              <w:left w:val="nil"/>
              <w:bottom w:val="single" w:sz="4" w:space="0" w:color="auto"/>
              <w:right w:val="nil"/>
            </w:tcBorders>
            <w:shd w:val="clear" w:color="000000" w:fill="FFFFFF"/>
            <w:vAlign w:val="center"/>
          </w:tcPr>
          <w:p w14:paraId="39BE9A20" w14:textId="54ED8ECA"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0.17</w:t>
            </w:r>
          </w:p>
        </w:tc>
        <w:tc>
          <w:tcPr>
            <w:tcW w:w="847" w:type="pct"/>
            <w:tcBorders>
              <w:top w:val="single" w:sz="4" w:space="0" w:color="auto"/>
              <w:left w:val="nil"/>
              <w:bottom w:val="single" w:sz="4" w:space="0" w:color="auto"/>
            </w:tcBorders>
          </w:tcPr>
          <w:p w14:paraId="602B9EE1" w14:textId="04F232EA" w:rsidR="009C4E66" w:rsidRPr="00820C89" w:rsidRDefault="003709FA" w:rsidP="003F5CB9">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1AB97E3F" w14:textId="77777777" w:rsidTr="003F5CB9">
        <w:trPr>
          <w:trHeight w:val="315"/>
        </w:trPr>
        <w:tc>
          <w:tcPr>
            <w:tcW w:w="1615" w:type="pct"/>
            <w:tcBorders>
              <w:top w:val="single" w:sz="4" w:space="0" w:color="auto"/>
              <w:bottom w:val="single" w:sz="4" w:space="0" w:color="auto"/>
            </w:tcBorders>
          </w:tcPr>
          <w:p w14:paraId="00E5477D" w14:textId="5A0A3283"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QLD</w:t>
            </w:r>
          </w:p>
        </w:tc>
        <w:tc>
          <w:tcPr>
            <w:tcW w:w="846" w:type="pct"/>
            <w:tcBorders>
              <w:top w:val="single" w:sz="4" w:space="0" w:color="auto"/>
              <w:left w:val="nil"/>
              <w:bottom w:val="single" w:sz="4" w:space="0" w:color="auto"/>
              <w:right w:val="nil"/>
            </w:tcBorders>
            <w:shd w:val="clear" w:color="000000" w:fill="FFFFFF"/>
            <w:vAlign w:val="center"/>
          </w:tcPr>
          <w:p w14:paraId="76F42CFF" w14:textId="6B6AB307"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0.47</w:t>
            </w:r>
          </w:p>
        </w:tc>
        <w:tc>
          <w:tcPr>
            <w:tcW w:w="846" w:type="pct"/>
            <w:tcBorders>
              <w:top w:val="single" w:sz="4" w:space="0" w:color="auto"/>
              <w:left w:val="nil"/>
              <w:bottom w:val="single" w:sz="4" w:space="0" w:color="auto"/>
              <w:right w:val="nil"/>
            </w:tcBorders>
            <w:shd w:val="clear" w:color="000000" w:fill="FFFFFF"/>
            <w:vAlign w:val="center"/>
          </w:tcPr>
          <w:p w14:paraId="48FC021F" w14:textId="66C25818"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[0.33,0.61]</w:t>
            </w:r>
          </w:p>
        </w:tc>
        <w:tc>
          <w:tcPr>
            <w:tcW w:w="846" w:type="pct"/>
            <w:tcBorders>
              <w:top w:val="single" w:sz="4" w:space="0" w:color="auto"/>
              <w:left w:val="nil"/>
              <w:bottom w:val="single" w:sz="4" w:space="0" w:color="auto"/>
              <w:right w:val="nil"/>
            </w:tcBorders>
            <w:shd w:val="clear" w:color="000000" w:fill="FFFFFF"/>
            <w:vAlign w:val="center"/>
          </w:tcPr>
          <w:p w14:paraId="106F2163" w14:textId="388BCBC7"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0.01</w:t>
            </w:r>
          </w:p>
        </w:tc>
        <w:tc>
          <w:tcPr>
            <w:tcW w:w="847" w:type="pct"/>
            <w:tcBorders>
              <w:top w:val="single" w:sz="4" w:space="0" w:color="auto"/>
              <w:left w:val="nil"/>
              <w:bottom w:val="single" w:sz="4" w:space="0" w:color="auto"/>
            </w:tcBorders>
          </w:tcPr>
          <w:p w14:paraId="12607D74"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1776E6E6" w14:textId="77777777" w:rsidTr="003F5CB9">
        <w:trPr>
          <w:trHeight w:val="315"/>
        </w:trPr>
        <w:tc>
          <w:tcPr>
            <w:tcW w:w="1615" w:type="pct"/>
            <w:tcBorders>
              <w:top w:val="single" w:sz="4" w:space="0" w:color="auto"/>
              <w:bottom w:val="single" w:sz="4" w:space="0" w:color="auto"/>
            </w:tcBorders>
          </w:tcPr>
          <w:p w14:paraId="592CE5B7" w14:textId="5440C14D"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SA</w:t>
            </w:r>
          </w:p>
        </w:tc>
        <w:tc>
          <w:tcPr>
            <w:tcW w:w="846" w:type="pct"/>
            <w:tcBorders>
              <w:top w:val="single" w:sz="4" w:space="0" w:color="auto"/>
              <w:left w:val="nil"/>
              <w:bottom w:val="single" w:sz="4" w:space="0" w:color="auto"/>
              <w:right w:val="nil"/>
            </w:tcBorders>
            <w:shd w:val="clear" w:color="000000" w:fill="FFFFFF"/>
            <w:vAlign w:val="center"/>
          </w:tcPr>
          <w:p w14:paraId="2A758B7A" w14:textId="776303EC"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0.49</w:t>
            </w:r>
          </w:p>
        </w:tc>
        <w:tc>
          <w:tcPr>
            <w:tcW w:w="846" w:type="pct"/>
            <w:tcBorders>
              <w:top w:val="single" w:sz="4" w:space="0" w:color="auto"/>
              <w:left w:val="nil"/>
              <w:bottom w:val="single" w:sz="4" w:space="0" w:color="auto"/>
              <w:right w:val="nil"/>
            </w:tcBorders>
            <w:shd w:val="clear" w:color="000000" w:fill="FFFFFF"/>
            <w:vAlign w:val="center"/>
          </w:tcPr>
          <w:p w14:paraId="1E3B2F90" w14:textId="48BA8CA6"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[0.33,0.66]</w:t>
            </w:r>
          </w:p>
        </w:tc>
        <w:tc>
          <w:tcPr>
            <w:tcW w:w="846" w:type="pct"/>
            <w:tcBorders>
              <w:top w:val="single" w:sz="4" w:space="0" w:color="auto"/>
              <w:left w:val="nil"/>
              <w:bottom w:val="single" w:sz="4" w:space="0" w:color="auto"/>
              <w:right w:val="nil"/>
            </w:tcBorders>
            <w:shd w:val="clear" w:color="000000" w:fill="FFFFFF"/>
            <w:vAlign w:val="center"/>
          </w:tcPr>
          <w:p w14:paraId="7A7493AB" w14:textId="66155673"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0.03</w:t>
            </w:r>
          </w:p>
        </w:tc>
        <w:tc>
          <w:tcPr>
            <w:tcW w:w="847" w:type="pct"/>
            <w:tcBorders>
              <w:top w:val="single" w:sz="4" w:space="0" w:color="auto"/>
              <w:left w:val="nil"/>
              <w:bottom w:val="single" w:sz="4" w:space="0" w:color="auto"/>
            </w:tcBorders>
          </w:tcPr>
          <w:p w14:paraId="65520AD8"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5283FC7F" w14:textId="77777777" w:rsidTr="003F5CB9">
        <w:trPr>
          <w:trHeight w:val="315"/>
        </w:trPr>
        <w:tc>
          <w:tcPr>
            <w:tcW w:w="1615" w:type="pct"/>
            <w:tcBorders>
              <w:top w:val="single" w:sz="4" w:space="0" w:color="auto"/>
              <w:bottom w:val="single" w:sz="4" w:space="0" w:color="auto"/>
            </w:tcBorders>
          </w:tcPr>
          <w:p w14:paraId="4784C4A5" w14:textId="53448E86"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TAS</w:t>
            </w:r>
          </w:p>
        </w:tc>
        <w:tc>
          <w:tcPr>
            <w:tcW w:w="846" w:type="pct"/>
            <w:tcBorders>
              <w:top w:val="single" w:sz="4" w:space="0" w:color="auto"/>
              <w:left w:val="nil"/>
              <w:bottom w:val="single" w:sz="4" w:space="0" w:color="auto"/>
              <w:right w:val="nil"/>
            </w:tcBorders>
            <w:shd w:val="clear" w:color="000000" w:fill="FFFFFF"/>
            <w:vAlign w:val="center"/>
          </w:tcPr>
          <w:p w14:paraId="4B78C588" w14:textId="2C9A777C"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0.50</w:t>
            </w:r>
          </w:p>
        </w:tc>
        <w:tc>
          <w:tcPr>
            <w:tcW w:w="846" w:type="pct"/>
            <w:tcBorders>
              <w:top w:val="single" w:sz="4" w:space="0" w:color="auto"/>
              <w:left w:val="nil"/>
              <w:bottom w:val="single" w:sz="4" w:space="0" w:color="auto"/>
              <w:right w:val="nil"/>
            </w:tcBorders>
            <w:shd w:val="clear" w:color="000000" w:fill="FFFFFF"/>
            <w:vAlign w:val="center"/>
          </w:tcPr>
          <w:p w14:paraId="780EC639" w14:textId="37B2A6C7"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[0.28,0.72]</w:t>
            </w:r>
          </w:p>
        </w:tc>
        <w:tc>
          <w:tcPr>
            <w:tcW w:w="846" w:type="pct"/>
            <w:tcBorders>
              <w:top w:val="single" w:sz="4" w:space="0" w:color="auto"/>
              <w:left w:val="nil"/>
              <w:bottom w:val="single" w:sz="4" w:space="0" w:color="auto"/>
              <w:right w:val="nil"/>
            </w:tcBorders>
            <w:shd w:val="clear" w:color="000000" w:fill="FFFFFF"/>
            <w:vAlign w:val="center"/>
          </w:tcPr>
          <w:p w14:paraId="733ED934" w14:textId="5BA26CB7"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0.05</w:t>
            </w:r>
          </w:p>
        </w:tc>
        <w:tc>
          <w:tcPr>
            <w:tcW w:w="847" w:type="pct"/>
            <w:tcBorders>
              <w:top w:val="single" w:sz="4" w:space="0" w:color="auto"/>
              <w:left w:val="nil"/>
              <w:bottom w:val="single" w:sz="4" w:space="0" w:color="auto"/>
            </w:tcBorders>
          </w:tcPr>
          <w:p w14:paraId="4D1FA82F"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679C7E40" w14:textId="77777777" w:rsidTr="003F5CB9">
        <w:trPr>
          <w:trHeight w:val="315"/>
        </w:trPr>
        <w:tc>
          <w:tcPr>
            <w:tcW w:w="1615" w:type="pct"/>
            <w:tcBorders>
              <w:top w:val="single" w:sz="4" w:space="0" w:color="auto"/>
              <w:bottom w:val="single" w:sz="4" w:space="0" w:color="auto"/>
            </w:tcBorders>
          </w:tcPr>
          <w:p w14:paraId="2C7A83C8" w14:textId="081C8592"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VIC</w:t>
            </w:r>
          </w:p>
        </w:tc>
        <w:tc>
          <w:tcPr>
            <w:tcW w:w="846" w:type="pct"/>
            <w:tcBorders>
              <w:top w:val="single" w:sz="4" w:space="0" w:color="auto"/>
              <w:left w:val="nil"/>
              <w:bottom w:val="single" w:sz="4" w:space="0" w:color="auto"/>
              <w:right w:val="nil"/>
            </w:tcBorders>
            <w:shd w:val="clear" w:color="000000" w:fill="FFFFFF"/>
            <w:vAlign w:val="center"/>
          </w:tcPr>
          <w:p w14:paraId="731E5BDB" w14:textId="3CE6A88A"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0.39</w:t>
            </w:r>
          </w:p>
        </w:tc>
        <w:tc>
          <w:tcPr>
            <w:tcW w:w="846" w:type="pct"/>
            <w:tcBorders>
              <w:top w:val="single" w:sz="4" w:space="0" w:color="auto"/>
              <w:left w:val="nil"/>
              <w:bottom w:val="single" w:sz="4" w:space="0" w:color="auto"/>
              <w:right w:val="nil"/>
            </w:tcBorders>
            <w:shd w:val="clear" w:color="000000" w:fill="FFFFFF"/>
            <w:vAlign w:val="center"/>
          </w:tcPr>
          <w:p w14:paraId="0DE5E66F" w14:textId="5BB4FE67"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[0.25,0.55]</w:t>
            </w:r>
          </w:p>
        </w:tc>
        <w:tc>
          <w:tcPr>
            <w:tcW w:w="846" w:type="pct"/>
            <w:tcBorders>
              <w:top w:val="single" w:sz="4" w:space="0" w:color="auto"/>
              <w:left w:val="nil"/>
              <w:bottom w:val="single" w:sz="4" w:space="0" w:color="auto"/>
              <w:right w:val="nil"/>
            </w:tcBorders>
            <w:shd w:val="clear" w:color="000000" w:fill="FFFFFF"/>
            <w:vAlign w:val="center"/>
          </w:tcPr>
          <w:p w14:paraId="6EB6D658" w14:textId="01319AC0"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-0.07</w:t>
            </w:r>
          </w:p>
        </w:tc>
        <w:tc>
          <w:tcPr>
            <w:tcW w:w="847" w:type="pct"/>
            <w:tcBorders>
              <w:top w:val="single" w:sz="4" w:space="0" w:color="auto"/>
              <w:left w:val="nil"/>
              <w:bottom w:val="single" w:sz="4" w:space="0" w:color="auto"/>
            </w:tcBorders>
          </w:tcPr>
          <w:p w14:paraId="7749DC7C" w14:textId="4665DBE8" w:rsidR="009C4E66" w:rsidRPr="00820C89" w:rsidRDefault="009C4E66" w:rsidP="003F5CB9">
            <w:pPr>
              <w:spacing w:after="0" w:line="240" w:lineRule="auto"/>
              <w:jc w:val="center"/>
              <w:rPr>
                <w:rFonts w:asciiTheme="majorHAnsi" w:hAnsiTheme="majorHAnsi"/>
                <w:szCs w:val="17"/>
              </w:rPr>
            </w:pPr>
          </w:p>
        </w:tc>
      </w:tr>
      <w:tr w:rsidR="00E4128B" w:rsidRPr="00820C89" w14:paraId="64DDD425" w14:textId="77777777" w:rsidTr="003F5CB9">
        <w:trPr>
          <w:trHeight w:val="315"/>
        </w:trPr>
        <w:tc>
          <w:tcPr>
            <w:tcW w:w="1615" w:type="pct"/>
            <w:tcBorders>
              <w:top w:val="single" w:sz="4" w:space="0" w:color="auto"/>
              <w:bottom w:val="single" w:sz="4" w:space="0" w:color="auto"/>
            </w:tcBorders>
          </w:tcPr>
          <w:p w14:paraId="79A44B2B" w14:textId="493CF22D"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WA</w:t>
            </w:r>
          </w:p>
        </w:tc>
        <w:tc>
          <w:tcPr>
            <w:tcW w:w="846" w:type="pct"/>
            <w:tcBorders>
              <w:top w:val="single" w:sz="4" w:space="0" w:color="auto"/>
              <w:left w:val="nil"/>
              <w:bottom w:val="single" w:sz="4" w:space="0" w:color="auto"/>
              <w:right w:val="nil"/>
            </w:tcBorders>
            <w:shd w:val="clear" w:color="000000" w:fill="FFFFFF"/>
            <w:vAlign w:val="center"/>
          </w:tcPr>
          <w:p w14:paraId="2EE49C5F" w14:textId="77DC7D76"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0.57</w:t>
            </w:r>
          </w:p>
        </w:tc>
        <w:tc>
          <w:tcPr>
            <w:tcW w:w="846" w:type="pct"/>
            <w:tcBorders>
              <w:top w:val="single" w:sz="4" w:space="0" w:color="auto"/>
              <w:left w:val="nil"/>
              <w:bottom w:val="single" w:sz="4" w:space="0" w:color="auto"/>
              <w:right w:val="nil"/>
            </w:tcBorders>
            <w:shd w:val="clear" w:color="000000" w:fill="FFFFFF"/>
            <w:vAlign w:val="center"/>
          </w:tcPr>
          <w:p w14:paraId="541450E8" w14:textId="499094A7"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[0.42,0.71]</w:t>
            </w:r>
          </w:p>
        </w:tc>
        <w:tc>
          <w:tcPr>
            <w:tcW w:w="846" w:type="pct"/>
            <w:tcBorders>
              <w:top w:val="single" w:sz="4" w:space="0" w:color="auto"/>
              <w:left w:val="nil"/>
              <w:bottom w:val="single" w:sz="4" w:space="0" w:color="auto"/>
              <w:right w:val="nil"/>
            </w:tcBorders>
            <w:shd w:val="clear" w:color="000000" w:fill="FFFFFF"/>
            <w:vAlign w:val="center"/>
          </w:tcPr>
          <w:p w14:paraId="134FA3C8" w14:textId="670A6B4C"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0.11</w:t>
            </w:r>
          </w:p>
        </w:tc>
        <w:tc>
          <w:tcPr>
            <w:tcW w:w="847" w:type="pct"/>
            <w:tcBorders>
              <w:top w:val="single" w:sz="4" w:space="0" w:color="auto"/>
              <w:left w:val="nil"/>
              <w:bottom w:val="single" w:sz="4" w:space="0" w:color="auto"/>
            </w:tcBorders>
          </w:tcPr>
          <w:p w14:paraId="714AFD21" w14:textId="4A32C522" w:rsidR="009C4E66" w:rsidRPr="00820C89" w:rsidRDefault="00A33C0B" w:rsidP="003F5CB9">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091A2389" w14:textId="77777777" w:rsidTr="003F5CB9">
        <w:trPr>
          <w:trHeight w:val="315"/>
        </w:trPr>
        <w:tc>
          <w:tcPr>
            <w:tcW w:w="1615" w:type="pct"/>
            <w:tcBorders>
              <w:top w:val="single" w:sz="4" w:space="0" w:color="auto"/>
              <w:bottom w:val="single" w:sz="4" w:space="0" w:color="auto"/>
            </w:tcBorders>
          </w:tcPr>
          <w:p w14:paraId="2D2084B5" w14:textId="5F1D3408"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Achieve 26-week outcome</w:t>
            </w:r>
          </w:p>
        </w:tc>
        <w:tc>
          <w:tcPr>
            <w:tcW w:w="846" w:type="pct"/>
            <w:tcBorders>
              <w:top w:val="single" w:sz="4" w:space="0" w:color="auto"/>
              <w:left w:val="nil"/>
              <w:bottom w:val="single" w:sz="4" w:space="0" w:color="auto"/>
              <w:right w:val="nil"/>
            </w:tcBorders>
            <w:shd w:val="clear" w:color="000000" w:fill="FFFFFF"/>
            <w:vAlign w:val="center"/>
          </w:tcPr>
          <w:p w14:paraId="538FD17E" w14:textId="60C61512"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0.25</w:t>
            </w:r>
          </w:p>
        </w:tc>
        <w:tc>
          <w:tcPr>
            <w:tcW w:w="846" w:type="pct"/>
            <w:tcBorders>
              <w:top w:val="single" w:sz="4" w:space="0" w:color="auto"/>
              <w:left w:val="nil"/>
              <w:bottom w:val="single" w:sz="4" w:space="0" w:color="auto"/>
              <w:right w:val="nil"/>
            </w:tcBorders>
            <w:shd w:val="clear" w:color="000000" w:fill="FFFFFF"/>
            <w:vAlign w:val="center"/>
          </w:tcPr>
          <w:p w14:paraId="2A6AD974" w14:textId="4AA39F56"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[0.17,0.36]</w:t>
            </w:r>
          </w:p>
        </w:tc>
        <w:tc>
          <w:tcPr>
            <w:tcW w:w="846" w:type="pct"/>
            <w:tcBorders>
              <w:top w:val="single" w:sz="4" w:space="0" w:color="auto"/>
              <w:left w:val="nil"/>
              <w:bottom w:val="single" w:sz="4" w:space="0" w:color="auto"/>
              <w:right w:val="nil"/>
            </w:tcBorders>
            <w:shd w:val="clear" w:color="000000" w:fill="FFFFFF"/>
            <w:vAlign w:val="center"/>
          </w:tcPr>
          <w:p w14:paraId="4F64C263" w14:textId="15C3419E"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-0.20</w:t>
            </w:r>
          </w:p>
        </w:tc>
        <w:tc>
          <w:tcPr>
            <w:tcW w:w="847" w:type="pct"/>
            <w:tcBorders>
              <w:top w:val="single" w:sz="4" w:space="0" w:color="auto"/>
              <w:left w:val="nil"/>
              <w:bottom w:val="single" w:sz="4" w:space="0" w:color="auto"/>
            </w:tcBorders>
          </w:tcPr>
          <w:p w14:paraId="67823438" w14:textId="059813BC" w:rsidR="009C4E66" w:rsidRPr="00820C89" w:rsidRDefault="00A33C0B" w:rsidP="003F5CB9">
            <w:pPr>
              <w:spacing w:after="0" w:line="240" w:lineRule="auto"/>
              <w:jc w:val="center"/>
              <w:rPr>
                <w:rFonts w:asciiTheme="majorHAnsi" w:hAnsiTheme="majorHAnsi"/>
                <w:szCs w:val="17"/>
              </w:rPr>
            </w:pPr>
            <w:r w:rsidRPr="00820C89">
              <w:rPr>
                <w:rFonts w:asciiTheme="majorHAnsi" w:hAnsiTheme="majorHAnsi"/>
                <w:szCs w:val="17"/>
              </w:rPr>
              <w:t>***</w:t>
            </w:r>
          </w:p>
        </w:tc>
      </w:tr>
      <w:tr w:rsidR="00275C99" w:rsidRPr="00820C89" w14:paraId="3DD09293" w14:textId="77777777" w:rsidTr="003F5CB9">
        <w:trPr>
          <w:trHeight w:val="315"/>
        </w:trPr>
        <w:tc>
          <w:tcPr>
            <w:tcW w:w="1615" w:type="pct"/>
            <w:tcBorders>
              <w:top w:val="single" w:sz="4" w:space="0" w:color="auto"/>
              <w:bottom w:val="single" w:sz="4" w:space="0" w:color="auto"/>
            </w:tcBorders>
            <w:vAlign w:val="center"/>
          </w:tcPr>
          <w:p w14:paraId="4AD1F46B" w14:textId="7E62051F"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On income support for &gt;1 year on program entry</w:t>
            </w:r>
          </w:p>
        </w:tc>
        <w:tc>
          <w:tcPr>
            <w:tcW w:w="846" w:type="pct"/>
            <w:tcBorders>
              <w:top w:val="single" w:sz="4" w:space="0" w:color="auto"/>
              <w:left w:val="nil"/>
              <w:bottom w:val="single" w:sz="4" w:space="0" w:color="auto"/>
              <w:right w:val="nil"/>
            </w:tcBorders>
            <w:shd w:val="clear" w:color="000000" w:fill="FFFFFF"/>
            <w:vAlign w:val="center"/>
          </w:tcPr>
          <w:p w14:paraId="739A88CE" w14:textId="2A234176" w:rsidR="009C4E66" w:rsidRPr="00820C89" w:rsidRDefault="005F271B" w:rsidP="009C4E66">
            <w:pPr>
              <w:spacing w:after="0" w:line="240" w:lineRule="auto"/>
              <w:jc w:val="center"/>
              <w:rPr>
                <w:rFonts w:asciiTheme="majorHAnsi" w:hAnsiTheme="majorHAnsi"/>
                <w:szCs w:val="17"/>
              </w:rPr>
            </w:pPr>
            <w:r w:rsidRPr="00820C89">
              <w:rPr>
                <w:rFonts w:asciiTheme="majorHAnsi" w:hAnsiTheme="majorHAnsi"/>
                <w:szCs w:val="17"/>
              </w:rPr>
              <w:t>0.61</w:t>
            </w:r>
          </w:p>
        </w:tc>
        <w:tc>
          <w:tcPr>
            <w:tcW w:w="846" w:type="pct"/>
            <w:tcBorders>
              <w:top w:val="single" w:sz="4" w:space="0" w:color="auto"/>
              <w:left w:val="nil"/>
              <w:bottom w:val="single" w:sz="4" w:space="0" w:color="auto"/>
              <w:right w:val="nil"/>
            </w:tcBorders>
            <w:shd w:val="clear" w:color="000000" w:fill="FFFFFF"/>
            <w:vAlign w:val="center"/>
          </w:tcPr>
          <w:p w14:paraId="72AE6A07" w14:textId="022489D3" w:rsidR="009C4E66" w:rsidRPr="00820C89" w:rsidRDefault="00B608C6" w:rsidP="009C4E66">
            <w:pPr>
              <w:spacing w:after="0" w:line="240" w:lineRule="auto"/>
              <w:jc w:val="center"/>
              <w:rPr>
                <w:rFonts w:asciiTheme="majorHAnsi" w:hAnsiTheme="majorHAnsi"/>
                <w:szCs w:val="17"/>
              </w:rPr>
            </w:pPr>
            <w:r w:rsidRPr="00820C89">
              <w:rPr>
                <w:rFonts w:asciiTheme="majorHAnsi" w:hAnsiTheme="majorHAnsi"/>
                <w:szCs w:val="17"/>
              </w:rPr>
              <w:t>[0.49,0.72]</w:t>
            </w:r>
          </w:p>
        </w:tc>
        <w:tc>
          <w:tcPr>
            <w:tcW w:w="846" w:type="pct"/>
            <w:tcBorders>
              <w:top w:val="single" w:sz="4" w:space="0" w:color="auto"/>
              <w:left w:val="nil"/>
              <w:bottom w:val="single" w:sz="4" w:space="0" w:color="auto"/>
              <w:right w:val="nil"/>
            </w:tcBorders>
            <w:shd w:val="clear" w:color="000000" w:fill="FFFFFF"/>
            <w:vAlign w:val="center"/>
          </w:tcPr>
          <w:p w14:paraId="0A7F422C" w14:textId="7EB904C4" w:rsidR="009C4E66" w:rsidRPr="00820C89" w:rsidRDefault="00B608C6" w:rsidP="009C4E66">
            <w:pPr>
              <w:spacing w:after="0" w:line="240" w:lineRule="auto"/>
              <w:jc w:val="center"/>
              <w:rPr>
                <w:rFonts w:asciiTheme="majorHAnsi" w:hAnsiTheme="majorHAnsi"/>
                <w:szCs w:val="17"/>
              </w:rPr>
            </w:pPr>
            <w:r w:rsidRPr="00820C89">
              <w:rPr>
                <w:rFonts w:asciiTheme="majorHAnsi" w:hAnsiTheme="majorHAnsi"/>
                <w:szCs w:val="17"/>
              </w:rPr>
              <w:t>0.16</w:t>
            </w:r>
          </w:p>
        </w:tc>
        <w:tc>
          <w:tcPr>
            <w:tcW w:w="847" w:type="pct"/>
            <w:tcBorders>
              <w:top w:val="single" w:sz="4" w:space="0" w:color="auto"/>
              <w:left w:val="nil"/>
              <w:bottom w:val="single" w:sz="4" w:space="0" w:color="auto"/>
            </w:tcBorders>
          </w:tcPr>
          <w:p w14:paraId="4F1A44DC" w14:textId="1770D929" w:rsidR="009C4E66" w:rsidRPr="00820C89" w:rsidRDefault="00A33C0B" w:rsidP="009C4E66">
            <w:pPr>
              <w:spacing w:after="0" w:line="240" w:lineRule="auto"/>
              <w:jc w:val="center"/>
              <w:rPr>
                <w:rFonts w:asciiTheme="majorHAnsi" w:hAnsiTheme="majorHAnsi"/>
                <w:szCs w:val="17"/>
              </w:rPr>
            </w:pPr>
            <w:r w:rsidRPr="00820C89">
              <w:rPr>
                <w:rFonts w:asciiTheme="majorHAnsi" w:hAnsiTheme="majorHAnsi"/>
                <w:szCs w:val="17"/>
              </w:rPr>
              <w:t>***</w:t>
            </w:r>
          </w:p>
        </w:tc>
      </w:tr>
    </w:tbl>
    <w:p w14:paraId="3B09E2B4" w14:textId="77777777" w:rsidR="00BE698C" w:rsidRPr="00820C89" w:rsidRDefault="00A9602D" w:rsidP="008D0725">
      <w:pPr>
        <w:pStyle w:val="Source"/>
      </w:pPr>
      <w:r w:rsidRPr="00820C89">
        <w:t>Source: DAE Regression Analysis. Note: *** = significant at the 0.1% level, ** = significant at the 1% level, * = significant at the 5% level</w:t>
      </w:r>
    </w:p>
    <w:p w14:paraId="054AD542" w14:textId="77777777" w:rsidR="00BE698C" w:rsidRPr="00820C89" w:rsidRDefault="00BE698C" w:rsidP="00715F70">
      <w:pPr>
        <w:pStyle w:val="AppendixTableCaption"/>
        <w:outlineLvl w:val="1"/>
      </w:pPr>
      <w:bookmarkStart w:id="249" w:name="_Toc101343319"/>
      <w:r w:rsidRPr="00820C89">
        <w:lastRenderedPageBreak/>
        <w:t>: Regression results from model 4</w:t>
      </w:r>
      <w:r w:rsidR="002E3989" w:rsidRPr="00820C89">
        <w:t>D</w:t>
      </w:r>
      <w:bookmarkEnd w:id="249"/>
    </w:p>
    <w:p w14:paraId="22E3EB7E" w14:textId="77777777" w:rsidR="004446D4" w:rsidRPr="00820C89" w:rsidRDefault="004446D4" w:rsidP="004446D4">
      <w:pPr>
        <w:rPr>
          <w:i/>
          <w:iCs/>
          <w:lang w:eastAsia="en-AU"/>
        </w:rPr>
      </w:pPr>
      <w:r w:rsidRPr="00820C89">
        <w:rPr>
          <w:i/>
          <w:iCs/>
          <w:lang w:eastAsia="en-AU"/>
        </w:rPr>
        <w:t>Dependent variable = likelihood that an individual is receiving income support 36 months after program exit</w:t>
      </w:r>
    </w:p>
    <w:tbl>
      <w:tblPr>
        <w:tblStyle w:val="Deloittetable"/>
        <w:tblW w:w="5000" w:type="pct"/>
        <w:tblLayout w:type="fixed"/>
        <w:tblLook w:val="04A0" w:firstRow="1" w:lastRow="0" w:firstColumn="1" w:lastColumn="0" w:noHBand="0" w:noVBand="1"/>
      </w:tblPr>
      <w:tblGrid>
        <w:gridCol w:w="3401"/>
        <w:gridCol w:w="1455"/>
        <w:gridCol w:w="1455"/>
        <w:gridCol w:w="1455"/>
        <w:gridCol w:w="1453"/>
      </w:tblGrid>
      <w:tr w:rsidR="00F53041" w:rsidRPr="00820C89" w14:paraId="7A9AF194" w14:textId="77777777" w:rsidTr="00087C85">
        <w:trPr>
          <w:cnfStyle w:val="100000000000" w:firstRow="1" w:lastRow="0" w:firstColumn="0" w:lastColumn="0" w:oddVBand="0" w:evenVBand="0" w:oddHBand="0" w:evenHBand="0" w:firstRowFirstColumn="0" w:firstRowLastColumn="0" w:lastRowFirstColumn="0" w:lastRowLastColumn="0"/>
          <w:trHeight w:val="315"/>
          <w:tblHeader/>
        </w:trPr>
        <w:tc>
          <w:tcPr>
            <w:tcW w:w="1845" w:type="pct"/>
            <w:tcBorders>
              <w:bottom w:val="single" w:sz="4" w:space="0" w:color="auto"/>
            </w:tcBorders>
            <w:noWrap/>
            <w:vAlign w:val="center"/>
            <w:hideMark/>
          </w:tcPr>
          <w:p w14:paraId="1CCE0230" w14:textId="04371864" w:rsidR="00F53041" w:rsidRPr="00820C89" w:rsidRDefault="00F53041" w:rsidP="00F53041">
            <w:pPr>
              <w:spacing w:after="0" w:line="240" w:lineRule="auto"/>
              <w:rPr>
                <w:b/>
              </w:rPr>
            </w:pPr>
            <w:r w:rsidRPr="00820C89">
              <w:rPr>
                <w:rFonts w:asciiTheme="majorHAnsi" w:hAnsiTheme="majorHAnsi"/>
                <w:b/>
                <w:szCs w:val="17"/>
              </w:rPr>
              <w:t>Variable</w:t>
            </w:r>
          </w:p>
        </w:tc>
        <w:tc>
          <w:tcPr>
            <w:tcW w:w="789" w:type="pct"/>
            <w:tcBorders>
              <w:bottom w:val="single" w:sz="4" w:space="0" w:color="auto"/>
            </w:tcBorders>
            <w:vAlign w:val="center"/>
            <w:hideMark/>
          </w:tcPr>
          <w:p w14:paraId="2636B4DE" w14:textId="50AF7750" w:rsidR="00F53041" w:rsidRPr="00820C89" w:rsidRDefault="00F53041" w:rsidP="00F53041">
            <w:pPr>
              <w:spacing w:after="0" w:line="240" w:lineRule="auto"/>
              <w:jc w:val="center"/>
              <w:rPr>
                <w:b/>
              </w:rPr>
            </w:pPr>
            <w:r w:rsidRPr="00820C89">
              <w:rPr>
                <w:b/>
                <w:sz w:val="18"/>
              </w:rPr>
              <w:t>Probability</w:t>
            </w:r>
          </w:p>
        </w:tc>
        <w:tc>
          <w:tcPr>
            <w:tcW w:w="789" w:type="pct"/>
            <w:tcBorders>
              <w:bottom w:val="single" w:sz="4" w:space="0" w:color="auto"/>
            </w:tcBorders>
            <w:vAlign w:val="center"/>
          </w:tcPr>
          <w:p w14:paraId="0BBEB845" w14:textId="6968AB17" w:rsidR="00F53041" w:rsidRPr="00820C89" w:rsidRDefault="00F53041" w:rsidP="00F53041">
            <w:pPr>
              <w:spacing w:after="0" w:line="240" w:lineRule="auto"/>
              <w:jc w:val="center"/>
              <w:rPr>
                <w:b/>
                <w:u w:val="single"/>
              </w:rPr>
            </w:pPr>
            <w:r w:rsidRPr="00820C89">
              <w:rPr>
                <w:b/>
              </w:rPr>
              <w:t>95% Confidence Interval</w:t>
            </w:r>
          </w:p>
        </w:tc>
        <w:tc>
          <w:tcPr>
            <w:tcW w:w="789" w:type="pct"/>
            <w:tcBorders>
              <w:bottom w:val="single" w:sz="4" w:space="0" w:color="auto"/>
            </w:tcBorders>
            <w:vAlign w:val="center"/>
          </w:tcPr>
          <w:p w14:paraId="77499EBC" w14:textId="77777777" w:rsidR="00F53041" w:rsidRPr="00820C89" w:rsidRDefault="00F53041" w:rsidP="00F53041">
            <w:pPr>
              <w:spacing w:after="0" w:line="240" w:lineRule="auto"/>
              <w:jc w:val="center"/>
              <w:rPr>
                <w:b/>
                <w:sz w:val="18"/>
              </w:rPr>
            </w:pPr>
            <w:r w:rsidRPr="00820C89">
              <w:rPr>
                <w:b/>
                <w:sz w:val="18"/>
              </w:rPr>
              <w:t>Probability difference</w:t>
            </w:r>
          </w:p>
          <w:p w14:paraId="1BC582CA" w14:textId="52D1C2FC" w:rsidR="00F53041" w:rsidRPr="00820C89" w:rsidRDefault="00F53041" w:rsidP="00F53041">
            <w:pPr>
              <w:spacing w:after="0" w:line="240" w:lineRule="auto"/>
              <w:jc w:val="center"/>
              <w:rPr>
                <w:b/>
                <w:u w:val="single"/>
              </w:rPr>
            </w:pPr>
            <w:r w:rsidRPr="00820C89">
              <w:rPr>
                <w:b/>
                <w:sz w:val="18"/>
              </w:rPr>
              <w:t>(for central estimate)</w:t>
            </w:r>
          </w:p>
        </w:tc>
        <w:tc>
          <w:tcPr>
            <w:tcW w:w="789" w:type="pct"/>
            <w:tcBorders>
              <w:bottom w:val="single" w:sz="4" w:space="0" w:color="auto"/>
            </w:tcBorders>
            <w:vAlign w:val="center"/>
          </w:tcPr>
          <w:p w14:paraId="03374692" w14:textId="54320C98" w:rsidR="00F53041" w:rsidRPr="00820C89" w:rsidRDefault="00F53041" w:rsidP="00F53041">
            <w:pPr>
              <w:spacing w:after="0" w:line="240" w:lineRule="auto"/>
              <w:jc w:val="center"/>
              <w:rPr>
                <w:b/>
                <w:u w:val="single"/>
              </w:rPr>
            </w:pPr>
            <w:r w:rsidRPr="00820C89">
              <w:rPr>
                <w:b/>
              </w:rPr>
              <w:t>Statistical</w:t>
            </w:r>
            <w:r w:rsidRPr="00820C89">
              <w:rPr>
                <w:b/>
                <w:u w:val="single"/>
              </w:rPr>
              <w:t xml:space="preserve"> Significance</w:t>
            </w:r>
          </w:p>
        </w:tc>
      </w:tr>
      <w:tr w:rsidR="002B2736" w:rsidRPr="00820C89" w14:paraId="5BBC9543" w14:textId="77777777" w:rsidTr="003F5CB9">
        <w:trPr>
          <w:trHeight w:val="315"/>
        </w:trPr>
        <w:tc>
          <w:tcPr>
            <w:tcW w:w="1845" w:type="pct"/>
            <w:tcBorders>
              <w:top w:val="single" w:sz="4" w:space="0" w:color="auto"/>
              <w:bottom w:val="single" w:sz="4" w:space="0" w:color="auto"/>
            </w:tcBorders>
          </w:tcPr>
          <w:p w14:paraId="66C701E1" w14:textId="0A678FF7" w:rsidR="00F23FF7" w:rsidRPr="00820C89" w:rsidRDefault="00734AFD" w:rsidP="00F23FF7">
            <w:pPr>
              <w:spacing w:after="0" w:line="240" w:lineRule="auto"/>
              <w:rPr>
                <w:rFonts w:asciiTheme="majorHAnsi" w:hAnsiTheme="majorHAnsi"/>
                <w:szCs w:val="17"/>
              </w:rPr>
            </w:pPr>
            <w:r w:rsidRPr="00820C89">
              <w:rPr>
                <w:rFonts w:asciiTheme="majorHAnsi" w:hAnsiTheme="majorHAnsi"/>
                <w:szCs w:val="17"/>
              </w:rPr>
              <w:t>Intercept</w:t>
            </w:r>
            <w:r w:rsidR="00383EA2" w:rsidRPr="00820C89">
              <w:rPr>
                <w:rFonts w:asciiTheme="majorHAnsi" w:hAnsiTheme="majorHAnsi"/>
                <w:szCs w:val="17"/>
              </w:rPr>
              <w:t xml:space="preserve"> </w:t>
            </w:r>
            <w:r w:rsidR="00383EA2" w:rsidRPr="00820C89">
              <w:rPr>
                <w:i/>
              </w:rPr>
              <w:t xml:space="preserve">(VTEC, Male, Metropolitan, 2015, NSW, did not achieve 26-week outcome, </w:t>
            </w:r>
            <w:r w:rsidR="00383EA2" w:rsidRPr="00820C89">
              <w:rPr>
                <w:i/>
                <w:iCs/>
              </w:rPr>
              <w:t>aged 25-44</w:t>
            </w:r>
            <w:r w:rsidR="00383EA2" w:rsidRPr="00820C89">
              <w:rPr>
                <w:i/>
              </w:rPr>
              <w:t>)</w:t>
            </w:r>
          </w:p>
        </w:tc>
        <w:tc>
          <w:tcPr>
            <w:tcW w:w="789" w:type="pct"/>
            <w:tcBorders>
              <w:top w:val="single" w:sz="4" w:space="0" w:color="auto"/>
              <w:left w:val="nil"/>
              <w:bottom w:val="single" w:sz="4" w:space="0" w:color="auto"/>
              <w:right w:val="nil"/>
            </w:tcBorders>
            <w:shd w:val="clear" w:color="000000" w:fill="FFFFFF"/>
            <w:vAlign w:val="center"/>
          </w:tcPr>
          <w:p w14:paraId="7B9FF4DE" w14:textId="0582579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0.59</w:t>
            </w:r>
          </w:p>
        </w:tc>
        <w:tc>
          <w:tcPr>
            <w:tcW w:w="789" w:type="pct"/>
            <w:tcBorders>
              <w:top w:val="single" w:sz="4" w:space="0" w:color="auto"/>
              <w:left w:val="nil"/>
              <w:bottom w:val="single" w:sz="4" w:space="0" w:color="auto"/>
              <w:right w:val="nil"/>
            </w:tcBorders>
            <w:shd w:val="clear" w:color="000000" w:fill="FFFFFF"/>
            <w:vAlign w:val="center"/>
          </w:tcPr>
          <w:p w14:paraId="6EBFFD8E" w14:textId="0AF05C57" w:rsidR="00F23FF7" w:rsidRPr="00820C89" w:rsidRDefault="00F23FF7" w:rsidP="00F23FF7">
            <w:pPr>
              <w:spacing w:after="0" w:line="240" w:lineRule="auto"/>
              <w:jc w:val="center"/>
              <w:rPr>
                <w:rFonts w:asciiTheme="majorHAnsi" w:hAnsiTheme="majorHAnsi"/>
                <w:szCs w:val="17"/>
              </w:rPr>
            </w:pPr>
          </w:p>
        </w:tc>
        <w:tc>
          <w:tcPr>
            <w:tcW w:w="789" w:type="pct"/>
            <w:tcBorders>
              <w:top w:val="single" w:sz="4" w:space="0" w:color="auto"/>
              <w:left w:val="nil"/>
              <w:bottom w:val="single" w:sz="4" w:space="0" w:color="auto"/>
              <w:right w:val="nil"/>
            </w:tcBorders>
            <w:shd w:val="clear" w:color="000000" w:fill="FFFFFF"/>
            <w:vAlign w:val="center"/>
          </w:tcPr>
          <w:p w14:paraId="4281EA93" w14:textId="3EE5A4CF" w:rsidR="00F23FF7" w:rsidRPr="00820C89" w:rsidRDefault="00F23FF7" w:rsidP="00F23FF7">
            <w:pPr>
              <w:spacing w:after="0" w:line="240" w:lineRule="auto"/>
              <w:jc w:val="center"/>
              <w:rPr>
                <w:rFonts w:asciiTheme="majorHAnsi" w:hAnsiTheme="majorHAnsi"/>
                <w:szCs w:val="17"/>
              </w:rPr>
            </w:pPr>
          </w:p>
        </w:tc>
        <w:tc>
          <w:tcPr>
            <w:tcW w:w="789" w:type="pct"/>
            <w:tcBorders>
              <w:top w:val="single" w:sz="4" w:space="0" w:color="auto"/>
              <w:left w:val="nil"/>
              <w:bottom w:val="single" w:sz="4" w:space="0" w:color="auto"/>
              <w:right w:val="nil"/>
            </w:tcBorders>
            <w:shd w:val="clear" w:color="000000" w:fill="FFFFFF"/>
          </w:tcPr>
          <w:p w14:paraId="0D10E20C" w14:textId="1CAEBD77" w:rsidR="00F23FF7" w:rsidRPr="00820C89" w:rsidRDefault="00C24E2B"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710596D4" w14:textId="77777777" w:rsidTr="003F5CB9">
        <w:trPr>
          <w:trHeight w:val="315"/>
        </w:trPr>
        <w:tc>
          <w:tcPr>
            <w:tcW w:w="1845" w:type="pct"/>
            <w:tcBorders>
              <w:top w:val="single" w:sz="4" w:space="0" w:color="auto"/>
              <w:bottom w:val="single" w:sz="4" w:space="0" w:color="auto"/>
            </w:tcBorders>
          </w:tcPr>
          <w:p w14:paraId="6CB7204D" w14:textId="4CF24038"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EPI</w:t>
            </w:r>
          </w:p>
        </w:tc>
        <w:tc>
          <w:tcPr>
            <w:tcW w:w="789" w:type="pct"/>
            <w:tcBorders>
              <w:top w:val="single" w:sz="4" w:space="0" w:color="auto"/>
              <w:left w:val="nil"/>
              <w:bottom w:val="single" w:sz="4" w:space="0" w:color="auto"/>
              <w:right w:val="nil"/>
            </w:tcBorders>
            <w:shd w:val="clear" w:color="000000" w:fill="FFFFFF"/>
            <w:vAlign w:val="center"/>
          </w:tcPr>
          <w:p w14:paraId="485F1891" w14:textId="7467CBC4"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0.55</w:t>
            </w:r>
          </w:p>
        </w:tc>
        <w:tc>
          <w:tcPr>
            <w:tcW w:w="789" w:type="pct"/>
            <w:tcBorders>
              <w:top w:val="single" w:sz="4" w:space="0" w:color="auto"/>
              <w:left w:val="nil"/>
              <w:bottom w:val="single" w:sz="4" w:space="0" w:color="auto"/>
              <w:right w:val="nil"/>
            </w:tcBorders>
            <w:shd w:val="clear" w:color="000000" w:fill="FFFFFF"/>
            <w:vAlign w:val="center"/>
          </w:tcPr>
          <w:p w14:paraId="12846B07" w14:textId="36745444"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[0.41,0.68]</w:t>
            </w:r>
          </w:p>
        </w:tc>
        <w:tc>
          <w:tcPr>
            <w:tcW w:w="789" w:type="pct"/>
            <w:tcBorders>
              <w:top w:val="single" w:sz="4" w:space="0" w:color="auto"/>
              <w:left w:val="nil"/>
              <w:bottom w:val="single" w:sz="4" w:space="0" w:color="auto"/>
              <w:right w:val="nil"/>
            </w:tcBorders>
            <w:shd w:val="clear" w:color="000000" w:fill="FFFFFF"/>
            <w:vAlign w:val="center"/>
          </w:tcPr>
          <w:p w14:paraId="033E506A" w14:textId="45512BE2"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-0.04</w:t>
            </w:r>
          </w:p>
        </w:tc>
        <w:tc>
          <w:tcPr>
            <w:tcW w:w="789" w:type="pct"/>
            <w:tcBorders>
              <w:top w:val="single" w:sz="4" w:space="0" w:color="auto"/>
              <w:left w:val="nil"/>
              <w:bottom w:val="single" w:sz="4" w:space="0" w:color="auto"/>
              <w:right w:val="nil"/>
            </w:tcBorders>
            <w:shd w:val="clear" w:color="000000" w:fill="FFFFFF"/>
          </w:tcPr>
          <w:p w14:paraId="089FAEE7"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0F3C979E" w14:textId="77777777" w:rsidTr="003F5CB9">
        <w:trPr>
          <w:trHeight w:val="315"/>
        </w:trPr>
        <w:tc>
          <w:tcPr>
            <w:tcW w:w="1845" w:type="pct"/>
            <w:tcBorders>
              <w:top w:val="single" w:sz="4" w:space="0" w:color="auto"/>
              <w:bottom w:val="single" w:sz="4" w:space="0" w:color="auto"/>
            </w:tcBorders>
          </w:tcPr>
          <w:p w14:paraId="7E783BB6" w14:textId="04967472"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TAEG</w:t>
            </w:r>
          </w:p>
        </w:tc>
        <w:tc>
          <w:tcPr>
            <w:tcW w:w="789" w:type="pct"/>
            <w:tcBorders>
              <w:top w:val="single" w:sz="4" w:space="0" w:color="auto"/>
              <w:left w:val="nil"/>
              <w:bottom w:val="single" w:sz="4" w:space="0" w:color="auto"/>
              <w:right w:val="nil"/>
            </w:tcBorders>
            <w:shd w:val="clear" w:color="000000" w:fill="FFFFFF"/>
            <w:vAlign w:val="center"/>
          </w:tcPr>
          <w:p w14:paraId="6597BE02" w14:textId="4D012513"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0.56</w:t>
            </w:r>
          </w:p>
        </w:tc>
        <w:tc>
          <w:tcPr>
            <w:tcW w:w="789" w:type="pct"/>
            <w:tcBorders>
              <w:top w:val="single" w:sz="4" w:space="0" w:color="auto"/>
              <w:left w:val="nil"/>
              <w:bottom w:val="single" w:sz="4" w:space="0" w:color="auto"/>
              <w:right w:val="nil"/>
            </w:tcBorders>
            <w:shd w:val="clear" w:color="000000" w:fill="FFFFFF"/>
            <w:vAlign w:val="center"/>
          </w:tcPr>
          <w:p w14:paraId="58F5625D" w14:textId="27D18B2C"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[0.44,0.68]</w:t>
            </w:r>
          </w:p>
        </w:tc>
        <w:tc>
          <w:tcPr>
            <w:tcW w:w="789" w:type="pct"/>
            <w:tcBorders>
              <w:top w:val="single" w:sz="4" w:space="0" w:color="auto"/>
              <w:left w:val="nil"/>
              <w:bottom w:val="single" w:sz="4" w:space="0" w:color="auto"/>
              <w:right w:val="nil"/>
            </w:tcBorders>
            <w:shd w:val="clear" w:color="000000" w:fill="FFFFFF"/>
            <w:vAlign w:val="center"/>
          </w:tcPr>
          <w:p w14:paraId="09614D8A" w14:textId="560D62EE"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-0.03</w:t>
            </w:r>
          </w:p>
        </w:tc>
        <w:tc>
          <w:tcPr>
            <w:tcW w:w="789" w:type="pct"/>
            <w:tcBorders>
              <w:top w:val="single" w:sz="4" w:space="0" w:color="auto"/>
              <w:left w:val="nil"/>
              <w:bottom w:val="single" w:sz="4" w:space="0" w:color="auto"/>
              <w:right w:val="nil"/>
            </w:tcBorders>
            <w:shd w:val="clear" w:color="000000" w:fill="FFFFFF"/>
          </w:tcPr>
          <w:p w14:paraId="74E84F71" w14:textId="3DE857BB" w:rsidR="00F23FF7" w:rsidRPr="00820C89" w:rsidRDefault="00F23FF7" w:rsidP="00F23FF7">
            <w:pPr>
              <w:spacing w:after="0" w:line="240" w:lineRule="auto"/>
              <w:jc w:val="center"/>
              <w:rPr>
                <w:rFonts w:asciiTheme="majorHAnsi" w:hAnsiTheme="majorHAnsi"/>
                <w:szCs w:val="17"/>
              </w:rPr>
            </w:pPr>
          </w:p>
        </w:tc>
      </w:tr>
      <w:tr w:rsidR="00E4128B" w:rsidRPr="00820C89" w14:paraId="26BBA1D6" w14:textId="77777777" w:rsidTr="003F5CB9">
        <w:trPr>
          <w:trHeight w:val="315"/>
        </w:trPr>
        <w:tc>
          <w:tcPr>
            <w:tcW w:w="1845" w:type="pct"/>
            <w:tcBorders>
              <w:top w:val="single" w:sz="4" w:space="0" w:color="auto"/>
              <w:bottom w:val="single" w:sz="4" w:space="0" w:color="auto"/>
            </w:tcBorders>
          </w:tcPr>
          <w:p w14:paraId="22913BBA" w14:textId="1AFDF390"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Female</w:t>
            </w:r>
          </w:p>
        </w:tc>
        <w:tc>
          <w:tcPr>
            <w:tcW w:w="789" w:type="pct"/>
            <w:tcBorders>
              <w:top w:val="single" w:sz="4" w:space="0" w:color="auto"/>
              <w:left w:val="nil"/>
              <w:bottom w:val="single" w:sz="4" w:space="0" w:color="auto"/>
              <w:right w:val="nil"/>
            </w:tcBorders>
            <w:shd w:val="clear" w:color="000000" w:fill="FFFFFF"/>
            <w:vAlign w:val="center"/>
          </w:tcPr>
          <w:p w14:paraId="38AD124E" w14:textId="3FF821F2"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0.57</w:t>
            </w:r>
          </w:p>
        </w:tc>
        <w:tc>
          <w:tcPr>
            <w:tcW w:w="789" w:type="pct"/>
            <w:tcBorders>
              <w:top w:val="single" w:sz="4" w:space="0" w:color="auto"/>
              <w:left w:val="nil"/>
              <w:bottom w:val="single" w:sz="4" w:space="0" w:color="auto"/>
              <w:right w:val="nil"/>
            </w:tcBorders>
            <w:shd w:val="clear" w:color="000000" w:fill="FFFFFF"/>
            <w:vAlign w:val="center"/>
          </w:tcPr>
          <w:p w14:paraId="6FF38396" w14:textId="2CD4E1FD"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[0.45,0.68]</w:t>
            </w:r>
          </w:p>
        </w:tc>
        <w:tc>
          <w:tcPr>
            <w:tcW w:w="789" w:type="pct"/>
            <w:tcBorders>
              <w:top w:val="single" w:sz="4" w:space="0" w:color="auto"/>
              <w:left w:val="nil"/>
              <w:bottom w:val="single" w:sz="4" w:space="0" w:color="auto"/>
              <w:right w:val="nil"/>
            </w:tcBorders>
            <w:shd w:val="clear" w:color="000000" w:fill="FFFFFF"/>
            <w:vAlign w:val="center"/>
          </w:tcPr>
          <w:p w14:paraId="62A41BF7" w14:textId="5A99188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-0.02</w:t>
            </w:r>
          </w:p>
        </w:tc>
        <w:tc>
          <w:tcPr>
            <w:tcW w:w="789" w:type="pct"/>
            <w:tcBorders>
              <w:top w:val="single" w:sz="4" w:space="0" w:color="auto"/>
              <w:left w:val="nil"/>
              <w:bottom w:val="single" w:sz="4" w:space="0" w:color="auto"/>
              <w:right w:val="nil"/>
            </w:tcBorders>
            <w:shd w:val="clear" w:color="000000" w:fill="FFFFFF"/>
          </w:tcPr>
          <w:p w14:paraId="4CD1C692"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5D7DF819" w14:textId="77777777" w:rsidTr="003F5CB9">
        <w:trPr>
          <w:trHeight w:val="315"/>
        </w:trPr>
        <w:tc>
          <w:tcPr>
            <w:tcW w:w="1845" w:type="pct"/>
            <w:tcBorders>
              <w:top w:val="single" w:sz="4" w:space="0" w:color="auto"/>
              <w:bottom w:val="single" w:sz="4" w:space="0" w:color="auto"/>
            </w:tcBorders>
          </w:tcPr>
          <w:p w14:paraId="073C5D92" w14:textId="1B758CFE"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Inner Regional Australia</w:t>
            </w:r>
          </w:p>
        </w:tc>
        <w:tc>
          <w:tcPr>
            <w:tcW w:w="789" w:type="pct"/>
            <w:tcBorders>
              <w:top w:val="single" w:sz="4" w:space="0" w:color="auto"/>
              <w:left w:val="nil"/>
              <w:bottom w:val="single" w:sz="4" w:space="0" w:color="auto"/>
              <w:right w:val="nil"/>
            </w:tcBorders>
            <w:shd w:val="clear" w:color="000000" w:fill="FFFFFF"/>
            <w:vAlign w:val="center"/>
          </w:tcPr>
          <w:p w14:paraId="31DE60D0" w14:textId="2D3B04C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0.64</w:t>
            </w:r>
          </w:p>
        </w:tc>
        <w:tc>
          <w:tcPr>
            <w:tcW w:w="789" w:type="pct"/>
            <w:tcBorders>
              <w:top w:val="single" w:sz="4" w:space="0" w:color="auto"/>
              <w:left w:val="nil"/>
              <w:bottom w:val="single" w:sz="4" w:space="0" w:color="auto"/>
              <w:right w:val="nil"/>
            </w:tcBorders>
            <w:shd w:val="clear" w:color="000000" w:fill="FFFFFF"/>
            <w:vAlign w:val="center"/>
          </w:tcPr>
          <w:p w14:paraId="1B973D24" w14:textId="7DEE79ED"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[0.5,0.75]</w:t>
            </w:r>
          </w:p>
        </w:tc>
        <w:tc>
          <w:tcPr>
            <w:tcW w:w="789" w:type="pct"/>
            <w:tcBorders>
              <w:top w:val="single" w:sz="4" w:space="0" w:color="auto"/>
              <w:left w:val="nil"/>
              <w:bottom w:val="single" w:sz="4" w:space="0" w:color="auto"/>
              <w:right w:val="nil"/>
            </w:tcBorders>
            <w:shd w:val="clear" w:color="000000" w:fill="FFFFFF"/>
            <w:vAlign w:val="center"/>
          </w:tcPr>
          <w:p w14:paraId="3B34DCEF" w14:textId="3E4EEB9A"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0.05</w:t>
            </w:r>
          </w:p>
        </w:tc>
        <w:tc>
          <w:tcPr>
            <w:tcW w:w="789" w:type="pct"/>
            <w:tcBorders>
              <w:top w:val="single" w:sz="4" w:space="0" w:color="auto"/>
              <w:left w:val="nil"/>
              <w:bottom w:val="single" w:sz="4" w:space="0" w:color="auto"/>
              <w:right w:val="nil"/>
            </w:tcBorders>
            <w:shd w:val="clear" w:color="000000" w:fill="FFFFFF"/>
          </w:tcPr>
          <w:p w14:paraId="760CA0B3"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18A6738C" w14:textId="77777777" w:rsidTr="003F5CB9">
        <w:trPr>
          <w:trHeight w:val="315"/>
        </w:trPr>
        <w:tc>
          <w:tcPr>
            <w:tcW w:w="1845" w:type="pct"/>
            <w:tcBorders>
              <w:top w:val="single" w:sz="4" w:space="0" w:color="auto"/>
              <w:bottom w:val="single" w:sz="4" w:space="0" w:color="auto"/>
            </w:tcBorders>
          </w:tcPr>
          <w:p w14:paraId="44A3C7B3" w14:textId="07AEB02A"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Outer Regional Australia</w:t>
            </w:r>
          </w:p>
        </w:tc>
        <w:tc>
          <w:tcPr>
            <w:tcW w:w="789" w:type="pct"/>
            <w:tcBorders>
              <w:top w:val="single" w:sz="4" w:space="0" w:color="auto"/>
              <w:left w:val="nil"/>
              <w:bottom w:val="single" w:sz="4" w:space="0" w:color="auto"/>
              <w:right w:val="nil"/>
            </w:tcBorders>
            <w:shd w:val="clear" w:color="000000" w:fill="FFFFFF"/>
            <w:vAlign w:val="center"/>
          </w:tcPr>
          <w:p w14:paraId="5A30F817" w14:textId="4C33F5A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0.61</w:t>
            </w:r>
          </w:p>
        </w:tc>
        <w:tc>
          <w:tcPr>
            <w:tcW w:w="789" w:type="pct"/>
            <w:tcBorders>
              <w:top w:val="single" w:sz="4" w:space="0" w:color="auto"/>
              <w:left w:val="nil"/>
              <w:bottom w:val="single" w:sz="4" w:space="0" w:color="auto"/>
              <w:right w:val="nil"/>
            </w:tcBorders>
            <w:shd w:val="clear" w:color="000000" w:fill="FFFFFF"/>
            <w:vAlign w:val="center"/>
          </w:tcPr>
          <w:p w14:paraId="5C7FBABF" w14:textId="40C88331"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[0.47,0.73]</w:t>
            </w:r>
          </w:p>
        </w:tc>
        <w:tc>
          <w:tcPr>
            <w:tcW w:w="789" w:type="pct"/>
            <w:tcBorders>
              <w:top w:val="single" w:sz="4" w:space="0" w:color="auto"/>
              <w:left w:val="nil"/>
              <w:bottom w:val="single" w:sz="4" w:space="0" w:color="auto"/>
              <w:right w:val="nil"/>
            </w:tcBorders>
            <w:shd w:val="clear" w:color="000000" w:fill="FFFFFF"/>
            <w:vAlign w:val="center"/>
          </w:tcPr>
          <w:p w14:paraId="23AA70EF" w14:textId="74B156BF"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0.02</w:t>
            </w:r>
          </w:p>
        </w:tc>
        <w:tc>
          <w:tcPr>
            <w:tcW w:w="789" w:type="pct"/>
            <w:tcBorders>
              <w:top w:val="single" w:sz="4" w:space="0" w:color="auto"/>
              <w:left w:val="nil"/>
              <w:bottom w:val="single" w:sz="4" w:space="0" w:color="auto"/>
              <w:right w:val="nil"/>
            </w:tcBorders>
            <w:shd w:val="clear" w:color="000000" w:fill="FFFFFF"/>
          </w:tcPr>
          <w:p w14:paraId="5CBB4DD9"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4F3EBF70" w14:textId="77777777" w:rsidTr="003F5CB9">
        <w:trPr>
          <w:trHeight w:val="315"/>
        </w:trPr>
        <w:tc>
          <w:tcPr>
            <w:tcW w:w="1845" w:type="pct"/>
            <w:tcBorders>
              <w:top w:val="single" w:sz="4" w:space="0" w:color="auto"/>
              <w:bottom w:val="single" w:sz="4" w:space="0" w:color="auto"/>
            </w:tcBorders>
          </w:tcPr>
          <w:p w14:paraId="44AB830C" w14:textId="53A8DE19"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Remote and Very Remote Australia</w:t>
            </w:r>
          </w:p>
        </w:tc>
        <w:tc>
          <w:tcPr>
            <w:tcW w:w="789" w:type="pct"/>
            <w:tcBorders>
              <w:top w:val="single" w:sz="4" w:space="0" w:color="auto"/>
              <w:left w:val="nil"/>
              <w:bottom w:val="single" w:sz="4" w:space="0" w:color="auto"/>
              <w:right w:val="nil"/>
            </w:tcBorders>
            <w:shd w:val="clear" w:color="000000" w:fill="FFFFFF"/>
            <w:vAlign w:val="center"/>
          </w:tcPr>
          <w:p w14:paraId="02CF3E40" w14:textId="0064D973"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0.54</w:t>
            </w:r>
          </w:p>
        </w:tc>
        <w:tc>
          <w:tcPr>
            <w:tcW w:w="789" w:type="pct"/>
            <w:tcBorders>
              <w:top w:val="single" w:sz="4" w:space="0" w:color="auto"/>
              <w:left w:val="nil"/>
              <w:bottom w:val="single" w:sz="4" w:space="0" w:color="auto"/>
              <w:right w:val="nil"/>
            </w:tcBorders>
            <w:shd w:val="clear" w:color="000000" w:fill="FFFFFF"/>
            <w:vAlign w:val="center"/>
          </w:tcPr>
          <w:p w14:paraId="6C6A88A7" w14:textId="675DBFA5"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[0.4,0.68]</w:t>
            </w:r>
          </w:p>
        </w:tc>
        <w:tc>
          <w:tcPr>
            <w:tcW w:w="789" w:type="pct"/>
            <w:tcBorders>
              <w:top w:val="single" w:sz="4" w:space="0" w:color="auto"/>
              <w:left w:val="nil"/>
              <w:bottom w:val="single" w:sz="4" w:space="0" w:color="auto"/>
              <w:right w:val="nil"/>
            </w:tcBorders>
            <w:shd w:val="clear" w:color="000000" w:fill="FFFFFF"/>
            <w:vAlign w:val="center"/>
          </w:tcPr>
          <w:p w14:paraId="6393DD63" w14:textId="5259DB7E"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-0.05</w:t>
            </w:r>
          </w:p>
        </w:tc>
        <w:tc>
          <w:tcPr>
            <w:tcW w:w="789" w:type="pct"/>
            <w:tcBorders>
              <w:top w:val="single" w:sz="4" w:space="0" w:color="auto"/>
              <w:left w:val="nil"/>
              <w:bottom w:val="single" w:sz="4" w:space="0" w:color="auto"/>
              <w:right w:val="nil"/>
            </w:tcBorders>
            <w:shd w:val="clear" w:color="000000" w:fill="FFFFFF"/>
          </w:tcPr>
          <w:p w14:paraId="3AA10B64"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29751706" w14:textId="77777777" w:rsidTr="003F5CB9">
        <w:trPr>
          <w:trHeight w:val="315"/>
        </w:trPr>
        <w:tc>
          <w:tcPr>
            <w:tcW w:w="1845" w:type="pct"/>
            <w:tcBorders>
              <w:top w:val="single" w:sz="4" w:space="0" w:color="auto"/>
              <w:bottom w:val="single" w:sz="4" w:space="0" w:color="auto"/>
            </w:tcBorders>
          </w:tcPr>
          <w:p w14:paraId="354309CC" w14:textId="105D50AF"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2016</w:t>
            </w:r>
          </w:p>
        </w:tc>
        <w:tc>
          <w:tcPr>
            <w:tcW w:w="789" w:type="pct"/>
            <w:tcBorders>
              <w:top w:val="single" w:sz="4" w:space="0" w:color="auto"/>
              <w:left w:val="nil"/>
              <w:bottom w:val="single" w:sz="4" w:space="0" w:color="auto"/>
              <w:right w:val="nil"/>
            </w:tcBorders>
            <w:shd w:val="clear" w:color="000000" w:fill="FFFFFF"/>
            <w:vAlign w:val="center"/>
          </w:tcPr>
          <w:p w14:paraId="67DBB657" w14:textId="37F6BDF6"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0.54</w:t>
            </w:r>
          </w:p>
        </w:tc>
        <w:tc>
          <w:tcPr>
            <w:tcW w:w="789" w:type="pct"/>
            <w:tcBorders>
              <w:top w:val="single" w:sz="4" w:space="0" w:color="auto"/>
              <w:left w:val="nil"/>
              <w:bottom w:val="single" w:sz="4" w:space="0" w:color="auto"/>
              <w:right w:val="nil"/>
            </w:tcBorders>
            <w:shd w:val="clear" w:color="000000" w:fill="FFFFFF"/>
            <w:vAlign w:val="center"/>
          </w:tcPr>
          <w:p w14:paraId="69FF4C17" w14:textId="128E1CC6"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[0.39,0.68]</w:t>
            </w:r>
          </w:p>
        </w:tc>
        <w:tc>
          <w:tcPr>
            <w:tcW w:w="789" w:type="pct"/>
            <w:tcBorders>
              <w:top w:val="single" w:sz="4" w:space="0" w:color="auto"/>
              <w:left w:val="nil"/>
              <w:bottom w:val="single" w:sz="4" w:space="0" w:color="auto"/>
              <w:right w:val="nil"/>
            </w:tcBorders>
            <w:shd w:val="clear" w:color="000000" w:fill="FFFFFF"/>
            <w:vAlign w:val="center"/>
          </w:tcPr>
          <w:p w14:paraId="72EF22A3" w14:textId="5C463F39"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-0.05</w:t>
            </w:r>
          </w:p>
        </w:tc>
        <w:tc>
          <w:tcPr>
            <w:tcW w:w="789" w:type="pct"/>
            <w:tcBorders>
              <w:top w:val="single" w:sz="4" w:space="0" w:color="auto"/>
              <w:left w:val="nil"/>
              <w:bottom w:val="single" w:sz="4" w:space="0" w:color="auto"/>
              <w:right w:val="nil"/>
            </w:tcBorders>
            <w:shd w:val="clear" w:color="000000" w:fill="FFFFFF"/>
          </w:tcPr>
          <w:p w14:paraId="5B10AACB"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3083F99A" w14:textId="77777777" w:rsidTr="003F5CB9">
        <w:trPr>
          <w:trHeight w:val="315"/>
        </w:trPr>
        <w:tc>
          <w:tcPr>
            <w:tcW w:w="1845" w:type="pct"/>
            <w:tcBorders>
              <w:top w:val="single" w:sz="4" w:space="0" w:color="auto"/>
              <w:bottom w:val="single" w:sz="4" w:space="0" w:color="auto"/>
            </w:tcBorders>
          </w:tcPr>
          <w:p w14:paraId="0C00FC87" w14:textId="66ECF6C1"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2017</w:t>
            </w:r>
          </w:p>
        </w:tc>
        <w:tc>
          <w:tcPr>
            <w:tcW w:w="789" w:type="pct"/>
            <w:tcBorders>
              <w:top w:val="single" w:sz="4" w:space="0" w:color="auto"/>
              <w:left w:val="nil"/>
              <w:bottom w:val="single" w:sz="4" w:space="0" w:color="auto"/>
              <w:right w:val="nil"/>
            </w:tcBorders>
            <w:shd w:val="clear" w:color="000000" w:fill="FFFFFF"/>
            <w:vAlign w:val="center"/>
          </w:tcPr>
          <w:p w14:paraId="1CE47520" w14:textId="0FE24E2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0.57</w:t>
            </w:r>
          </w:p>
        </w:tc>
        <w:tc>
          <w:tcPr>
            <w:tcW w:w="789" w:type="pct"/>
            <w:tcBorders>
              <w:top w:val="single" w:sz="4" w:space="0" w:color="auto"/>
              <w:left w:val="nil"/>
              <w:bottom w:val="single" w:sz="4" w:space="0" w:color="auto"/>
              <w:right w:val="nil"/>
            </w:tcBorders>
            <w:shd w:val="clear" w:color="000000" w:fill="FFFFFF"/>
            <w:vAlign w:val="center"/>
          </w:tcPr>
          <w:p w14:paraId="59335F8B" w14:textId="70F286C2"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[0.39,0.74]</w:t>
            </w:r>
          </w:p>
        </w:tc>
        <w:tc>
          <w:tcPr>
            <w:tcW w:w="789" w:type="pct"/>
            <w:tcBorders>
              <w:top w:val="single" w:sz="4" w:space="0" w:color="auto"/>
              <w:left w:val="nil"/>
              <w:bottom w:val="single" w:sz="4" w:space="0" w:color="auto"/>
              <w:right w:val="nil"/>
            </w:tcBorders>
            <w:shd w:val="clear" w:color="000000" w:fill="FFFFFF"/>
            <w:vAlign w:val="center"/>
          </w:tcPr>
          <w:p w14:paraId="036E1B4E" w14:textId="0DF44E5E"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-0.02</w:t>
            </w:r>
          </w:p>
        </w:tc>
        <w:tc>
          <w:tcPr>
            <w:tcW w:w="789" w:type="pct"/>
            <w:tcBorders>
              <w:top w:val="single" w:sz="4" w:space="0" w:color="auto"/>
              <w:left w:val="nil"/>
              <w:bottom w:val="single" w:sz="4" w:space="0" w:color="auto"/>
              <w:right w:val="nil"/>
            </w:tcBorders>
            <w:shd w:val="clear" w:color="000000" w:fill="FFFFFF"/>
          </w:tcPr>
          <w:p w14:paraId="321A282C"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3A3868A0" w14:textId="77777777" w:rsidTr="003F5CB9">
        <w:trPr>
          <w:trHeight w:val="315"/>
        </w:trPr>
        <w:tc>
          <w:tcPr>
            <w:tcW w:w="1845" w:type="pct"/>
            <w:tcBorders>
              <w:top w:val="single" w:sz="4" w:space="0" w:color="auto"/>
              <w:bottom w:val="single" w:sz="4" w:space="0" w:color="auto"/>
            </w:tcBorders>
          </w:tcPr>
          <w:p w14:paraId="520B45B6" w14:textId="2BC33842"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Over 45</w:t>
            </w:r>
          </w:p>
        </w:tc>
        <w:tc>
          <w:tcPr>
            <w:tcW w:w="789" w:type="pct"/>
            <w:tcBorders>
              <w:top w:val="single" w:sz="4" w:space="0" w:color="auto"/>
              <w:left w:val="nil"/>
              <w:bottom w:val="single" w:sz="4" w:space="0" w:color="auto"/>
              <w:right w:val="nil"/>
            </w:tcBorders>
            <w:shd w:val="clear" w:color="000000" w:fill="FFFFFF"/>
            <w:vAlign w:val="center"/>
          </w:tcPr>
          <w:p w14:paraId="157E3CDF" w14:textId="77DCF07A"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0.63</w:t>
            </w:r>
          </w:p>
        </w:tc>
        <w:tc>
          <w:tcPr>
            <w:tcW w:w="789" w:type="pct"/>
            <w:tcBorders>
              <w:top w:val="single" w:sz="4" w:space="0" w:color="auto"/>
              <w:left w:val="nil"/>
              <w:bottom w:val="single" w:sz="4" w:space="0" w:color="auto"/>
              <w:right w:val="nil"/>
            </w:tcBorders>
            <w:shd w:val="clear" w:color="000000" w:fill="FFFFFF"/>
            <w:vAlign w:val="center"/>
          </w:tcPr>
          <w:p w14:paraId="328AF0E1" w14:textId="2328AE79"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[0.49,0.75]</w:t>
            </w:r>
          </w:p>
        </w:tc>
        <w:tc>
          <w:tcPr>
            <w:tcW w:w="789" w:type="pct"/>
            <w:tcBorders>
              <w:top w:val="single" w:sz="4" w:space="0" w:color="auto"/>
              <w:left w:val="nil"/>
              <w:bottom w:val="single" w:sz="4" w:space="0" w:color="auto"/>
              <w:right w:val="nil"/>
            </w:tcBorders>
            <w:shd w:val="clear" w:color="000000" w:fill="FFFFFF"/>
            <w:vAlign w:val="center"/>
          </w:tcPr>
          <w:p w14:paraId="26F2041D" w14:textId="706F2BC3"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0.04</w:t>
            </w:r>
          </w:p>
        </w:tc>
        <w:tc>
          <w:tcPr>
            <w:tcW w:w="789" w:type="pct"/>
            <w:tcBorders>
              <w:top w:val="single" w:sz="4" w:space="0" w:color="auto"/>
              <w:left w:val="nil"/>
              <w:bottom w:val="single" w:sz="4" w:space="0" w:color="auto"/>
              <w:right w:val="nil"/>
            </w:tcBorders>
            <w:shd w:val="clear" w:color="000000" w:fill="FFFFFF"/>
          </w:tcPr>
          <w:p w14:paraId="2D94A2DB"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3D96005D" w14:textId="77777777" w:rsidTr="003F5CB9">
        <w:trPr>
          <w:trHeight w:val="315"/>
        </w:trPr>
        <w:tc>
          <w:tcPr>
            <w:tcW w:w="1845" w:type="pct"/>
            <w:tcBorders>
              <w:top w:val="single" w:sz="4" w:space="0" w:color="auto"/>
              <w:bottom w:val="single" w:sz="4" w:space="0" w:color="auto"/>
            </w:tcBorders>
          </w:tcPr>
          <w:p w14:paraId="21129D64" w14:textId="7B521643"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Under 25</w:t>
            </w:r>
          </w:p>
        </w:tc>
        <w:tc>
          <w:tcPr>
            <w:tcW w:w="789" w:type="pct"/>
            <w:tcBorders>
              <w:top w:val="single" w:sz="4" w:space="0" w:color="auto"/>
              <w:left w:val="nil"/>
              <w:bottom w:val="single" w:sz="4" w:space="0" w:color="auto"/>
              <w:right w:val="nil"/>
            </w:tcBorders>
            <w:shd w:val="clear" w:color="000000" w:fill="FFFFFF"/>
            <w:vAlign w:val="center"/>
          </w:tcPr>
          <w:p w14:paraId="622CC1F1" w14:textId="72026F01"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0.56</w:t>
            </w:r>
          </w:p>
        </w:tc>
        <w:tc>
          <w:tcPr>
            <w:tcW w:w="789" w:type="pct"/>
            <w:tcBorders>
              <w:top w:val="single" w:sz="4" w:space="0" w:color="auto"/>
              <w:left w:val="nil"/>
              <w:bottom w:val="single" w:sz="4" w:space="0" w:color="auto"/>
              <w:right w:val="nil"/>
            </w:tcBorders>
            <w:shd w:val="clear" w:color="000000" w:fill="FFFFFF"/>
            <w:vAlign w:val="center"/>
          </w:tcPr>
          <w:p w14:paraId="7E5F65EC" w14:textId="6ABA244F"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[0.44,0.67]</w:t>
            </w:r>
          </w:p>
        </w:tc>
        <w:tc>
          <w:tcPr>
            <w:tcW w:w="789" w:type="pct"/>
            <w:tcBorders>
              <w:top w:val="single" w:sz="4" w:space="0" w:color="auto"/>
              <w:left w:val="nil"/>
              <w:bottom w:val="single" w:sz="4" w:space="0" w:color="auto"/>
              <w:right w:val="nil"/>
            </w:tcBorders>
            <w:shd w:val="clear" w:color="000000" w:fill="FFFFFF"/>
            <w:vAlign w:val="center"/>
          </w:tcPr>
          <w:p w14:paraId="6A1938BA" w14:textId="73EEB9D8"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-0.03</w:t>
            </w:r>
          </w:p>
        </w:tc>
        <w:tc>
          <w:tcPr>
            <w:tcW w:w="789" w:type="pct"/>
            <w:tcBorders>
              <w:top w:val="single" w:sz="4" w:space="0" w:color="auto"/>
              <w:left w:val="nil"/>
              <w:bottom w:val="single" w:sz="4" w:space="0" w:color="auto"/>
              <w:right w:val="nil"/>
            </w:tcBorders>
            <w:shd w:val="clear" w:color="000000" w:fill="FFFFFF"/>
          </w:tcPr>
          <w:p w14:paraId="64A23346"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35FC6865" w14:textId="77777777" w:rsidTr="003F5CB9">
        <w:trPr>
          <w:trHeight w:val="315"/>
        </w:trPr>
        <w:tc>
          <w:tcPr>
            <w:tcW w:w="1845" w:type="pct"/>
            <w:tcBorders>
              <w:top w:val="single" w:sz="4" w:space="0" w:color="auto"/>
              <w:bottom w:val="single" w:sz="4" w:space="0" w:color="auto"/>
            </w:tcBorders>
          </w:tcPr>
          <w:p w14:paraId="3E98B3E5" w14:textId="172D03D3"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ACT</w:t>
            </w:r>
          </w:p>
        </w:tc>
        <w:tc>
          <w:tcPr>
            <w:tcW w:w="789" w:type="pct"/>
            <w:tcBorders>
              <w:top w:val="single" w:sz="4" w:space="0" w:color="auto"/>
              <w:left w:val="nil"/>
              <w:bottom w:val="single" w:sz="4" w:space="0" w:color="auto"/>
              <w:right w:val="nil"/>
            </w:tcBorders>
            <w:shd w:val="clear" w:color="000000" w:fill="FFFFFF"/>
            <w:vAlign w:val="center"/>
          </w:tcPr>
          <w:p w14:paraId="033A364E" w14:textId="62696EC6"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0.60</w:t>
            </w:r>
          </w:p>
        </w:tc>
        <w:tc>
          <w:tcPr>
            <w:tcW w:w="789" w:type="pct"/>
            <w:tcBorders>
              <w:top w:val="single" w:sz="4" w:space="0" w:color="auto"/>
              <w:left w:val="nil"/>
              <w:bottom w:val="single" w:sz="4" w:space="0" w:color="auto"/>
              <w:right w:val="nil"/>
            </w:tcBorders>
            <w:shd w:val="clear" w:color="000000" w:fill="FFFFFF"/>
            <w:vAlign w:val="center"/>
          </w:tcPr>
          <w:p w14:paraId="58923F83" w14:textId="020FC810"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[0.39,0.78]</w:t>
            </w:r>
          </w:p>
        </w:tc>
        <w:tc>
          <w:tcPr>
            <w:tcW w:w="789" w:type="pct"/>
            <w:tcBorders>
              <w:top w:val="single" w:sz="4" w:space="0" w:color="auto"/>
              <w:left w:val="nil"/>
              <w:bottom w:val="single" w:sz="4" w:space="0" w:color="auto"/>
              <w:right w:val="nil"/>
            </w:tcBorders>
            <w:shd w:val="clear" w:color="000000" w:fill="FFFFFF"/>
            <w:vAlign w:val="center"/>
          </w:tcPr>
          <w:p w14:paraId="6B420734" w14:textId="285C83CA"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0.01</w:t>
            </w:r>
          </w:p>
        </w:tc>
        <w:tc>
          <w:tcPr>
            <w:tcW w:w="789" w:type="pct"/>
            <w:tcBorders>
              <w:top w:val="single" w:sz="4" w:space="0" w:color="auto"/>
              <w:left w:val="nil"/>
              <w:bottom w:val="single" w:sz="4" w:space="0" w:color="auto"/>
              <w:right w:val="nil"/>
            </w:tcBorders>
            <w:shd w:val="clear" w:color="000000" w:fill="FFFFFF"/>
          </w:tcPr>
          <w:p w14:paraId="5F1B50EC" w14:textId="271E6261" w:rsidR="00F23FF7" w:rsidRPr="00820C89" w:rsidRDefault="00F23FF7" w:rsidP="00F23FF7">
            <w:pPr>
              <w:spacing w:after="0" w:line="240" w:lineRule="auto"/>
              <w:jc w:val="center"/>
              <w:rPr>
                <w:rFonts w:asciiTheme="majorHAnsi" w:hAnsiTheme="majorHAnsi"/>
                <w:szCs w:val="17"/>
              </w:rPr>
            </w:pPr>
          </w:p>
        </w:tc>
      </w:tr>
      <w:tr w:rsidR="00E4128B" w:rsidRPr="00820C89" w14:paraId="746064DB" w14:textId="77777777" w:rsidTr="003F5CB9">
        <w:trPr>
          <w:trHeight w:val="315"/>
        </w:trPr>
        <w:tc>
          <w:tcPr>
            <w:tcW w:w="1845" w:type="pct"/>
            <w:tcBorders>
              <w:top w:val="single" w:sz="4" w:space="0" w:color="auto"/>
              <w:bottom w:val="single" w:sz="4" w:space="0" w:color="auto"/>
            </w:tcBorders>
          </w:tcPr>
          <w:p w14:paraId="2F3DAB6E" w14:textId="34F87651"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NT</w:t>
            </w:r>
          </w:p>
        </w:tc>
        <w:tc>
          <w:tcPr>
            <w:tcW w:w="789" w:type="pct"/>
            <w:tcBorders>
              <w:top w:val="single" w:sz="4" w:space="0" w:color="auto"/>
              <w:left w:val="nil"/>
              <w:bottom w:val="single" w:sz="4" w:space="0" w:color="auto"/>
              <w:right w:val="nil"/>
            </w:tcBorders>
            <w:shd w:val="clear" w:color="000000" w:fill="FFFFFF"/>
            <w:vAlign w:val="center"/>
          </w:tcPr>
          <w:p w14:paraId="6BE67266" w14:textId="01CB940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0.75</w:t>
            </w:r>
          </w:p>
        </w:tc>
        <w:tc>
          <w:tcPr>
            <w:tcW w:w="789" w:type="pct"/>
            <w:tcBorders>
              <w:top w:val="single" w:sz="4" w:space="0" w:color="auto"/>
              <w:left w:val="nil"/>
              <w:bottom w:val="single" w:sz="4" w:space="0" w:color="auto"/>
              <w:right w:val="nil"/>
            </w:tcBorders>
            <w:shd w:val="clear" w:color="000000" w:fill="FFFFFF"/>
            <w:vAlign w:val="center"/>
          </w:tcPr>
          <w:p w14:paraId="1A80F994" w14:textId="327ACDBA"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[0.61,0.85]</w:t>
            </w:r>
          </w:p>
        </w:tc>
        <w:tc>
          <w:tcPr>
            <w:tcW w:w="789" w:type="pct"/>
            <w:tcBorders>
              <w:top w:val="single" w:sz="4" w:space="0" w:color="auto"/>
              <w:left w:val="nil"/>
              <w:bottom w:val="single" w:sz="4" w:space="0" w:color="auto"/>
              <w:right w:val="nil"/>
            </w:tcBorders>
            <w:shd w:val="clear" w:color="000000" w:fill="FFFFFF"/>
            <w:vAlign w:val="center"/>
          </w:tcPr>
          <w:p w14:paraId="02BFB249" w14:textId="00389AA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0.16</w:t>
            </w:r>
          </w:p>
        </w:tc>
        <w:tc>
          <w:tcPr>
            <w:tcW w:w="789" w:type="pct"/>
            <w:tcBorders>
              <w:top w:val="single" w:sz="4" w:space="0" w:color="auto"/>
              <w:left w:val="nil"/>
              <w:bottom w:val="single" w:sz="4" w:space="0" w:color="auto"/>
              <w:right w:val="nil"/>
            </w:tcBorders>
            <w:shd w:val="clear" w:color="000000" w:fill="FFFFFF"/>
          </w:tcPr>
          <w:p w14:paraId="0F275E7C" w14:textId="5355D1FA" w:rsidR="00F23FF7" w:rsidRPr="00820C89" w:rsidRDefault="00103EC0"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0840FE28" w14:textId="77777777" w:rsidTr="003F5CB9">
        <w:trPr>
          <w:trHeight w:val="315"/>
        </w:trPr>
        <w:tc>
          <w:tcPr>
            <w:tcW w:w="1845" w:type="pct"/>
            <w:tcBorders>
              <w:top w:val="single" w:sz="4" w:space="0" w:color="auto"/>
              <w:bottom w:val="single" w:sz="4" w:space="0" w:color="auto"/>
            </w:tcBorders>
          </w:tcPr>
          <w:p w14:paraId="310A240A" w14:textId="3ADFD1E6"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QLD</w:t>
            </w:r>
          </w:p>
        </w:tc>
        <w:tc>
          <w:tcPr>
            <w:tcW w:w="789" w:type="pct"/>
            <w:tcBorders>
              <w:top w:val="single" w:sz="4" w:space="0" w:color="auto"/>
              <w:left w:val="nil"/>
              <w:bottom w:val="single" w:sz="4" w:space="0" w:color="auto"/>
              <w:right w:val="nil"/>
            </w:tcBorders>
            <w:shd w:val="clear" w:color="000000" w:fill="FFFFFF"/>
            <w:vAlign w:val="center"/>
          </w:tcPr>
          <w:p w14:paraId="6D155E7C" w14:textId="79FB5C55"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0.65</w:t>
            </w:r>
          </w:p>
        </w:tc>
        <w:tc>
          <w:tcPr>
            <w:tcW w:w="789" w:type="pct"/>
            <w:tcBorders>
              <w:top w:val="single" w:sz="4" w:space="0" w:color="auto"/>
              <w:left w:val="nil"/>
              <w:bottom w:val="single" w:sz="4" w:space="0" w:color="auto"/>
              <w:right w:val="nil"/>
            </w:tcBorders>
            <w:shd w:val="clear" w:color="000000" w:fill="FFFFFF"/>
            <w:vAlign w:val="center"/>
          </w:tcPr>
          <w:p w14:paraId="5F592BE1" w14:textId="2C333017"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[0.52,0.77]</w:t>
            </w:r>
          </w:p>
        </w:tc>
        <w:tc>
          <w:tcPr>
            <w:tcW w:w="789" w:type="pct"/>
            <w:tcBorders>
              <w:top w:val="single" w:sz="4" w:space="0" w:color="auto"/>
              <w:left w:val="nil"/>
              <w:bottom w:val="single" w:sz="4" w:space="0" w:color="auto"/>
              <w:right w:val="nil"/>
            </w:tcBorders>
            <w:shd w:val="clear" w:color="000000" w:fill="FFFFFF"/>
            <w:vAlign w:val="center"/>
          </w:tcPr>
          <w:p w14:paraId="67D6A67E" w14:textId="1691A9F9"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0.06</w:t>
            </w:r>
          </w:p>
        </w:tc>
        <w:tc>
          <w:tcPr>
            <w:tcW w:w="789" w:type="pct"/>
            <w:tcBorders>
              <w:top w:val="single" w:sz="4" w:space="0" w:color="auto"/>
              <w:left w:val="nil"/>
              <w:bottom w:val="single" w:sz="4" w:space="0" w:color="auto"/>
              <w:right w:val="nil"/>
            </w:tcBorders>
            <w:shd w:val="clear" w:color="000000" w:fill="FFFFFF"/>
          </w:tcPr>
          <w:p w14:paraId="30BE1BE5" w14:textId="2CF3C6CC" w:rsidR="00F23FF7" w:rsidRPr="00820C89" w:rsidRDefault="00D86FB4"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4089AE6A" w14:textId="77777777" w:rsidTr="003F5CB9">
        <w:trPr>
          <w:trHeight w:val="315"/>
        </w:trPr>
        <w:tc>
          <w:tcPr>
            <w:tcW w:w="1845" w:type="pct"/>
            <w:tcBorders>
              <w:top w:val="single" w:sz="4" w:space="0" w:color="auto"/>
              <w:bottom w:val="single" w:sz="4" w:space="0" w:color="auto"/>
            </w:tcBorders>
          </w:tcPr>
          <w:p w14:paraId="4062EF77" w14:textId="3784418B"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SA</w:t>
            </w:r>
          </w:p>
        </w:tc>
        <w:tc>
          <w:tcPr>
            <w:tcW w:w="789" w:type="pct"/>
            <w:tcBorders>
              <w:top w:val="single" w:sz="4" w:space="0" w:color="auto"/>
              <w:left w:val="nil"/>
              <w:bottom w:val="single" w:sz="4" w:space="0" w:color="auto"/>
              <w:right w:val="nil"/>
            </w:tcBorders>
            <w:shd w:val="clear" w:color="000000" w:fill="FFFFFF"/>
            <w:vAlign w:val="center"/>
          </w:tcPr>
          <w:p w14:paraId="2E898525" w14:textId="3B123021"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0.69</w:t>
            </w:r>
          </w:p>
        </w:tc>
        <w:tc>
          <w:tcPr>
            <w:tcW w:w="789" w:type="pct"/>
            <w:tcBorders>
              <w:top w:val="single" w:sz="4" w:space="0" w:color="auto"/>
              <w:left w:val="nil"/>
              <w:bottom w:val="single" w:sz="4" w:space="0" w:color="auto"/>
              <w:right w:val="nil"/>
            </w:tcBorders>
            <w:shd w:val="clear" w:color="000000" w:fill="FFFFFF"/>
            <w:vAlign w:val="center"/>
          </w:tcPr>
          <w:p w14:paraId="469F1D6C" w14:textId="42C8B2D4"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[0.53,0.81]</w:t>
            </w:r>
          </w:p>
        </w:tc>
        <w:tc>
          <w:tcPr>
            <w:tcW w:w="789" w:type="pct"/>
            <w:tcBorders>
              <w:top w:val="single" w:sz="4" w:space="0" w:color="auto"/>
              <w:left w:val="nil"/>
              <w:bottom w:val="single" w:sz="4" w:space="0" w:color="auto"/>
              <w:right w:val="nil"/>
            </w:tcBorders>
            <w:shd w:val="clear" w:color="000000" w:fill="FFFFFF"/>
            <w:vAlign w:val="center"/>
          </w:tcPr>
          <w:p w14:paraId="6CC598E8" w14:textId="6D327CD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0.10</w:t>
            </w:r>
          </w:p>
        </w:tc>
        <w:tc>
          <w:tcPr>
            <w:tcW w:w="789" w:type="pct"/>
            <w:tcBorders>
              <w:top w:val="single" w:sz="4" w:space="0" w:color="auto"/>
              <w:left w:val="nil"/>
              <w:bottom w:val="single" w:sz="4" w:space="0" w:color="auto"/>
              <w:right w:val="nil"/>
            </w:tcBorders>
            <w:shd w:val="clear" w:color="000000" w:fill="FFFFFF"/>
          </w:tcPr>
          <w:p w14:paraId="7387EC85" w14:textId="042D0193" w:rsidR="00F23FF7" w:rsidRPr="00820C89" w:rsidRDefault="009272BD"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7961C06A" w14:textId="77777777" w:rsidTr="003F5CB9">
        <w:trPr>
          <w:trHeight w:val="315"/>
        </w:trPr>
        <w:tc>
          <w:tcPr>
            <w:tcW w:w="1845" w:type="pct"/>
            <w:tcBorders>
              <w:top w:val="single" w:sz="4" w:space="0" w:color="auto"/>
              <w:bottom w:val="single" w:sz="4" w:space="0" w:color="auto"/>
            </w:tcBorders>
          </w:tcPr>
          <w:p w14:paraId="7CF4FB56" w14:textId="67D334EE"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TAS</w:t>
            </w:r>
          </w:p>
        </w:tc>
        <w:tc>
          <w:tcPr>
            <w:tcW w:w="789" w:type="pct"/>
            <w:tcBorders>
              <w:top w:val="single" w:sz="4" w:space="0" w:color="auto"/>
              <w:left w:val="nil"/>
              <w:bottom w:val="single" w:sz="4" w:space="0" w:color="auto"/>
              <w:right w:val="nil"/>
            </w:tcBorders>
            <w:shd w:val="clear" w:color="000000" w:fill="FFFFFF"/>
            <w:vAlign w:val="center"/>
          </w:tcPr>
          <w:p w14:paraId="5D5B027C" w14:textId="43CD2726"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0.56</w:t>
            </w:r>
          </w:p>
        </w:tc>
        <w:tc>
          <w:tcPr>
            <w:tcW w:w="789" w:type="pct"/>
            <w:tcBorders>
              <w:top w:val="single" w:sz="4" w:space="0" w:color="auto"/>
              <w:left w:val="nil"/>
              <w:bottom w:val="single" w:sz="4" w:space="0" w:color="auto"/>
              <w:right w:val="nil"/>
            </w:tcBorders>
            <w:shd w:val="clear" w:color="000000" w:fill="FFFFFF"/>
            <w:vAlign w:val="center"/>
          </w:tcPr>
          <w:p w14:paraId="107C2B8B" w14:textId="28814C01"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[0.34,0.76]</w:t>
            </w:r>
          </w:p>
        </w:tc>
        <w:tc>
          <w:tcPr>
            <w:tcW w:w="789" w:type="pct"/>
            <w:tcBorders>
              <w:top w:val="single" w:sz="4" w:space="0" w:color="auto"/>
              <w:left w:val="nil"/>
              <w:bottom w:val="single" w:sz="4" w:space="0" w:color="auto"/>
              <w:right w:val="nil"/>
            </w:tcBorders>
            <w:shd w:val="clear" w:color="000000" w:fill="FFFFFF"/>
            <w:vAlign w:val="center"/>
          </w:tcPr>
          <w:p w14:paraId="077B2CC9" w14:textId="44ED167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-0.03</w:t>
            </w:r>
          </w:p>
        </w:tc>
        <w:tc>
          <w:tcPr>
            <w:tcW w:w="789" w:type="pct"/>
            <w:tcBorders>
              <w:top w:val="single" w:sz="4" w:space="0" w:color="auto"/>
              <w:left w:val="nil"/>
              <w:bottom w:val="single" w:sz="4" w:space="0" w:color="auto"/>
              <w:right w:val="nil"/>
            </w:tcBorders>
            <w:shd w:val="clear" w:color="000000" w:fill="FFFFFF"/>
          </w:tcPr>
          <w:p w14:paraId="1B71D76A"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045D74C6" w14:textId="77777777" w:rsidTr="003F5CB9">
        <w:trPr>
          <w:trHeight w:val="315"/>
        </w:trPr>
        <w:tc>
          <w:tcPr>
            <w:tcW w:w="1845" w:type="pct"/>
            <w:tcBorders>
              <w:top w:val="single" w:sz="4" w:space="0" w:color="auto"/>
              <w:bottom w:val="single" w:sz="4" w:space="0" w:color="auto"/>
            </w:tcBorders>
          </w:tcPr>
          <w:p w14:paraId="361FAA94" w14:textId="2CA27A95"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VIC</w:t>
            </w:r>
          </w:p>
        </w:tc>
        <w:tc>
          <w:tcPr>
            <w:tcW w:w="789" w:type="pct"/>
            <w:tcBorders>
              <w:top w:val="single" w:sz="4" w:space="0" w:color="auto"/>
              <w:left w:val="nil"/>
              <w:bottom w:val="single" w:sz="4" w:space="0" w:color="auto"/>
              <w:right w:val="nil"/>
            </w:tcBorders>
            <w:shd w:val="clear" w:color="000000" w:fill="FFFFFF"/>
            <w:vAlign w:val="center"/>
          </w:tcPr>
          <w:p w14:paraId="77DFC435" w14:textId="3063A962"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0.56</w:t>
            </w:r>
          </w:p>
        </w:tc>
        <w:tc>
          <w:tcPr>
            <w:tcW w:w="789" w:type="pct"/>
            <w:tcBorders>
              <w:top w:val="single" w:sz="4" w:space="0" w:color="auto"/>
              <w:left w:val="nil"/>
              <w:bottom w:val="single" w:sz="4" w:space="0" w:color="auto"/>
              <w:right w:val="nil"/>
            </w:tcBorders>
            <w:shd w:val="clear" w:color="000000" w:fill="FFFFFF"/>
            <w:vAlign w:val="center"/>
          </w:tcPr>
          <w:p w14:paraId="586BEAE3" w14:textId="034D85CE"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[0.41,0.7]</w:t>
            </w:r>
          </w:p>
        </w:tc>
        <w:tc>
          <w:tcPr>
            <w:tcW w:w="789" w:type="pct"/>
            <w:tcBorders>
              <w:top w:val="single" w:sz="4" w:space="0" w:color="auto"/>
              <w:left w:val="nil"/>
              <w:bottom w:val="single" w:sz="4" w:space="0" w:color="auto"/>
              <w:right w:val="nil"/>
            </w:tcBorders>
            <w:shd w:val="clear" w:color="000000" w:fill="FFFFFF"/>
            <w:vAlign w:val="center"/>
          </w:tcPr>
          <w:p w14:paraId="5E771A4A" w14:textId="568399B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-0.03</w:t>
            </w:r>
          </w:p>
        </w:tc>
        <w:tc>
          <w:tcPr>
            <w:tcW w:w="789" w:type="pct"/>
            <w:tcBorders>
              <w:top w:val="single" w:sz="4" w:space="0" w:color="auto"/>
              <w:left w:val="nil"/>
              <w:bottom w:val="single" w:sz="4" w:space="0" w:color="auto"/>
              <w:right w:val="nil"/>
            </w:tcBorders>
            <w:shd w:val="clear" w:color="000000" w:fill="FFFFFF"/>
          </w:tcPr>
          <w:p w14:paraId="1A387E99" w14:textId="7CDCA8E6" w:rsidR="00F23FF7" w:rsidRPr="00820C89" w:rsidRDefault="00F23FF7" w:rsidP="00F23FF7">
            <w:pPr>
              <w:spacing w:after="0" w:line="240" w:lineRule="auto"/>
              <w:jc w:val="center"/>
              <w:rPr>
                <w:rFonts w:asciiTheme="majorHAnsi" w:hAnsiTheme="majorHAnsi"/>
                <w:szCs w:val="17"/>
              </w:rPr>
            </w:pPr>
          </w:p>
        </w:tc>
      </w:tr>
      <w:tr w:rsidR="00E4128B" w:rsidRPr="00820C89" w14:paraId="1BCF35C6" w14:textId="77777777" w:rsidTr="003F5CB9">
        <w:trPr>
          <w:trHeight w:val="315"/>
        </w:trPr>
        <w:tc>
          <w:tcPr>
            <w:tcW w:w="1845" w:type="pct"/>
            <w:tcBorders>
              <w:top w:val="single" w:sz="4" w:space="0" w:color="auto"/>
              <w:bottom w:val="single" w:sz="4" w:space="0" w:color="auto"/>
            </w:tcBorders>
          </w:tcPr>
          <w:p w14:paraId="10558475" w14:textId="70458416"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WA</w:t>
            </w:r>
          </w:p>
        </w:tc>
        <w:tc>
          <w:tcPr>
            <w:tcW w:w="789" w:type="pct"/>
            <w:tcBorders>
              <w:top w:val="single" w:sz="4" w:space="0" w:color="auto"/>
              <w:left w:val="nil"/>
              <w:bottom w:val="single" w:sz="4" w:space="0" w:color="auto"/>
              <w:right w:val="nil"/>
            </w:tcBorders>
            <w:shd w:val="clear" w:color="000000" w:fill="FFFFFF"/>
            <w:vAlign w:val="center"/>
          </w:tcPr>
          <w:p w14:paraId="3BC73CA5" w14:textId="7A65E080"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0.72</w:t>
            </w:r>
          </w:p>
        </w:tc>
        <w:tc>
          <w:tcPr>
            <w:tcW w:w="789" w:type="pct"/>
            <w:tcBorders>
              <w:top w:val="single" w:sz="4" w:space="0" w:color="auto"/>
              <w:left w:val="nil"/>
              <w:bottom w:val="single" w:sz="4" w:space="0" w:color="auto"/>
              <w:right w:val="nil"/>
            </w:tcBorders>
            <w:shd w:val="clear" w:color="000000" w:fill="FFFFFF"/>
            <w:vAlign w:val="center"/>
          </w:tcPr>
          <w:p w14:paraId="7F315949" w14:textId="5012CF3B"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[0.59,0.82]</w:t>
            </w:r>
          </w:p>
        </w:tc>
        <w:tc>
          <w:tcPr>
            <w:tcW w:w="789" w:type="pct"/>
            <w:tcBorders>
              <w:top w:val="single" w:sz="4" w:space="0" w:color="auto"/>
              <w:left w:val="nil"/>
              <w:bottom w:val="single" w:sz="4" w:space="0" w:color="auto"/>
              <w:right w:val="nil"/>
            </w:tcBorders>
            <w:shd w:val="clear" w:color="000000" w:fill="FFFFFF"/>
            <w:vAlign w:val="center"/>
          </w:tcPr>
          <w:p w14:paraId="656E4BFF" w14:textId="11ADBE95"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0.13</w:t>
            </w:r>
          </w:p>
        </w:tc>
        <w:tc>
          <w:tcPr>
            <w:tcW w:w="789" w:type="pct"/>
            <w:tcBorders>
              <w:top w:val="single" w:sz="4" w:space="0" w:color="auto"/>
              <w:left w:val="nil"/>
              <w:bottom w:val="single" w:sz="4" w:space="0" w:color="auto"/>
              <w:right w:val="nil"/>
            </w:tcBorders>
            <w:shd w:val="clear" w:color="000000" w:fill="FFFFFF"/>
          </w:tcPr>
          <w:p w14:paraId="53666F78" w14:textId="434235C0" w:rsidR="00F23FF7" w:rsidRPr="00820C89" w:rsidRDefault="00C03826"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2DA8D701" w14:textId="77777777" w:rsidTr="003F5CB9">
        <w:trPr>
          <w:trHeight w:val="315"/>
        </w:trPr>
        <w:tc>
          <w:tcPr>
            <w:tcW w:w="1845" w:type="pct"/>
            <w:tcBorders>
              <w:top w:val="single" w:sz="4" w:space="0" w:color="auto"/>
              <w:bottom w:val="single" w:sz="4" w:space="0" w:color="auto"/>
            </w:tcBorders>
          </w:tcPr>
          <w:p w14:paraId="774EA4F9" w14:textId="7AD926EA" w:rsidR="00F23FF7" w:rsidRPr="00820C89" w:rsidRDefault="008B7AB1" w:rsidP="00F23FF7">
            <w:pPr>
              <w:spacing w:after="0" w:line="240" w:lineRule="auto"/>
              <w:rPr>
                <w:rFonts w:asciiTheme="majorHAnsi" w:hAnsiTheme="majorHAnsi"/>
                <w:szCs w:val="17"/>
              </w:rPr>
            </w:pPr>
            <w:r w:rsidRPr="00820C89">
              <w:rPr>
                <w:rFonts w:asciiTheme="majorHAnsi" w:hAnsiTheme="majorHAnsi"/>
                <w:szCs w:val="17"/>
              </w:rPr>
              <w:t>Achieve 26-week outcome</w:t>
            </w:r>
          </w:p>
        </w:tc>
        <w:tc>
          <w:tcPr>
            <w:tcW w:w="789" w:type="pct"/>
            <w:tcBorders>
              <w:top w:val="single" w:sz="4" w:space="0" w:color="auto"/>
              <w:left w:val="nil"/>
              <w:bottom w:val="single" w:sz="4" w:space="0" w:color="auto"/>
              <w:right w:val="nil"/>
            </w:tcBorders>
            <w:shd w:val="clear" w:color="000000" w:fill="FFFFFF"/>
            <w:vAlign w:val="center"/>
          </w:tcPr>
          <w:p w14:paraId="1F1BDF91" w14:textId="31628EC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0.38</w:t>
            </w:r>
          </w:p>
        </w:tc>
        <w:tc>
          <w:tcPr>
            <w:tcW w:w="789" w:type="pct"/>
            <w:tcBorders>
              <w:top w:val="single" w:sz="4" w:space="0" w:color="auto"/>
              <w:left w:val="nil"/>
              <w:bottom w:val="single" w:sz="4" w:space="0" w:color="auto"/>
              <w:right w:val="nil"/>
            </w:tcBorders>
            <w:shd w:val="clear" w:color="000000" w:fill="FFFFFF"/>
            <w:vAlign w:val="center"/>
          </w:tcPr>
          <w:p w14:paraId="39A39715" w14:textId="7CA4E865"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[0.27,0.5]</w:t>
            </w:r>
          </w:p>
        </w:tc>
        <w:tc>
          <w:tcPr>
            <w:tcW w:w="789" w:type="pct"/>
            <w:tcBorders>
              <w:top w:val="single" w:sz="4" w:space="0" w:color="auto"/>
              <w:left w:val="nil"/>
              <w:bottom w:val="single" w:sz="4" w:space="0" w:color="auto"/>
              <w:right w:val="nil"/>
            </w:tcBorders>
            <w:shd w:val="clear" w:color="000000" w:fill="FFFFFF"/>
            <w:vAlign w:val="center"/>
          </w:tcPr>
          <w:p w14:paraId="0B5C81F0" w14:textId="5175023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-0.21</w:t>
            </w:r>
          </w:p>
        </w:tc>
        <w:tc>
          <w:tcPr>
            <w:tcW w:w="789" w:type="pct"/>
            <w:tcBorders>
              <w:top w:val="single" w:sz="4" w:space="0" w:color="auto"/>
              <w:left w:val="nil"/>
              <w:bottom w:val="single" w:sz="4" w:space="0" w:color="auto"/>
              <w:right w:val="nil"/>
            </w:tcBorders>
            <w:shd w:val="clear" w:color="000000" w:fill="FFFFFF"/>
          </w:tcPr>
          <w:p w14:paraId="76F199DE" w14:textId="5FAB8D0A" w:rsidR="00F23FF7" w:rsidRPr="00820C89" w:rsidRDefault="00C03826"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CA11EE" w:rsidRPr="00820C89" w14:paraId="5648A4C0" w14:textId="77777777" w:rsidTr="003F5CB9">
        <w:trPr>
          <w:trHeight w:val="315"/>
        </w:trPr>
        <w:tc>
          <w:tcPr>
            <w:tcW w:w="1845" w:type="pct"/>
            <w:tcBorders>
              <w:top w:val="single" w:sz="4" w:space="0" w:color="auto"/>
              <w:bottom w:val="single" w:sz="4" w:space="0" w:color="auto"/>
            </w:tcBorders>
            <w:vAlign w:val="center"/>
          </w:tcPr>
          <w:p w14:paraId="414D16DB" w14:textId="77B6D2B2" w:rsidR="00F23FF7" w:rsidRPr="00820C89" w:rsidRDefault="008B7AB1" w:rsidP="00F23FF7">
            <w:pPr>
              <w:spacing w:after="0" w:line="240" w:lineRule="auto"/>
              <w:rPr>
                <w:rFonts w:asciiTheme="majorHAnsi" w:hAnsiTheme="majorHAnsi"/>
                <w:szCs w:val="17"/>
              </w:rPr>
            </w:pPr>
            <w:r w:rsidRPr="00820C89">
              <w:rPr>
                <w:rFonts w:asciiTheme="majorHAnsi" w:hAnsiTheme="majorHAnsi"/>
                <w:szCs w:val="17"/>
              </w:rPr>
              <w:t>On income support for &gt;1 year on program entry</w:t>
            </w:r>
          </w:p>
        </w:tc>
        <w:tc>
          <w:tcPr>
            <w:tcW w:w="789" w:type="pct"/>
            <w:tcBorders>
              <w:top w:val="single" w:sz="4" w:space="0" w:color="auto"/>
              <w:left w:val="nil"/>
              <w:bottom w:val="single" w:sz="4" w:space="0" w:color="auto"/>
              <w:right w:val="nil"/>
            </w:tcBorders>
            <w:shd w:val="clear" w:color="000000" w:fill="FFFFFF"/>
            <w:vAlign w:val="center"/>
          </w:tcPr>
          <w:p w14:paraId="4572B310" w14:textId="2D0C40EF"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0.70</w:t>
            </w:r>
          </w:p>
        </w:tc>
        <w:tc>
          <w:tcPr>
            <w:tcW w:w="789" w:type="pct"/>
            <w:tcBorders>
              <w:top w:val="single" w:sz="4" w:space="0" w:color="auto"/>
              <w:left w:val="nil"/>
              <w:bottom w:val="single" w:sz="4" w:space="0" w:color="auto"/>
              <w:right w:val="nil"/>
            </w:tcBorders>
            <w:shd w:val="clear" w:color="000000" w:fill="FFFFFF"/>
            <w:vAlign w:val="center"/>
          </w:tcPr>
          <w:p w14:paraId="481D4818" w14:textId="5D7452FD"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[0.6,0.79]</w:t>
            </w:r>
          </w:p>
        </w:tc>
        <w:tc>
          <w:tcPr>
            <w:tcW w:w="789" w:type="pct"/>
            <w:tcBorders>
              <w:top w:val="single" w:sz="4" w:space="0" w:color="auto"/>
              <w:left w:val="nil"/>
              <w:bottom w:val="single" w:sz="4" w:space="0" w:color="auto"/>
              <w:right w:val="nil"/>
            </w:tcBorders>
            <w:shd w:val="clear" w:color="000000" w:fill="FFFFFF"/>
            <w:vAlign w:val="center"/>
          </w:tcPr>
          <w:p w14:paraId="5C4C4F0B" w14:textId="10E2D8A4"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0.11</w:t>
            </w:r>
          </w:p>
        </w:tc>
        <w:tc>
          <w:tcPr>
            <w:tcW w:w="789" w:type="pct"/>
            <w:tcBorders>
              <w:top w:val="single" w:sz="4" w:space="0" w:color="auto"/>
              <w:left w:val="nil"/>
              <w:bottom w:val="single" w:sz="4" w:space="0" w:color="auto"/>
              <w:right w:val="nil"/>
            </w:tcBorders>
            <w:shd w:val="clear" w:color="000000" w:fill="FFFFFF"/>
          </w:tcPr>
          <w:p w14:paraId="768137DA" w14:textId="534E92D8" w:rsidR="00F23FF7" w:rsidRPr="00820C89" w:rsidRDefault="00C03826" w:rsidP="00F23FF7">
            <w:pPr>
              <w:spacing w:after="0" w:line="240" w:lineRule="auto"/>
              <w:jc w:val="center"/>
              <w:rPr>
                <w:rFonts w:asciiTheme="majorHAnsi" w:hAnsiTheme="majorHAnsi"/>
                <w:szCs w:val="17"/>
              </w:rPr>
            </w:pPr>
            <w:r w:rsidRPr="00820C89">
              <w:rPr>
                <w:rFonts w:asciiTheme="majorHAnsi" w:hAnsiTheme="majorHAnsi"/>
                <w:szCs w:val="17"/>
              </w:rPr>
              <w:t>***</w:t>
            </w:r>
          </w:p>
        </w:tc>
      </w:tr>
    </w:tbl>
    <w:p w14:paraId="5502EE1E" w14:textId="77777777" w:rsidR="00D43F98" w:rsidRPr="00820C89" w:rsidRDefault="00A9602D" w:rsidP="00A9602D">
      <w:pPr>
        <w:pStyle w:val="Source"/>
      </w:pPr>
      <w:r w:rsidRPr="00820C89">
        <w:t>Source: DAE Regression Analysis. Note: *** = significant at the 0.1% level, ** = significant at the 1% level, * = significant at the 5% level</w:t>
      </w:r>
    </w:p>
    <w:p w14:paraId="6C75E18B" w14:textId="77777777" w:rsidR="00A22994" w:rsidRPr="00820C89" w:rsidRDefault="00D8460B" w:rsidP="00EC28A8">
      <w:r w:rsidRPr="00820C89">
        <w:lastRenderedPageBreak/>
        <w:t xml:space="preserve">As with all studies of this nature, the results are a function of the modelling assumptions and available data. </w:t>
      </w:r>
      <w:r w:rsidR="00FA0DFC" w:rsidRPr="00820C89">
        <w:t>There are several important limitations associated with the regression results presented in this report</w:t>
      </w:r>
      <w:r w:rsidR="00A22994" w:rsidRPr="00820C89">
        <w:t>:</w:t>
      </w:r>
    </w:p>
    <w:p w14:paraId="015A79E0" w14:textId="04676E8A" w:rsidR="00A22994" w:rsidRPr="00820C89" w:rsidRDefault="00A22994" w:rsidP="00715F70">
      <w:pPr>
        <w:pStyle w:val="ListParagraph"/>
        <w:numPr>
          <w:ilvl w:val="0"/>
          <w:numId w:val="97"/>
        </w:numPr>
      </w:pPr>
      <w:r w:rsidRPr="00820C89">
        <w:t>While the analysis seeks to control for the effects of contextual factors, the effects cannot be interpreted as causal.</w:t>
      </w:r>
      <w:r w:rsidR="006B474A" w:rsidRPr="00820C89">
        <w:t xml:space="preserve"> </w:t>
      </w:r>
      <w:r w:rsidR="00CC48EB" w:rsidRPr="00820C89">
        <w:t xml:space="preserve">That is, </w:t>
      </w:r>
      <w:r w:rsidR="00631C54" w:rsidRPr="00820C89">
        <w:t>one cannot conclude which IEP program is definitively better in terms of achieving</w:t>
      </w:r>
      <w:r w:rsidR="00CC48EB" w:rsidRPr="00820C89">
        <w:t xml:space="preserve"> </w:t>
      </w:r>
      <w:r w:rsidR="00103B6B" w:rsidRPr="00820C89">
        <w:t>income support outcomes for participants.</w:t>
      </w:r>
      <w:r w:rsidR="006B474A" w:rsidRPr="00820C89">
        <w:t xml:space="preserve"> Instead, </w:t>
      </w:r>
      <w:r w:rsidR="0033376B" w:rsidRPr="00820C89">
        <w:t xml:space="preserve">the relationships </w:t>
      </w:r>
      <w:r w:rsidR="00103B6B" w:rsidRPr="00820C89">
        <w:t xml:space="preserve">should </w:t>
      </w:r>
      <w:r w:rsidR="0033376B" w:rsidRPr="00820C89">
        <w:t xml:space="preserve">only be considered associative. </w:t>
      </w:r>
    </w:p>
    <w:p w14:paraId="07023AE7" w14:textId="502F5529" w:rsidR="00D8460B" w:rsidRPr="00820C89" w:rsidRDefault="00D8460B" w:rsidP="00715F70">
      <w:pPr>
        <w:pStyle w:val="ListParagraph"/>
        <w:numPr>
          <w:ilvl w:val="0"/>
          <w:numId w:val="97"/>
        </w:numPr>
      </w:pPr>
      <w:r w:rsidRPr="00820C89">
        <w:t xml:space="preserve">There </w:t>
      </w:r>
      <w:r w:rsidR="00A92A8A" w:rsidRPr="00820C89">
        <w:t>is</w:t>
      </w:r>
      <w:r w:rsidRPr="00820C89">
        <w:t xml:space="preserve"> omitted variable bias. </w:t>
      </w:r>
      <w:r w:rsidR="006C4CD1" w:rsidRPr="00820C89">
        <w:t xml:space="preserve">For example, several variables that </w:t>
      </w:r>
      <w:r w:rsidR="000E3C00" w:rsidRPr="00820C89">
        <w:t>are typically</w:t>
      </w:r>
      <w:r w:rsidR="006C4CD1" w:rsidRPr="00820C89">
        <w:t xml:space="preserve"> associated with labour rket </w:t>
      </w:r>
      <w:r w:rsidR="002C435C" w:rsidRPr="00820C89">
        <w:t>outcomes -</w:t>
      </w:r>
      <w:r w:rsidR="00A601C1" w:rsidRPr="00820C89">
        <w:t xml:space="preserve">such as </w:t>
      </w:r>
      <w:r w:rsidR="00154F31" w:rsidRPr="00820C89">
        <w:t xml:space="preserve">the </w:t>
      </w:r>
      <w:r w:rsidR="006C4CD1" w:rsidRPr="00820C89">
        <w:t>JSCI</w:t>
      </w:r>
      <w:r w:rsidR="00A601C1" w:rsidRPr="00820C89">
        <w:t xml:space="preserve"> score</w:t>
      </w:r>
      <w:r w:rsidR="006C4CD1" w:rsidRPr="00820C89">
        <w:t xml:space="preserve">, length of unemployment </w:t>
      </w:r>
      <w:r w:rsidR="00C00052" w:rsidRPr="00820C89">
        <w:t xml:space="preserve">and educational </w:t>
      </w:r>
      <w:r w:rsidR="002C435C" w:rsidRPr="00820C89">
        <w:t xml:space="preserve">attainment </w:t>
      </w:r>
      <w:r w:rsidR="00154F31" w:rsidRPr="00820C89">
        <w:t>of an individual</w:t>
      </w:r>
      <w:r w:rsidR="00723848" w:rsidRPr="00820C89">
        <w:t xml:space="preserve"> </w:t>
      </w:r>
      <w:r w:rsidR="002C435C" w:rsidRPr="00820C89">
        <w:t xml:space="preserve">– </w:t>
      </w:r>
      <w:r w:rsidR="00723848" w:rsidRPr="00820C89">
        <w:t xml:space="preserve">were not available in the datasets and hence could not be controlled for. </w:t>
      </w:r>
      <w:r w:rsidR="00C05DAD" w:rsidRPr="00820C89">
        <w:t>Further, there are additional unobserved variables that would likely impact an individual</w:t>
      </w:r>
      <w:r w:rsidR="007025E0" w:rsidRPr="00820C89">
        <w:t>’</w:t>
      </w:r>
      <w:r w:rsidR="00C05DAD" w:rsidRPr="00820C89">
        <w:t xml:space="preserve">s employment status (such as </w:t>
      </w:r>
      <w:r w:rsidR="007025E0" w:rsidRPr="00820C89">
        <w:t>their</w:t>
      </w:r>
      <w:r w:rsidR="00C05DAD" w:rsidRPr="00820C89">
        <w:t xml:space="preserve"> level of motivation) that could be not controlled for and would likely bias the estimates.</w:t>
      </w:r>
      <w:r w:rsidR="001F2098" w:rsidRPr="00820C89">
        <w:t xml:space="preserve"> </w:t>
      </w:r>
    </w:p>
    <w:p w14:paraId="673933E2" w14:textId="76681D95" w:rsidR="006C2C1E" w:rsidRPr="00820C89" w:rsidRDefault="00D8460B" w:rsidP="006C2C1E">
      <w:pPr>
        <w:pStyle w:val="ListParagraph"/>
        <w:numPr>
          <w:ilvl w:val="0"/>
          <w:numId w:val="97"/>
        </w:numPr>
      </w:pPr>
      <w:r w:rsidRPr="00820C89">
        <w:t>Lastly</w:t>
      </w:r>
      <w:r w:rsidR="001F2098" w:rsidRPr="00820C89">
        <w:t xml:space="preserve">, the econometric analysis included does not </w:t>
      </w:r>
      <w:r w:rsidR="00B87F75" w:rsidRPr="00820C89">
        <w:t xml:space="preserve">represent a counterfactual analysis. That is, it </w:t>
      </w:r>
      <w:r w:rsidR="001F2098" w:rsidRPr="00820C89">
        <w:t xml:space="preserve">does not compare participation in the </w:t>
      </w:r>
      <w:r w:rsidR="00B87F75" w:rsidRPr="00820C89">
        <w:t xml:space="preserve">IEP </w:t>
      </w:r>
      <w:r w:rsidR="001F2098" w:rsidRPr="00820C89">
        <w:t>program to a counterfactual</w:t>
      </w:r>
      <w:r w:rsidR="00B87F75" w:rsidRPr="00820C89">
        <w:t xml:space="preserve"> where the individual does not participate in the IEP program</w:t>
      </w:r>
      <w:r w:rsidR="001F2098" w:rsidRPr="00820C89">
        <w:t>, and therefore should not be interpreted as an estimate of the program</w:t>
      </w:r>
      <w:r w:rsidR="0038287A" w:rsidRPr="00820C89">
        <w:t>’s</w:t>
      </w:r>
      <w:r w:rsidR="001F2098" w:rsidRPr="00820C89">
        <w:t xml:space="preserve"> impact </w:t>
      </w:r>
      <w:r w:rsidR="00FB577A" w:rsidRPr="00820C89">
        <w:t>or</w:t>
      </w:r>
      <w:r w:rsidR="001F2098" w:rsidRPr="00820C89">
        <w:t xml:space="preserve"> additionality.</w:t>
      </w:r>
    </w:p>
    <w:p w14:paraId="15A86896" w14:textId="1E0A7671" w:rsidR="00A54025" w:rsidRPr="00820C89" w:rsidRDefault="00A54025" w:rsidP="00A54025">
      <w:pPr>
        <w:pStyle w:val="Heading11"/>
        <w:rPr>
          <w:rFonts w:asciiTheme="majorHAnsi" w:hAnsiTheme="majorHAnsi"/>
        </w:rPr>
      </w:pPr>
      <w:bookmarkStart w:id="250" w:name="_Toc82710795"/>
      <w:bookmarkStart w:id="251" w:name="_Toc101343320"/>
      <w:r w:rsidRPr="00820C89">
        <w:rPr>
          <w:rFonts w:asciiTheme="majorHAnsi" w:hAnsiTheme="majorHAnsi"/>
        </w:rPr>
        <w:lastRenderedPageBreak/>
        <w:t xml:space="preserve">Appendix D: </w:t>
      </w:r>
      <w:r w:rsidR="00417CDC" w:rsidRPr="00820C89">
        <w:rPr>
          <w:rFonts w:asciiTheme="majorHAnsi" w:hAnsiTheme="majorHAnsi"/>
        </w:rPr>
        <w:t>Evaluation Strategy</w:t>
      </w:r>
      <w:bookmarkEnd w:id="250"/>
      <w:bookmarkEnd w:id="251"/>
    </w:p>
    <w:p w14:paraId="55DF2DB4" w14:textId="130664EC" w:rsidR="00C1765C" w:rsidRPr="004837A8" w:rsidRDefault="00576578" w:rsidP="00C1765C">
      <w:pPr>
        <w:rPr>
          <w:b/>
          <w:bCs/>
          <w:i/>
          <w:iCs/>
        </w:rPr>
      </w:pPr>
      <w:bookmarkStart w:id="252" w:name="Frontpage_Logo_Negativ"/>
      <w:r w:rsidRPr="001656D4">
        <w:rPr>
          <w:b/>
          <w:bCs/>
          <w:i/>
          <w:iCs/>
        </w:rPr>
        <w:t xml:space="preserve">Note that this </w:t>
      </w:r>
      <w:r w:rsidRPr="00820C89">
        <w:rPr>
          <w:b/>
          <w:bCs/>
          <w:i/>
          <w:iCs/>
        </w:rPr>
        <w:t>Evaluation Strategy</w:t>
      </w:r>
      <w:r w:rsidRPr="001656D4">
        <w:rPr>
          <w:b/>
          <w:bCs/>
          <w:i/>
          <w:iCs/>
        </w:rPr>
        <w:t xml:space="preserve"> was finalised in November 2020 and has not been updated to reflect any subsequent </w:t>
      </w:r>
      <w:r w:rsidR="00EB3BF2" w:rsidRPr="00820C89">
        <w:rPr>
          <w:b/>
          <w:bCs/>
          <w:i/>
          <w:iCs/>
        </w:rPr>
        <w:t>changes to the evaluation.</w:t>
      </w:r>
      <w:r w:rsidRPr="00820C89">
        <w:rPr>
          <w:b/>
          <w:bCs/>
          <w:i/>
          <w:iCs/>
        </w:rPr>
        <w:t xml:space="preserve"> </w:t>
      </w:r>
      <w:bookmarkEnd w:id="252"/>
      <w:r w:rsidR="00D75BF3" w:rsidRPr="00820C89">
        <w:rPr>
          <w:b/>
          <w:bCs/>
          <w:i/>
          <w:iCs/>
        </w:rPr>
        <w:t>Therefore, this document should be interpreted as a summary of the how the evaluation was intended to be completed at this point in time</w:t>
      </w:r>
      <w:r w:rsidR="001B4BE1" w:rsidRPr="00820C89">
        <w:rPr>
          <w:b/>
          <w:bCs/>
          <w:i/>
          <w:iCs/>
        </w:rPr>
        <w:t>.</w:t>
      </w:r>
    </w:p>
    <w:p w14:paraId="6DE92CAD" w14:textId="77777777" w:rsidR="00C1765C" w:rsidRPr="00820C89" w:rsidRDefault="00C1765C" w:rsidP="00C1765C"/>
    <w:p w14:paraId="2563E455" w14:textId="77777777" w:rsidR="00C1765C" w:rsidRPr="00820C89" w:rsidRDefault="00C1765C" w:rsidP="00C1765C">
      <w:pPr>
        <w:pageBreakBefore/>
        <w:sectPr w:rsidR="00C1765C" w:rsidRPr="00820C89" w:rsidSect="009A566E">
          <w:headerReference w:type="even" r:id="rId87"/>
          <w:headerReference w:type="default" r:id="rId88"/>
          <w:footerReference w:type="even" r:id="rId89"/>
          <w:footerReference w:type="default" r:id="rId90"/>
          <w:headerReference w:type="first" r:id="rId91"/>
          <w:footerReference w:type="first" r:id="rId92"/>
          <w:pgSz w:w="11906" w:h="16838" w:code="9"/>
          <w:pgMar w:top="2722" w:right="1247" w:bottom="1440" w:left="1440" w:header="680" w:footer="425" w:gutter="0"/>
          <w:cols w:space="284"/>
          <w:noEndnote/>
          <w:titlePg/>
          <w:docGrid w:linePitch="360"/>
        </w:sectPr>
      </w:pPr>
    </w:p>
    <w:p w14:paraId="1834CD24" w14:textId="77777777" w:rsidR="00C1765C" w:rsidRPr="00820C89" w:rsidRDefault="00C1765C" w:rsidP="00C1765C">
      <w:pPr>
        <w:pStyle w:val="TOCHeading"/>
        <w:pageBreakBefore/>
      </w:pPr>
      <w:r w:rsidRPr="00820C89">
        <w:lastRenderedPageBreak/>
        <w:t>Contents</w:t>
      </w:r>
    </w:p>
    <w:p w14:paraId="2CE2D1F9" w14:textId="2C574DD1" w:rsidR="007A0C5A" w:rsidRDefault="00C1765C">
      <w:pPr>
        <w:pStyle w:val="TOC1"/>
        <w:rPr>
          <w:rFonts w:asciiTheme="minorHAnsi" w:eastAsiaTheme="minorEastAsia" w:hAnsiTheme="minorHAnsi"/>
          <w:noProof/>
          <w:sz w:val="22"/>
          <w:szCs w:val="22"/>
          <w:lang w:eastAsia="en-AU"/>
        </w:rPr>
      </w:pPr>
      <w:r w:rsidRPr="00820C89">
        <w:fldChar w:fldCharType="begin"/>
      </w:r>
      <w:r w:rsidRPr="00820C89">
        <w:instrText xml:space="preserve"> TOC \o "1-2" </w:instrText>
      </w:r>
      <w:r w:rsidRPr="00820C89">
        <w:fldChar w:fldCharType="separate"/>
      </w:r>
      <w:r w:rsidR="007A0C5A" w:rsidRPr="004E608B">
        <w:rPr>
          <w:rFonts w:asciiTheme="majorHAnsi" w:hAnsiTheme="majorHAnsi"/>
          <w:noProof/>
        </w:rPr>
        <w:t>Acronyms</w:t>
      </w:r>
      <w:r w:rsidR="007A0C5A">
        <w:rPr>
          <w:noProof/>
        </w:rPr>
        <w:tab/>
      </w:r>
      <w:r w:rsidR="007A0C5A">
        <w:rPr>
          <w:noProof/>
        </w:rPr>
        <w:fldChar w:fldCharType="begin"/>
      </w:r>
      <w:r w:rsidR="007A0C5A">
        <w:rPr>
          <w:noProof/>
        </w:rPr>
        <w:instrText xml:space="preserve"> PAGEREF _Toc82710758 \h </w:instrText>
      </w:r>
      <w:r w:rsidR="007A0C5A">
        <w:rPr>
          <w:noProof/>
        </w:rPr>
      </w:r>
      <w:r w:rsidR="007A0C5A">
        <w:rPr>
          <w:noProof/>
        </w:rPr>
        <w:fldChar w:fldCharType="separate"/>
      </w:r>
      <w:r w:rsidR="008565C8">
        <w:rPr>
          <w:noProof/>
        </w:rPr>
        <w:t>ii</w:t>
      </w:r>
      <w:r w:rsidR="007A0C5A">
        <w:rPr>
          <w:noProof/>
        </w:rPr>
        <w:fldChar w:fldCharType="end"/>
      </w:r>
    </w:p>
    <w:p w14:paraId="149E053E" w14:textId="3AE8FF55"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Executive Summary</w:t>
      </w:r>
      <w:r>
        <w:rPr>
          <w:noProof/>
        </w:rPr>
        <w:tab/>
      </w:r>
      <w:r>
        <w:rPr>
          <w:noProof/>
        </w:rPr>
        <w:fldChar w:fldCharType="begin"/>
      </w:r>
      <w:r>
        <w:rPr>
          <w:noProof/>
        </w:rPr>
        <w:instrText xml:space="preserve"> PAGEREF _Toc82710759 \h </w:instrText>
      </w:r>
      <w:r>
        <w:rPr>
          <w:noProof/>
        </w:rPr>
      </w:r>
      <w:r>
        <w:rPr>
          <w:noProof/>
        </w:rPr>
        <w:fldChar w:fldCharType="separate"/>
      </w:r>
      <w:r w:rsidR="008565C8">
        <w:rPr>
          <w:noProof/>
        </w:rPr>
        <w:t>ii</w:t>
      </w:r>
      <w:r>
        <w:rPr>
          <w:noProof/>
        </w:rPr>
        <w:fldChar w:fldCharType="end"/>
      </w:r>
    </w:p>
    <w:p w14:paraId="0D3BCF74" w14:textId="434A77C7" w:rsidR="007A0C5A" w:rsidRDefault="007A0C5A">
      <w:pPr>
        <w:pStyle w:val="TOC2"/>
        <w:rPr>
          <w:rFonts w:asciiTheme="minorHAnsi" w:eastAsiaTheme="minorEastAsia" w:hAnsiTheme="minorHAnsi"/>
          <w:noProof/>
          <w:sz w:val="22"/>
          <w:szCs w:val="22"/>
          <w:lang w:eastAsia="en-AU"/>
        </w:rPr>
      </w:pPr>
      <w:r>
        <w:rPr>
          <w:noProof/>
        </w:rPr>
        <w:t>The context</w:t>
      </w:r>
      <w:r>
        <w:rPr>
          <w:noProof/>
        </w:rPr>
        <w:tab/>
      </w:r>
      <w:r>
        <w:rPr>
          <w:noProof/>
        </w:rPr>
        <w:fldChar w:fldCharType="begin"/>
      </w:r>
      <w:r>
        <w:rPr>
          <w:noProof/>
        </w:rPr>
        <w:instrText xml:space="preserve"> PAGEREF _Toc82710760 \h </w:instrText>
      </w:r>
      <w:r>
        <w:rPr>
          <w:noProof/>
        </w:rPr>
      </w:r>
      <w:r>
        <w:rPr>
          <w:noProof/>
        </w:rPr>
        <w:fldChar w:fldCharType="separate"/>
      </w:r>
      <w:r w:rsidR="008565C8">
        <w:rPr>
          <w:noProof/>
        </w:rPr>
        <w:t>ii</w:t>
      </w:r>
      <w:r>
        <w:rPr>
          <w:noProof/>
        </w:rPr>
        <w:fldChar w:fldCharType="end"/>
      </w:r>
    </w:p>
    <w:p w14:paraId="4A9243E5" w14:textId="6824CCBF" w:rsidR="007A0C5A" w:rsidRDefault="007A0C5A">
      <w:pPr>
        <w:pStyle w:val="TOC2"/>
        <w:rPr>
          <w:rFonts w:asciiTheme="minorHAnsi" w:eastAsiaTheme="minorEastAsia" w:hAnsiTheme="minorHAnsi"/>
          <w:noProof/>
          <w:sz w:val="22"/>
          <w:szCs w:val="22"/>
          <w:lang w:eastAsia="en-AU"/>
        </w:rPr>
      </w:pPr>
      <w:r>
        <w:rPr>
          <w:noProof/>
        </w:rPr>
        <w:t>Key findings and recommendations</w:t>
      </w:r>
      <w:r>
        <w:rPr>
          <w:noProof/>
        </w:rPr>
        <w:tab/>
      </w:r>
      <w:r>
        <w:rPr>
          <w:noProof/>
        </w:rPr>
        <w:fldChar w:fldCharType="begin"/>
      </w:r>
      <w:r>
        <w:rPr>
          <w:noProof/>
        </w:rPr>
        <w:instrText xml:space="preserve"> PAGEREF _Toc82710761 \h </w:instrText>
      </w:r>
      <w:r>
        <w:rPr>
          <w:noProof/>
        </w:rPr>
      </w:r>
      <w:r>
        <w:rPr>
          <w:noProof/>
        </w:rPr>
        <w:fldChar w:fldCharType="separate"/>
      </w:r>
      <w:r w:rsidR="008565C8">
        <w:rPr>
          <w:noProof/>
        </w:rPr>
        <w:t>ii</w:t>
      </w:r>
      <w:r>
        <w:rPr>
          <w:noProof/>
        </w:rPr>
        <w:fldChar w:fldCharType="end"/>
      </w:r>
    </w:p>
    <w:p w14:paraId="68438F37" w14:textId="45435C3E" w:rsidR="007A0C5A" w:rsidRDefault="007A0C5A">
      <w:pPr>
        <w:pStyle w:val="TOC2"/>
        <w:rPr>
          <w:rFonts w:asciiTheme="minorHAnsi" w:eastAsiaTheme="minorEastAsia" w:hAnsiTheme="minorHAnsi"/>
          <w:noProof/>
          <w:sz w:val="22"/>
          <w:szCs w:val="22"/>
          <w:lang w:eastAsia="en-AU"/>
        </w:rPr>
      </w:pPr>
      <w:r>
        <w:rPr>
          <w:noProof/>
        </w:rPr>
        <w:t>Final thoughts</w:t>
      </w:r>
      <w:r>
        <w:rPr>
          <w:noProof/>
        </w:rPr>
        <w:tab/>
      </w:r>
      <w:r>
        <w:rPr>
          <w:noProof/>
        </w:rPr>
        <w:fldChar w:fldCharType="begin"/>
      </w:r>
      <w:r>
        <w:rPr>
          <w:noProof/>
        </w:rPr>
        <w:instrText xml:space="preserve"> PAGEREF _Toc82710762 \h </w:instrText>
      </w:r>
      <w:r>
        <w:rPr>
          <w:noProof/>
        </w:rPr>
      </w:r>
      <w:r>
        <w:rPr>
          <w:noProof/>
        </w:rPr>
        <w:fldChar w:fldCharType="separate"/>
      </w:r>
      <w:r w:rsidR="008565C8">
        <w:rPr>
          <w:noProof/>
        </w:rPr>
        <w:t>ii</w:t>
      </w:r>
      <w:r>
        <w:rPr>
          <w:noProof/>
        </w:rPr>
        <w:fldChar w:fldCharType="end"/>
      </w:r>
    </w:p>
    <w:p w14:paraId="02DA27D2" w14:textId="7AE8A17D"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Preamble</w:t>
      </w:r>
      <w:r>
        <w:rPr>
          <w:noProof/>
        </w:rPr>
        <w:tab/>
      </w:r>
      <w:r>
        <w:rPr>
          <w:noProof/>
        </w:rPr>
        <w:fldChar w:fldCharType="begin"/>
      </w:r>
      <w:r>
        <w:rPr>
          <w:noProof/>
        </w:rPr>
        <w:instrText xml:space="preserve"> PAGEREF _Toc82710763 \h </w:instrText>
      </w:r>
      <w:r>
        <w:rPr>
          <w:noProof/>
        </w:rPr>
      </w:r>
      <w:r>
        <w:rPr>
          <w:noProof/>
        </w:rPr>
        <w:fldChar w:fldCharType="separate"/>
      </w:r>
      <w:r w:rsidR="008565C8">
        <w:rPr>
          <w:noProof/>
        </w:rPr>
        <w:t>2</w:t>
      </w:r>
      <w:r>
        <w:rPr>
          <w:noProof/>
        </w:rPr>
        <w:fldChar w:fldCharType="end"/>
      </w:r>
    </w:p>
    <w:p w14:paraId="063659EA" w14:textId="0BB6DC5A"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1</w:t>
      </w:r>
      <w:r>
        <w:rPr>
          <w:rFonts w:asciiTheme="minorHAnsi" w:eastAsiaTheme="minorEastAsia" w:hAnsiTheme="minorHAnsi"/>
          <w:noProof/>
          <w:sz w:val="22"/>
          <w:szCs w:val="22"/>
          <w:lang w:eastAsia="en-AU"/>
        </w:rPr>
        <w:tab/>
      </w:r>
      <w:r w:rsidRPr="004E608B">
        <w:rPr>
          <w:rFonts w:asciiTheme="majorHAnsi" w:hAnsiTheme="majorHAnsi"/>
          <w:noProof/>
        </w:rPr>
        <w:t>Context to the evaluation</w:t>
      </w:r>
      <w:r>
        <w:rPr>
          <w:noProof/>
        </w:rPr>
        <w:tab/>
      </w:r>
      <w:r>
        <w:rPr>
          <w:noProof/>
        </w:rPr>
        <w:fldChar w:fldCharType="begin"/>
      </w:r>
      <w:r>
        <w:rPr>
          <w:noProof/>
        </w:rPr>
        <w:instrText xml:space="preserve"> PAGEREF _Toc82710764 \h </w:instrText>
      </w:r>
      <w:r>
        <w:rPr>
          <w:noProof/>
        </w:rPr>
      </w:r>
      <w:r>
        <w:rPr>
          <w:noProof/>
        </w:rPr>
        <w:fldChar w:fldCharType="separate"/>
      </w:r>
      <w:r w:rsidR="008565C8">
        <w:rPr>
          <w:noProof/>
        </w:rPr>
        <w:t>2</w:t>
      </w:r>
      <w:r>
        <w:rPr>
          <w:noProof/>
        </w:rPr>
        <w:fldChar w:fldCharType="end"/>
      </w:r>
    </w:p>
    <w:p w14:paraId="6E242971" w14:textId="2ED7E898"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1.1</w:t>
      </w:r>
      <w:r>
        <w:rPr>
          <w:rFonts w:asciiTheme="minorHAnsi" w:eastAsiaTheme="minorEastAsia" w:hAnsiTheme="minorHAnsi"/>
          <w:noProof/>
          <w:sz w:val="22"/>
          <w:szCs w:val="22"/>
          <w:lang w:eastAsia="en-AU"/>
        </w:rPr>
        <w:tab/>
      </w:r>
      <w:r w:rsidRPr="004E608B">
        <w:rPr>
          <w:rFonts w:asciiTheme="majorHAnsi" w:hAnsiTheme="majorHAnsi"/>
          <w:noProof/>
        </w:rPr>
        <w:t>Indigenous employment outcomes in Australia</w:t>
      </w:r>
      <w:r>
        <w:rPr>
          <w:noProof/>
        </w:rPr>
        <w:tab/>
      </w:r>
      <w:r>
        <w:rPr>
          <w:noProof/>
        </w:rPr>
        <w:fldChar w:fldCharType="begin"/>
      </w:r>
      <w:r>
        <w:rPr>
          <w:noProof/>
        </w:rPr>
        <w:instrText xml:space="preserve"> PAGEREF _Toc82710765 \h </w:instrText>
      </w:r>
      <w:r>
        <w:rPr>
          <w:noProof/>
        </w:rPr>
      </w:r>
      <w:r>
        <w:rPr>
          <w:noProof/>
        </w:rPr>
        <w:fldChar w:fldCharType="separate"/>
      </w:r>
      <w:r w:rsidR="008565C8">
        <w:rPr>
          <w:noProof/>
        </w:rPr>
        <w:t>2</w:t>
      </w:r>
      <w:r>
        <w:rPr>
          <w:noProof/>
        </w:rPr>
        <w:fldChar w:fldCharType="end"/>
      </w:r>
    </w:p>
    <w:p w14:paraId="7C56D72A" w14:textId="077FD872"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1.2</w:t>
      </w:r>
      <w:r>
        <w:rPr>
          <w:rFonts w:asciiTheme="minorHAnsi" w:eastAsiaTheme="minorEastAsia" w:hAnsiTheme="minorHAnsi"/>
          <w:noProof/>
          <w:sz w:val="22"/>
          <w:szCs w:val="22"/>
          <w:lang w:eastAsia="en-AU"/>
        </w:rPr>
        <w:tab/>
      </w:r>
      <w:r w:rsidRPr="004E608B">
        <w:rPr>
          <w:rFonts w:asciiTheme="majorHAnsi" w:hAnsiTheme="majorHAnsi"/>
          <w:noProof/>
        </w:rPr>
        <w:t>Overview of the IEP</w:t>
      </w:r>
      <w:r>
        <w:rPr>
          <w:noProof/>
        </w:rPr>
        <w:tab/>
      </w:r>
      <w:r>
        <w:rPr>
          <w:noProof/>
        </w:rPr>
        <w:fldChar w:fldCharType="begin"/>
      </w:r>
      <w:r>
        <w:rPr>
          <w:noProof/>
        </w:rPr>
        <w:instrText xml:space="preserve"> PAGEREF _Toc82710766 \h </w:instrText>
      </w:r>
      <w:r>
        <w:rPr>
          <w:noProof/>
        </w:rPr>
      </w:r>
      <w:r>
        <w:rPr>
          <w:noProof/>
        </w:rPr>
        <w:fldChar w:fldCharType="separate"/>
      </w:r>
      <w:r w:rsidR="008565C8">
        <w:rPr>
          <w:noProof/>
        </w:rPr>
        <w:t>2</w:t>
      </w:r>
      <w:r>
        <w:rPr>
          <w:noProof/>
        </w:rPr>
        <w:fldChar w:fldCharType="end"/>
      </w:r>
    </w:p>
    <w:p w14:paraId="2A895262" w14:textId="4D0F3D81"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1.3</w:t>
      </w:r>
      <w:r>
        <w:rPr>
          <w:rFonts w:asciiTheme="minorHAnsi" w:eastAsiaTheme="minorEastAsia" w:hAnsiTheme="minorHAnsi"/>
          <w:noProof/>
          <w:sz w:val="22"/>
          <w:szCs w:val="22"/>
          <w:lang w:eastAsia="en-AU"/>
        </w:rPr>
        <w:tab/>
      </w:r>
      <w:r w:rsidRPr="004E608B">
        <w:rPr>
          <w:rFonts w:asciiTheme="majorHAnsi" w:hAnsiTheme="majorHAnsi"/>
          <w:noProof/>
        </w:rPr>
        <w:t>This evaluation</w:t>
      </w:r>
      <w:r>
        <w:rPr>
          <w:noProof/>
        </w:rPr>
        <w:tab/>
      </w:r>
      <w:r>
        <w:rPr>
          <w:noProof/>
        </w:rPr>
        <w:fldChar w:fldCharType="begin"/>
      </w:r>
      <w:r>
        <w:rPr>
          <w:noProof/>
        </w:rPr>
        <w:instrText xml:space="preserve"> PAGEREF _Toc82710767 \h </w:instrText>
      </w:r>
      <w:r>
        <w:rPr>
          <w:noProof/>
        </w:rPr>
      </w:r>
      <w:r>
        <w:rPr>
          <w:noProof/>
        </w:rPr>
        <w:fldChar w:fldCharType="separate"/>
      </w:r>
      <w:r w:rsidR="008565C8">
        <w:rPr>
          <w:noProof/>
        </w:rPr>
        <w:t>2</w:t>
      </w:r>
      <w:r>
        <w:rPr>
          <w:noProof/>
        </w:rPr>
        <w:fldChar w:fldCharType="end"/>
      </w:r>
    </w:p>
    <w:p w14:paraId="712A3145" w14:textId="0435DD54"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1.4</w:t>
      </w:r>
      <w:r>
        <w:rPr>
          <w:rFonts w:asciiTheme="minorHAnsi" w:eastAsiaTheme="minorEastAsia" w:hAnsiTheme="minorHAnsi"/>
          <w:noProof/>
          <w:sz w:val="22"/>
          <w:szCs w:val="22"/>
          <w:lang w:eastAsia="en-AU"/>
        </w:rPr>
        <w:tab/>
      </w:r>
      <w:r w:rsidRPr="004E608B">
        <w:rPr>
          <w:rFonts w:asciiTheme="majorHAnsi" w:hAnsiTheme="majorHAnsi"/>
          <w:noProof/>
        </w:rPr>
        <w:t>This report</w:t>
      </w:r>
      <w:r>
        <w:rPr>
          <w:noProof/>
        </w:rPr>
        <w:tab/>
      </w:r>
      <w:r>
        <w:rPr>
          <w:noProof/>
        </w:rPr>
        <w:fldChar w:fldCharType="begin"/>
      </w:r>
      <w:r>
        <w:rPr>
          <w:noProof/>
        </w:rPr>
        <w:instrText xml:space="preserve"> PAGEREF _Toc82710768 \h </w:instrText>
      </w:r>
      <w:r>
        <w:rPr>
          <w:noProof/>
        </w:rPr>
      </w:r>
      <w:r>
        <w:rPr>
          <w:noProof/>
        </w:rPr>
        <w:fldChar w:fldCharType="separate"/>
      </w:r>
      <w:r w:rsidR="008565C8">
        <w:rPr>
          <w:noProof/>
        </w:rPr>
        <w:t>2</w:t>
      </w:r>
      <w:r>
        <w:rPr>
          <w:noProof/>
        </w:rPr>
        <w:fldChar w:fldCharType="end"/>
      </w:r>
    </w:p>
    <w:p w14:paraId="7AB122B1" w14:textId="2A8941FD"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2</w:t>
      </w:r>
      <w:r>
        <w:rPr>
          <w:rFonts w:asciiTheme="minorHAnsi" w:eastAsiaTheme="minorEastAsia" w:hAnsiTheme="minorHAnsi"/>
          <w:noProof/>
          <w:sz w:val="22"/>
          <w:szCs w:val="22"/>
          <w:lang w:eastAsia="en-AU"/>
        </w:rPr>
        <w:tab/>
      </w:r>
      <w:r w:rsidRPr="004E608B">
        <w:rPr>
          <w:rFonts w:asciiTheme="majorHAnsi" w:hAnsiTheme="majorHAnsi"/>
          <w:noProof/>
        </w:rPr>
        <w:t>Program design</w:t>
      </w:r>
      <w:r>
        <w:rPr>
          <w:noProof/>
        </w:rPr>
        <w:tab/>
      </w:r>
      <w:r>
        <w:rPr>
          <w:noProof/>
        </w:rPr>
        <w:fldChar w:fldCharType="begin"/>
      </w:r>
      <w:r>
        <w:rPr>
          <w:noProof/>
        </w:rPr>
        <w:instrText xml:space="preserve"> PAGEREF _Toc82710769 \h </w:instrText>
      </w:r>
      <w:r>
        <w:rPr>
          <w:noProof/>
        </w:rPr>
      </w:r>
      <w:r>
        <w:rPr>
          <w:noProof/>
        </w:rPr>
        <w:fldChar w:fldCharType="separate"/>
      </w:r>
      <w:r w:rsidR="008565C8">
        <w:rPr>
          <w:noProof/>
        </w:rPr>
        <w:t>2</w:t>
      </w:r>
      <w:r>
        <w:rPr>
          <w:noProof/>
        </w:rPr>
        <w:fldChar w:fldCharType="end"/>
      </w:r>
    </w:p>
    <w:p w14:paraId="788CDF9A" w14:textId="3DACAA2D" w:rsidR="007A0C5A" w:rsidRDefault="007A0C5A">
      <w:pPr>
        <w:pStyle w:val="TOC2"/>
        <w:tabs>
          <w:tab w:val="left" w:pos="1134"/>
        </w:tabs>
        <w:rPr>
          <w:rFonts w:asciiTheme="minorHAnsi" w:eastAsiaTheme="minorEastAsia" w:hAnsiTheme="minorHAnsi"/>
          <w:noProof/>
          <w:sz w:val="22"/>
          <w:szCs w:val="22"/>
          <w:lang w:eastAsia="en-AU"/>
        </w:rPr>
      </w:pPr>
      <w:r>
        <w:rPr>
          <w:noProof/>
        </w:rPr>
        <w:t>2.1</w:t>
      </w:r>
      <w:r>
        <w:rPr>
          <w:rFonts w:asciiTheme="minorHAnsi" w:eastAsiaTheme="minorEastAsia" w:hAnsiTheme="minorHAnsi"/>
          <w:noProof/>
          <w:sz w:val="22"/>
          <w:szCs w:val="22"/>
          <w:lang w:eastAsia="en-AU"/>
        </w:rPr>
        <w:tab/>
      </w:r>
      <w:r>
        <w:rPr>
          <w:noProof/>
        </w:rPr>
        <w:t>Best Practice Guidelines for program design and evaluation</w:t>
      </w:r>
      <w:r>
        <w:rPr>
          <w:noProof/>
        </w:rPr>
        <w:tab/>
      </w:r>
      <w:r>
        <w:rPr>
          <w:noProof/>
        </w:rPr>
        <w:fldChar w:fldCharType="begin"/>
      </w:r>
      <w:r>
        <w:rPr>
          <w:noProof/>
        </w:rPr>
        <w:instrText xml:space="preserve"> PAGEREF _Toc82710770 \h </w:instrText>
      </w:r>
      <w:r>
        <w:rPr>
          <w:noProof/>
        </w:rPr>
      </w:r>
      <w:r>
        <w:rPr>
          <w:noProof/>
        </w:rPr>
        <w:fldChar w:fldCharType="separate"/>
      </w:r>
      <w:r w:rsidR="008565C8">
        <w:rPr>
          <w:noProof/>
        </w:rPr>
        <w:t>2</w:t>
      </w:r>
      <w:r>
        <w:rPr>
          <w:noProof/>
        </w:rPr>
        <w:fldChar w:fldCharType="end"/>
      </w:r>
    </w:p>
    <w:p w14:paraId="4F6B0829" w14:textId="1233F187" w:rsidR="007A0C5A" w:rsidRDefault="007A0C5A">
      <w:pPr>
        <w:pStyle w:val="TOC2"/>
        <w:tabs>
          <w:tab w:val="left" w:pos="1134"/>
        </w:tabs>
        <w:rPr>
          <w:rFonts w:asciiTheme="minorHAnsi" w:eastAsiaTheme="minorEastAsia" w:hAnsiTheme="minorHAnsi"/>
          <w:noProof/>
          <w:sz w:val="22"/>
          <w:szCs w:val="22"/>
          <w:lang w:eastAsia="en-AU"/>
        </w:rPr>
      </w:pPr>
      <w:r>
        <w:rPr>
          <w:noProof/>
        </w:rPr>
        <w:t>2.2</w:t>
      </w:r>
      <w:r>
        <w:rPr>
          <w:rFonts w:asciiTheme="minorHAnsi" w:eastAsiaTheme="minorEastAsia" w:hAnsiTheme="minorHAnsi"/>
          <w:noProof/>
          <w:sz w:val="22"/>
          <w:szCs w:val="22"/>
          <w:lang w:eastAsia="en-AU"/>
        </w:rPr>
        <w:tab/>
      </w:r>
      <w:r>
        <w:rPr>
          <w:noProof/>
        </w:rPr>
        <w:t>Evidence-based program design</w:t>
      </w:r>
      <w:r>
        <w:rPr>
          <w:noProof/>
        </w:rPr>
        <w:tab/>
      </w:r>
      <w:r>
        <w:rPr>
          <w:noProof/>
        </w:rPr>
        <w:fldChar w:fldCharType="begin"/>
      </w:r>
      <w:r>
        <w:rPr>
          <w:noProof/>
        </w:rPr>
        <w:instrText xml:space="preserve"> PAGEREF _Toc82710771 \h </w:instrText>
      </w:r>
      <w:r>
        <w:rPr>
          <w:noProof/>
        </w:rPr>
      </w:r>
      <w:r>
        <w:rPr>
          <w:noProof/>
        </w:rPr>
        <w:fldChar w:fldCharType="separate"/>
      </w:r>
      <w:r w:rsidR="008565C8">
        <w:rPr>
          <w:b/>
          <w:bCs/>
          <w:noProof/>
          <w:lang w:val="en-US"/>
        </w:rPr>
        <w:t>Error! Bookmark not defined.</w:t>
      </w:r>
      <w:r>
        <w:rPr>
          <w:noProof/>
        </w:rPr>
        <w:fldChar w:fldCharType="end"/>
      </w:r>
    </w:p>
    <w:p w14:paraId="5824F86A" w14:textId="4C31AE36" w:rsidR="007A0C5A" w:rsidRDefault="007A0C5A">
      <w:pPr>
        <w:pStyle w:val="TOC2"/>
        <w:tabs>
          <w:tab w:val="left" w:pos="1134"/>
        </w:tabs>
        <w:rPr>
          <w:rFonts w:asciiTheme="minorHAnsi" w:eastAsiaTheme="minorEastAsia" w:hAnsiTheme="minorHAnsi"/>
          <w:noProof/>
          <w:sz w:val="22"/>
          <w:szCs w:val="22"/>
          <w:lang w:eastAsia="en-AU"/>
        </w:rPr>
      </w:pPr>
      <w:r>
        <w:rPr>
          <w:noProof/>
        </w:rPr>
        <w:t>2.3</w:t>
      </w:r>
      <w:r>
        <w:rPr>
          <w:rFonts w:asciiTheme="minorHAnsi" w:eastAsiaTheme="minorEastAsia" w:hAnsiTheme="minorHAnsi"/>
          <w:noProof/>
          <w:sz w:val="22"/>
          <w:szCs w:val="22"/>
          <w:lang w:eastAsia="en-AU"/>
        </w:rPr>
        <w:tab/>
      </w:r>
      <w:r>
        <w:rPr>
          <w:noProof/>
        </w:rPr>
        <w:t>Changes to the design of the programs</w:t>
      </w:r>
      <w:r>
        <w:rPr>
          <w:noProof/>
        </w:rPr>
        <w:tab/>
      </w:r>
      <w:r>
        <w:rPr>
          <w:noProof/>
        </w:rPr>
        <w:fldChar w:fldCharType="begin"/>
      </w:r>
      <w:r>
        <w:rPr>
          <w:noProof/>
        </w:rPr>
        <w:instrText xml:space="preserve"> PAGEREF _Toc82710772 \h </w:instrText>
      </w:r>
      <w:r>
        <w:rPr>
          <w:noProof/>
        </w:rPr>
      </w:r>
      <w:r>
        <w:rPr>
          <w:noProof/>
        </w:rPr>
        <w:fldChar w:fldCharType="separate"/>
      </w:r>
      <w:r w:rsidR="008565C8">
        <w:rPr>
          <w:noProof/>
        </w:rPr>
        <w:t>2</w:t>
      </w:r>
      <w:r>
        <w:rPr>
          <w:noProof/>
        </w:rPr>
        <w:fldChar w:fldCharType="end"/>
      </w:r>
    </w:p>
    <w:p w14:paraId="1D5AED73" w14:textId="61F16E6A" w:rsidR="007A0C5A" w:rsidRDefault="007A0C5A">
      <w:pPr>
        <w:pStyle w:val="TOC2"/>
        <w:tabs>
          <w:tab w:val="left" w:pos="1134"/>
        </w:tabs>
        <w:rPr>
          <w:rFonts w:asciiTheme="minorHAnsi" w:eastAsiaTheme="minorEastAsia" w:hAnsiTheme="minorHAnsi"/>
          <w:noProof/>
          <w:sz w:val="22"/>
          <w:szCs w:val="22"/>
          <w:lang w:eastAsia="en-AU"/>
        </w:rPr>
      </w:pPr>
      <w:r>
        <w:rPr>
          <w:noProof/>
        </w:rPr>
        <w:t>2.4</w:t>
      </w:r>
      <w:r>
        <w:rPr>
          <w:rFonts w:asciiTheme="minorHAnsi" w:eastAsiaTheme="minorEastAsia" w:hAnsiTheme="minorHAnsi"/>
          <w:noProof/>
          <w:sz w:val="22"/>
          <w:szCs w:val="22"/>
          <w:lang w:eastAsia="en-AU"/>
        </w:rPr>
        <w:tab/>
      </w:r>
      <w:r>
        <w:rPr>
          <w:noProof/>
        </w:rPr>
        <w:t>Consultation and collaboration with Indigenous people</w:t>
      </w:r>
      <w:r>
        <w:rPr>
          <w:noProof/>
        </w:rPr>
        <w:tab/>
      </w:r>
      <w:r>
        <w:rPr>
          <w:noProof/>
        </w:rPr>
        <w:fldChar w:fldCharType="begin"/>
      </w:r>
      <w:r>
        <w:rPr>
          <w:noProof/>
        </w:rPr>
        <w:instrText xml:space="preserve"> PAGEREF _Toc82710773 \h </w:instrText>
      </w:r>
      <w:r>
        <w:rPr>
          <w:noProof/>
        </w:rPr>
      </w:r>
      <w:r>
        <w:rPr>
          <w:noProof/>
        </w:rPr>
        <w:fldChar w:fldCharType="separate"/>
      </w:r>
      <w:r w:rsidR="008565C8">
        <w:rPr>
          <w:noProof/>
        </w:rPr>
        <w:t>2</w:t>
      </w:r>
      <w:r>
        <w:rPr>
          <w:noProof/>
        </w:rPr>
        <w:fldChar w:fldCharType="end"/>
      </w:r>
    </w:p>
    <w:p w14:paraId="445420AE" w14:textId="6FB08C92" w:rsidR="007A0C5A" w:rsidRDefault="007A0C5A">
      <w:pPr>
        <w:pStyle w:val="TOC1"/>
        <w:rPr>
          <w:rFonts w:asciiTheme="minorHAnsi" w:eastAsiaTheme="minorEastAsia" w:hAnsiTheme="minorHAnsi"/>
          <w:noProof/>
          <w:sz w:val="22"/>
          <w:szCs w:val="22"/>
          <w:lang w:eastAsia="en-AU"/>
        </w:rPr>
      </w:pPr>
      <w:r>
        <w:rPr>
          <w:noProof/>
        </w:rPr>
        <w:t>3</w:t>
      </w:r>
      <w:r>
        <w:rPr>
          <w:rFonts w:asciiTheme="minorHAnsi" w:eastAsiaTheme="minorEastAsia" w:hAnsiTheme="minorHAnsi"/>
          <w:noProof/>
          <w:sz w:val="22"/>
          <w:szCs w:val="22"/>
          <w:lang w:eastAsia="en-AU"/>
        </w:rPr>
        <w:tab/>
      </w:r>
      <w:r>
        <w:rPr>
          <w:noProof/>
        </w:rPr>
        <w:t>Program implementation</w:t>
      </w:r>
      <w:r>
        <w:rPr>
          <w:noProof/>
        </w:rPr>
        <w:tab/>
      </w:r>
      <w:r>
        <w:rPr>
          <w:noProof/>
        </w:rPr>
        <w:fldChar w:fldCharType="begin"/>
      </w:r>
      <w:r>
        <w:rPr>
          <w:noProof/>
        </w:rPr>
        <w:instrText xml:space="preserve"> PAGEREF _Toc82710774 \h </w:instrText>
      </w:r>
      <w:r>
        <w:rPr>
          <w:noProof/>
        </w:rPr>
      </w:r>
      <w:r>
        <w:rPr>
          <w:noProof/>
        </w:rPr>
        <w:fldChar w:fldCharType="separate"/>
      </w:r>
      <w:r w:rsidR="008565C8">
        <w:rPr>
          <w:noProof/>
        </w:rPr>
        <w:t>2</w:t>
      </w:r>
      <w:r>
        <w:rPr>
          <w:noProof/>
        </w:rPr>
        <w:fldChar w:fldCharType="end"/>
      </w:r>
    </w:p>
    <w:p w14:paraId="6A768D1F" w14:textId="1E1F67EF" w:rsidR="007A0C5A" w:rsidRDefault="007A0C5A">
      <w:pPr>
        <w:pStyle w:val="TOC2"/>
        <w:tabs>
          <w:tab w:val="left" w:pos="1134"/>
        </w:tabs>
        <w:rPr>
          <w:rFonts w:asciiTheme="minorHAnsi" w:eastAsiaTheme="minorEastAsia" w:hAnsiTheme="minorHAnsi"/>
          <w:noProof/>
          <w:sz w:val="22"/>
          <w:szCs w:val="22"/>
          <w:lang w:eastAsia="en-AU"/>
        </w:rPr>
      </w:pPr>
      <w:r>
        <w:rPr>
          <w:noProof/>
        </w:rPr>
        <w:t>3.1</w:t>
      </w:r>
      <w:r>
        <w:rPr>
          <w:rFonts w:asciiTheme="minorHAnsi" w:eastAsiaTheme="minorEastAsia" w:hAnsiTheme="minorHAnsi"/>
          <w:noProof/>
          <w:sz w:val="22"/>
          <w:szCs w:val="22"/>
          <w:lang w:eastAsia="en-AU"/>
        </w:rPr>
        <w:tab/>
      </w:r>
      <w:r>
        <w:rPr>
          <w:noProof/>
        </w:rPr>
        <w:t>Analytical approach</w:t>
      </w:r>
      <w:r>
        <w:rPr>
          <w:noProof/>
        </w:rPr>
        <w:tab/>
      </w:r>
      <w:r>
        <w:rPr>
          <w:noProof/>
        </w:rPr>
        <w:fldChar w:fldCharType="begin"/>
      </w:r>
      <w:r>
        <w:rPr>
          <w:noProof/>
        </w:rPr>
        <w:instrText xml:space="preserve"> PAGEREF _Toc82710775 \h </w:instrText>
      </w:r>
      <w:r>
        <w:rPr>
          <w:noProof/>
        </w:rPr>
      </w:r>
      <w:r>
        <w:rPr>
          <w:noProof/>
        </w:rPr>
        <w:fldChar w:fldCharType="separate"/>
      </w:r>
      <w:r w:rsidR="008565C8">
        <w:rPr>
          <w:noProof/>
        </w:rPr>
        <w:t>2</w:t>
      </w:r>
      <w:r>
        <w:rPr>
          <w:noProof/>
        </w:rPr>
        <w:fldChar w:fldCharType="end"/>
      </w:r>
    </w:p>
    <w:p w14:paraId="6110DD43" w14:textId="5DC6D15C" w:rsidR="007A0C5A" w:rsidRDefault="007A0C5A">
      <w:pPr>
        <w:pStyle w:val="TOC2"/>
        <w:tabs>
          <w:tab w:val="left" w:pos="1134"/>
        </w:tabs>
        <w:rPr>
          <w:rFonts w:asciiTheme="minorHAnsi" w:eastAsiaTheme="minorEastAsia" w:hAnsiTheme="minorHAnsi"/>
          <w:noProof/>
          <w:sz w:val="22"/>
          <w:szCs w:val="22"/>
          <w:lang w:eastAsia="en-AU"/>
        </w:rPr>
      </w:pPr>
      <w:r>
        <w:rPr>
          <w:noProof/>
        </w:rPr>
        <w:t>3.1</w:t>
      </w:r>
      <w:r>
        <w:rPr>
          <w:rFonts w:asciiTheme="minorHAnsi" w:eastAsiaTheme="minorEastAsia" w:hAnsiTheme="minorHAnsi"/>
          <w:noProof/>
          <w:sz w:val="22"/>
          <w:szCs w:val="22"/>
          <w:lang w:eastAsia="en-AU"/>
        </w:rPr>
        <w:tab/>
      </w:r>
      <w:r>
        <w:rPr>
          <w:noProof/>
        </w:rPr>
        <w:t>Program delivery</w:t>
      </w:r>
      <w:r>
        <w:rPr>
          <w:noProof/>
        </w:rPr>
        <w:tab/>
      </w:r>
      <w:r>
        <w:rPr>
          <w:noProof/>
        </w:rPr>
        <w:fldChar w:fldCharType="begin"/>
      </w:r>
      <w:r>
        <w:rPr>
          <w:noProof/>
        </w:rPr>
        <w:instrText xml:space="preserve"> PAGEREF _Toc82710776 \h </w:instrText>
      </w:r>
      <w:r>
        <w:rPr>
          <w:noProof/>
        </w:rPr>
      </w:r>
      <w:r>
        <w:rPr>
          <w:noProof/>
        </w:rPr>
        <w:fldChar w:fldCharType="separate"/>
      </w:r>
      <w:r w:rsidR="008565C8">
        <w:rPr>
          <w:noProof/>
        </w:rPr>
        <w:t>2</w:t>
      </w:r>
      <w:r>
        <w:rPr>
          <w:noProof/>
        </w:rPr>
        <w:fldChar w:fldCharType="end"/>
      </w:r>
    </w:p>
    <w:p w14:paraId="5F054EF8" w14:textId="41C47BD9" w:rsidR="007A0C5A" w:rsidRDefault="007A0C5A">
      <w:pPr>
        <w:pStyle w:val="TOC2"/>
        <w:tabs>
          <w:tab w:val="left" w:pos="1134"/>
        </w:tabs>
        <w:rPr>
          <w:rFonts w:asciiTheme="minorHAnsi" w:eastAsiaTheme="minorEastAsia" w:hAnsiTheme="minorHAnsi"/>
          <w:noProof/>
          <w:sz w:val="22"/>
          <w:szCs w:val="22"/>
          <w:lang w:eastAsia="en-AU"/>
        </w:rPr>
      </w:pPr>
      <w:r>
        <w:rPr>
          <w:noProof/>
        </w:rPr>
        <w:t>3.2</w:t>
      </w:r>
      <w:r>
        <w:rPr>
          <w:rFonts w:asciiTheme="minorHAnsi" w:eastAsiaTheme="minorEastAsia" w:hAnsiTheme="minorHAnsi"/>
          <w:noProof/>
          <w:sz w:val="22"/>
          <w:szCs w:val="22"/>
          <w:lang w:eastAsia="en-AU"/>
        </w:rPr>
        <w:tab/>
      </w:r>
      <w:r>
        <w:rPr>
          <w:noProof/>
        </w:rPr>
        <w:t>Participant profile</w:t>
      </w:r>
      <w:r>
        <w:rPr>
          <w:noProof/>
        </w:rPr>
        <w:tab/>
      </w:r>
      <w:r>
        <w:rPr>
          <w:noProof/>
        </w:rPr>
        <w:fldChar w:fldCharType="begin"/>
      </w:r>
      <w:r>
        <w:rPr>
          <w:noProof/>
        </w:rPr>
        <w:instrText xml:space="preserve"> PAGEREF _Toc82710777 \h </w:instrText>
      </w:r>
      <w:r>
        <w:rPr>
          <w:noProof/>
        </w:rPr>
      </w:r>
      <w:r>
        <w:rPr>
          <w:noProof/>
        </w:rPr>
        <w:fldChar w:fldCharType="separate"/>
      </w:r>
      <w:r w:rsidR="008565C8">
        <w:rPr>
          <w:noProof/>
        </w:rPr>
        <w:t>2</w:t>
      </w:r>
      <w:r>
        <w:rPr>
          <w:noProof/>
        </w:rPr>
        <w:fldChar w:fldCharType="end"/>
      </w:r>
    </w:p>
    <w:p w14:paraId="69B3750E" w14:textId="2B228E42" w:rsidR="007A0C5A" w:rsidRDefault="007A0C5A">
      <w:pPr>
        <w:pStyle w:val="TOC2"/>
        <w:tabs>
          <w:tab w:val="left" w:pos="1134"/>
        </w:tabs>
        <w:rPr>
          <w:rFonts w:asciiTheme="minorHAnsi" w:eastAsiaTheme="minorEastAsia" w:hAnsiTheme="minorHAnsi"/>
          <w:noProof/>
          <w:sz w:val="22"/>
          <w:szCs w:val="22"/>
          <w:lang w:eastAsia="en-AU"/>
        </w:rPr>
      </w:pPr>
      <w:r>
        <w:rPr>
          <w:noProof/>
        </w:rPr>
        <w:t>3.3</w:t>
      </w:r>
      <w:r>
        <w:rPr>
          <w:rFonts w:asciiTheme="minorHAnsi" w:eastAsiaTheme="minorEastAsia" w:hAnsiTheme="minorHAnsi"/>
          <w:noProof/>
          <w:sz w:val="22"/>
          <w:szCs w:val="22"/>
          <w:lang w:eastAsia="en-AU"/>
        </w:rPr>
        <w:tab/>
      </w:r>
      <w:r>
        <w:rPr>
          <w:noProof/>
        </w:rPr>
        <w:t>Provider and EPI partner profile</w:t>
      </w:r>
      <w:r>
        <w:rPr>
          <w:noProof/>
        </w:rPr>
        <w:tab/>
      </w:r>
      <w:r>
        <w:rPr>
          <w:noProof/>
        </w:rPr>
        <w:fldChar w:fldCharType="begin"/>
      </w:r>
      <w:r>
        <w:rPr>
          <w:noProof/>
        </w:rPr>
        <w:instrText xml:space="preserve"> PAGEREF _Toc82710778 \h </w:instrText>
      </w:r>
      <w:r>
        <w:rPr>
          <w:noProof/>
        </w:rPr>
      </w:r>
      <w:r>
        <w:rPr>
          <w:noProof/>
        </w:rPr>
        <w:fldChar w:fldCharType="separate"/>
      </w:r>
      <w:r w:rsidR="008565C8">
        <w:rPr>
          <w:noProof/>
        </w:rPr>
        <w:t>2</w:t>
      </w:r>
      <w:r>
        <w:rPr>
          <w:noProof/>
        </w:rPr>
        <w:fldChar w:fldCharType="end"/>
      </w:r>
    </w:p>
    <w:p w14:paraId="249E88AF" w14:textId="209D6257" w:rsidR="007A0C5A" w:rsidRDefault="007A0C5A">
      <w:pPr>
        <w:pStyle w:val="TOC2"/>
        <w:tabs>
          <w:tab w:val="left" w:pos="1134"/>
        </w:tabs>
        <w:rPr>
          <w:rFonts w:asciiTheme="minorHAnsi" w:eastAsiaTheme="minorEastAsia" w:hAnsiTheme="minorHAnsi"/>
          <w:noProof/>
          <w:sz w:val="22"/>
          <w:szCs w:val="22"/>
          <w:lang w:eastAsia="en-AU"/>
        </w:rPr>
      </w:pPr>
      <w:r>
        <w:rPr>
          <w:noProof/>
        </w:rPr>
        <w:t>3.4</w:t>
      </w:r>
      <w:r>
        <w:rPr>
          <w:rFonts w:asciiTheme="minorHAnsi" w:eastAsiaTheme="minorEastAsia" w:hAnsiTheme="minorHAnsi"/>
          <w:noProof/>
          <w:sz w:val="22"/>
          <w:szCs w:val="22"/>
          <w:lang w:eastAsia="en-AU"/>
        </w:rPr>
        <w:tab/>
      </w:r>
      <w:r>
        <w:rPr>
          <w:noProof/>
        </w:rPr>
        <w:t>Challenges in delivering the program</w:t>
      </w:r>
      <w:r>
        <w:rPr>
          <w:noProof/>
        </w:rPr>
        <w:tab/>
      </w:r>
      <w:r>
        <w:rPr>
          <w:noProof/>
        </w:rPr>
        <w:fldChar w:fldCharType="begin"/>
      </w:r>
      <w:r>
        <w:rPr>
          <w:noProof/>
        </w:rPr>
        <w:instrText xml:space="preserve"> PAGEREF _Toc82710779 \h </w:instrText>
      </w:r>
      <w:r>
        <w:rPr>
          <w:noProof/>
        </w:rPr>
      </w:r>
      <w:r>
        <w:rPr>
          <w:noProof/>
        </w:rPr>
        <w:fldChar w:fldCharType="separate"/>
      </w:r>
      <w:r w:rsidR="008565C8">
        <w:rPr>
          <w:noProof/>
        </w:rPr>
        <w:t>2</w:t>
      </w:r>
      <w:r>
        <w:rPr>
          <w:noProof/>
        </w:rPr>
        <w:fldChar w:fldCharType="end"/>
      </w:r>
    </w:p>
    <w:p w14:paraId="70EE58F2" w14:textId="320A1F4B"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3.5</w:t>
      </w:r>
      <w:r>
        <w:rPr>
          <w:rFonts w:asciiTheme="minorHAnsi" w:eastAsiaTheme="minorEastAsia" w:hAnsiTheme="minorHAnsi"/>
          <w:noProof/>
          <w:sz w:val="22"/>
          <w:szCs w:val="22"/>
          <w:lang w:eastAsia="en-AU"/>
        </w:rPr>
        <w:tab/>
      </w:r>
      <w:r w:rsidRPr="004E608B">
        <w:rPr>
          <w:rFonts w:asciiTheme="majorHAnsi" w:hAnsiTheme="majorHAnsi"/>
          <w:noProof/>
        </w:rPr>
        <w:t>Governance structure</w:t>
      </w:r>
      <w:r>
        <w:rPr>
          <w:noProof/>
        </w:rPr>
        <w:tab/>
      </w:r>
      <w:r>
        <w:rPr>
          <w:noProof/>
        </w:rPr>
        <w:fldChar w:fldCharType="begin"/>
      </w:r>
      <w:r>
        <w:rPr>
          <w:noProof/>
        </w:rPr>
        <w:instrText xml:space="preserve"> PAGEREF _Toc82710780 \h </w:instrText>
      </w:r>
      <w:r>
        <w:rPr>
          <w:noProof/>
        </w:rPr>
      </w:r>
      <w:r>
        <w:rPr>
          <w:noProof/>
        </w:rPr>
        <w:fldChar w:fldCharType="separate"/>
      </w:r>
      <w:r w:rsidR="008565C8">
        <w:rPr>
          <w:noProof/>
        </w:rPr>
        <w:t>2</w:t>
      </w:r>
      <w:r>
        <w:rPr>
          <w:noProof/>
        </w:rPr>
        <w:fldChar w:fldCharType="end"/>
      </w:r>
    </w:p>
    <w:p w14:paraId="02D71EAC" w14:textId="657264D1"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3.6</w:t>
      </w:r>
      <w:r>
        <w:rPr>
          <w:rFonts w:asciiTheme="minorHAnsi" w:eastAsiaTheme="minorEastAsia" w:hAnsiTheme="minorHAnsi"/>
          <w:noProof/>
          <w:sz w:val="22"/>
          <w:szCs w:val="22"/>
          <w:lang w:eastAsia="en-AU"/>
        </w:rPr>
        <w:tab/>
      </w:r>
      <w:r w:rsidRPr="004E608B">
        <w:rPr>
          <w:rFonts w:asciiTheme="majorHAnsi" w:hAnsiTheme="majorHAnsi"/>
          <w:noProof/>
        </w:rPr>
        <w:t>Accountability and continual improvement</w:t>
      </w:r>
      <w:r>
        <w:rPr>
          <w:noProof/>
        </w:rPr>
        <w:tab/>
      </w:r>
      <w:r>
        <w:rPr>
          <w:noProof/>
        </w:rPr>
        <w:fldChar w:fldCharType="begin"/>
      </w:r>
      <w:r>
        <w:rPr>
          <w:noProof/>
        </w:rPr>
        <w:instrText xml:space="preserve"> PAGEREF _Toc82710781 \h </w:instrText>
      </w:r>
      <w:r>
        <w:rPr>
          <w:noProof/>
        </w:rPr>
      </w:r>
      <w:r>
        <w:rPr>
          <w:noProof/>
        </w:rPr>
        <w:fldChar w:fldCharType="separate"/>
      </w:r>
      <w:r w:rsidR="008565C8">
        <w:rPr>
          <w:noProof/>
        </w:rPr>
        <w:t>2</w:t>
      </w:r>
      <w:r>
        <w:rPr>
          <w:noProof/>
        </w:rPr>
        <w:fldChar w:fldCharType="end"/>
      </w:r>
    </w:p>
    <w:p w14:paraId="11C06F8C" w14:textId="40086AB1" w:rsidR="007A0C5A" w:rsidRDefault="007A0C5A">
      <w:pPr>
        <w:pStyle w:val="TOC1"/>
        <w:rPr>
          <w:rFonts w:asciiTheme="minorHAnsi" w:eastAsiaTheme="minorEastAsia" w:hAnsiTheme="minorHAnsi"/>
          <w:noProof/>
          <w:sz w:val="22"/>
          <w:szCs w:val="22"/>
          <w:lang w:eastAsia="en-AU"/>
        </w:rPr>
      </w:pPr>
      <w:r>
        <w:rPr>
          <w:noProof/>
        </w:rPr>
        <w:t>4</w:t>
      </w:r>
      <w:r>
        <w:rPr>
          <w:rFonts w:asciiTheme="minorHAnsi" w:eastAsiaTheme="minorEastAsia" w:hAnsiTheme="minorHAnsi"/>
          <w:noProof/>
          <w:sz w:val="22"/>
          <w:szCs w:val="22"/>
          <w:lang w:eastAsia="en-AU"/>
        </w:rPr>
        <w:tab/>
      </w:r>
      <w:r>
        <w:rPr>
          <w:noProof/>
        </w:rPr>
        <w:t>Program effectiveness</w:t>
      </w:r>
      <w:r>
        <w:rPr>
          <w:noProof/>
        </w:rPr>
        <w:tab/>
      </w:r>
      <w:r>
        <w:rPr>
          <w:noProof/>
        </w:rPr>
        <w:fldChar w:fldCharType="begin"/>
      </w:r>
      <w:r>
        <w:rPr>
          <w:noProof/>
        </w:rPr>
        <w:instrText xml:space="preserve"> PAGEREF _Toc82710782 \h </w:instrText>
      </w:r>
      <w:r>
        <w:rPr>
          <w:noProof/>
        </w:rPr>
      </w:r>
      <w:r>
        <w:rPr>
          <w:noProof/>
        </w:rPr>
        <w:fldChar w:fldCharType="separate"/>
      </w:r>
      <w:r w:rsidR="008565C8">
        <w:rPr>
          <w:noProof/>
        </w:rPr>
        <w:t>2</w:t>
      </w:r>
      <w:r>
        <w:rPr>
          <w:noProof/>
        </w:rPr>
        <w:fldChar w:fldCharType="end"/>
      </w:r>
    </w:p>
    <w:p w14:paraId="1E841725" w14:textId="6593F8B2" w:rsidR="007A0C5A" w:rsidRDefault="007A0C5A">
      <w:pPr>
        <w:pStyle w:val="TOC2"/>
        <w:tabs>
          <w:tab w:val="left" w:pos="1134"/>
        </w:tabs>
        <w:rPr>
          <w:rFonts w:asciiTheme="minorHAnsi" w:eastAsiaTheme="minorEastAsia" w:hAnsiTheme="minorHAnsi"/>
          <w:noProof/>
          <w:sz w:val="22"/>
          <w:szCs w:val="22"/>
          <w:lang w:eastAsia="en-AU"/>
        </w:rPr>
      </w:pPr>
      <w:r>
        <w:rPr>
          <w:noProof/>
        </w:rPr>
        <w:t>4.5</w:t>
      </w:r>
      <w:r>
        <w:rPr>
          <w:rFonts w:asciiTheme="minorHAnsi" w:eastAsiaTheme="minorEastAsia" w:hAnsiTheme="minorHAnsi"/>
          <w:noProof/>
          <w:sz w:val="22"/>
          <w:szCs w:val="22"/>
          <w:lang w:eastAsia="en-AU"/>
        </w:rPr>
        <w:tab/>
      </w:r>
      <w:r>
        <w:rPr>
          <w:noProof/>
        </w:rPr>
        <w:t>Effective investment</w:t>
      </w:r>
      <w:r>
        <w:rPr>
          <w:noProof/>
        </w:rPr>
        <w:tab/>
      </w:r>
      <w:r>
        <w:rPr>
          <w:noProof/>
        </w:rPr>
        <w:fldChar w:fldCharType="begin"/>
      </w:r>
      <w:r>
        <w:rPr>
          <w:noProof/>
        </w:rPr>
        <w:instrText xml:space="preserve"> PAGEREF _Toc82710783 \h </w:instrText>
      </w:r>
      <w:r>
        <w:rPr>
          <w:noProof/>
        </w:rPr>
      </w:r>
      <w:r>
        <w:rPr>
          <w:noProof/>
        </w:rPr>
        <w:fldChar w:fldCharType="separate"/>
      </w:r>
      <w:r w:rsidR="008565C8">
        <w:rPr>
          <w:noProof/>
        </w:rPr>
        <w:t>2</w:t>
      </w:r>
      <w:r>
        <w:rPr>
          <w:noProof/>
        </w:rPr>
        <w:fldChar w:fldCharType="end"/>
      </w:r>
    </w:p>
    <w:p w14:paraId="4C78A348" w14:textId="5DB10C04"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5</w:t>
      </w:r>
      <w:r>
        <w:rPr>
          <w:rFonts w:asciiTheme="minorHAnsi" w:eastAsiaTheme="minorEastAsia" w:hAnsiTheme="minorHAnsi"/>
          <w:noProof/>
          <w:sz w:val="22"/>
          <w:szCs w:val="22"/>
          <w:lang w:eastAsia="en-AU"/>
        </w:rPr>
        <w:tab/>
      </w:r>
      <w:r w:rsidRPr="004E608B">
        <w:rPr>
          <w:rFonts w:asciiTheme="majorHAnsi" w:hAnsiTheme="majorHAnsi"/>
          <w:noProof/>
        </w:rPr>
        <w:t>Impact</w:t>
      </w:r>
      <w:r>
        <w:rPr>
          <w:noProof/>
        </w:rPr>
        <w:tab/>
      </w:r>
      <w:r>
        <w:rPr>
          <w:noProof/>
        </w:rPr>
        <w:fldChar w:fldCharType="begin"/>
      </w:r>
      <w:r>
        <w:rPr>
          <w:noProof/>
        </w:rPr>
        <w:instrText xml:space="preserve"> PAGEREF _Toc82710784 \h </w:instrText>
      </w:r>
      <w:r>
        <w:rPr>
          <w:noProof/>
        </w:rPr>
      </w:r>
      <w:r>
        <w:rPr>
          <w:noProof/>
        </w:rPr>
        <w:fldChar w:fldCharType="separate"/>
      </w:r>
      <w:r w:rsidR="008565C8">
        <w:rPr>
          <w:noProof/>
        </w:rPr>
        <w:t>2</w:t>
      </w:r>
      <w:r>
        <w:rPr>
          <w:noProof/>
        </w:rPr>
        <w:fldChar w:fldCharType="end"/>
      </w:r>
    </w:p>
    <w:p w14:paraId="4B1CEDE0" w14:textId="2B271CAC"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5.1</w:t>
      </w:r>
      <w:r>
        <w:rPr>
          <w:rFonts w:asciiTheme="minorHAnsi" w:eastAsiaTheme="minorEastAsia" w:hAnsiTheme="minorHAnsi"/>
          <w:noProof/>
          <w:sz w:val="22"/>
          <w:szCs w:val="22"/>
          <w:lang w:eastAsia="en-AU"/>
        </w:rPr>
        <w:tab/>
      </w:r>
      <w:r w:rsidRPr="004E608B">
        <w:rPr>
          <w:rFonts w:asciiTheme="majorHAnsi" w:hAnsiTheme="majorHAnsi"/>
          <w:noProof/>
        </w:rPr>
        <w:t>Analytical approach</w:t>
      </w:r>
      <w:r>
        <w:rPr>
          <w:noProof/>
        </w:rPr>
        <w:tab/>
      </w:r>
      <w:r>
        <w:rPr>
          <w:noProof/>
        </w:rPr>
        <w:fldChar w:fldCharType="begin"/>
      </w:r>
      <w:r>
        <w:rPr>
          <w:noProof/>
        </w:rPr>
        <w:instrText xml:space="preserve"> PAGEREF _Toc82710785 \h </w:instrText>
      </w:r>
      <w:r>
        <w:rPr>
          <w:noProof/>
        </w:rPr>
      </w:r>
      <w:r>
        <w:rPr>
          <w:noProof/>
        </w:rPr>
        <w:fldChar w:fldCharType="separate"/>
      </w:r>
      <w:r w:rsidR="008565C8">
        <w:rPr>
          <w:noProof/>
        </w:rPr>
        <w:t>2</w:t>
      </w:r>
      <w:r>
        <w:rPr>
          <w:noProof/>
        </w:rPr>
        <w:fldChar w:fldCharType="end"/>
      </w:r>
    </w:p>
    <w:p w14:paraId="2FDE99B8" w14:textId="5992DA34"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5.2</w:t>
      </w:r>
      <w:r>
        <w:rPr>
          <w:rFonts w:asciiTheme="minorHAnsi" w:eastAsiaTheme="minorEastAsia" w:hAnsiTheme="minorHAnsi"/>
          <w:noProof/>
          <w:sz w:val="22"/>
          <w:szCs w:val="22"/>
          <w:lang w:eastAsia="en-AU"/>
        </w:rPr>
        <w:tab/>
      </w:r>
      <w:r w:rsidRPr="004E608B">
        <w:rPr>
          <w:rFonts w:asciiTheme="majorHAnsi" w:hAnsiTheme="majorHAnsi"/>
          <w:noProof/>
        </w:rPr>
        <w:t>Moving towards a counterfactual</w:t>
      </w:r>
      <w:r>
        <w:rPr>
          <w:noProof/>
        </w:rPr>
        <w:tab/>
      </w:r>
      <w:r>
        <w:rPr>
          <w:noProof/>
        </w:rPr>
        <w:fldChar w:fldCharType="begin"/>
      </w:r>
      <w:r>
        <w:rPr>
          <w:noProof/>
        </w:rPr>
        <w:instrText xml:space="preserve"> PAGEREF _Toc82710786 \h </w:instrText>
      </w:r>
      <w:r>
        <w:rPr>
          <w:noProof/>
        </w:rPr>
      </w:r>
      <w:r>
        <w:rPr>
          <w:noProof/>
        </w:rPr>
        <w:fldChar w:fldCharType="separate"/>
      </w:r>
      <w:r w:rsidR="008565C8">
        <w:rPr>
          <w:noProof/>
        </w:rPr>
        <w:t>2</w:t>
      </w:r>
      <w:r>
        <w:rPr>
          <w:noProof/>
        </w:rPr>
        <w:fldChar w:fldCharType="end"/>
      </w:r>
    </w:p>
    <w:p w14:paraId="09BBFE8A" w14:textId="6722D6E6"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5.3</w:t>
      </w:r>
      <w:r>
        <w:rPr>
          <w:rFonts w:asciiTheme="minorHAnsi" w:eastAsiaTheme="minorEastAsia" w:hAnsiTheme="minorHAnsi"/>
          <w:noProof/>
          <w:sz w:val="22"/>
          <w:szCs w:val="22"/>
          <w:lang w:eastAsia="en-AU"/>
        </w:rPr>
        <w:tab/>
      </w:r>
      <w:r w:rsidRPr="004E608B">
        <w:rPr>
          <w:rFonts w:asciiTheme="majorHAnsi" w:hAnsiTheme="majorHAnsi"/>
          <w:noProof/>
        </w:rPr>
        <w:t>Jobseeker impact</w:t>
      </w:r>
      <w:r>
        <w:rPr>
          <w:noProof/>
        </w:rPr>
        <w:tab/>
      </w:r>
      <w:r>
        <w:rPr>
          <w:noProof/>
        </w:rPr>
        <w:fldChar w:fldCharType="begin"/>
      </w:r>
      <w:r>
        <w:rPr>
          <w:noProof/>
        </w:rPr>
        <w:instrText xml:space="preserve"> PAGEREF _Toc82710787 \h </w:instrText>
      </w:r>
      <w:r>
        <w:rPr>
          <w:noProof/>
        </w:rPr>
      </w:r>
      <w:r>
        <w:rPr>
          <w:noProof/>
        </w:rPr>
        <w:fldChar w:fldCharType="separate"/>
      </w:r>
      <w:r w:rsidR="008565C8">
        <w:rPr>
          <w:noProof/>
        </w:rPr>
        <w:t>2</w:t>
      </w:r>
      <w:r>
        <w:rPr>
          <w:noProof/>
        </w:rPr>
        <w:fldChar w:fldCharType="end"/>
      </w:r>
    </w:p>
    <w:p w14:paraId="0C20ADAE" w14:textId="5E066339"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5.4</w:t>
      </w:r>
      <w:r>
        <w:rPr>
          <w:rFonts w:asciiTheme="minorHAnsi" w:eastAsiaTheme="minorEastAsia" w:hAnsiTheme="minorHAnsi"/>
          <w:noProof/>
          <w:sz w:val="22"/>
          <w:szCs w:val="22"/>
          <w:lang w:eastAsia="en-AU"/>
        </w:rPr>
        <w:tab/>
      </w:r>
      <w:r w:rsidRPr="004E608B">
        <w:rPr>
          <w:rFonts w:asciiTheme="majorHAnsi" w:hAnsiTheme="majorHAnsi"/>
          <w:noProof/>
        </w:rPr>
        <w:t>Employer impact</w:t>
      </w:r>
      <w:r>
        <w:rPr>
          <w:noProof/>
        </w:rPr>
        <w:tab/>
      </w:r>
      <w:r>
        <w:rPr>
          <w:noProof/>
        </w:rPr>
        <w:fldChar w:fldCharType="begin"/>
      </w:r>
      <w:r>
        <w:rPr>
          <w:noProof/>
        </w:rPr>
        <w:instrText xml:space="preserve"> PAGEREF _Toc82710788 \h </w:instrText>
      </w:r>
      <w:r>
        <w:rPr>
          <w:noProof/>
        </w:rPr>
      </w:r>
      <w:r>
        <w:rPr>
          <w:noProof/>
        </w:rPr>
        <w:fldChar w:fldCharType="separate"/>
      </w:r>
      <w:r w:rsidR="008565C8">
        <w:rPr>
          <w:noProof/>
        </w:rPr>
        <w:t>2</w:t>
      </w:r>
      <w:r>
        <w:rPr>
          <w:noProof/>
        </w:rPr>
        <w:fldChar w:fldCharType="end"/>
      </w:r>
    </w:p>
    <w:p w14:paraId="5CB3B2DE" w14:textId="09047711"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5.5</w:t>
      </w:r>
      <w:r>
        <w:rPr>
          <w:rFonts w:asciiTheme="minorHAnsi" w:eastAsiaTheme="minorEastAsia" w:hAnsiTheme="minorHAnsi"/>
          <w:noProof/>
          <w:sz w:val="22"/>
          <w:szCs w:val="22"/>
          <w:lang w:eastAsia="en-AU"/>
        </w:rPr>
        <w:tab/>
      </w:r>
      <w:r w:rsidRPr="004E608B">
        <w:rPr>
          <w:rFonts w:asciiTheme="majorHAnsi" w:hAnsiTheme="majorHAnsi"/>
          <w:noProof/>
        </w:rPr>
        <w:t>Community impact</w:t>
      </w:r>
      <w:r>
        <w:rPr>
          <w:noProof/>
        </w:rPr>
        <w:tab/>
      </w:r>
      <w:r>
        <w:rPr>
          <w:noProof/>
        </w:rPr>
        <w:fldChar w:fldCharType="begin"/>
      </w:r>
      <w:r>
        <w:rPr>
          <w:noProof/>
        </w:rPr>
        <w:instrText xml:space="preserve"> PAGEREF _Toc82710789 \h </w:instrText>
      </w:r>
      <w:r>
        <w:rPr>
          <w:noProof/>
        </w:rPr>
      </w:r>
      <w:r>
        <w:rPr>
          <w:noProof/>
        </w:rPr>
        <w:fldChar w:fldCharType="separate"/>
      </w:r>
      <w:r w:rsidR="008565C8">
        <w:rPr>
          <w:noProof/>
        </w:rPr>
        <w:t>2</w:t>
      </w:r>
      <w:r>
        <w:rPr>
          <w:noProof/>
        </w:rPr>
        <w:fldChar w:fldCharType="end"/>
      </w:r>
    </w:p>
    <w:p w14:paraId="74E1D380" w14:textId="5AA5BE83" w:rsidR="007A0C5A" w:rsidRDefault="007A0C5A">
      <w:pPr>
        <w:pStyle w:val="TOC2"/>
        <w:tabs>
          <w:tab w:val="left" w:pos="1134"/>
        </w:tabs>
        <w:rPr>
          <w:rFonts w:asciiTheme="minorHAnsi" w:eastAsiaTheme="minorEastAsia" w:hAnsiTheme="minorHAnsi"/>
          <w:noProof/>
          <w:sz w:val="22"/>
          <w:szCs w:val="22"/>
          <w:lang w:eastAsia="en-AU"/>
        </w:rPr>
      </w:pPr>
      <w:r w:rsidRPr="004E608B">
        <w:rPr>
          <w:noProof/>
        </w:rPr>
        <w:t>5.6</w:t>
      </w:r>
      <w:r>
        <w:rPr>
          <w:rFonts w:asciiTheme="minorHAnsi" w:eastAsiaTheme="minorEastAsia" w:hAnsiTheme="minorHAnsi"/>
          <w:noProof/>
          <w:sz w:val="22"/>
          <w:szCs w:val="22"/>
          <w:lang w:eastAsia="en-AU"/>
        </w:rPr>
        <w:tab/>
      </w:r>
      <w:r w:rsidRPr="004E608B">
        <w:rPr>
          <w:rFonts w:asciiTheme="majorHAnsi" w:hAnsiTheme="majorHAnsi"/>
          <w:noProof/>
        </w:rPr>
        <w:t>Societal impact</w:t>
      </w:r>
      <w:r>
        <w:rPr>
          <w:noProof/>
        </w:rPr>
        <w:tab/>
      </w:r>
      <w:r>
        <w:rPr>
          <w:noProof/>
        </w:rPr>
        <w:fldChar w:fldCharType="begin"/>
      </w:r>
      <w:r>
        <w:rPr>
          <w:noProof/>
        </w:rPr>
        <w:instrText xml:space="preserve"> PAGEREF _Toc82710790 \h </w:instrText>
      </w:r>
      <w:r>
        <w:rPr>
          <w:noProof/>
        </w:rPr>
      </w:r>
      <w:r>
        <w:rPr>
          <w:noProof/>
        </w:rPr>
        <w:fldChar w:fldCharType="separate"/>
      </w:r>
      <w:r w:rsidR="008565C8">
        <w:rPr>
          <w:noProof/>
        </w:rPr>
        <w:t>2</w:t>
      </w:r>
      <w:r>
        <w:rPr>
          <w:noProof/>
        </w:rPr>
        <w:fldChar w:fldCharType="end"/>
      </w:r>
    </w:p>
    <w:p w14:paraId="167BC213" w14:textId="17DE393C" w:rsidR="007A0C5A" w:rsidRDefault="007A0C5A">
      <w:pPr>
        <w:pStyle w:val="TOC1"/>
        <w:rPr>
          <w:rFonts w:asciiTheme="minorHAnsi" w:eastAsiaTheme="minorEastAsia" w:hAnsiTheme="minorHAnsi"/>
          <w:noProof/>
          <w:sz w:val="22"/>
          <w:szCs w:val="22"/>
          <w:lang w:eastAsia="en-AU"/>
        </w:rPr>
      </w:pPr>
      <w:r>
        <w:rPr>
          <w:noProof/>
        </w:rPr>
        <w:t>References</w:t>
      </w:r>
      <w:r>
        <w:rPr>
          <w:noProof/>
        </w:rPr>
        <w:tab/>
      </w:r>
      <w:r>
        <w:rPr>
          <w:noProof/>
        </w:rPr>
        <w:fldChar w:fldCharType="begin"/>
      </w:r>
      <w:r>
        <w:rPr>
          <w:noProof/>
        </w:rPr>
        <w:instrText xml:space="preserve"> PAGEREF _Toc82710791 \h </w:instrText>
      </w:r>
      <w:r>
        <w:rPr>
          <w:noProof/>
        </w:rPr>
      </w:r>
      <w:r>
        <w:rPr>
          <w:noProof/>
        </w:rPr>
        <w:fldChar w:fldCharType="separate"/>
      </w:r>
      <w:r w:rsidR="008565C8">
        <w:rPr>
          <w:noProof/>
        </w:rPr>
        <w:t>2</w:t>
      </w:r>
      <w:r>
        <w:rPr>
          <w:noProof/>
        </w:rPr>
        <w:fldChar w:fldCharType="end"/>
      </w:r>
    </w:p>
    <w:p w14:paraId="24D10E06" w14:textId="7E896034" w:rsidR="007A0C5A" w:rsidRDefault="007A0C5A">
      <w:pPr>
        <w:pStyle w:val="TOC1"/>
        <w:rPr>
          <w:rFonts w:asciiTheme="minorHAnsi" w:eastAsiaTheme="minorEastAsia" w:hAnsiTheme="minorHAnsi"/>
          <w:noProof/>
          <w:sz w:val="22"/>
          <w:szCs w:val="22"/>
          <w:lang w:eastAsia="en-AU"/>
        </w:rPr>
      </w:pPr>
      <w:r w:rsidRPr="004E608B">
        <w:rPr>
          <w:rFonts w:eastAsia="Times New Roman" w:cs="Arial"/>
          <w:noProof/>
        </w:rPr>
        <w:t>Appendix A</w:t>
      </w:r>
      <w:r w:rsidRPr="004E608B">
        <w:rPr>
          <w:rFonts w:asciiTheme="majorHAnsi" w:hAnsiTheme="majorHAnsi"/>
          <w:noProof/>
        </w:rPr>
        <w:t>: Literature scan</w:t>
      </w:r>
      <w:r>
        <w:rPr>
          <w:noProof/>
        </w:rPr>
        <w:tab/>
      </w:r>
      <w:r>
        <w:rPr>
          <w:noProof/>
        </w:rPr>
        <w:fldChar w:fldCharType="begin"/>
      </w:r>
      <w:r>
        <w:rPr>
          <w:noProof/>
        </w:rPr>
        <w:instrText xml:space="preserve"> PAGEREF _Toc82710792 \h </w:instrText>
      </w:r>
      <w:r>
        <w:rPr>
          <w:noProof/>
        </w:rPr>
      </w:r>
      <w:r>
        <w:rPr>
          <w:noProof/>
        </w:rPr>
        <w:fldChar w:fldCharType="separate"/>
      </w:r>
      <w:r w:rsidR="008565C8">
        <w:rPr>
          <w:noProof/>
        </w:rPr>
        <w:t>2</w:t>
      </w:r>
      <w:r>
        <w:rPr>
          <w:noProof/>
        </w:rPr>
        <w:fldChar w:fldCharType="end"/>
      </w:r>
    </w:p>
    <w:p w14:paraId="0313BBB9" w14:textId="6AFE662C" w:rsidR="007A0C5A" w:rsidRDefault="007A0C5A">
      <w:pPr>
        <w:pStyle w:val="TOC1"/>
        <w:rPr>
          <w:rFonts w:asciiTheme="minorHAnsi" w:eastAsiaTheme="minorEastAsia" w:hAnsiTheme="minorHAnsi"/>
          <w:noProof/>
          <w:sz w:val="22"/>
          <w:szCs w:val="22"/>
          <w:lang w:eastAsia="en-AU"/>
        </w:rPr>
      </w:pPr>
      <w:r w:rsidRPr="004E608B">
        <w:rPr>
          <w:rFonts w:eastAsia="Times New Roman" w:cs="Arial"/>
          <w:noProof/>
        </w:rPr>
        <w:t>Appendix B</w:t>
      </w:r>
      <w:r w:rsidRPr="004E608B">
        <w:rPr>
          <w:rFonts w:asciiTheme="majorHAnsi" w:hAnsiTheme="majorHAnsi"/>
          <w:noProof/>
        </w:rPr>
        <w:t>: State and Territory Indigenous Employment Policies</w:t>
      </w:r>
      <w:r>
        <w:rPr>
          <w:noProof/>
        </w:rPr>
        <w:tab/>
      </w:r>
      <w:r>
        <w:rPr>
          <w:noProof/>
        </w:rPr>
        <w:fldChar w:fldCharType="begin"/>
      </w:r>
      <w:r>
        <w:rPr>
          <w:noProof/>
        </w:rPr>
        <w:instrText xml:space="preserve"> PAGEREF _Toc82710793 \h </w:instrText>
      </w:r>
      <w:r>
        <w:rPr>
          <w:noProof/>
        </w:rPr>
      </w:r>
      <w:r>
        <w:rPr>
          <w:noProof/>
        </w:rPr>
        <w:fldChar w:fldCharType="separate"/>
      </w:r>
      <w:r w:rsidR="008565C8">
        <w:rPr>
          <w:noProof/>
        </w:rPr>
        <w:t>2</w:t>
      </w:r>
      <w:r>
        <w:rPr>
          <w:noProof/>
        </w:rPr>
        <w:fldChar w:fldCharType="end"/>
      </w:r>
    </w:p>
    <w:p w14:paraId="27155CE2" w14:textId="46EB0FE4"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Appendix C: Econometrics &amp; RED data analysis</w:t>
      </w:r>
      <w:r>
        <w:rPr>
          <w:noProof/>
        </w:rPr>
        <w:tab/>
      </w:r>
      <w:r>
        <w:rPr>
          <w:noProof/>
        </w:rPr>
        <w:fldChar w:fldCharType="begin"/>
      </w:r>
      <w:r>
        <w:rPr>
          <w:noProof/>
        </w:rPr>
        <w:instrText xml:space="preserve"> PAGEREF _Toc82710794 \h </w:instrText>
      </w:r>
      <w:r>
        <w:rPr>
          <w:noProof/>
        </w:rPr>
      </w:r>
      <w:r>
        <w:rPr>
          <w:noProof/>
        </w:rPr>
        <w:fldChar w:fldCharType="separate"/>
      </w:r>
      <w:r w:rsidR="008565C8">
        <w:rPr>
          <w:noProof/>
        </w:rPr>
        <w:t>2</w:t>
      </w:r>
      <w:r>
        <w:rPr>
          <w:noProof/>
        </w:rPr>
        <w:fldChar w:fldCharType="end"/>
      </w:r>
    </w:p>
    <w:p w14:paraId="7999182D" w14:textId="60018674"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Appendix D: Evaluation Strategy</w:t>
      </w:r>
      <w:r>
        <w:rPr>
          <w:noProof/>
        </w:rPr>
        <w:tab/>
      </w:r>
      <w:r>
        <w:rPr>
          <w:noProof/>
        </w:rPr>
        <w:fldChar w:fldCharType="begin"/>
      </w:r>
      <w:r>
        <w:rPr>
          <w:noProof/>
        </w:rPr>
        <w:instrText xml:space="preserve"> PAGEREF _Toc82710795 \h </w:instrText>
      </w:r>
      <w:r>
        <w:rPr>
          <w:noProof/>
        </w:rPr>
      </w:r>
      <w:r>
        <w:rPr>
          <w:noProof/>
        </w:rPr>
        <w:fldChar w:fldCharType="separate"/>
      </w:r>
      <w:r w:rsidR="008565C8">
        <w:rPr>
          <w:noProof/>
        </w:rPr>
        <w:t>2</w:t>
      </w:r>
      <w:r>
        <w:rPr>
          <w:noProof/>
        </w:rPr>
        <w:fldChar w:fldCharType="end"/>
      </w:r>
    </w:p>
    <w:p w14:paraId="01417189" w14:textId="713A83DF" w:rsidR="007A0C5A" w:rsidRDefault="007A0C5A">
      <w:pPr>
        <w:pStyle w:val="TOC1"/>
        <w:rPr>
          <w:rFonts w:asciiTheme="minorHAnsi" w:eastAsiaTheme="minorEastAsia" w:hAnsiTheme="minorHAnsi"/>
          <w:noProof/>
          <w:sz w:val="22"/>
          <w:szCs w:val="22"/>
          <w:lang w:eastAsia="en-AU"/>
        </w:rPr>
      </w:pPr>
      <w:r>
        <w:rPr>
          <w:noProof/>
        </w:rPr>
        <w:t>Glossary</w:t>
      </w:r>
      <w:r>
        <w:rPr>
          <w:noProof/>
        </w:rPr>
        <w:tab/>
      </w:r>
      <w:r>
        <w:rPr>
          <w:noProof/>
        </w:rPr>
        <w:fldChar w:fldCharType="begin"/>
      </w:r>
      <w:r>
        <w:rPr>
          <w:noProof/>
        </w:rPr>
        <w:instrText xml:space="preserve"> PAGEREF _Toc82710796 \h </w:instrText>
      </w:r>
      <w:r>
        <w:rPr>
          <w:noProof/>
        </w:rPr>
      </w:r>
      <w:r>
        <w:rPr>
          <w:noProof/>
        </w:rPr>
        <w:fldChar w:fldCharType="separate"/>
      </w:r>
      <w:r w:rsidR="008565C8">
        <w:rPr>
          <w:noProof/>
        </w:rPr>
        <w:t>2</w:t>
      </w:r>
      <w:r>
        <w:rPr>
          <w:noProof/>
        </w:rPr>
        <w:fldChar w:fldCharType="end"/>
      </w:r>
    </w:p>
    <w:p w14:paraId="46AD398F" w14:textId="364220BB" w:rsidR="007A0C5A" w:rsidRDefault="007A0C5A">
      <w:pPr>
        <w:pStyle w:val="TOC1"/>
        <w:rPr>
          <w:rFonts w:asciiTheme="minorHAnsi" w:eastAsiaTheme="minorEastAsia" w:hAnsiTheme="minorHAnsi"/>
          <w:noProof/>
          <w:sz w:val="22"/>
          <w:szCs w:val="22"/>
          <w:lang w:eastAsia="en-AU"/>
        </w:rPr>
      </w:pPr>
      <w:r>
        <w:rPr>
          <w:noProof/>
        </w:rPr>
        <w:lastRenderedPageBreak/>
        <w:t>1</w:t>
      </w:r>
      <w:r>
        <w:rPr>
          <w:rFonts w:asciiTheme="minorHAnsi" w:eastAsiaTheme="minorEastAsia" w:hAnsiTheme="minorHAnsi"/>
          <w:noProof/>
          <w:sz w:val="22"/>
          <w:szCs w:val="22"/>
          <w:lang w:eastAsia="en-AU"/>
        </w:rPr>
        <w:tab/>
      </w:r>
      <w:r>
        <w:rPr>
          <w:noProof/>
        </w:rPr>
        <w:t>Introduction</w:t>
      </w:r>
      <w:r>
        <w:rPr>
          <w:noProof/>
        </w:rPr>
        <w:tab/>
      </w:r>
      <w:r>
        <w:rPr>
          <w:noProof/>
        </w:rPr>
        <w:fldChar w:fldCharType="begin"/>
      </w:r>
      <w:r>
        <w:rPr>
          <w:noProof/>
        </w:rPr>
        <w:instrText xml:space="preserve"> PAGEREF _Toc82710797 \h </w:instrText>
      </w:r>
      <w:r>
        <w:rPr>
          <w:noProof/>
        </w:rPr>
      </w:r>
      <w:r>
        <w:rPr>
          <w:noProof/>
        </w:rPr>
        <w:fldChar w:fldCharType="separate"/>
      </w:r>
      <w:r w:rsidR="008565C8">
        <w:rPr>
          <w:noProof/>
        </w:rPr>
        <w:t>2</w:t>
      </w:r>
      <w:r>
        <w:rPr>
          <w:noProof/>
        </w:rPr>
        <w:fldChar w:fldCharType="end"/>
      </w:r>
    </w:p>
    <w:p w14:paraId="7E8603E7" w14:textId="533BBC89" w:rsidR="007A0C5A" w:rsidRDefault="007A0C5A">
      <w:pPr>
        <w:pStyle w:val="TOC2"/>
        <w:tabs>
          <w:tab w:val="left" w:pos="1134"/>
        </w:tabs>
        <w:rPr>
          <w:rFonts w:asciiTheme="minorHAnsi" w:eastAsiaTheme="minorEastAsia" w:hAnsiTheme="minorHAnsi"/>
          <w:noProof/>
          <w:sz w:val="22"/>
          <w:szCs w:val="22"/>
          <w:lang w:eastAsia="en-AU"/>
        </w:rPr>
      </w:pPr>
      <w:r>
        <w:rPr>
          <w:noProof/>
        </w:rPr>
        <w:t>1.1</w:t>
      </w:r>
      <w:r>
        <w:rPr>
          <w:rFonts w:asciiTheme="minorHAnsi" w:eastAsiaTheme="minorEastAsia" w:hAnsiTheme="minorHAnsi"/>
          <w:noProof/>
          <w:sz w:val="22"/>
          <w:szCs w:val="22"/>
          <w:lang w:eastAsia="en-AU"/>
        </w:rPr>
        <w:tab/>
      </w:r>
      <w:r>
        <w:rPr>
          <w:noProof/>
        </w:rPr>
        <w:t>Context to this evaluation</w:t>
      </w:r>
      <w:r>
        <w:rPr>
          <w:noProof/>
        </w:rPr>
        <w:tab/>
      </w:r>
      <w:r>
        <w:rPr>
          <w:noProof/>
        </w:rPr>
        <w:fldChar w:fldCharType="begin"/>
      </w:r>
      <w:r>
        <w:rPr>
          <w:noProof/>
        </w:rPr>
        <w:instrText xml:space="preserve"> PAGEREF _Toc82710798 \h </w:instrText>
      </w:r>
      <w:r>
        <w:rPr>
          <w:noProof/>
        </w:rPr>
      </w:r>
      <w:r>
        <w:rPr>
          <w:noProof/>
        </w:rPr>
        <w:fldChar w:fldCharType="separate"/>
      </w:r>
      <w:r w:rsidR="008565C8">
        <w:rPr>
          <w:noProof/>
        </w:rPr>
        <w:t>2</w:t>
      </w:r>
      <w:r>
        <w:rPr>
          <w:noProof/>
        </w:rPr>
        <w:fldChar w:fldCharType="end"/>
      </w:r>
    </w:p>
    <w:p w14:paraId="7650C23B" w14:textId="2376BEAC" w:rsidR="007A0C5A" w:rsidRDefault="007A0C5A">
      <w:pPr>
        <w:pStyle w:val="TOC2"/>
        <w:tabs>
          <w:tab w:val="left" w:pos="1134"/>
        </w:tabs>
        <w:rPr>
          <w:rFonts w:asciiTheme="minorHAnsi" w:eastAsiaTheme="minorEastAsia" w:hAnsiTheme="minorHAnsi"/>
          <w:noProof/>
          <w:sz w:val="22"/>
          <w:szCs w:val="22"/>
          <w:lang w:eastAsia="en-AU"/>
        </w:rPr>
      </w:pPr>
      <w:r>
        <w:rPr>
          <w:noProof/>
        </w:rPr>
        <w:t>1.2</w:t>
      </w:r>
      <w:r>
        <w:rPr>
          <w:rFonts w:asciiTheme="minorHAnsi" w:eastAsiaTheme="minorEastAsia" w:hAnsiTheme="minorHAnsi"/>
          <w:noProof/>
          <w:sz w:val="22"/>
          <w:szCs w:val="22"/>
          <w:lang w:eastAsia="en-AU"/>
        </w:rPr>
        <w:tab/>
      </w:r>
      <w:r>
        <w:rPr>
          <w:noProof/>
        </w:rPr>
        <w:t>The Indigenous Employment Programs (IEPs)</w:t>
      </w:r>
      <w:r>
        <w:rPr>
          <w:noProof/>
        </w:rPr>
        <w:tab/>
      </w:r>
      <w:r>
        <w:rPr>
          <w:noProof/>
        </w:rPr>
        <w:fldChar w:fldCharType="begin"/>
      </w:r>
      <w:r>
        <w:rPr>
          <w:noProof/>
        </w:rPr>
        <w:instrText xml:space="preserve"> PAGEREF _Toc82710799 \h </w:instrText>
      </w:r>
      <w:r>
        <w:rPr>
          <w:noProof/>
        </w:rPr>
      </w:r>
      <w:r>
        <w:rPr>
          <w:noProof/>
        </w:rPr>
        <w:fldChar w:fldCharType="separate"/>
      </w:r>
      <w:r w:rsidR="008565C8">
        <w:rPr>
          <w:noProof/>
        </w:rPr>
        <w:t>2</w:t>
      </w:r>
      <w:r>
        <w:rPr>
          <w:noProof/>
        </w:rPr>
        <w:fldChar w:fldCharType="end"/>
      </w:r>
    </w:p>
    <w:p w14:paraId="13384174" w14:textId="75493384" w:rsidR="007A0C5A" w:rsidRDefault="007A0C5A">
      <w:pPr>
        <w:pStyle w:val="TOC2"/>
        <w:tabs>
          <w:tab w:val="left" w:pos="1134"/>
        </w:tabs>
        <w:rPr>
          <w:rFonts w:asciiTheme="minorHAnsi" w:eastAsiaTheme="minorEastAsia" w:hAnsiTheme="minorHAnsi"/>
          <w:noProof/>
          <w:sz w:val="22"/>
          <w:szCs w:val="22"/>
          <w:lang w:eastAsia="en-AU"/>
        </w:rPr>
      </w:pPr>
      <w:r>
        <w:rPr>
          <w:noProof/>
        </w:rPr>
        <w:t>1.3</w:t>
      </w:r>
      <w:r>
        <w:rPr>
          <w:rFonts w:asciiTheme="minorHAnsi" w:eastAsiaTheme="minorEastAsia" w:hAnsiTheme="minorHAnsi"/>
          <w:noProof/>
          <w:sz w:val="22"/>
          <w:szCs w:val="22"/>
          <w:lang w:eastAsia="en-AU"/>
        </w:rPr>
        <w:tab/>
      </w:r>
      <w:r>
        <w:rPr>
          <w:noProof/>
        </w:rPr>
        <w:t>This document</w:t>
      </w:r>
      <w:r>
        <w:rPr>
          <w:noProof/>
        </w:rPr>
        <w:tab/>
      </w:r>
      <w:r>
        <w:rPr>
          <w:noProof/>
        </w:rPr>
        <w:fldChar w:fldCharType="begin"/>
      </w:r>
      <w:r>
        <w:rPr>
          <w:noProof/>
        </w:rPr>
        <w:instrText xml:space="preserve"> PAGEREF _Toc82710800 \h </w:instrText>
      </w:r>
      <w:r>
        <w:rPr>
          <w:noProof/>
        </w:rPr>
      </w:r>
      <w:r>
        <w:rPr>
          <w:noProof/>
        </w:rPr>
        <w:fldChar w:fldCharType="separate"/>
      </w:r>
      <w:r w:rsidR="008565C8">
        <w:rPr>
          <w:noProof/>
        </w:rPr>
        <w:t>2</w:t>
      </w:r>
      <w:r>
        <w:rPr>
          <w:noProof/>
        </w:rPr>
        <w:fldChar w:fldCharType="end"/>
      </w:r>
    </w:p>
    <w:p w14:paraId="7033C7E5" w14:textId="7FB4DB54" w:rsidR="007A0C5A" w:rsidRDefault="007A0C5A">
      <w:pPr>
        <w:pStyle w:val="TOC1"/>
        <w:rPr>
          <w:rFonts w:asciiTheme="minorHAnsi" w:eastAsiaTheme="minorEastAsia" w:hAnsiTheme="minorHAnsi"/>
          <w:noProof/>
          <w:sz w:val="22"/>
          <w:szCs w:val="22"/>
          <w:lang w:eastAsia="en-AU"/>
        </w:rPr>
      </w:pPr>
      <w:r>
        <w:rPr>
          <w:noProof/>
        </w:rPr>
        <w:t>2</w:t>
      </w:r>
      <w:r>
        <w:rPr>
          <w:rFonts w:asciiTheme="minorHAnsi" w:eastAsiaTheme="minorEastAsia" w:hAnsiTheme="minorHAnsi"/>
          <w:noProof/>
          <w:sz w:val="22"/>
          <w:szCs w:val="22"/>
          <w:lang w:eastAsia="en-AU"/>
        </w:rPr>
        <w:tab/>
      </w:r>
      <w:r>
        <w:rPr>
          <w:noProof/>
        </w:rPr>
        <w:t>Evaluation Framework</w:t>
      </w:r>
      <w:r>
        <w:rPr>
          <w:noProof/>
        </w:rPr>
        <w:tab/>
      </w:r>
      <w:r>
        <w:rPr>
          <w:noProof/>
        </w:rPr>
        <w:fldChar w:fldCharType="begin"/>
      </w:r>
      <w:r>
        <w:rPr>
          <w:noProof/>
        </w:rPr>
        <w:instrText xml:space="preserve"> PAGEREF _Toc82710801 \h </w:instrText>
      </w:r>
      <w:r>
        <w:rPr>
          <w:noProof/>
        </w:rPr>
      </w:r>
      <w:r>
        <w:rPr>
          <w:noProof/>
        </w:rPr>
        <w:fldChar w:fldCharType="separate"/>
      </w:r>
      <w:r w:rsidR="008565C8">
        <w:rPr>
          <w:noProof/>
        </w:rPr>
        <w:t>2</w:t>
      </w:r>
      <w:r>
        <w:rPr>
          <w:noProof/>
        </w:rPr>
        <w:fldChar w:fldCharType="end"/>
      </w:r>
    </w:p>
    <w:p w14:paraId="0D888458" w14:textId="70442B8E" w:rsidR="007A0C5A" w:rsidRDefault="007A0C5A">
      <w:pPr>
        <w:pStyle w:val="TOC2"/>
        <w:tabs>
          <w:tab w:val="left" w:pos="1134"/>
        </w:tabs>
        <w:rPr>
          <w:rFonts w:asciiTheme="minorHAnsi" w:eastAsiaTheme="minorEastAsia" w:hAnsiTheme="minorHAnsi"/>
          <w:noProof/>
          <w:sz w:val="22"/>
          <w:szCs w:val="22"/>
          <w:lang w:eastAsia="en-AU"/>
        </w:rPr>
      </w:pPr>
      <w:r>
        <w:rPr>
          <w:noProof/>
        </w:rPr>
        <w:t>2.1</w:t>
      </w:r>
      <w:r>
        <w:rPr>
          <w:rFonts w:asciiTheme="minorHAnsi" w:eastAsiaTheme="minorEastAsia" w:hAnsiTheme="minorHAnsi"/>
          <w:noProof/>
          <w:sz w:val="22"/>
          <w:szCs w:val="22"/>
          <w:lang w:eastAsia="en-AU"/>
        </w:rPr>
        <w:tab/>
      </w:r>
      <w:r>
        <w:rPr>
          <w:noProof/>
        </w:rPr>
        <w:t>Objectives and scope of this evaluation</w:t>
      </w:r>
      <w:r>
        <w:rPr>
          <w:noProof/>
        </w:rPr>
        <w:tab/>
      </w:r>
      <w:r>
        <w:rPr>
          <w:noProof/>
        </w:rPr>
        <w:fldChar w:fldCharType="begin"/>
      </w:r>
      <w:r>
        <w:rPr>
          <w:noProof/>
        </w:rPr>
        <w:instrText xml:space="preserve"> PAGEREF _Toc82710802 \h </w:instrText>
      </w:r>
      <w:r>
        <w:rPr>
          <w:noProof/>
        </w:rPr>
      </w:r>
      <w:r>
        <w:rPr>
          <w:noProof/>
        </w:rPr>
        <w:fldChar w:fldCharType="separate"/>
      </w:r>
      <w:r w:rsidR="008565C8">
        <w:rPr>
          <w:noProof/>
        </w:rPr>
        <w:t>2</w:t>
      </w:r>
      <w:r>
        <w:rPr>
          <w:noProof/>
        </w:rPr>
        <w:fldChar w:fldCharType="end"/>
      </w:r>
    </w:p>
    <w:p w14:paraId="4949EA07" w14:textId="19CCD7F6" w:rsidR="007A0C5A" w:rsidRDefault="007A0C5A">
      <w:pPr>
        <w:pStyle w:val="TOC2"/>
        <w:tabs>
          <w:tab w:val="left" w:pos="1134"/>
        </w:tabs>
        <w:rPr>
          <w:rFonts w:asciiTheme="minorHAnsi" w:eastAsiaTheme="minorEastAsia" w:hAnsiTheme="minorHAnsi"/>
          <w:noProof/>
          <w:sz w:val="22"/>
          <w:szCs w:val="22"/>
          <w:lang w:eastAsia="en-AU"/>
        </w:rPr>
      </w:pPr>
      <w:r>
        <w:rPr>
          <w:noProof/>
        </w:rPr>
        <w:t>2.2</w:t>
      </w:r>
      <w:r>
        <w:rPr>
          <w:rFonts w:asciiTheme="minorHAnsi" w:eastAsiaTheme="minorEastAsia" w:hAnsiTheme="minorHAnsi"/>
          <w:noProof/>
          <w:sz w:val="22"/>
          <w:szCs w:val="22"/>
          <w:lang w:eastAsia="en-AU"/>
        </w:rPr>
        <w:tab/>
      </w:r>
      <w:r>
        <w:rPr>
          <w:noProof/>
        </w:rPr>
        <w:t>Evaluation principles</w:t>
      </w:r>
      <w:r>
        <w:rPr>
          <w:noProof/>
        </w:rPr>
        <w:tab/>
      </w:r>
      <w:r>
        <w:rPr>
          <w:noProof/>
        </w:rPr>
        <w:fldChar w:fldCharType="begin"/>
      </w:r>
      <w:r>
        <w:rPr>
          <w:noProof/>
        </w:rPr>
        <w:instrText xml:space="preserve"> PAGEREF _Toc82710803 \h </w:instrText>
      </w:r>
      <w:r>
        <w:rPr>
          <w:noProof/>
        </w:rPr>
      </w:r>
      <w:r>
        <w:rPr>
          <w:noProof/>
        </w:rPr>
        <w:fldChar w:fldCharType="separate"/>
      </w:r>
      <w:r w:rsidR="008565C8">
        <w:rPr>
          <w:noProof/>
        </w:rPr>
        <w:t>2</w:t>
      </w:r>
      <w:r>
        <w:rPr>
          <w:noProof/>
        </w:rPr>
        <w:fldChar w:fldCharType="end"/>
      </w:r>
    </w:p>
    <w:p w14:paraId="33A3E204" w14:textId="3CB40AEE" w:rsidR="007A0C5A" w:rsidRDefault="007A0C5A">
      <w:pPr>
        <w:pStyle w:val="TOC2"/>
        <w:tabs>
          <w:tab w:val="left" w:pos="1134"/>
        </w:tabs>
        <w:rPr>
          <w:rFonts w:asciiTheme="minorHAnsi" w:eastAsiaTheme="minorEastAsia" w:hAnsiTheme="minorHAnsi"/>
          <w:noProof/>
          <w:sz w:val="22"/>
          <w:szCs w:val="22"/>
          <w:lang w:eastAsia="en-AU"/>
        </w:rPr>
      </w:pPr>
      <w:r>
        <w:rPr>
          <w:noProof/>
        </w:rPr>
        <w:t>2.3</w:t>
      </w:r>
      <w:r>
        <w:rPr>
          <w:rFonts w:asciiTheme="minorHAnsi" w:eastAsiaTheme="minorEastAsia" w:hAnsiTheme="minorHAnsi"/>
          <w:noProof/>
          <w:sz w:val="22"/>
          <w:szCs w:val="22"/>
          <w:lang w:eastAsia="en-AU"/>
        </w:rPr>
        <w:tab/>
      </w:r>
      <w:r>
        <w:rPr>
          <w:noProof/>
        </w:rPr>
        <w:t>Evaluation approach</w:t>
      </w:r>
      <w:r>
        <w:rPr>
          <w:noProof/>
        </w:rPr>
        <w:tab/>
      </w:r>
      <w:r>
        <w:rPr>
          <w:noProof/>
        </w:rPr>
        <w:fldChar w:fldCharType="begin"/>
      </w:r>
      <w:r>
        <w:rPr>
          <w:noProof/>
        </w:rPr>
        <w:instrText xml:space="preserve"> PAGEREF _Toc82710804 \h </w:instrText>
      </w:r>
      <w:r>
        <w:rPr>
          <w:noProof/>
        </w:rPr>
      </w:r>
      <w:r>
        <w:rPr>
          <w:noProof/>
        </w:rPr>
        <w:fldChar w:fldCharType="separate"/>
      </w:r>
      <w:r w:rsidR="008565C8">
        <w:rPr>
          <w:noProof/>
        </w:rPr>
        <w:t>2</w:t>
      </w:r>
      <w:r>
        <w:rPr>
          <w:noProof/>
        </w:rPr>
        <w:fldChar w:fldCharType="end"/>
      </w:r>
    </w:p>
    <w:p w14:paraId="31227444" w14:textId="387BBBC0" w:rsidR="007A0C5A" w:rsidRDefault="007A0C5A">
      <w:pPr>
        <w:pStyle w:val="TOC2"/>
        <w:tabs>
          <w:tab w:val="left" w:pos="1134"/>
        </w:tabs>
        <w:rPr>
          <w:rFonts w:asciiTheme="minorHAnsi" w:eastAsiaTheme="minorEastAsia" w:hAnsiTheme="minorHAnsi"/>
          <w:noProof/>
          <w:sz w:val="22"/>
          <w:szCs w:val="22"/>
          <w:lang w:eastAsia="en-AU"/>
        </w:rPr>
      </w:pPr>
      <w:r>
        <w:rPr>
          <w:noProof/>
        </w:rPr>
        <w:t>2.4</w:t>
      </w:r>
      <w:r>
        <w:rPr>
          <w:rFonts w:asciiTheme="minorHAnsi" w:eastAsiaTheme="minorEastAsia" w:hAnsiTheme="minorHAnsi"/>
          <w:noProof/>
          <w:sz w:val="22"/>
          <w:szCs w:val="22"/>
          <w:lang w:eastAsia="en-AU"/>
        </w:rPr>
        <w:tab/>
      </w:r>
      <w:r>
        <w:rPr>
          <w:noProof/>
        </w:rPr>
        <w:t>Program logic (theory of change)</w:t>
      </w:r>
      <w:r>
        <w:rPr>
          <w:noProof/>
        </w:rPr>
        <w:tab/>
      </w:r>
      <w:r>
        <w:rPr>
          <w:noProof/>
        </w:rPr>
        <w:fldChar w:fldCharType="begin"/>
      </w:r>
      <w:r>
        <w:rPr>
          <w:noProof/>
        </w:rPr>
        <w:instrText xml:space="preserve"> PAGEREF _Toc82710805 \h </w:instrText>
      </w:r>
      <w:r>
        <w:rPr>
          <w:noProof/>
        </w:rPr>
      </w:r>
      <w:r>
        <w:rPr>
          <w:noProof/>
        </w:rPr>
        <w:fldChar w:fldCharType="separate"/>
      </w:r>
      <w:r w:rsidR="008565C8">
        <w:rPr>
          <w:noProof/>
        </w:rPr>
        <w:t>2</w:t>
      </w:r>
      <w:r>
        <w:rPr>
          <w:noProof/>
        </w:rPr>
        <w:fldChar w:fldCharType="end"/>
      </w:r>
    </w:p>
    <w:p w14:paraId="11D3331E" w14:textId="5E3946B7" w:rsidR="007A0C5A" w:rsidRDefault="007A0C5A">
      <w:pPr>
        <w:pStyle w:val="TOC2"/>
        <w:tabs>
          <w:tab w:val="left" w:pos="1134"/>
        </w:tabs>
        <w:rPr>
          <w:rFonts w:asciiTheme="minorHAnsi" w:eastAsiaTheme="minorEastAsia" w:hAnsiTheme="minorHAnsi"/>
          <w:noProof/>
          <w:sz w:val="22"/>
          <w:szCs w:val="22"/>
          <w:lang w:eastAsia="en-AU"/>
        </w:rPr>
      </w:pPr>
      <w:r>
        <w:rPr>
          <w:noProof/>
        </w:rPr>
        <w:t>2.5</w:t>
      </w:r>
      <w:r>
        <w:rPr>
          <w:rFonts w:asciiTheme="minorHAnsi" w:eastAsiaTheme="minorEastAsia" w:hAnsiTheme="minorHAnsi"/>
          <w:noProof/>
          <w:sz w:val="22"/>
          <w:szCs w:val="22"/>
          <w:lang w:eastAsia="en-AU"/>
        </w:rPr>
        <w:tab/>
      </w:r>
      <w:r>
        <w:rPr>
          <w:noProof/>
        </w:rPr>
        <w:t>Evaluation questions</w:t>
      </w:r>
      <w:r>
        <w:rPr>
          <w:noProof/>
        </w:rPr>
        <w:tab/>
      </w:r>
      <w:r>
        <w:rPr>
          <w:noProof/>
        </w:rPr>
        <w:fldChar w:fldCharType="begin"/>
      </w:r>
      <w:r>
        <w:rPr>
          <w:noProof/>
        </w:rPr>
        <w:instrText xml:space="preserve"> PAGEREF _Toc82710806 \h </w:instrText>
      </w:r>
      <w:r>
        <w:rPr>
          <w:noProof/>
        </w:rPr>
      </w:r>
      <w:r>
        <w:rPr>
          <w:noProof/>
        </w:rPr>
        <w:fldChar w:fldCharType="separate"/>
      </w:r>
      <w:r w:rsidR="008565C8">
        <w:rPr>
          <w:noProof/>
        </w:rPr>
        <w:t>2</w:t>
      </w:r>
      <w:r>
        <w:rPr>
          <w:noProof/>
        </w:rPr>
        <w:fldChar w:fldCharType="end"/>
      </w:r>
    </w:p>
    <w:p w14:paraId="6E5CB447" w14:textId="738D5F63" w:rsidR="007A0C5A" w:rsidRDefault="007A0C5A">
      <w:pPr>
        <w:pStyle w:val="TOC2"/>
        <w:tabs>
          <w:tab w:val="left" w:pos="1134"/>
        </w:tabs>
        <w:rPr>
          <w:rFonts w:asciiTheme="minorHAnsi" w:eastAsiaTheme="minorEastAsia" w:hAnsiTheme="minorHAnsi"/>
          <w:noProof/>
          <w:sz w:val="22"/>
          <w:szCs w:val="22"/>
          <w:lang w:eastAsia="en-AU"/>
        </w:rPr>
      </w:pPr>
      <w:r>
        <w:rPr>
          <w:noProof/>
        </w:rPr>
        <w:t>2.6</w:t>
      </w:r>
      <w:r>
        <w:rPr>
          <w:rFonts w:asciiTheme="minorHAnsi" w:eastAsiaTheme="minorEastAsia" w:hAnsiTheme="minorHAnsi"/>
          <w:noProof/>
          <w:sz w:val="22"/>
          <w:szCs w:val="22"/>
          <w:lang w:eastAsia="en-AU"/>
        </w:rPr>
        <w:tab/>
      </w:r>
      <w:r>
        <w:rPr>
          <w:noProof/>
        </w:rPr>
        <w:t>Methods and analysis</w:t>
      </w:r>
      <w:r>
        <w:rPr>
          <w:noProof/>
        </w:rPr>
        <w:tab/>
      </w:r>
      <w:r>
        <w:rPr>
          <w:noProof/>
        </w:rPr>
        <w:fldChar w:fldCharType="begin"/>
      </w:r>
      <w:r>
        <w:rPr>
          <w:noProof/>
        </w:rPr>
        <w:instrText xml:space="preserve"> PAGEREF _Toc82710807 \h </w:instrText>
      </w:r>
      <w:r>
        <w:rPr>
          <w:noProof/>
        </w:rPr>
      </w:r>
      <w:r>
        <w:rPr>
          <w:noProof/>
        </w:rPr>
        <w:fldChar w:fldCharType="separate"/>
      </w:r>
      <w:r w:rsidR="008565C8">
        <w:rPr>
          <w:noProof/>
        </w:rPr>
        <w:t>2</w:t>
      </w:r>
      <w:r>
        <w:rPr>
          <w:noProof/>
        </w:rPr>
        <w:fldChar w:fldCharType="end"/>
      </w:r>
    </w:p>
    <w:p w14:paraId="757CF257" w14:textId="0C568391" w:rsidR="007A0C5A" w:rsidRDefault="007A0C5A">
      <w:pPr>
        <w:pStyle w:val="TOC2"/>
        <w:tabs>
          <w:tab w:val="left" w:pos="1134"/>
        </w:tabs>
        <w:rPr>
          <w:rFonts w:asciiTheme="minorHAnsi" w:eastAsiaTheme="minorEastAsia" w:hAnsiTheme="minorHAnsi"/>
          <w:noProof/>
          <w:sz w:val="22"/>
          <w:szCs w:val="22"/>
          <w:lang w:eastAsia="en-AU"/>
        </w:rPr>
      </w:pPr>
      <w:r>
        <w:rPr>
          <w:noProof/>
        </w:rPr>
        <w:t>2.7</w:t>
      </w:r>
      <w:r>
        <w:rPr>
          <w:rFonts w:asciiTheme="minorHAnsi" w:eastAsiaTheme="minorEastAsia" w:hAnsiTheme="minorHAnsi"/>
          <w:noProof/>
          <w:sz w:val="22"/>
          <w:szCs w:val="22"/>
          <w:lang w:eastAsia="en-AU"/>
        </w:rPr>
        <w:tab/>
      </w:r>
      <w:r>
        <w:rPr>
          <w:noProof/>
        </w:rPr>
        <w:t>Data sources</w:t>
      </w:r>
      <w:r>
        <w:rPr>
          <w:noProof/>
        </w:rPr>
        <w:tab/>
      </w:r>
      <w:r>
        <w:rPr>
          <w:noProof/>
        </w:rPr>
        <w:fldChar w:fldCharType="begin"/>
      </w:r>
      <w:r>
        <w:rPr>
          <w:noProof/>
        </w:rPr>
        <w:instrText xml:space="preserve"> PAGEREF _Toc82710808 \h </w:instrText>
      </w:r>
      <w:r>
        <w:rPr>
          <w:noProof/>
        </w:rPr>
      </w:r>
      <w:r>
        <w:rPr>
          <w:noProof/>
        </w:rPr>
        <w:fldChar w:fldCharType="separate"/>
      </w:r>
      <w:r w:rsidR="008565C8">
        <w:rPr>
          <w:noProof/>
        </w:rPr>
        <w:t>2</w:t>
      </w:r>
      <w:r>
        <w:rPr>
          <w:noProof/>
        </w:rPr>
        <w:fldChar w:fldCharType="end"/>
      </w:r>
    </w:p>
    <w:p w14:paraId="5569D8D5" w14:textId="5ED4579B" w:rsidR="007A0C5A" w:rsidRDefault="007A0C5A">
      <w:pPr>
        <w:pStyle w:val="TOC2"/>
        <w:tabs>
          <w:tab w:val="left" w:pos="1134"/>
        </w:tabs>
        <w:rPr>
          <w:rFonts w:asciiTheme="minorHAnsi" w:eastAsiaTheme="minorEastAsia" w:hAnsiTheme="minorHAnsi"/>
          <w:noProof/>
          <w:sz w:val="22"/>
          <w:szCs w:val="22"/>
          <w:lang w:eastAsia="en-AU"/>
        </w:rPr>
      </w:pPr>
      <w:r>
        <w:rPr>
          <w:noProof/>
        </w:rPr>
        <w:t>2.8</w:t>
      </w:r>
      <w:r>
        <w:rPr>
          <w:rFonts w:asciiTheme="minorHAnsi" w:eastAsiaTheme="minorEastAsia" w:hAnsiTheme="minorHAnsi"/>
          <w:noProof/>
          <w:sz w:val="22"/>
          <w:szCs w:val="22"/>
          <w:lang w:eastAsia="en-AU"/>
        </w:rPr>
        <w:tab/>
      </w:r>
      <w:r>
        <w:rPr>
          <w:noProof/>
        </w:rPr>
        <w:t>Mapping of evaluation questions, data and indicators</w:t>
      </w:r>
      <w:r>
        <w:rPr>
          <w:noProof/>
        </w:rPr>
        <w:tab/>
      </w:r>
      <w:r>
        <w:rPr>
          <w:noProof/>
        </w:rPr>
        <w:fldChar w:fldCharType="begin"/>
      </w:r>
      <w:r>
        <w:rPr>
          <w:noProof/>
        </w:rPr>
        <w:instrText xml:space="preserve"> PAGEREF _Toc82710809 \h </w:instrText>
      </w:r>
      <w:r>
        <w:rPr>
          <w:noProof/>
        </w:rPr>
      </w:r>
      <w:r>
        <w:rPr>
          <w:noProof/>
        </w:rPr>
        <w:fldChar w:fldCharType="separate"/>
      </w:r>
      <w:r w:rsidR="008565C8">
        <w:rPr>
          <w:noProof/>
        </w:rPr>
        <w:t>2</w:t>
      </w:r>
      <w:r>
        <w:rPr>
          <w:noProof/>
        </w:rPr>
        <w:fldChar w:fldCharType="end"/>
      </w:r>
    </w:p>
    <w:p w14:paraId="58B04C81" w14:textId="75D9824C" w:rsidR="007A0C5A" w:rsidRDefault="007A0C5A">
      <w:pPr>
        <w:pStyle w:val="TOC1"/>
        <w:rPr>
          <w:rFonts w:asciiTheme="minorHAnsi" w:eastAsiaTheme="minorEastAsia" w:hAnsiTheme="minorHAnsi"/>
          <w:noProof/>
          <w:sz w:val="22"/>
          <w:szCs w:val="22"/>
          <w:lang w:eastAsia="en-AU"/>
        </w:rPr>
      </w:pPr>
      <w:r>
        <w:rPr>
          <w:noProof/>
        </w:rPr>
        <w:t>3</w:t>
      </w:r>
      <w:r>
        <w:rPr>
          <w:rFonts w:asciiTheme="minorHAnsi" w:eastAsiaTheme="minorEastAsia" w:hAnsiTheme="minorHAnsi"/>
          <w:noProof/>
          <w:sz w:val="22"/>
          <w:szCs w:val="22"/>
          <w:lang w:eastAsia="en-AU"/>
        </w:rPr>
        <w:tab/>
      </w:r>
      <w:r>
        <w:rPr>
          <w:noProof/>
        </w:rPr>
        <w:t>Stakeholder Engagement Strategy</w:t>
      </w:r>
      <w:r>
        <w:rPr>
          <w:noProof/>
        </w:rPr>
        <w:tab/>
      </w:r>
      <w:r>
        <w:rPr>
          <w:noProof/>
        </w:rPr>
        <w:fldChar w:fldCharType="begin"/>
      </w:r>
      <w:r>
        <w:rPr>
          <w:noProof/>
        </w:rPr>
        <w:instrText xml:space="preserve"> PAGEREF _Toc82710810 \h </w:instrText>
      </w:r>
      <w:r>
        <w:rPr>
          <w:noProof/>
        </w:rPr>
      </w:r>
      <w:r>
        <w:rPr>
          <w:noProof/>
        </w:rPr>
        <w:fldChar w:fldCharType="separate"/>
      </w:r>
      <w:r w:rsidR="008565C8">
        <w:rPr>
          <w:noProof/>
        </w:rPr>
        <w:t>2</w:t>
      </w:r>
      <w:r>
        <w:rPr>
          <w:noProof/>
        </w:rPr>
        <w:fldChar w:fldCharType="end"/>
      </w:r>
    </w:p>
    <w:p w14:paraId="7E73C4A1" w14:textId="2DCE370D" w:rsidR="007A0C5A" w:rsidRDefault="007A0C5A">
      <w:pPr>
        <w:pStyle w:val="TOC2"/>
        <w:tabs>
          <w:tab w:val="left" w:pos="1134"/>
        </w:tabs>
        <w:rPr>
          <w:rFonts w:asciiTheme="minorHAnsi" w:eastAsiaTheme="minorEastAsia" w:hAnsiTheme="minorHAnsi"/>
          <w:noProof/>
          <w:sz w:val="22"/>
          <w:szCs w:val="22"/>
          <w:lang w:eastAsia="en-AU"/>
        </w:rPr>
      </w:pPr>
      <w:r>
        <w:rPr>
          <w:noProof/>
        </w:rPr>
        <w:t>3.1</w:t>
      </w:r>
      <w:r>
        <w:rPr>
          <w:rFonts w:asciiTheme="minorHAnsi" w:eastAsiaTheme="minorEastAsia" w:hAnsiTheme="minorHAnsi"/>
          <w:noProof/>
          <w:sz w:val="22"/>
          <w:szCs w:val="22"/>
          <w:lang w:eastAsia="en-AU"/>
        </w:rPr>
        <w:tab/>
      </w:r>
      <w:r>
        <w:rPr>
          <w:noProof/>
        </w:rPr>
        <w:t>Objectives of stakeholder engagement</w:t>
      </w:r>
      <w:r>
        <w:rPr>
          <w:noProof/>
        </w:rPr>
        <w:tab/>
      </w:r>
      <w:r>
        <w:rPr>
          <w:noProof/>
        </w:rPr>
        <w:fldChar w:fldCharType="begin"/>
      </w:r>
      <w:r>
        <w:rPr>
          <w:noProof/>
        </w:rPr>
        <w:instrText xml:space="preserve"> PAGEREF _Toc82710811 \h </w:instrText>
      </w:r>
      <w:r>
        <w:rPr>
          <w:noProof/>
        </w:rPr>
      </w:r>
      <w:r>
        <w:rPr>
          <w:noProof/>
        </w:rPr>
        <w:fldChar w:fldCharType="separate"/>
      </w:r>
      <w:r w:rsidR="008565C8">
        <w:rPr>
          <w:noProof/>
        </w:rPr>
        <w:t>2</w:t>
      </w:r>
      <w:r>
        <w:rPr>
          <w:noProof/>
        </w:rPr>
        <w:fldChar w:fldCharType="end"/>
      </w:r>
    </w:p>
    <w:p w14:paraId="3A4B578A" w14:textId="5D66327A" w:rsidR="007A0C5A" w:rsidRDefault="007A0C5A">
      <w:pPr>
        <w:pStyle w:val="TOC2"/>
        <w:tabs>
          <w:tab w:val="left" w:pos="1134"/>
        </w:tabs>
        <w:rPr>
          <w:rFonts w:asciiTheme="minorHAnsi" w:eastAsiaTheme="minorEastAsia" w:hAnsiTheme="minorHAnsi"/>
          <w:noProof/>
          <w:sz w:val="22"/>
          <w:szCs w:val="22"/>
          <w:lang w:eastAsia="en-AU"/>
        </w:rPr>
      </w:pPr>
      <w:r>
        <w:rPr>
          <w:noProof/>
        </w:rPr>
        <w:t>3.2</w:t>
      </w:r>
      <w:r>
        <w:rPr>
          <w:rFonts w:asciiTheme="minorHAnsi" w:eastAsiaTheme="minorEastAsia" w:hAnsiTheme="minorHAnsi"/>
          <w:noProof/>
          <w:sz w:val="22"/>
          <w:szCs w:val="22"/>
          <w:lang w:eastAsia="en-AU"/>
        </w:rPr>
        <w:tab/>
      </w:r>
      <w:r>
        <w:rPr>
          <w:noProof/>
        </w:rPr>
        <w:t>Stakeholder groups</w:t>
      </w:r>
      <w:r>
        <w:rPr>
          <w:noProof/>
        </w:rPr>
        <w:tab/>
      </w:r>
      <w:r>
        <w:rPr>
          <w:noProof/>
        </w:rPr>
        <w:fldChar w:fldCharType="begin"/>
      </w:r>
      <w:r>
        <w:rPr>
          <w:noProof/>
        </w:rPr>
        <w:instrText xml:space="preserve"> PAGEREF _Toc82710812 \h </w:instrText>
      </w:r>
      <w:r>
        <w:rPr>
          <w:noProof/>
        </w:rPr>
      </w:r>
      <w:r>
        <w:rPr>
          <w:noProof/>
        </w:rPr>
        <w:fldChar w:fldCharType="separate"/>
      </w:r>
      <w:r w:rsidR="008565C8">
        <w:rPr>
          <w:noProof/>
        </w:rPr>
        <w:t>2</w:t>
      </w:r>
      <w:r>
        <w:rPr>
          <w:noProof/>
        </w:rPr>
        <w:fldChar w:fldCharType="end"/>
      </w:r>
    </w:p>
    <w:p w14:paraId="776A1721" w14:textId="2F3E7CE6" w:rsidR="007A0C5A" w:rsidRDefault="007A0C5A">
      <w:pPr>
        <w:pStyle w:val="TOC2"/>
        <w:tabs>
          <w:tab w:val="left" w:pos="1134"/>
        </w:tabs>
        <w:rPr>
          <w:rFonts w:asciiTheme="minorHAnsi" w:eastAsiaTheme="minorEastAsia" w:hAnsiTheme="minorHAnsi"/>
          <w:noProof/>
          <w:sz w:val="22"/>
          <w:szCs w:val="22"/>
          <w:lang w:eastAsia="en-AU"/>
        </w:rPr>
      </w:pPr>
      <w:r>
        <w:rPr>
          <w:noProof/>
        </w:rPr>
        <w:t>3.3</w:t>
      </w:r>
      <w:r>
        <w:rPr>
          <w:rFonts w:asciiTheme="minorHAnsi" w:eastAsiaTheme="minorEastAsia" w:hAnsiTheme="minorHAnsi"/>
          <w:noProof/>
          <w:sz w:val="22"/>
          <w:szCs w:val="22"/>
          <w:lang w:eastAsia="en-AU"/>
        </w:rPr>
        <w:tab/>
      </w:r>
      <w:r>
        <w:rPr>
          <w:noProof/>
        </w:rPr>
        <w:t>Types of stakeholder engagement</w:t>
      </w:r>
      <w:r>
        <w:rPr>
          <w:noProof/>
        </w:rPr>
        <w:tab/>
      </w:r>
      <w:r>
        <w:rPr>
          <w:noProof/>
        </w:rPr>
        <w:fldChar w:fldCharType="begin"/>
      </w:r>
      <w:r>
        <w:rPr>
          <w:noProof/>
        </w:rPr>
        <w:instrText xml:space="preserve"> PAGEREF _Toc82710813 \h </w:instrText>
      </w:r>
      <w:r>
        <w:rPr>
          <w:noProof/>
        </w:rPr>
      </w:r>
      <w:r>
        <w:rPr>
          <w:noProof/>
        </w:rPr>
        <w:fldChar w:fldCharType="separate"/>
      </w:r>
      <w:r w:rsidR="008565C8">
        <w:rPr>
          <w:noProof/>
        </w:rPr>
        <w:t>2</w:t>
      </w:r>
      <w:r>
        <w:rPr>
          <w:noProof/>
        </w:rPr>
        <w:fldChar w:fldCharType="end"/>
      </w:r>
    </w:p>
    <w:p w14:paraId="3C065090" w14:textId="3B86C48D" w:rsidR="007A0C5A" w:rsidRDefault="007A0C5A">
      <w:pPr>
        <w:pStyle w:val="TOC1"/>
        <w:rPr>
          <w:rFonts w:asciiTheme="minorHAnsi" w:eastAsiaTheme="minorEastAsia" w:hAnsiTheme="minorHAnsi"/>
          <w:noProof/>
          <w:sz w:val="22"/>
          <w:szCs w:val="22"/>
          <w:lang w:eastAsia="en-AU"/>
        </w:rPr>
      </w:pPr>
      <w:r>
        <w:rPr>
          <w:noProof/>
        </w:rPr>
        <w:t>4</w:t>
      </w:r>
      <w:r>
        <w:rPr>
          <w:rFonts w:asciiTheme="minorHAnsi" w:eastAsiaTheme="minorEastAsia" w:hAnsiTheme="minorHAnsi"/>
          <w:noProof/>
          <w:sz w:val="22"/>
          <w:szCs w:val="22"/>
          <w:lang w:eastAsia="en-AU"/>
        </w:rPr>
        <w:tab/>
      </w:r>
      <w:r>
        <w:rPr>
          <w:noProof/>
        </w:rPr>
        <w:t>Evaluation implementation plan</w:t>
      </w:r>
      <w:r>
        <w:rPr>
          <w:noProof/>
        </w:rPr>
        <w:tab/>
      </w:r>
      <w:r>
        <w:rPr>
          <w:noProof/>
        </w:rPr>
        <w:fldChar w:fldCharType="begin"/>
      </w:r>
      <w:r>
        <w:rPr>
          <w:noProof/>
        </w:rPr>
        <w:instrText xml:space="preserve"> PAGEREF _Toc82710814 \h </w:instrText>
      </w:r>
      <w:r>
        <w:rPr>
          <w:noProof/>
        </w:rPr>
      </w:r>
      <w:r>
        <w:rPr>
          <w:noProof/>
        </w:rPr>
        <w:fldChar w:fldCharType="separate"/>
      </w:r>
      <w:r w:rsidR="008565C8">
        <w:rPr>
          <w:noProof/>
        </w:rPr>
        <w:t>2</w:t>
      </w:r>
      <w:r>
        <w:rPr>
          <w:noProof/>
        </w:rPr>
        <w:fldChar w:fldCharType="end"/>
      </w:r>
    </w:p>
    <w:p w14:paraId="594D7CA7" w14:textId="76840922" w:rsidR="007A0C5A" w:rsidRDefault="007A0C5A">
      <w:pPr>
        <w:pStyle w:val="TOC2"/>
        <w:tabs>
          <w:tab w:val="left" w:pos="1134"/>
        </w:tabs>
        <w:rPr>
          <w:rFonts w:asciiTheme="minorHAnsi" w:eastAsiaTheme="minorEastAsia" w:hAnsiTheme="minorHAnsi"/>
          <w:noProof/>
          <w:sz w:val="22"/>
          <w:szCs w:val="22"/>
          <w:lang w:eastAsia="en-AU"/>
        </w:rPr>
      </w:pPr>
      <w:r>
        <w:rPr>
          <w:noProof/>
        </w:rPr>
        <w:t>4.1</w:t>
      </w:r>
      <w:r>
        <w:rPr>
          <w:rFonts w:asciiTheme="minorHAnsi" w:eastAsiaTheme="minorEastAsia" w:hAnsiTheme="minorHAnsi"/>
          <w:noProof/>
          <w:sz w:val="22"/>
          <w:szCs w:val="22"/>
          <w:lang w:eastAsia="en-AU"/>
        </w:rPr>
        <w:tab/>
      </w:r>
      <w:r>
        <w:rPr>
          <w:noProof/>
        </w:rPr>
        <w:t>Implementation timeline</w:t>
      </w:r>
      <w:r>
        <w:rPr>
          <w:noProof/>
        </w:rPr>
        <w:tab/>
      </w:r>
      <w:r>
        <w:rPr>
          <w:noProof/>
        </w:rPr>
        <w:fldChar w:fldCharType="begin"/>
      </w:r>
      <w:r>
        <w:rPr>
          <w:noProof/>
        </w:rPr>
        <w:instrText xml:space="preserve"> PAGEREF _Toc82710815 \h </w:instrText>
      </w:r>
      <w:r>
        <w:rPr>
          <w:noProof/>
        </w:rPr>
      </w:r>
      <w:r>
        <w:rPr>
          <w:noProof/>
        </w:rPr>
        <w:fldChar w:fldCharType="separate"/>
      </w:r>
      <w:r w:rsidR="008565C8">
        <w:rPr>
          <w:noProof/>
        </w:rPr>
        <w:t>2</w:t>
      </w:r>
      <w:r>
        <w:rPr>
          <w:noProof/>
        </w:rPr>
        <w:fldChar w:fldCharType="end"/>
      </w:r>
    </w:p>
    <w:p w14:paraId="0CB3F26E" w14:textId="5C6766DB" w:rsidR="007A0C5A" w:rsidRDefault="007A0C5A">
      <w:pPr>
        <w:pStyle w:val="TOC2"/>
        <w:tabs>
          <w:tab w:val="left" w:pos="1134"/>
        </w:tabs>
        <w:rPr>
          <w:rFonts w:asciiTheme="minorHAnsi" w:eastAsiaTheme="minorEastAsia" w:hAnsiTheme="minorHAnsi"/>
          <w:noProof/>
          <w:sz w:val="22"/>
          <w:szCs w:val="22"/>
          <w:lang w:eastAsia="en-AU"/>
        </w:rPr>
      </w:pPr>
      <w:r>
        <w:rPr>
          <w:noProof/>
        </w:rPr>
        <w:t>4.2</w:t>
      </w:r>
      <w:r>
        <w:rPr>
          <w:rFonts w:asciiTheme="minorHAnsi" w:eastAsiaTheme="minorEastAsia" w:hAnsiTheme="minorHAnsi"/>
          <w:noProof/>
          <w:sz w:val="22"/>
          <w:szCs w:val="22"/>
          <w:lang w:eastAsia="en-AU"/>
        </w:rPr>
        <w:tab/>
      </w:r>
      <w:r>
        <w:rPr>
          <w:noProof/>
        </w:rPr>
        <w:t>Governance arrangements</w:t>
      </w:r>
      <w:r>
        <w:rPr>
          <w:noProof/>
        </w:rPr>
        <w:tab/>
      </w:r>
      <w:r>
        <w:rPr>
          <w:noProof/>
        </w:rPr>
        <w:fldChar w:fldCharType="begin"/>
      </w:r>
      <w:r>
        <w:rPr>
          <w:noProof/>
        </w:rPr>
        <w:instrText xml:space="preserve"> PAGEREF _Toc82710816 \h </w:instrText>
      </w:r>
      <w:r>
        <w:rPr>
          <w:noProof/>
        </w:rPr>
      </w:r>
      <w:r>
        <w:rPr>
          <w:noProof/>
        </w:rPr>
        <w:fldChar w:fldCharType="separate"/>
      </w:r>
      <w:r w:rsidR="008565C8">
        <w:rPr>
          <w:noProof/>
        </w:rPr>
        <w:t>2</w:t>
      </w:r>
      <w:r>
        <w:rPr>
          <w:noProof/>
        </w:rPr>
        <w:fldChar w:fldCharType="end"/>
      </w:r>
    </w:p>
    <w:p w14:paraId="6E681EAE" w14:textId="41CE55FE" w:rsidR="007A0C5A" w:rsidRDefault="007A0C5A">
      <w:pPr>
        <w:pStyle w:val="TOC2"/>
        <w:tabs>
          <w:tab w:val="left" w:pos="1134"/>
        </w:tabs>
        <w:rPr>
          <w:rFonts w:asciiTheme="minorHAnsi" w:eastAsiaTheme="minorEastAsia" w:hAnsiTheme="minorHAnsi"/>
          <w:noProof/>
          <w:sz w:val="22"/>
          <w:szCs w:val="22"/>
          <w:lang w:eastAsia="en-AU"/>
        </w:rPr>
      </w:pPr>
      <w:r>
        <w:rPr>
          <w:noProof/>
        </w:rPr>
        <w:t>4.3</w:t>
      </w:r>
      <w:r>
        <w:rPr>
          <w:rFonts w:asciiTheme="minorHAnsi" w:eastAsiaTheme="minorEastAsia" w:hAnsiTheme="minorHAnsi"/>
          <w:noProof/>
          <w:sz w:val="22"/>
          <w:szCs w:val="22"/>
          <w:lang w:eastAsia="en-AU"/>
        </w:rPr>
        <w:tab/>
      </w:r>
      <w:r>
        <w:rPr>
          <w:noProof/>
        </w:rPr>
        <w:t>Ethics and research approval</w:t>
      </w:r>
      <w:r>
        <w:rPr>
          <w:noProof/>
        </w:rPr>
        <w:tab/>
      </w:r>
      <w:r>
        <w:rPr>
          <w:noProof/>
        </w:rPr>
        <w:fldChar w:fldCharType="begin"/>
      </w:r>
      <w:r>
        <w:rPr>
          <w:noProof/>
        </w:rPr>
        <w:instrText xml:space="preserve"> PAGEREF _Toc82710817 \h </w:instrText>
      </w:r>
      <w:r>
        <w:rPr>
          <w:noProof/>
        </w:rPr>
      </w:r>
      <w:r>
        <w:rPr>
          <w:noProof/>
        </w:rPr>
        <w:fldChar w:fldCharType="separate"/>
      </w:r>
      <w:r w:rsidR="008565C8">
        <w:rPr>
          <w:noProof/>
        </w:rPr>
        <w:t>2</w:t>
      </w:r>
      <w:r>
        <w:rPr>
          <w:noProof/>
        </w:rPr>
        <w:fldChar w:fldCharType="end"/>
      </w:r>
    </w:p>
    <w:p w14:paraId="2B6DE64F" w14:textId="73D1E2F1" w:rsidR="007A0C5A" w:rsidRDefault="007A0C5A">
      <w:pPr>
        <w:pStyle w:val="TOC2"/>
        <w:tabs>
          <w:tab w:val="left" w:pos="1134"/>
        </w:tabs>
        <w:rPr>
          <w:rFonts w:asciiTheme="minorHAnsi" w:eastAsiaTheme="minorEastAsia" w:hAnsiTheme="minorHAnsi"/>
          <w:noProof/>
          <w:sz w:val="22"/>
          <w:szCs w:val="22"/>
          <w:lang w:eastAsia="en-AU"/>
        </w:rPr>
      </w:pPr>
      <w:r>
        <w:rPr>
          <w:noProof/>
          <w:lang w:eastAsia="en-AU"/>
        </w:rPr>
        <w:t>4.4</w:t>
      </w:r>
      <w:r>
        <w:rPr>
          <w:rFonts w:asciiTheme="minorHAnsi" w:eastAsiaTheme="minorEastAsia" w:hAnsiTheme="minorHAnsi"/>
          <w:noProof/>
          <w:sz w:val="22"/>
          <w:szCs w:val="22"/>
          <w:lang w:eastAsia="en-AU"/>
        </w:rPr>
        <w:tab/>
      </w:r>
      <w:r>
        <w:rPr>
          <w:noProof/>
          <w:lang w:eastAsia="en-AU"/>
        </w:rPr>
        <w:t>Data collection management and security</w:t>
      </w:r>
      <w:r>
        <w:rPr>
          <w:noProof/>
        </w:rPr>
        <w:tab/>
      </w:r>
      <w:r>
        <w:rPr>
          <w:noProof/>
        </w:rPr>
        <w:fldChar w:fldCharType="begin"/>
      </w:r>
      <w:r>
        <w:rPr>
          <w:noProof/>
        </w:rPr>
        <w:instrText xml:space="preserve"> PAGEREF _Toc82710818 \h </w:instrText>
      </w:r>
      <w:r>
        <w:rPr>
          <w:noProof/>
        </w:rPr>
      </w:r>
      <w:r>
        <w:rPr>
          <w:noProof/>
        </w:rPr>
        <w:fldChar w:fldCharType="separate"/>
      </w:r>
      <w:r w:rsidR="008565C8">
        <w:rPr>
          <w:noProof/>
        </w:rPr>
        <w:t>2</w:t>
      </w:r>
      <w:r>
        <w:rPr>
          <w:noProof/>
        </w:rPr>
        <w:fldChar w:fldCharType="end"/>
      </w:r>
    </w:p>
    <w:p w14:paraId="32292A29" w14:textId="444D82F7" w:rsidR="007A0C5A" w:rsidRDefault="007A0C5A">
      <w:pPr>
        <w:pStyle w:val="TOC2"/>
        <w:tabs>
          <w:tab w:val="left" w:pos="1134"/>
        </w:tabs>
        <w:rPr>
          <w:rFonts w:asciiTheme="minorHAnsi" w:eastAsiaTheme="minorEastAsia" w:hAnsiTheme="minorHAnsi"/>
          <w:noProof/>
          <w:sz w:val="22"/>
          <w:szCs w:val="22"/>
          <w:lang w:eastAsia="en-AU"/>
        </w:rPr>
      </w:pPr>
      <w:r>
        <w:rPr>
          <w:noProof/>
        </w:rPr>
        <w:t>4.5</w:t>
      </w:r>
      <w:r>
        <w:rPr>
          <w:rFonts w:asciiTheme="minorHAnsi" w:eastAsiaTheme="minorEastAsia" w:hAnsiTheme="minorHAnsi"/>
          <w:noProof/>
          <w:sz w:val="22"/>
          <w:szCs w:val="22"/>
          <w:lang w:eastAsia="en-AU"/>
        </w:rPr>
        <w:tab/>
      </w:r>
      <w:r>
        <w:rPr>
          <w:noProof/>
        </w:rPr>
        <w:t>Evaluation strategy risk identification and mitigation</w:t>
      </w:r>
      <w:r>
        <w:rPr>
          <w:noProof/>
        </w:rPr>
        <w:tab/>
      </w:r>
      <w:r>
        <w:rPr>
          <w:noProof/>
        </w:rPr>
        <w:fldChar w:fldCharType="begin"/>
      </w:r>
      <w:r>
        <w:rPr>
          <w:noProof/>
        </w:rPr>
        <w:instrText xml:space="preserve"> PAGEREF _Toc82710819 \h </w:instrText>
      </w:r>
      <w:r>
        <w:rPr>
          <w:noProof/>
        </w:rPr>
      </w:r>
      <w:r>
        <w:rPr>
          <w:noProof/>
        </w:rPr>
        <w:fldChar w:fldCharType="separate"/>
      </w:r>
      <w:r w:rsidR="008565C8">
        <w:rPr>
          <w:noProof/>
        </w:rPr>
        <w:t>2</w:t>
      </w:r>
      <w:r>
        <w:rPr>
          <w:noProof/>
        </w:rPr>
        <w:fldChar w:fldCharType="end"/>
      </w:r>
    </w:p>
    <w:p w14:paraId="704328FB" w14:textId="3C671C41" w:rsidR="007A0C5A" w:rsidRDefault="007A0C5A">
      <w:pPr>
        <w:pStyle w:val="TOC2"/>
        <w:rPr>
          <w:rFonts w:asciiTheme="minorHAnsi" w:eastAsiaTheme="minorEastAsia" w:hAnsiTheme="minorHAnsi"/>
          <w:noProof/>
          <w:sz w:val="22"/>
          <w:szCs w:val="22"/>
          <w:lang w:eastAsia="en-AU"/>
        </w:rPr>
      </w:pPr>
      <w:r>
        <w:rPr>
          <w:noProof/>
        </w:rPr>
        <w:t>Regional NIAA network staff initial semi-structured interview participant sheet</w:t>
      </w:r>
      <w:r>
        <w:rPr>
          <w:noProof/>
        </w:rPr>
        <w:tab/>
      </w:r>
      <w:r>
        <w:rPr>
          <w:noProof/>
        </w:rPr>
        <w:fldChar w:fldCharType="begin"/>
      </w:r>
      <w:r>
        <w:rPr>
          <w:noProof/>
        </w:rPr>
        <w:instrText xml:space="preserve"> PAGEREF _Toc82710820 \h </w:instrText>
      </w:r>
      <w:r>
        <w:rPr>
          <w:noProof/>
        </w:rPr>
      </w:r>
      <w:r>
        <w:rPr>
          <w:noProof/>
        </w:rPr>
        <w:fldChar w:fldCharType="separate"/>
      </w:r>
      <w:r w:rsidR="008565C8">
        <w:rPr>
          <w:noProof/>
        </w:rPr>
        <w:t>2</w:t>
      </w:r>
      <w:r>
        <w:rPr>
          <w:noProof/>
        </w:rPr>
        <w:fldChar w:fldCharType="end"/>
      </w:r>
    </w:p>
    <w:p w14:paraId="5B8806F7" w14:textId="3A6CECB2" w:rsidR="007A0C5A" w:rsidRDefault="007A0C5A">
      <w:pPr>
        <w:pStyle w:val="TOC2"/>
        <w:rPr>
          <w:rFonts w:asciiTheme="minorHAnsi" w:eastAsiaTheme="minorEastAsia" w:hAnsiTheme="minorHAnsi"/>
          <w:noProof/>
          <w:sz w:val="22"/>
          <w:szCs w:val="22"/>
          <w:lang w:eastAsia="en-AU"/>
        </w:rPr>
      </w:pPr>
      <w:r>
        <w:rPr>
          <w:noProof/>
        </w:rPr>
        <w:t>NIAA regional network staff initial semi-structured interview questions – initial consultations</w:t>
      </w:r>
      <w:r>
        <w:rPr>
          <w:noProof/>
        </w:rPr>
        <w:tab/>
      </w:r>
      <w:r>
        <w:rPr>
          <w:noProof/>
        </w:rPr>
        <w:fldChar w:fldCharType="begin"/>
      </w:r>
      <w:r>
        <w:rPr>
          <w:noProof/>
        </w:rPr>
        <w:instrText xml:space="preserve"> PAGEREF _Toc82710821 \h </w:instrText>
      </w:r>
      <w:r>
        <w:rPr>
          <w:noProof/>
        </w:rPr>
      </w:r>
      <w:r>
        <w:rPr>
          <w:noProof/>
        </w:rPr>
        <w:fldChar w:fldCharType="separate"/>
      </w:r>
      <w:r w:rsidR="008565C8">
        <w:rPr>
          <w:noProof/>
        </w:rPr>
        <w:t>2</w:t>
      </w:r>
      <w:r>
        <w:rPr>
          <w:noProof/>
        </w:rPr>
        <w:fldChar w:fldCharType="end"/>
      </w:r>
    </w:p>
    <w:p w14:paraId="0C800D39" w14:textId="34E497BE" w:rsidR="007A0C5A" w:rsidRDefault="007A0C5A">
      <w:pPr>
        <w:pStyle w:val="TOC2"/>
        <w:rPr>
          <w:rFonts w:asciiTheme="minorHAnsi" w:eastAsiaTheme="minorEastAsia" w:hAnsiTheme="minorHAnsi"/>
          <w:noProof/>
          <w:sz w:val="22"/>
          <w:szCs w:val="22"/>
          <w:lang w:eastAsia="en-AU"/>
        </w:rPr>
      </w:pPr>
      <w:r>
        <w:rPr>
          <w:noProof/>
        </w:rPr>
        <w:t>NIAA program and policy staff semi-structured interview questions</w:t>
      </w:r>
      <w:r>
        <w:rPr>
          <w:noProof/>
        </w:rPr>
        <w:tab/>
      </w:r>
      <w:r>
        <w:rPr>
          <w:noProof/>
        </w:rPr>
        <w:fldChar w:fldCharType="begin"/>
      </w:r>
      <w:r>
        <w:rPr>
          <w:noProof/>
        </w:rPr>
        <w:instrText xml:space="preserve"> PAGEREF _Toc82710822 \h </w:instrText>
      </w:r>
      <w:r>
        <w:rPr>
          <w:noProof/>
        </w:rPr>
      </w:r>
      <w:r>
        <w:rPr>
          <w:noProof/>
        </w:rPr>
        <w:fldChar w:fldCharType="separate"/>
      </w:r>
      <w:r w:rsidR="008565C8">
        <w:rPr>
          <w:noProof/>
        </w:rPr>
        <w:t>2</w:t>
      </w:r>
      <w:r>
        <w:rPr>
          <w:noProof/>
        </w:rPr>
        <w:fldChar w:fldCharType="end"/>
      </w:r>
    </w:p>
    <w:p w14:paraId="2787EEDE" w14:textId="0D865DA7" w:rsidR="007A0C5A" w:rsidRDefault="007A0C5A">
      <w:pPr>
        <w:pStyle w:val="TOC2"/>
        <w:rPr>
          <w:rFonts w:asciiTheme="minorHAnsi" w:eastAsiaTheme="minorEastAsia" w:hAnsiTheme="minorHAnsi"/>
          <w:noProof/>
          <w:sz w:val="22"/>
          <w:szCs w:val="22"/>
          <w:lang w:eastAsia="en-AU"/>
        </w:rPr>
      </w:pPr>
      <w:r>
        <w:rPr>
          <w:noProof/>
        </w:rPr>
        <w:t>Indigenous representative semi-structured interview questions</w:t>
      </w:r>
      <w:r>
        <w:rPr>
          <w:noProof/>
        </w:rPr>
        <w:tab/>
      </w:r>
      <w:r>
        <w:rPr>
          <w:noProof/>
        </w:rPr>
        <w:fldChar w:fldCharType="begin"/>
      </w:r>
      <w:r>
        <w:rPr>
          <w:noProof/>
        </w:rPr>
        <w:instrText xml:space="preserve"> PAGEREF _Toc82710823 \h </w:instrText>
      </w:r>
      <w:r>
        <w:rPr>
          <w:noProof/>
        </w:rPr>
      </w:r>
      <w:r>
        <w:rPr>
          <w:noProof/>
        </w:rPr>
        <w:fldChar w:fldCharType="separate"/>
      </w:r>
      <w:r w:rsidR="008565C8">
        <w:rPr>
          <w:noProof/>
        </w:rPr>
        <w:t>2</w:t>
      </w:r>
      <w:r>
        <w:rPr>
          <w:noProof/>
        </w:rPr>
        <w:fldChar w:fldCharType="end"/>
      </w:r>
    </w:p>
    <w:p w14:paraId="24E3861A" w14:textId="468DA879" w:rsidR="007A0C5A" w:rsidRDefault="007A0C5A">
      <w:pPr>
        <w:pStyle w:val="TOC2"/>
        <w:rPr>
          <w:rFonts w:asciiTheme="minorHAnsi" w:eastAsiaTheme="minorEastAsia" w:hAnsiTheme="minorHAnsi"/>
          <w:noProof/>
          <w:sz w:val="22"/>
          <w:szCs w:val="22"/>
          <w:lang w:eastAsia="en-AU"/>
        </w:rPr>
      </w:pPr>
      <w:r>
        <w:rPr>
          <w:noProof/>
        </w:rPr>
        <w:t>State and territory government semi-structured interview questions</w:t>
      </w:r>
      <w:r>
        <w:rPr>
          <w:noProof/>
        </w:rPr>
        <w:tab/>
      </w:r>
      <w:r>
        <w:rPr>
          <w:noProof/>
        </w:rPr>
        <w:fldChar w:fldCharType="begin"/>
      </w:r>
      <w:r>
        <w:rPr>
          <w:noProof/>
        </w:rPr>
        <w:instrText xml:space="preserve"> PAGEREF _Toc82710824 \h </w:instrText>
      </w:r>
      <w:r>
        <w:rPr>
          <w:noProof/>
        </w:rPr>
      </w:r>
      <w:r>
        <w:rPr>
          <w:noProof/>
        </w:rPr>
        <w:fldChar w:fldCharType="separate"/>
      </w:r>
      <w:r w:rsidR="008565C8">
        <w:rPr>
          <w:noProof/>
        </w:rPr>
        <w:t>2</w:t>
      </w:r>
      <w:r>
        <w:rPr>
          <w:noProof/>
        </w:rPr>
        <w:fldChar w:fldCharType="end"/>
      </w:r>
    </w:p>
    <w:p w14:paraId="479C69EA" w14:textId="62C6E592" w:rsidR="007A0C5A" w:rsidRDefault="007A0C5A">
      <w:pPr>
        <w:pStyle w:val="TOC2"/>
        <w:rPr>
          <w:rFonts w:asciiTheme="minorHAnsi" w:eastAsiaTheme="minorEastAsia" w:hAnsiTheme="minorHAnsi"/>
          <w:noProof/>
          <w:sz w:val="22"/>
          <w:szCs w:val="22"/>
          <w:lang w:eastAsia="en-AU"/>
        </w:rPr>
      </w:pPr>
      <w:r>
        <w:rPr>
          <w:noProof/>
        </w:rPr>
        <w:t>NIAA regional office semi-structured interview questions – regional consultations</w:t>
      </w:r>
      <w:r>
        <w:rPr>
          <w:noProof/>
        </w:rPr>
        <w:tab/>
      </w:r>
      <w:r>
        <w:rPr>
          <w:noProof/>
        </w:rPr>
        <w:fldChar w:fldCharType="begin"/>
      </w:r>
      <w:r>
        <w:rPr>
          <w:noProof/>
        </w:rPr>
        <w:instrText xml:space="preserve"> PAGEREF _Toc82710825 \h </w:instrText>
      </w:r>
      <w:r>
        <w:rPr>
          <w:noProof/>
        </w:rPr>
      </w:r>
      <w:r>
        <w:rPr>
          <w:noProof/>
        </w:rPr>
        <w:fldChar w:fldCharType="separate"/>
      </w:r>
      <w:r w:rsidR="008565C8">
        <w:rPr>
          <w:noProof/>
        </w:rPr>
        <w:t>2</w:t>
      </w:r>
      <w:r>
        <w:rPr>
          <w:noProof/>
        </w:rPr>
        <w:fldChar w:fldCharType="end"/>
      </w:r>
    </w:p>
    <w:p w14:paraId="56980103" w14:textId="60C50FD6" w:rsidR="007A0C5A" w:rsidRDefault="007A0C5A">
      <w:pPr>
        <w:pStyle w:val="TOC2"/>
        <w:rPr>
          <w:rFonts w:asciiTheme="minorHAnsi" w:eastAsiaTheme="minorEastAsia" w:hAnsiTheme="minorHAnsi"/>
          <w:noProof/>
          <w:sz w:val="22"/>
          <w:szCs w:val="22"/>
          <w:lang w:eastAsia="en-AU"/>
        </w:rPr>
      </w:pPr>
      <w:r>
        <w:rPr>
          <w:noProof/>
        </w:rPr>
        <w:t>TAEG and VTEC provider/employer survey information sheet</w:t>
      </w:r>
      <w:r>
        <w:rPr>
          <w:noProof/>
        </w:rPr>
        <w:tab/>
      </w:r>
      <w:r>
        <w:rPr>
          <w:noProof/>
        </w:rPr>
        <w:fldChar w:fldCharType="begin"/>
      </w:r>
      <w:r>
        <w:rPr>
          <w:noProof/>
        </w:rPr>
        <w:instrText xml:space="preserve"> PAGEREF _Toc82710826 \h </w:instrText>
      </w:r>
      <w:r>
        <w:rPr>
          <w:noProof/>
        </w:rPr>
      </w:r>
      <w:r>
        <w:rPr>
          <w:noProof/>
        </w:rPr>
        <w:fldChar w:fldCharType="separate"/>
      </w:r>
      <w:r w:rsidR="008565C8">
        <w:rPr>
          <w:noProof/>
        </w:rPr>
        <w:t>2</w:t>
      </w:r>
      <w:r>
        <w:rPr>
          <w:noProof/>
        </w:rPr>
        <w:fldChar w:fldCharType="end"/>
      </w:r>
    </w:p>
    <w:p w14:paraId="206BA31D" w14:textId="50752585" w:rsidR="007A0C5A" w:rsidRDefault="007A0C5A">
      <w:pPr>
        <w:pStyle w:val="TOC2"/>
        <w:rPr>
          <w:rFonts w:asciiTheme="minorHAnsi" w:eastAsiaTheme="minorEastAsia" w:hAnsiTheme="minorHAnsi"/>
          <w:noProof/>
          <w:sz w:val="22"/>
          <w:szCs w:val="22"/>
          <w:lang w:eastAsia="en-AU"/>
        </w:rPr>
      </w:pPr>
      <w:r>
        <w:rPr>
          <w:noProof/>
        </w:rPr>
        <w:t>TAEG and VTEC provider/employer survey</w:t>
      </w:r>
      <w:r>
        <w:rPr>
          <w:noProof/>
        </w:rPr>
        <w:tab/>
      </w:r>
      <w:r>
        <w:rPr>
          <w:noProof/>
        </w:rPr>
        <w:fldChar w:fldCharType="begin"/>
      </w:r>
      <w:r>
        <w:rPr>
          <w:noProof/>
        </w:rPr>
        <w:instrText xml:space="preserve"> PAGEREF _Toc82710827 \h </w:instrText>
      </w:r>
      <w:r>
        <w:rPr>
          <w:noProof/>
        </w:rPr>
      </w:r>
      <w:r>
        <w:rPr>
          <w:noProof/>
        </w:rPr>
        <w:fldChar w:fldCharType="separate"/>
      </w:r>
      <w:r w:rsidR="008565C8">
        <w:rPr>
          <w:noProof/>
        </w:rPr>
        <w:t>2</w:t>
      </w:r>
      <w:r>
        <w:rPr>
          <w:noProof/>
        </w:rPr>
        <w:fldChar w:fldCharType="end"/>
      </w:r>
    </w:p>
    <w:p w14:paraId="5C5D4CE6" w14:textId="18104F89" w:rsidR="007A0C5A" w:rsidRDefault="007A0C5A">
      <w:pPr>
        <w:pStyle w:val="TOC2"/>
        <w:rPr>
          <w:rFonts w:asciiTheme="minorHAnsi" w:eastAsiaTheme="minorEastAsia" w:hAnsiTheme="minorHAnsi"/>
          <w:noProof/>
          <w:sz w:val="22"/>
          <w:szCs w:val="22"/>
          <w:lang w:eastAsia="en-AU"/>
        </w:rPr>
      </w:pPr>
      <w:r>
        <w:rPr>
          <w:noProof/>
        </w:rPr>
        <w:t>Provider semi-structured interview questions</w:t>
      </w:r>
      <w:r>
        <w:rPr>
          <w:noProof/>
        </w:rPr>
        <w:tab/>
      </w:r>
      <w:r>
        <w:rPr>
          <w:noProof/>
        </w:rPr>
        <w:fldChar w:fldCharType="begin"/>
      </w:r>
      <w:r>
        <w:rPr>
          <w:noProof/>
        </w:rPr>
        <w:instrText xml:space="preserve"> PAGEREF _Toc82710828 \h </w:instrText>
      </w:r>
      <w:r>
        <w:rPr>
          <w:noProof/>
        </w:rPr>
      </w:r>
      <w:r>
        <w:rPr>
          <w:noProof/>
        </w:rPr>
        <w:fldChar w:fldCharType="separate"/>
      </w:r>
      <w:r w:rsidR="008565C8">
        <w:rPr>
          <w:noProof/>
        </w:rPr>
        <w:t>2</w:t>
      </w:r>
      <w:r>
        <w:rPr>
          <w:noProof/>
        </w:rPr>
        <w:fldChar w:fldCharType="end"/>
      </w:r>
    </w:p>
    <w:p w14:paraId="025C0AB2" w14:textId="465649B0" w:rsidR="007A0C5A" w:rsidRDefault="007A0C5A">
      <w:pPr>
        <w:pStyle w:val="TOC2"/>
        <w:rPr>
          <w:rFonts w:asciiTheme="minorHAnsi" w:eastAsiaTheme="minorEastAsia" w:hAnsiTheme="minorHAnsi"/>
          <w:noProof/>
          <w:sz w:val="22"/>
          <w:szCs w:val="22"/>
          <w:lang w:eastAsia="en-AU"/>
        </w:rPr>
      </w:pPr>
      <w:r>
        <w:rPr>
          <w:noProof/>
        </w:rPr>
        <w:t>Employer/provider semi-structured interview</w:t>
      </w:r>
      <w:r>
        <w:rPr>
          <w:noProof/>
        </w:rPr>
        <w:tab/>
      </w:r>
      <w:r>
        <w:rPr>
          <w:noProof/>
        </w:rPr>
        <w:fldChar w:fldCharType="begin"/>
      </w:r>
      <w:r>
        <w:rPr>
          <w:noProof/>
        </w:rPr>
        <w:instrText xml:space="preserve"> PAGEREF _Toc82710829 \h </w:instrText>
      </w:r>
      <w:r>
        <w:rPr>
          <w:noProof/>
        </w:rPr>
      </w:r>
      <w:r>
        <w:rPr>
          <w:noProof/>
        </w:rPr>
        <w:fldChar w:fldCharType="separate"/>
      </w:r>
      <w:r w:rsidR="008565C8">
        <w:rPr>
          <w:noProof/>
        </w:rPr>
        <w:t>2</w:t>
      </w:r>
      <w:r>
        <w:rPr>
          <w:noProof/>
        </w:rPr>
        <w:fldChar w:fldCharType="end"/>
      </w:r>
    </w:p>
    <w:p w14:paraId="2012FACD" w14:textId="2D6B2226" w:rsidR="007A0C5A" w:rsidRDefault="007A0C5A">
      <w:pPr>
        <w:pStyle w:val="TOC2"/>
        <w:rPr>
          <w:rFonts w:asciiTheme="minorHAnsi" w:eastAsiaTheme="minorEastAsia" w:hAnsiTheme="minorHAnsi"/>
          <w:noProof/>
          <w:sz w:val="22"/>
          <w:szCs w:val="22"/>
          <w:lang w:eastAsia="en-AU"/>
        </w:rPr>
      </w:pPr>
      <w:r>
        <w:rPr>
          <w:noProof/>
        </w:rPr>
        <w:t>Employer semi-structured interview questions</w:t>
      </w:r>
      <w:r>
        <w:rPr>
          <w:noProof/>
        </w:rPr>
        <w:tab/>
      </w:r>
      <w:r>
        <w:rPr>
          <w:noProof/>
        </w:rPr>
        <w:fldChar w:fldCharType="begin"/>
      </w:r>
      <w:r>
        <w:rPr>
          <w:noProof/>
        </w:rPr>
        <w:instrText xml:space="preserve"> PAGEREF _Toc82710830 \h </w:instrText>
      </w:r>
      <w:r>
        <w:rPr>
          <w:noProof/>
        </w:rPr>
      </w:r>
      <w:r>
        <w:rPr>
          <w:noProof/>
        </w:rPr>
        <w:fldChar w:fldCharType="separate"/>
      </w:r>
      <w:r w:rsidR="008565C8">
        <w:rPr>
          <w:noProof/>
        </w:rPr>
        <w:t>2</w:t>
      </w:r>
      <w:r>
        <w:rPr>
          <w:noProof/>
        </w:rPr>
        <w:fldChar w:fldCharType="end"/>
      </w:r>
    </w:p>
    <w:p w14:paraId="132C3D6E" w14:textId="512EB771" w:rsidR="007A0C5A" w:rsidRDefault="007A0C5A">
      <w:pPr>
        <w:pStyle w:val="TOC2"/>
        <w:rPr>
          <w:rFonts w:asciiTheme="minorHAnsi" w:eastAsiaTheme="minorEastAsia" w:hAnsiTheme="minorHAnsi"/>
          <w:noProof/>
          <w:sz w:val="22"/>
          <w:szCs w:val="22"/>
          <w:lang w:eastAsia="en-AU"/>
        </w:rPr>
      </w:pPr>
      <w:r>
        <w:rPr>
          <w:noProof/>
        </w:rPr>
        <w:t>Participant focus group questions</w:t>
      </w:r>
      <w:r>
        <w:rPr>
          <w:noProof/>
        </w:rPr>
        <w:tab/>
      </w:r>
      <w:r>
        <w:rPr>
          <w:noProof/>
        </w:rPr>
        <w:fldChar w:fldCharType="begin"/>
      </w:r>
      <w:r>
        <w:rPr>
          <w:noProof/>
        </w:rPr>
        <w:instrText xml:space="preserve"> PAGEREF _Toc82710831 \h </w:instrText>
      </w:r>
      <w:r>
        <w:rPr>
          <w:noProof/>
        </w:rPr>
      </w:r>
      <w:r>
        <w:rPr>
          <w:noProof/>
        </w:rPr>
        <w:fldChar w:fldCharType="separate"/>
      </w:r>
      <w:r w:rsidR="008565C8">
        <w:rPr>
          <w:noProof/>
        </w:rPr>
        <w:t>2</w:t>
      </w:r>
      <w:r>
        <w:rPr>
          <w:noProof/>
        </w:rPr>
        <w:fldChar w:fldCharType="end"/>
      </w:r>
    </w:p>
    <w:p w14:paraId="233D5CDC" w14:textId="22B33EF0" w:rsidR="007A0C5A" w:rsidRDefault="007A0C5A">
      <w:pPr>
        <w:pStyle w:val="TOC1"/>
        <w:rPr>
          <w:rFonts w:asciiTheme="minorHAnsi" w:eastAsiaTheme="minorEastAsia" w:hAnsiTheme="minorHAnsi"/>
          <w:noProof/>
          <w:sz w:val="22"/>
          <w:szCs w:val="22"/>
          <w:lang w:eastAsia="en-AU"/>
        </w:rPr>
      </w:pPr>
      <w:r>
        <w:rPr>
          <w:noProof/>
          <w:lang w:eastAsia="en-AU"/>
        </w:rPr>
        <w:t>Limitation of our work</w:t>
      </w:r>
      <w:r>
        <w:rPr>
          <w:noProof/>
        </w:rPr>
        <w:tab/>
      </w:r>
      <w:r>
        <w:rPr>
          <w:noProof/>
        </w:rPr>
        <w:fldChar w:fldCharType="begin"/>
      </w:r>
      <w:r>
        <w:rPr>
          <w:noProof/>
        </w:rPr>
        <w:instrText xml:space="preserve"> PAGEREF _Toc82710832 \h </w:instrText>
      </w:r>
      <w:r>
        <w:rPr>
          <w:noProof/>
        </w:rPr>
      </w:r>
      <w:r>
        <w:rPr>
          <w:noProof/>
        </w:rPr>
        <w:fldChar w:fldCharType="separate"/>
      </w:r>
      <w:r w:rsidR="008565C8">
        <w:rPr>
          <w:noProof/>
        </w:rPr>
        <w:t>2</w:t>
      </w:r>
      <w:r>
        <w:rPr>
          <w:noProof/>
        </w:rPr>
        <w:fldChar w:fldCharType="end"/>
      </w:r>
    </w:p>
    <w:p w14:paraId="04202ABC" w14:textId="0EBC2B74" w:rsidR="007A0C5A" w:rsidRDefault="007A0C5A">
      <w:pPr>
        <w:pStyle w:val="TOC2"/>
        <w:rPr>
          <w:rFonts w:asciiTheme="minorHAnsi" w:eastAsiaTheme="minorEastAsia" w:hAnsiTheme="minorHAnsi"/>
          <w:noProof/>
          <w:sz w:val="22"/>
          <w:szCs w:val="22"/>
          <w:lang w:eastAsia="en-AU"/>
        </w:rPr>
      </w:pPr>
      <w:r>
        <w:rPr>
          <w:noProof/>
        </w:rPr>
        <w:t>General use restriction</w:t>
      </w:r>
      <w:r>
        <w:rPr>
          <w:noProof/>
        </w:rPr>
        <w:tab/>
      </w:r>
      <w:r>
        <w:rPr>
          <w:noProof/>
        </w:rPr>
        <w:fldChar w:fldCharType="begin"/>
      </w:r>
      <w:r>
        <w:rPr>
          <w:noProof/>
        </w:rPr>
        <w:instrText xml:space="preserve"> PAGEREF _Toc82710833 \h </w:instrText>
      </w:r>
      <w:r>
        <w:rPr>
          <w:noProof/>
        </w:rPr>
      </w:r>
      <w:r>
        <w:rPr>
          <w:noProof/>
        </w:rPr>
        <w:fldChar w:fldCharType="separate"/>
      </w:r>
      <w:r w:rsidR="008565C8">
        <w:rPr>
          <w:noProof/>
        </w:rPr>
        <w:t>2</w:t>
      </w:r>
      <w:r>
        <w:rPr>
          <w:noProof/>
        </w:rPr>
        <w:fldChar w:fldCharType="end"/>
      </w:r>
    </w:p>
    <w:p w14:paraId="0E79C42F" w14:textId="6114145C" w:rsidR="00C1765C" w:rsidRPr="00820C89" w:rsidRDefault="00C1765C" w:rsidP="00C1765C">
      <w:pPr>
        <w:sectPr w:rsidR="00C1765C" w:rsidRPr="00820C89" w:rsidSect="005F043A">
          <w:headerReference w:type="default" r:id="rId93"/>
          <w:footerReference w:type="default" r:id="rId94"/>
          <w:pgSz w:w="11906" w:h="16838" w:code="9"/>
          <w:pgMar w:top="1440" w:right="1440" w:bottom="1440" w:left="1440" w:header="680" w:footer="425" w:gutter="0"/>
          <w:cols w:space="284"/>
          <w:noEndnote/>
          <w:docGrid w:linePitch="360"/>
        </w:sectPr>
      </w:pPr>
      <w:r w:rsidRPr="00820C89">
        <w:fldChar w:fldCharType="end"/>
      </w:r>
    </w:p>
    <w:p w14:paraId="706802A8" w14:textId="77777777" w:rsidR="00C1765C" w:rsidRPr="00820C89" w:rsidRDefault="00C1765C" w:rsidP="00C1765C">
      <w:pPr>
        <w:pStyle w:val="Heading1un-numbered"/>
      </w:pPr>
      <w:bookmarkStart w:id="253" w:name="_Toc462313127"/>
      <w:bookmarkStart w:id="254" w:name="_Toc462317836"/>
      <w:bookmarkStart w:id="255" w:name="_Toc462397801"/>
      <w:bookmarkStart w:id="256" w:name="_Toc463002428"/>
      <w:bookmarkStart w:id="257" w:name="_Toc472586340"/>
      <w:bookmarkStart w:id="258" w:name="_Toc482168118"/>
      <w:bookmarkStart w:id="259" w:name="_Toc482174905"/>
      <w:bookmarkStart w:id="260" w:name="_Toc37099362"/>
      <w:bookmarkStart w:id="261" w:name="_Toc37177357"/>
      <w:bookmarkStart w:id="262" w:name="_Toc37217732"/>
      <w:bookmarkStart w:id="263" w:name="_Toc45206317"/>
      <w:bookmarkStart w:id="264" w:name="_Toc82694497"/>
      <w:bookmarkStart w:id="265" w:name="_Toc82710796"/>
      <w:bookmarkStart w:id="266" w:name="_Toc101343321"/>
      <w:r w:rsidRPr="00820C89">
        <w:lastRenderedPageBreak/>
        <w:t>Glossary</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tbl>
      <w:tblPr>
        <w:tblStyle w:val="Deloittetable"/>
        <w:tblW w:w="5000" w:type="pct"/>
        <w:tblLook w:val="04A0" w:firstRow="1" w:lastRow="0" w:firstColumn="1" w:lastColumn="0" w:noHBand="0" w:noVBand="1"/>
      </w:tblPr>
      <w:tblGrid>
        <w:gridCol w:w="2771"/>
        <w:gridCol w:w="6255"/>
      </w:tblGrid>
      <w:tr w:rsidR="00C1765C" w:rsidRPr="00820C89" w14:paraId="09045BD3" w14:textId="77777777" w:rsidTr="00087C85">
        <w:trPr>
          <w:cnfStyle w:val="100000000000" w:firstRow="1" w:lastRow="0" w:firstColumn="0" w:lastColumn="0" w:oddVBand="0" w:evenVBand="0" w:oddHBand="0" w:evenHBand="0" w:firstRowFirstColumn="0" w:firstRowLastColumn="0" w:lastRowFirstColumn="0" w:lastRowLastColumn="0"/>
          <w:tblHeader/>
        </w:trPr>
        <w:tc>
          <w:tcPr>
            <w:tcW w:w="1535" w:type="pct"/>
          </w:tcPr>
          <w:p w14:paraId="613AE116" w14:textId="77777777" w:rsidR="00C1765C" w:rsidRPr="00820C89" w:rsidRDefault="00C1765C" w:rsidP="006D2536">
            <w:pPr>
              <w:pStyle w:val="TabletextLeft"/>
              <w:rPr>
                <w:b/>
                <w:bCs/>
              </w:rPr>
            </w:pPr>
            <w:r w:rsidRPr="00820C89">
              <w:rPr>
                <w:b/>
                <w:bCs/>
              </w:rPr>
              <w:t>Acronym</w:t>
            </w:r>
          </w:p>
        </w:tc>
        <w:tc>
          <w:tcPr>
            <w:tcW w:w="3465" w:type="pct"/>
          </w:tcPr>
          <w:p w14:paraId="2ADA0526" w14:textId="77777777" w:rsidR="00C1765C" w:rsidRPr="00820C89" w:rsidRDefault="00C1765C" w:rsidP="006D2536">
            <w:pPr>
              <w:pStyle w:val="TabletextLeft"/>
              <w:rPr>
                <w:b/>
                <w:bCs/>
              </w:rPr>
            </w:pPr>
            <w:r w:rsidRPr="00820C89">
              <w:rPr>
                <w:b/>
                <w:bCs/>
              </w:rPr>
              <w:t>Full name</w:t>
            </w:r>
          </w:p>
        </w:tc>
      </w:tr>
      <w:tr w:rsidR="00C1765C" w:rsidRPr="00820C89" w14:paraId="5F5B8097" w14:textId="77777777" w:rsidTr="006D2536">
        <w:tc>
          <w:tcPr>
            <w:tcW w:w="1535" w:type="pct"/>
          </w:tcPr>
          <w:p w14:paraId="0743590A" w14:textId="77777777" w:rsidR="00C1765C" w:rsidRPr="00820C89" w:rsidRDefault="00C1765C" w:rsidP="006D2536">
            <w:pPr>
              <w:pStyle w:val="TabletextLeft"/>
            </w:pPr>
            <w:r w:rsidRPr="00820C89">
              <w:t>DESE</w:t>
            </w:r>
          </w:p>
        </w:tc>
        <w:tc>
          <w:tcPr>
            <w:tcW w:w="3465" w:type="pct"/>
          </w:tcPr>
          <w:p w14:paraId="3DBB8EA1" w14:textId="77777777" w:rsidR="00C1765C" w:rsidRPr="00820C89" w:rsidRDefault="00C1765C" w:rsidP="006D2536">
            <w:pPr>
              <w:pStyle w:val="TabletextLeft"/>
            </w:pPr>
            <w:r w:rsidRPr="00820C89">
              <w:t>Department of Education, Skills and Employment</w:t>
            </w:r>
          </w:p>
        </w:tc>
      </w:tr>
      <w:tr w:rsidR="00C1765C" w:rsidRPr="00820C89" w14:paraId="6C5AE2A8" w14:textId="77777777" w:rsidTr="006D2536">
        <w:tc>
          <w:tcPr>
            <w:tcW w:w="1535" w:type="pct"/>
          </w:tcPr>
          <w:p w14:paraId="54611358" w14:textId="77777777" w:rsidR="00C1765C" w:rsidRPr="00820C89" w:rsidRDefault="00C1765C" w:rsidP="006D2536">
            <w:pPr>
              <w:pStyle w:val="TabletextLeft"/>
            </w:pPr>
            <w:r w:rsidRPr="00820C89">
              <w:t xml:space="preserve">EPI </w:t>
            </w:r>
          </w:p>
        </w:tc>
        <w:tc>
          <w:tcPr>
            <w:tcW w:w="3465" w:type="pct"/>
          </w:tcPr>
          <w:p w14:paraId="2B3005CA" w14:textId="77777777" w:rsidR="00C1765C" w:rsidRPr="00820C89" w:rsidRDefault="00C1765C" w:rsidP="006D2536">
            <w:pPr>
              <w:pStyle w:val="TabletextLeft"/>
            </w:pPr>
            <w:r w:rsidRPr="00820C89">
              <w:t xml:space="preserve">Employment Parity Initiative </w:t>
            </w:r>
          </w:p>
        </w:tc>
      </w:tr>
      <w:tr w:rsidR="00C1765C" w:rsidRPr="00820C89" w14:paraId="55A99FF5" w14:textId="77777777" w:rsidTr="006D2536">
        <w:tc>
          <w:tcPr>
            <w:tcW w:w="1535" w:type="pct"/>
          </w:tcPr>
          <w:p w14:paraId="75B643C9" w14:textId="77777777" w:rsidR="00C1765C" w:rsidRPr="00820C89" w:rsidRDefault="00C1765C" w:rsidP="006D2536">
            <w:pPr>
              <w:pStyle w:val="TabletextLeft"/>
            </w:pPr>
            <w:r w:rsidRPr="00820C89">
              <w:t>ESS</w:t>
            </w:r>
          </w:p>
        </w:tc>
        <w:tc>
          <w:tcPr>
            <w:tcW w:w="3465" w:type="pct"/>
          </w:tcPr>
          <w:p w14:paraId="6C53607E" w14:textId="77777777" w:rsidR="00C1765C" w:rsidRPr="00820C89" w:rsidRDefault="00C1765C" w:rsidP="006D2536">
            <w:pPr>
              <w:pStyle w:val="TabletextLeft"/>
            </w:pPr>
            <w:r w:rsidRPr="00820C89">
              <w:t>Employment Services System</w:t>
            </w:r>
          </w:p>
        </w:tc>
      </w:tr>
      <w:tr w:rsidR="00C1765C" w:rsidRPr="00820C89" w14:paraId="50078351" w14:textId="77777777" w:rsidTr="006D2536">
        <w:tc>
          <w:tcPr>
            <w:tcW w:w="1535" w:type="pct"/>
          </w:tcPr>
          <w:p w14:paraId="676A6047" w14:textId="77777777" w:rsidR="00C1765C" w:rsidRPr="00820C89" w:rsidRDefault="00C1765C" w:rsidP="006D2536">
            <w:pPr>
              <w:pStyle w:val="TabletextLeft"/>
            </w:pPr>
            <w:r w:rsidRPr="00820C89">
              <w:t>IAS</w:t>
            </w:r>
          </w:p>
        </w:tc>
        <w:tc>
          <w:tcPr>
            <w:tcW w:w="3465" w:type="pct"/>
          </w:tcPr>
          <w:p w14:paraId="76FC81AB" w14:textId="77777777" w:rsidR="00C1765C" w:rsidRPr="00820C89" w:rsidRDefault="00C1765C" w:rsidP="006D2536">
            <w:pPr>
              <w:pStyle w:val="TabletextLeft"/>
            </w:pPr>
            <w:r w:rsidRPr="00820C89">
              <w:t xml:space="preserve">Indigenous Advancement Strategy </w:t>
            </w:r>
          </w:p>
        </w:tc>
      </w:tr>
      <w:tr w:rsidR="00C1765C" w:rsidRPr="00820C89" w14:paraId="65C40055" w14:textId="77777777" w:rsidTr="006D2536">
        <w:tc>
          <w:tcPr>
            <w:tcW w:w="1535" w:type="pct"/>
          </w:tcPr>
          <w:p w14:paraId="4B45A08D" w14:textId="77777777" w:rsidR="00C1765C" w:rsidRPr="00820C89" w:rsidRDefault="00C1765C" w:rsidP="006D2536">
            <w:pPr>
              <w:pStyle w:val="TabletextLeft"/>
            </w:pPr>
            <w:r w:rsidRPr="00820C89">
              <w:t>IEP</w:t>
            </w:r>
          </w:p>
        </w:tc>
        <w:tc>
          <w:tcPr>
            <w:tcW w:w="3465" w:type="pct"/>
          </w:tcPr>
          <w:p w14:paraId="492D312A" w14:textId="77777777" w:rsidR="00C1765C" w:rsidRPr="00820C89" w:rsidRDefault="00C1765C" w:rsidP="006D2536">
            <w:pPr>
              <w:pStyle w:val="TabletextLeft"/>
            </w:pPr>
            <w:r w:rsidRPr="00820C89">
              <w:t>Indigenous Employment Programs</w:t>
            </w:r>
          </w:p>
        </w:tc>
      </w:tr>
      <w:tr w:rsidR="00C1765C" w:rsidRPr="00820C89" w14:paraId="1163049E" w14:textId="77777777" w:rsidTr="006D2536">
        <w:tc>
          <w:tcPr>
            <w:tcW w:w="1535" w:type="pct"/>
          </w:tcPr>
          <w:p w14:paraId="2B4DA22F" w14:textId="77777777" w:rsidR="00C1765C" w:rsidRPr="00820C89" w:rsidRDefault="00C1765C" w:rsidP="006D2536">
            <w:pPr>
              <w:pStyle w:val="TabletextLeft"/>
            </w:pPr>
            <w:r w:rsidRPr="00820C89">
              <w:t>JLEP</w:t>
            </w:r>
          </w:p>
        </w:tc>
        <w:tc>
          <w:tcPr>
            <w:tcW w:w="3465" w:type="pct"/>
          </w:tcPr>
          <w:p w14:paraId="5C53AEBA" w14:textId="77777777" w:rsidR="00C1765C" w:rsidRPr="00820C89" w:rsidRDefault="00C1765C" w:rsidP="006D2536">
            <w:pPr>
              <w:pStyle w:val="TabletextLeft"/>
            </w:pPr>
            <w:r w:rsidRPr="00820C89">
              <w:t>Jobs, Land and Economy Programme</w:t>
            </w:r>
          </w:p>
        </w:tc>
      </w:tr>
      <w:tr w:rsidR="00C1765C" w:rsidRPr="00820C89" w14:paraId="5D0D9A08" w14:textId="77777777" w:rsidTr="006D2536">
        <w:tc>
          <w:tcPr>
            <w:tcW w:w="1535" w:type="pct"/>
          </w:tcPr>
          <w:p w14:paraId="1EB4DC38" w14:textId="77777777" w:rsidR="00C1765C" w:rsidRPr="00820C89" w:rsidRDefault="00C1765C" w:rsidP="006D2536">
            <w:pPr>
              <w:pStyle w:val="TabletextLeft"/>
            </w:pPr>
            <w:r w:rsidRPr="00820C89">
              <w:t>JSCI</w:t>
            </w:r>
          </w:p>
        </w:tc>
        <w:tc>
          <w:tcPr>
            <w:tcW w:w="3465" w:type="pct"/>
          </w:tcPr>
          <w:p w14:paraId="1B711A60" w14:textId="77777777" w:rsidR="00C1765C" w:rsidRPr="00820C89" w:rsidRDefault="00C1765C" w:rsidP="006D2536">
            <w:pPr>
              <w:pStyle w:val="TabletextLeft"/>
            </w:pPr>
            <w:r w:rsidRPr="00820C89">
              <w:t xml:space="preserve">Job Seeker Classification Instrument </w:t>
            </w:r>
          </w:p>
        </w:tc>
      </w:tr>
      <w:tr w:rsidR="00C1765C" w:rsidRPr="00820C89" w14:paraId="5E7F2549" w14:textId="77777777" w:rsidTr="006D2536">
        <w:tc>
          <w:tcPr>
            <w:tcW w:w="1535" w:type="pct"/>
          </w:tcPr>
          <w:p w14:paraId="6DDB17D8" w14:textId="77777777" w:rsidR="00C1765C" w:rsidRPr="00820C89" w:rsidRDefault="00C1765C" w:rsidP="006D2536">
            <w:pPr>
              <w:pStyle w:val="TabletextLeft"/>
            </w:pPr>
            <w:r w:rsidRPr="00820C89">
              <w:t>NIAA</w:t>
            </w:r>
          </w:p>
        </w:tc>
        <w:tc>
          <w:tcPr>
            <w:tcW w:w="3465" w:type="pct"/>
          </w:tcPr>
          <w:p w14:paraId="092EABBD" w14:textId="77777777" w:rsidR="00C1765C" w:rsidRPr="00820C89" w:rsidRDefault="00C1765C" w:rsidP="006D2536">
            <w:pPr>
              <w:pStyle w:val="TabletextLeft"/>
            </w:pPr>
            <w:r w:rsidRPr="00820C89">
              <w:t>National Indigenous Australians Agency</w:t>
            </w:r>
          </w:p>
        </w:tc>
      </w:tr>
      <w:tr w:rsidR="00C1765C" w:rsidRPr="00820C89" w14:paraId="4A1DEDB0" w14:textId="77777777" w:rsidTr="006D2536">
        <w:tc>
          <w:tcPr>
            <w:tcW w:w="1535" w:type="pct"/>
          </w:tcPr>
          <w:p w14:paraId="4EC64121" w14:textId="77777777" w:rsidR="00C1765C" w:rsidRPr="00820C89" w:rsidRDefault="00C1765C" w:rsidP="006D2536">
            <w:pPr>
              <w:pStyle w:val="TabletextLeft"/>
            </w:pPr>
            <w:r w:rsidRPr="00820C89">
              <w:t>PM&amp;C</w:t>
            </w:r>
          </w:p>
        </w:tc>
        <w:tc>
          <w:tcPr>
            <w:tcW w:w="3465" w:type="pct"/>
          </w:tcPr>
          <w:p w14:paraId="26BD6023" w14:textId="77777777" w:rsidR="00C1765C" w:rsidRPr="00820C89" w:rsidRDefault="00C1765C" w:rsidP="006D2536">
            <w:pPr>
              <w:pStyle w:val="TabletextLeft"/>
            </w:pPr>
            <w:r w:rsidRPr="00820C89">
              <w:t>Prime Minister and Cabinet</w:t>
            </w:r>
          </w:p>
        </w:tc>
      </w:tr>
      <w:tr w:rsidR="00C1765C" w:rsidRPr="00820C89" w14:paraId="59C298F9" w14:textId="77777777" w:rsidTr="006D2536">
        <w:tc>
          <w:tcPr>
            <w:tcW w:w="1535" w:type="pct"/>
          </w:tcPr>
          <w:p w14:paraId="79346402" w14:textId="77777777" w:rsidR="00C1765C" w:rsidRPr="00820C89" w:rsidRDefault="00C1765C" w:rsidP="006D2536">
            <w:pPr>
              <w:pStyle w:val="TabletextLeft"/>
            </w:pPr>
            <w:r w:rsidRPr="00820C89">
              <w:t>PPM</w:t>
            </w:r>
          </w:p>
        </w:tc>
        <w:tc>
          <w:tcPr>
            <w:tcW w:w="3465" w:type="pct"/>
          </w:tcPr>
          <w:p w14:paraId="69ED9038" w14:textId="77777777" w:rsidR="00C1765C" w:rsidRPr="00820C89" w:rsidRDefault="00C1765C" w:rsidP="006D2536">
            <w:pPr>
              <w:pStyle w:val="TabletextLeft"/>
            </w:pPr>
            <w:r w:rsidRPr="00820C89">
              <w:t xml:space="preserve">Post-Program Monitoring (survey) </w:t>
            </w:r>
          </w:p>
        </w:tc>
      </w:tr>
      <w:tr w:rsidR="00C1765C" w:rsidRPr="00820C89" w14:paraId="55B8D7B7" w14:textId="77777777" w:rsidTr="006D2536">
        <w:tc>
          <w:tcPr>
            <w:tcW w:w="1535" w:type="pct"/>
          </w:tcPr>
          <w:p w14:paraId="19736020" w14:textId="77777777" w:rsidR="00C1765C" w:rsidRPr="00820C89" w:rsidRDefault="00C1765C" w:rsidP="006D2536">
            <w:pPr>
              <w:pStyle w:val="TabletextLeft"/>
            </w:pPr>
            <w:r w:rsidRPr="00820C89">
              <w:t>SVA</w:t>
            </w:r>
          </w:p>
        </w:tc>
        <w:tc>
          <w:tcPr>
            <w:tcW w:w="3465" w:type="pct"/>
          </w:tcPr>
          <w:p w14:paraId="7A3B7307" w14:textId="77777777" w:rsidR="00C1765C" w:rsidRPr="00820C89" w:rsidRDefault="00C1765C" w:rsidP="006D2536">
            <w:pPr>
              <w:pStyle w:val="TabletextLeft"/>
            </w:pPr>
            <w:r w:rsidRPr="00820C89">
              <w:t xml:space="preserve">Social Ventures Australia </w:t>
            </w:r>
          </w:p>
        </w:tc>
      </w:tr>
      <w:tr w:rsidR="00C1765C" w:rsidRPr="00820C89" w14:paraId="11703115" w14:textId="77777777" w:rsidTr="006D2536">
        <w:tc>
          <w:tcPr>
            <w:tcW w:w="1535" w:type="pct"/>
          </w:tcPr>
          <w:p w14:paraId="2F387135" w14:textId="77777777" w:rsidR="00C1765C" w:rsidRPr="00820C89" w:rsidRDefault="00C1765C" w:rsidP="006D2536">
            <w:pPr>
              <w:pStyle w:val="TabletextLeft"/>
            </w:pPr>
            <w:r w:rsidRPr="00820C89">
              <w:t>TAEG</w:t>
            </w:r>
          </w:p>
        </w:tc>
        <w:tc>
          <w:tcPr>
            <w:tcW w:w="3465" w:type="pct"/>
          </w:tcPr>
          <w:p w14:paraId="235BBD0C" w14:textId="77777777" w:rsidR="00C1765C" w:rsidRPr="00820C89" w:rsidRDefault="00C1765C" w:rsidP="006D2536">
            <w:pPr>
              <w:pStyle w:val="TabletextLeft"/>
            </w:pPr>
            <w:r w:rsidRPr="00820C89">
              <w:t xml:space="preserve">Tailored Assistance Employment Grants </w:t>
            </w:r>
          </w:p>
        </w:tc>
      </w:tr>
      <w:tr w:rsidR="00C1765C" w:rsidRPr="00820C89" w14:paraId="6871AE15" w14:textId="77777777" w:rsidTr="006D2536">
        <w:tc>
          <w:tcPr>
            <w:tcW w:w="1535" w:type="pct"/>
          </w:tcPr>
          <w:p w14:paraId="18179D31" w14:textId="77777777" w:rsidR="00C1765C" w:rsidRPr="00820C89" w:rsidRDefault="00C1765C" w:rsidP="006D2536">
            <w:pPr>
              <w:pStyle w:val="TabletextLeft"/>
            </w:pPr>
            <w:r w:rsidRPr="00820C89">
              <w:t>VTEC</w:t>
            </w:r>
          </w:p>
        </w:tc>
        <w:tc>
          <w:tcPr>
            <w:tcW w:w="3465" w:type="pct"/>
          </w:tcPr>
          <w:p w14:paraId="5CF61ADE" w14:textId="77777777" w:rsidR="00C1765C" w:rsidRPr="00820C89" w:rsidRDefault="00C1765C" w:rsidP="006D2536">
            <w:pPr>
              <w:pStyle w:val="TabletextLeft"/>
            </w:pPr>
            <w:r w:rsidRPr="00820C89">
              <w:t xml:space="preserve">Vocational, Training and Employment Centres  </w:t>
            </w:r>
          </w:p>
        </w:tc>
      </w:tr>
    </w:tbl>
    <w:p w14:paraId="6C3049FF" w14:textId="77777777" w:rsidR="00C1765C" w:rsidRPr="00820C89" w:rsidRDefault="00C1765C" w:rsidP="00C1765C"/>
    <w:p w14:paraId="1393AAD5" w14:textId="77777777" w:rsidR="00C1765C" w:rsidRPr="00820C89" w:rsidRDefault="00C1765C" w:rsidP="00C1765C"/>
    <w:p w14:paraId="230D7623" w14:textId="77777777" w:rsidR="00C1765C" w:rsidRPr="00820C89" w:rsidRDefault="00C1765C" w:rsidP="00C1765C">
      <w:pPr>
        <w:sectPr w:rsidR="00C1765C" w:rsidRPr="00820C89" w:rsidSect="00F52B8E">
          <w:headerReference w:type="default" r:id="rId95"/>
          <w:footerReference w:type="default" r:id="rId96"/>
          <w:pgSz w:w="11906" w:h="16838" w:code="9"/>
          <w:pgMar w:top="1440" w:right="1440" w:bottom="1440" w:left="1440" w:header="680" w:footer="425" w:gutter="0"/>
          <w:cols w:space="284"/>
          <w:noEndnote/>
          <w:docGrid w:linePitch="360"/>
        </w:sectPr>
      </w:pPr>
    </w:p>
    <w:p w14:paraId="5679DE80" w14:textId="77777777" w:rsidR="00C1765C" w:rsidRPr="00820C89" w:rsidRDefault="00C1765C" w:rsidP="00715F70">
      <w:pPr>
        <w:pStyle w:val="Heading1"/>
        <w:numPr>
          <w:ilvl w:val="0"/>
          <w:numId w:val="191"/>
        </w:numPr>
      </w:pPr>
      <w:bookmarkStart w:id="267" w:name="_Toc37099363"/>
      <w:bookmarkStart w:id="268" w:name="_Toc37177358"/>
      <w:bookmarkStart w:id="269" w:name="_Toc45206318"/>
      <w:bookmarkStart w:id="270" w:name="_Toc82694498"/>
      <w:bookmarkStart w:id="271" w:name="_Toc82710797"/>
      <w:bookmarkStart w:id="272" w:name="_Toc101343322"/>
      <w:bookmarkStart w:id="273" w:name="_GoBack"/>
      <w:bookmarkEnd w:id="273"/>
      <w:r w:rsidRPr="00820C89">
        <w:lastRenderedPageBreak/>
        <w:t>Introduction</w:t>
      </w:r>
      <w:bookmarkEnd w:id="267"/>
      <w:bookmarkEnd w:id="268"/>
      <w:bookmarkEnd w:id="269"/>
      <w:bookmarkEnd w:id="270"/>
      <w:bookmarkEnd w:id="271"/>
      <w:bookmarkEnd w:id="272"/>
    </w:p>
    <w:p w14:paraId="1C59C0C6" w14:textId="77777777" w:rsidR="00C1765C" w:rsidRPr="00820C89" w:rsidRDefault="00C1765C" w:rsidP="00C1765C">
      <w:pPr>
        <w:rPr>
          <w:lang w:val="da-DK"/>
        </w:rPr>
      </w:pPr>
      <w:r w:rsidRPr="00820C89">
        <w:rPr>
          <w:lang w:val="da-DK"/>
        </w:rPr>
        <w:t xml:space="preserve">Deloitte Access Economics has been engaged to undertake an evaluation of three Indigenous Employment Programs (IEPs) funded by the National Indigenous Australians Agency (NIAA) within the Jobs, Land and Economy Program (JLEP) under the Indigenous Advancement Strategy (IAS) – the Employment Parity Initiative (EPI), Vocational Training and Employment Centres (VTECs) and Tailored Employment Assistance Grants – Employment (TAEG).  </w:t>
      </w:r>
    </w:p>
    <w:p w14:paraId="3A453177" w14:textId="77777777" w:rsidR="00C1765C" w:rsidRPr="00820C89" w:rsidRDefault="00C1765C" w:rsidP="00C1765C">
      <w:pPr>
        <w:rPr>
          <w:lang w:val="da-DK"/>
        </w:rPr>
      </w:pPr>
      <w:r w:rsidRPr="00820C89">
        <w:rPr>
          <w:lang w:val="da-DK"/>
        </w:rPr>
        <w:t xml:space="preserve">This Evaluation Strategy sets out the approach to the evaluation and has been prepared in conjunction with, and complements, a literature scan and ethics application. These are both available as separate documents.  </w:t>
      </w:r>
    </w:p>
    <w:p w14:paraId="0B876B4A" w14:textId="77777777" w:rsidR="00C1765C" w:rsidRPr="00820C89" w:rsidRDefault="00C1765C" w:rsidP="00C1765C">
      <w:pPr>
        <w:rPr>
          <w:lang w:val="da-DK"/>
        </w:rPr>
      </w:pPr>
      <w:r w:rsidRPr="00820C89">
        <w:rPr>
          <w:lang w:val="da-DK"/>
        </w:rPr>
        <w:t xml:space="preserve">The Evaluation Strategy has been developed in line with the IAS Evaluation Framework and thus includes an evaluation approach and governance that embeds mechanisms to incorporate Indigenous cultural values and ensure data sovereignty. </w:t>
      </w:r>
    </w:p>
    <w:p w14:paraId="652BAD2E" w14:textId="77777777" w:rsidR="00C1765C" w:rsidRPr="00820C89" w:rsidRDefault="00C1765C" w:rsidP="00C1765C">
      <w:pPr>
        <w:rPr>
          <w:lang w:val="da-DK"/>
        </w:rPr>
      </w:pPr>
      <w:r w:rsidRPr="00820C89">
        <w:rPr>
          <w:lang w:val="da-DK"/>
        </w:rPr>
        <w:t>The evaluation team is co-led by Deloitte Access Economics and Professor Deen Sanders OAM, a Worimi man and leader in his community. At Deloitte, Deen is the strategy leader for the Indigenous Leadership Team and National Chair of Deloitte’s Reconciliation Action Plan. The evaluation team leadership also includes Susan Moylan-Coombs, an Aboriginal woman with ancestry from the Woolwonga and Gurindji people from the Northern Territory and the Founder and Director of The Gaimaragal Group. Susan holds extensive experience working with First Australian communities, with specific expertise in community consultation, empowerment and the facilitation of voice and storytelling. </w:t>
      </w:r>
    </w:p>
    <w:p w14:paraId="579F997F" w14:textId="77777777" w:rsidR="00C1765C" w:rsidRPr="00820C89" w:rsidRDefault="00C1765C" w:rsidP="00C1765C">
      <w:pPr>
        <w:rPr>
          <w:lang w:val="da-DK"/>
        </w:rPr>
      </w:pPr>
      <w:r w:rsidRPr="00820C89">
        <w:rPr>
          <w:lang w:val="da-DK"/>
        </w:rPr>
        <w:t xml:space="preserve">An Evaluation Reference Group (ERG) and Indigenous Evaluation Committee (IEC) will also provide expertise and evaluation leadership. </w:t>
      </w:r>
    </w:p>
    <w:p w14:paraId="20D08A89" w14:textId="77777777" w:rsidR="00C1765C" w:rsidRPr="00820C89" w:rsidRDefault="00C1765C" w:rsidP="00715F70">
      <w:pPr>
        <w:pStyle w:val="Heading2"/>
        <w:numPr>
          <w:ilvl w:val="1"/>
          <w:numId w:val="12"/>
        </w:numPr>
        <w:tabs>
          <w:tab w:val="num" w:pos="1492"/>
        </w:tabs>
        <w:spacing w:after="60"/>
        <w:ind w:left="1492" w:hanging="360"/>
      </w:pPr>
      <w:bookmarkStart w:id="274" w:name="_Toc36569300"/>
      <w:bookmarkStart w:id="275" w:name="_Toc37177359"/>
      <w:bookmarkStart w:id="276" w:name="_Toc45206319"/>
      <w:bookmarkStart w:id="277" w:name="_Toc82694499"/>
      <w:bookmarkStart w:id="278" w:name="_Toc82710798"/>
      <w:bookmarkStart w:id="279" w:name="_Toc101343323"/>
      <w:bookmarkStart w:id="280" w:name="_Toc37099364"/>
      <w:r w:rsidRPr="00820C89">
        <w:t>Context to this evaluation</w:t>
      </w:r>
      <w:bookmarkEnd w:id="274"/>
      <w:bookmarkEnd w:id="275"/>
      <w:bookmarkEnd w:id="276"/>
      <w:bookmarkEnd w:id="277"/>
      <w:bookmarkEnd w:id="278"/>
      <w:bookmarkEnd w:id="279"/>
      <w:r w:rsidRPr="00820C89">
        <w:t xml:space="preserve"> </w:t>
      </w:r>
      <w:bookmarkEnd w:id="280"/>
    </w:p>
    <w:p w14:paraId="7B5F64BC" w14:textId="77777777" w:rsidR="00C1765C" w:rsidRPr="00820C89" w:rsidRDefault="00C1765C" w:rsidP="00C1765C">
      <w:r w:rsidRPr="00820C89">
        <w:t>Improving the employment outcomes of Indigenous Australians has been prominent on the national political agenda since the Closing the Gap initiative commenced in 2008. However, there is an enduring low employment rate for Indigenous Australians (currently at 49 per cent compared to 75 per cent for non-Indigenous Australians).</w:t>
      </w:r>
      <w:r w:rsidRPr="00820C89">
        <w:rPr>
          <w:rStyle w:val="FootnoteReference"/>
        </w:rPr>
        <w:footnoteReference w:id="306"/>
      </w:r>
      <w:r w:rsidRPr="00820C89">
        <w:t xml:space="preserve"> Despite the various government programs continuing to address employment barriers, the gap between Indigenous and non-Indigenous employment rates have only marginally decreased (1.3 percentage points) since the Closing the Gap Initiative was introduced. </w:t>
      </w:r>
    </w:p>
    <w:p w14:paraId="15A87EA1" w14:textId="77777777" w:rsidR="00C1765C" w:rsidRPr="00820C89" w:rsidRDefault="00C1765C" w:rsidP="00C1765C">
      <w:pPr>
        <w:rPr>
          <w:lang w:val="da-DK"/>
        </w:rPr>
      </w:pPr>
      <w:r w:rsidRPr="00820C89">
        <w:t>The Australian Government has committed to the evaluation of these three IEPs in recognition of the view that appropriately designed and implemented initiatives are required to facilitate equal access to employment opportunity and associated outcomes. As such, it is intended that a</w:t>
      </w:r>
      <w:r w:rsidRPr="00820C89">
        <w:rPr>
          <w:lang w:val="da-DK"/>
        </w:rPr>
        <w:t xml:space="preserve">pplication of the Evaluation Strategy outlined here will enable assessment of: </w:t>
      </w:r>
    </w:p>
    <w:p w14:paraId="7C0EA38D" w14:textId="77777777" w:rsidR="00C1765C" w:rsidRPr="00820C89" w:rsidRDefault="00C1765C" w:rsidP="00715F70">
      <w:pPr>
        <w:pStyle w:val="ListParagraph"/>
        <w:numPr>
          <w:ilvl w:val="0"/>
          <w:numId w:val="104"/>
        </w:numPr>
        <w:spacing w:before="170"/>
      </w:pPr>
      <w:r w:rsidRPr="00820C89">
        <w:t xml:space="preserve">The </w:t>
      </w:r>
      <w:r w:rsidRPr="00820C89">
        <w:rPr>
          <w:b/>
        </w:rPr>
        <w:t>appropriateness</w:t>
      </w:r>
      <w:r w:rsidRPr="00820C89">
        <w:t xml:space="preserve"> of the design of IEP programs, and how successfully the program has been implemented.</w:t>
      </w:r>
    </w:p>
    <w:p w14:paraId="58A559D9" w14:textId="77777777" w:rsidR="00C1765C" w:rsidRPr="00820C89" w:rsidRDefault="00C1765C" w:rsidP="00715F70">
      <w:pPr>
        <w:pStyle w:val="ListParagraph"/>
        <w:numPr>
          <w:ilvl w:val="0"/>
          <w:numId w:val="104"/>
        </w:numPr>
        <w:spacing w:before="170"/>
      </w:pPr>
      <w:r w:rsidRPr="00820C89">
        <w:t xml:space="preserve">The extent that </w:t>
      </w:r>
      <w:r w:rsidRPr="00820C89">
        <w:rPr>
          <w:b/>
        </w:rPr>
        <w:t>expected outcomes</w:t>
      </w:r>
      <w:r w:rsidRPr="00820C89">
        <w:t xml:space="preserve"> of the programs have been achieved, and the contextual factors that influence this.</w:t>
      </w:r>
    </w:p>
    <w:p w14:paraId="5A74BCF6" w14:textId="77777777" w:rsidR="00C1765C" w:rsidRPr="00820C89" w:rsidRDefault="00C1765C" w:rsidP="00715F70">
      <w:pPr>
        <w:pStyle w:val="ListParagraph"/>
        <w:numPr>
          <w:ilvl w:val="0"/>
          <w:numId w:val="104"/>
        </w:numPr>
        <w:spacing w:before="170"/>
      </w:pPr>
      <w:r w:rsidRPr="00820C89">
        <w:t xml:space="preserve">Opportunities to </w:t>
      </w:r>
      <w:r w:rsidRPr="00820C89">
        <w:rPr>
          <w:b/>
        </w:rPr>
        <w:t>improve program design and implementation</w:t>
      </w:r>
      <w:r w:rsidRPr="00820C89">
        <w:t xml:space="preserve"> of each program separately, and in relation to each other. </w:t>
      </w:r>
    </w:p>
    <w:p w14:paraId="4B820F1F" w14:textId="77777777" w:rsidR="00C1765C" w:rsidRPr="00820C89" w:rsidRDefault="00C1765C" w:rsidP="00C1765C">
      <w:r w:rsidRPr="00820C89">
        <w:t xml:space="preserve">This evaluation is important to NIAA in determining the future design and management of the suite of programs, and beyond. </w:t>
      </w:r>
    </w:p>
    <w:p w14:paraId="578AE55D" w14:textId="77777777" w:rsidR="00C1765C" w:rsidRPr="00820C89" w:rsidRDefault="00C1765C" w:rsidP="00715F70">
      <w:pPr>
        <w:pStyle w:val="Heading2"/>
        <w:numPr>
          <w:ilvl w:val="1"/>
          <w:numId w:val="12"/>
        </w:numPr>
        <w:tabs>
          <w:tab w:val="num" w:pos="1492"/>
        </w:tabs>
        <w:spacing w:after="60"/>
        <w:ind w:left="1492" w:hanging="360"/>
      </w:pPr>
      <w:bookmarkStart w:id="281" w:name="_Toc37099365"/>
      <w:bookmarkStart w:id="282" w:name="_Toc37177360"/>
      <w:bookmarkStart w:id="283" w:name="_Toc45206320"/>
      <w:bookmarkStart w:id="284" w:name="_Toc82694500"/>
      <w:bookmarkStart w:id="285" w:name="_Toc82710799"/>
      <w:bookmarkStart w:id="286" w:name="_Toc101343324"/>
      <w:r w:rsidRPr="00820C89">
        <w:lastRenderedPageBreak/>
        <w:t>The Indigenous Employment Programs (IEPs)</w:t>
      </w:r>
      <w:bookmarkEnd w:id="281"/>
      <w:bookmarkEnd w:id="282"/>
      <w:bookmarkEnd w:id="283"/>
      <w:bookmarkEnd w:id="284"/>
      <w:bookmarkEnd w:id="285"/>
      <w:bookmarkEnd w:id="286"/>
    </w:p>
    <w:p w14:paraId="068DF71B" w14:textId="77777777" w:rsidR="00C1765C" w:rsidRPr="00820C89" w:rsidRDefault="00C1765C" w:rsidP="00C1765C">
      <w:pPr>
        <w:rPr>
          <w:lang w:val="da-DK"/>
        </w:rPr>
      </w:pPr>
      <w:r w:rsidRPr="00820C89">
        <w:rPr>
          <w:lang w:val="da-DK"/>
        </w:rPr>
        <w:t xml:space="preserve">The Jobs, Land and Economy Program (JLEP) was introduced on 1 July 2014 as part of the Australian Government’s Indigenous Advancement Strategy (IAS). </w:t>
      </w:r>
      <w:bookmarkStart w:id="287" w:name="_Hlk37592677"/>
      <w:r w:rsidRPr="00820C89">
        <w:rPr>
          <w:lang w:val="da-DK"/>
        </w:rPr>
        <w:t xml:space="preserve">An overarching objective of the JLEP is to </w:t>
      </w:r>
      <w:r w:rsidRPr="00820C89">
        <w:rPr>
          <w:b/>
          <w:bCs/>
          <w:color w:val="86BC25" w:themeColor="accent1"/>
          <w:lang w:val="da-DK"/>
        </w:rPr>
        <w:t>deliver improved employment outcomes for Indigenous Australians</w:t>
      </w:r>
      <w:r w:rsidRPr="00820C89">
        <w:rPr>
          <w:lang w:val="da-DK"/>
        </w:rPr>
        <w:t xml:space="preserve">, by supporting adults into work, fostering Indigenous business, and assisting Indigenous people to generate economic and social benefits from the effective use of their land. </w:t>
      </w:r>
      <w:bookmarkEnd w:id="287"/>
    </w:p>
    <w:p w14:paraId="0F4D83E1" w14:textId="77777777" w:rsidR="00C1765C" w:rsidRPr="00820C89" w:rsidRDefault="00C1765C" w:rsidP="00C1765C">
      <w:pPr>
        <w:rPr>
          <w:lang w:val="da-DK"/>
        </w:rPr>
      </w:pPr>
      <w:r w:rsidRPr="00820C89">
        <w:rPr>
          <w:lang w:val="da-DK"/>
        </w:rPr>
        <w:t xml:space="preserve">The three Indigenous Employment Programs (IEPs) in-scope for review (EPI, VTEC and TAEG) are all initiatives within the JLEP. They are stand-alone programs, which are complementary to mainstream employment services, and each has a different focus. A high-level summary of the objectives and activities of each program is provided below. A more detailed summary of each program is provided at pages 3-7 of </w:t>
      </w:r>
      <w:r w:rsidRPr="00820C89">
        <w:rPr>
          <w:b/>
          <w:lang w:val="da-DK"/>
        </w:rPr>
        <w:t>Appendix A</w:t>
      </w:r>
      <w:r w:rsidRPr="00820C89">
        <w:rPr>
          <w:lang w:val="da-DK"/>
        </w:rPr>
        <w:t xml:space="preserve">. </w:t>
      </w:r>
    </w:p>
    <w:p w14:paraId="2BC903A4" w14:textId="77777777" w:rsidR="00C1765C" w:rsidRPr="00820C89" w:rsidRDefault="00C1765C" w:rsidP="00715F70">
      <w:pPr>
        <w:pStyle w:val="Heading3"/>
        <w:numPr>
          <w:ilvl w:val="2"/>
          <w:numId w:val="12"/>
        </w:numPr>
        <w:tabs>
          <w:tab w:val="num" w:pos="1492"/>
        </w:tabs>
        <w:ind w:hanging="360"/>
      </w:pPr>
      <w:bookmarkStart w:id="288" w:name="_Toc36569297"/>
      <w:bookmarkStart w:id="289" w:name="_Toc37099366"/>
      <w:bookmarkStart w:id="290" w:name="_Toc37177361"/>
      <w:bookmarkStart w:id="291" w:name="_Toc37217736"/>
      <w:bookmarkStart w:id="292" w:name="_Toc37402731"/>
      <w:bookmarkStart w:id="293" w:name="_Toc45206321"/>
      <w:r w:rsidRPr="00820C89">
        <w:t>Employment Parity Initiative (EPI)</w:t>
      </w:r>
      <w:bookmarkEnd w:id="288"/>
      <w:bookmarkEnd w:id="289"/>
      <w:bookmarkEnd w:id="290"/>
      <w:bookmarkEnd w:id="291"/>
      <w:bookmarkEnd w:id="292"/>
      <w:bookmarkEnd w:id="293"/>
    </w:p>
    <w:p w14:paraId="599D6732" w14:textId="77777777" w:rsidR="00C1765C" w:rsidRPr="00820C89" w:rsidRDefault="00C1765C" w:rsidP="00C1765C">
      <w:r w:rsidRPr="00820C89">
        <w:t xml:space="preserve">The EPI was launched in March 2015. It aims to increase Indigenous employment in large Australian companies (ASX Top 200) to reflect the proportion of the Indigenous population nationally – approximately three per cent. </w:t>
      </w:r>
    </w:p>
    <w:p w14:paraId="068CC0FC" w14:textId="77777777" w:rsidR="00C1765C" w:rsidRPr="00820C89" w:rsidRDefault="00C1765C" w:rsidP="00C1765C">
      <w:r w:rsidRPr="00820C89">
        <w:t xml:space="preserve">The overarching objectives of the EPI are to improve employment outcomes for Indigenous Australians, and achieve greater employment parity for Indigenous Australians and improved cultural inclusion strategies among Australian companies. </w:t>
      </w:r>
    </w:p>
    <w:p w14:paraId="60D43286" w14:textId="77777777" w:rsidR="00C1765C" w:rsidRPr="00820C89" w:rsidRDefault="00C1765C" w:rsidP="00C1765C">
      <w:r w:rsidRPr="00820C89">
        <w:t xml:space="preserve">The EPI funds participating employers (EPI Partners) to recruit, train and support Indigenous job seekers. Funding payments are linked to participant milestones. These milestones are typically participants achieving 26 weeks’ of continuous employment. However, EPI is a flexible program that allows milestones to be amended to suit the needs of the employers. </w:t>
      </w:r>
    </w:p>
    <w:p w14:paraId="47A33A9C" w14:textId="77777777" w:rsidR="00C1765C" w:rsidRPr="00820C89" w:rsidDel="00E6310C" w:rsidRDefault="00C1765C" w:rsidP="00C1765C">
      <w:r w:rsidRPr="00820C89">
        <w:t>As at 31 December 2019, the Employment Parity Initiative has commitments of 11,009 jobs by 15 partner organisations with nearly 7,479 Indigenous job seekers commenced employment and 4,839 employed for 26 weeks.</w:t>
      </w:r>
      <w:r w:rsidRPr="00820C89" w:rsidDel="00E6310C">
        <w:t xml:space="preserve"> </w:t>
      </w:r>
    </w:p>
    <w:p w14:paraId="5C0C5D25" w14:textId="77777777" w:rsidR="00C1765C" w:rsidRPr="00820C89" w:rsidRDefault="00C1765C" w:rsidP="00715F70">
      <w:pPr>
        <w:pStyle w:val="Heading3"/>
        <w:numPr>
          <w:ilvl w:val="2"/>
          <w:numId w:val="12"/>
        </w:numPr>
        <w:tabs>
          <w:tab w:val="num" w:pos="1492"/>
        </w:tabs>
        <w:ind w:hanging="360"/>
      </w:pPr>
      <w:bookmarkStart w:id="294" w:name="_Toc37178186"/>
      <w:bookmarkStart w:id="295" w:name="_Toc37179441"/>
      <w:bookmarkStart w:id="296" w:name="_Toc37186196"/>
      <w:bookmarkStart w:id="297" w:name="_Toc37217737"/>
      <w:bookmarkStart w:id="298" w:name="_Toc36569298"/>
      <w:bookmarkStart w:id="299" w:name="_Toc37099367"/>
      <w:bookmarkStart w:id="300" w:name="_Toc37177362"/>
      <w:bookmarkStart w:id="301" w:name="_Toc37217738"/>
      <w:bookmarkStart w:id="302" w:name="_Toc37402732"/>
      <w:bookmarkStart w:id="303" w:name="_Toc45206322"/>
      <w:bookmarkEnd w:id="294"/>
      <w:bookmarkEnd w:id="295"/>
      <w:bookmarkEnd w:id="296"/>
      <w:bookmarkEnd w:id="297"/>
      <w:r w:rsidRPr="00820C89">
        <w:t>Vocational Training and Employment Centres (VTEC)</w:t>
      </w:r>
      <w:bookmarkEnd w:id="298"/>
      <w:bookmarkEnd w:id="299"/>
      <w:bookmarkEnd w:id="300"/>
      <w:bookmarkEnd w:id="301"/>
      <w:bookmarkEnd w:id="302"/>
      <w:bookmarkEnd w:id="303"/>
    </w:p>
    <w:p w14:paraId="615E328D" w14:textId="77777777" w:rsidR="00C1765C" w:rsidRPr="00820C89" w:rsidRDefault="00C1765C" w:rsidP="00C1765C">
      <w:pPr>
        <w:rPr>
          <w:lang w:val="da-DK"/>
        </w:rPr>
      </w:pPr>
      <w:r w:rsidRPr="00820C89">
        <w:rPr>
          <w:lang w:val="da-DK"/>
        </w:rPr>
        <w:t xml:space="preserve">The VTEC initiative was launched in 2014 to match Indigenous Australian job seekers with guaranteed jobs. </w:t>
      </w:r>
    </w:p>
    <w:p w14:paraId="75C62A74" w14:textId="77777777" w:rsidR="00C1765C" w:rsidRPr="00820C89" w:rsidRDefault="00C1765C" w:rsidP="00C1765C">
      <w:pPr>
        <w:rPr>
          <w:lang w:val="da-DK"/>
        </w:rPr>
      </w:pPr>
      <w:r w:rsidRPr="00820C89">
        <w:rPr>
          <w:lang w:val="da-DK"/>
        </w:rPr>
        <w:t xml:space="preserve">The overarching objectives of the VTEC program are to reduce the gap in employment outcomes for Indigenous Australians, and to place more Indigenous Australians in sustainable employment. </w:t>
      </w:r>
    </w:p>
    <w:p w14:paraId="4E579F2C" w14:textId="77777777" w:rsidR="00C1765C" w:rsidRPr="00820C89" w:rsidRDefault="00C1765C" w:rsidP="00C1765C">
      <w:pPr>
        <w:rPr>
          <w:lang w:val="da-DK"/>
        </w:rPr>
      </w:pPr>
      <w:r w:rsidRPr="00820C89">
        <w:rPr>
          <w:lang w:val="da-DK"/>
        </w:rPr>
        <w:t xml:space="preserve">VTECs are specialised training providers that use a demand-driven approach to deliver pre-employment training that is linked to guaranteed job opportunities for Indigneous Australians. To further promote engagement with Indigenous Australian communities, a requirement was introduced in 2018 for VTEC to either be, or have a joint venture with, an Indigenous organisation. </w:t>
      </w:r>
    </w:p>
    <w:p w14:paraId="12823EB8" w14:textId="77777777" w:rsidR="00C1765C" w:rsidRPr="00820C89" w:rsidDel="00321CA7" w:rsidRDefault="00C1765C" w:rsidP="00C1765C">
      <w:pPr>
        <w:rPr>
          <w:lang w:val="da-DK"/>
        </w:rPr>
      </w:pPr>
      <w:r w:rsidRPr="00820C89">
        <w:rPr>
          <w:lang w:val="da-DK"/>
        </w:rPr>
        <w:t xml:space="preserve">From 2 January 2014 to 31 December 2019, VTEC has commitments of 16,214 jobs, with 11,777 Indigenous job seekers commenced employment and 6,995 employed for 26 weeks. </w:t>
      </w:r>
    </w:p>
    <w:p w14:paraId="29ACC341" w14:textId="77777777" w:rsidR="00C1765C" w:rsidRPr="00820C89" w:rsidRDefault="00C1765C" w:rsidP="00715F70">
      <w:pPr>
        <w:pStyle w:val="Heading3"/>
        <w:numPr>
          <w:ilvl w:val="2"/>
          <w:numId w:val="12"/>
        </w:numPr>
        <w:tabs>
          <w:tab w:val="num" w:pos="1492"/>
        </w:tabs>
        <w:ind w:hanging="360"/>
      </w:pPr>
      <w:bookmarkStart w:id="304" w:name="_Toc37178188"/>
      <w:bookmarkStart w:id="305" w:name="_Toc37179443"/>
      <w:bookmarkStart w:id="306" w:name="_Toc37186198"/>
      <w:bookmarkStart w:id="307" w:name="_Toc37217739"/>
      <w:bookmarkStart w:id="308" w:name="_Toc36569299"/>
      <w:bookmarkStart w:id="309" w:name="_Toc37099368"/>
      <w:bookmarkStart w:id="310" w:name="_Toc37177363"/>
      <w:bookmarkStart w:id="311" w:name="_Toc37217740"/>
      <w:bookmarkStart w:id="312" w:name="_Toc37402733"/>
      <w:bookmarkStart w:id="313" w:name="_Toc45206323"/>
      <w:bookmarkEnd w:id="304"/>
      <w:bookmarkEnd w:id="305"/>
      <w:bookmarkEnd w:id="306"/>
      <w:bookmarkEnd w:id="307"/>
      <w:r w:rsidRPr="00820C89">
        <w:t>Tailored Assistance Employment Grants – Employment (TAEG Employment)</w:t>
      </w:r>
      <w:bookmarkEnd w:id="308"/>
      <w:bookmarkEnd w:id="309"/>
      <w:bookmarkEnd w:id="310"/>
      <w:bookmarkEnd w:id="311"/>
      <w:bookmarkEnd w:id="312"/>
      <w:bookmarkEnd w:id="313"/>
    </w:p>
    <w:p w14:paraId="63CB671C" w14:textId="77777777" w:rsidR="00C1765C" w:rsidRPr="00820C89" w:rsidRDefault="00C1765C" w:rsidP="00C1765C">
      <w:r w:rsidRPr="00820C89">
        <w:rPr>
          <w:lang w:val="da-DK"/>
        </w:rPr>
        <w:t xml:space="preserve">The TAEG program was initially launched in </w:t>
      </w:r>
      <w:r w:rsidRPr="00820C89">
        <w:t xml:space="preserve">2009, but has only existed in its current form since 1 July 2016. </w:t>
      </w:r>
    </w:p>
    <w:p w14:paraId="0D3F767D" w14:textId="77777777" w:rsidR="00C1765C" w:rsidRPr="00820C89" w:rsidRDefault="00C1765C" w:rsidP="00C1765C">
      <w:pPr>
        <w:rPr>
          <w:lang w:val="da-DK"/>
        </w:rPr>
      </w:pPr>
      <w:r w:rsidRPr="00820C89">
        <w:t xml:space="preserve">TAEG </w:t>
      </w:r>
      <w:r w:rsidRPr="00820C89">
        <w:rPr>
          <w:lang w:val="da-DK"/>
        </w:rPr>
        <w:t xml:space="preserve">connects Indigenous Australians with real and sustainable jobs via three streams of flexible grant funding, including ’Employment’, ’School-based traineeships’ and ’Cadetships’. However, only the Employment stream is in-scope for this evaluation. </w:t>
      </w:r>
    </w:p>
    <w:p w14:paraId="56B160AA" w14:textId="77777777" w:rsidR="00C1765C" w:rsidRPr="00820C89" w:rsidRDefault="00C1765C" w:rsidP="00C1765C">
      <w:pPr>
        <w:rPr>
          <w:lang w:val="da-DK"/>
        </w:rPr>
      </w:pPr>
      <w:r w:rsidRPr="00820C89">
        <w:t xml:space="preserve">The overarching objectives of the TAEG Employment program are the same as the VTEC program: to reduce the gap in employment outcomes for Indigenous Australians, and to ensure that more Indigenous Australians are in sustainable employment. </w:t>
      </w:r>
    </w:p>
    <w:p w14:paraId="6DD64FFE" w14:textId="77777777" w:rsidR="00C1765C" w:rsidRPr="00820C89" w:rsidRDefault="00C1765C" w:rsidP="00C1765C">
      <w:pPr>
        <w:rPr>
          <w:lang w:val="da-DK"/>
        </w:rPr>
      </w:pPr>
      <w:r w:rsidRPr="00820C89">
        <w:rPr>
          <w:lang w:val="da-DK"/>
        </w:rPr>
        <w:t xml:space="preserve">TAEG Employment funds projects that seek to deliver sustainable employment opportunities for Indigenous Australians (including high school students transitioning into the workforce) and meet </w:t>
      </w:r>
      <w:r w:rsidRPr="00820C89">
        <w:rPr>
          <w:lang w:val="da-DK"/>
        </w:rPr>
        <w:lastRenderedPageBreak/>
        <w:t>job market demands. TAEG Employment offers a flexible avenue for providers to assist Indigenous Australians into employment, when access to VTEC funds is either unavailable or inappropriate.</w:t>
      </w:r>
    </w:p>
    <w:p w14:paraId="51C7B53D" w14:textId="77777777" w:rsidR="00C1765C" w:rsidRPr="00820C89" w:rsidDel="00A63187" w:rsidRDefault="00C1765C" w:rsidP="00C1765C">
      <w:pPr>
        <w:rPr>
          <w:lang w:val="da-DK"/>
        </w:rPr>
      </w:pPr>
      <w:bookmarkStart w:id="314" w:name="_Toc37100152"/>
      <w:bookmarkStart w:id="315" w:name="_Toc37100727"/>
      <w:bookmarkStart w:id="316" w:name="_Toc37100782"/>
      <w:bookmarkStart w:id="317" w:name="_Toc37178190"/>
      <w:bookmarkStart w:id="318" w:name="_Toc37179445"/>
      <w:bookmarkStart w:id="319" w:name="_Toc37186200"/>
      <w:bookmarkStart w:id="320" w:name="_Toc37178191"/>
      <w:bookmarkStart w:id="321" w:name="_Toc37179446"/>
      <w:bookmarkStart w:id="322" w:name="_Toc37186201"/>
      <w:bookmarkStart w:id="323" w:name="_Toc37217741"/>
      <w:bookmarkStart w:id="324" w:name="_Toc37217742"/>
      <w:bookmarkStart w:id="325" w:name="_Toc36569301"/>
      <w:bookmarkStart w:id="326" w:name="_Toc37099369"/>
      <w:bookmarkStart w:id="327" w:name="_Toc37177364"/>
      <w:bookmarkEnd w:id="314"/>
      <w:bookmarkEnd w:id="315"/>
      <w:bookmarkEnd w:id="316"/>
      <w:bookmarkEnd w:id="317"/>
      <w:bookmarkEnd w:id="318"/>
      <w:bookmarkEnd w:id="319"/>
      <w:bookmarkEnd w:id="320"/>
      <w:bookmarkEnd w:id="321"/>
      <w:bookmarkEnd w:id="322"/>
      <w:bookmarkEnd w:id="323"/>
      <w:bookmarkEnd w:id="324"/>
      <w:r w:rsidRPr="00820C89">
        <w:rPr>
          <w:lang w:val="da-DK"/>
        </w:rPr>
        <w:t xml:space="preserve">From 1 July 2016 to 31 December 2019, TAEG Employment projects has commitments of 13,179 jobs, with 8,399 Indigenous jobseekers commenced employment and 5,658 employed for 26 weeks. </w:t>
      </w:r>
    </w:p>
    <w:p w14:paraId="7580C9A3" w14:textId="77777777" w:rsidR="00C1765C" w:rsidRPr="00820C89" w:rsidRDefault="00C1765C" w:rsidP="00715F70">
      <w:pPr>
        <w:pStyle w:val="Heading2"/>
        <w:numPr>
          <w:ilvl w:val="1"/>
          <w:numId w:val="12"/>
        </w:numPr>
        <w:tabs>
          <w:tab w:val="num" w:pos="1492"/>
        </w:tabs>
        <w:spacing w:after="60"/>
        <w:ind w:left="1492" w:hanging="360"/>
      </w:pPr>
      <w:bookmarkStart w:id="328" w:name="_Toc45206324"/>
      <w:bookmarkStart w:id="329" w:name="_Toc82694501"/>
      <w:bookmarkStart w:id="330" w:name="_Toc82710800"/>
      <w:bookmarkStart w:id="331" w:name="_Toc101343325"/>
      <w:r w:rsidRPr="00820C89">
        <w:t>This document</w:t>
      </w:r>
      <w:bookmarkEnd w:id="325"/>
      <w:bookmarkEnd w:id="326"/>
      <w:bookmarkEnd w:id="327"/>
      <w:bookmarkEnd w:id="328"/>
      <w:bookmarkEnd w:id="329"/>
      <w:bookmarkEnd w:id="330"/>
      <w:bookmarkEnd w:id="331"/>
    </w:p>
    <w:p w14:paraId="68C4624E" w14:textId="77777777" w:rsidR="00C1765C" w:rsidRPr="00820C89" w:rsidRDefault="00C1765C" w:rsidP="00C1765C">
      <w:pPr>
        <w:rPr>
          <w:lang w:val="da-DK"/>
        </w:rPr>
      </w:pPr>
      <w:r w:rsidRPr="00820C89">
        <w:rPr>
          <w:lang w:val="da-DK"/>
        </w:rPr>
        <w:t xml:space="preserve">The purpose of this document is to build upon and extend the precision of the methodology of the evaluation strategy work prepared by SVA (provided for reference at </w:t>
      </w:r>
      <w:r w:rsidRPr="00820C89">
        <w:rPr>
          <w:b/>
          <w:lang w:val="da-DK"/>
        </w:rPr>
        <w:t>Appendix A</w:t>
      </w:r>
      <w:r w:rsidRPr="00820C89">
        <w:rPr>
          <w:lang w:val="da-DK"/>
        </w:rPr>
        <w:t xml:space="preserve"> of this document), ahead of the evaluation implementation. </w:t>
      </w:r>
    </w:p>
    <w:p w14:paraId="50FC4059" w14:textId="77777777" w:rsidR="00C1765C" w:rsidRPr="00820C89" w:rsidRDefault="00C1765C" w:rsidP="00C1765C">
      <w:pPr>
        <w:rPr>
          <w:lang w:val="da-DK"/>
        </w:rPr>
      </w:pPr>
      <w:r w:rsidRPr="00820C89">
        <w:rPr>
          <w:lang w:val="da-DK"/>
        </w:rPr>
        <w:t>The aims of the Evaluation Strategy (read across both documents) are to clearly set out:</w:t>
      </w:r>
    </w:p>
    <w:p w14:paraId="783D7364" w14:textId="77777777" w:rsidR="00C1765C" w:rsidRPr="00820C89" w:rsidRDefault="00C1765C" w:rsidP="00C1765C">
      <w:pPr>
        <w:pStyle w:val="ListBullet"/>
        <w:spacing w:before="170"/>
        <w:rPr>
          <w:lang w:val="da-DK"/>
        </w:rPr>
      </w:pPr>
      <w:r w:rsidRPr="00820C89">
        <w:rPr>
          <w:lang w:val="da-DK"/>
        </w:rPr>
        <w:t>The objectives of the evaluation</w:t>
      </w:r>
    </w:p>
    <w:p w14:paraId="6880B418" w14:textId="77777777" w:rsidR="00C1765C" w:rsidRPr="00820C89" w:rsidRDefault="00C1765C" w:rsidP="00C1765C">
      <w:pPr>
        <w:pStyle w:val="ListBullet"/>
        <w:spacing w:before="170"/>
        <w:rPr>
          <w:lang w:val="da-DK"/>
        </w:rPr>
      </w:pPr>
      <w:r w:rsidRPr="00820C89">
        <w:rPr>
          <w:lang w:val="da-DK"/>
        </w:rPr>
        <w:t>The evaluation framework (the conceptual framing of the evaluation)</w:t>
      </w:r>
    </w:p>
    <w:p w14:paraId="2C89E4CC" w14:textId="77777777" w:rsidR="00C1765C" w:rsidRPr="00820C89" w:rsidRDefault="00C1765C" w:rsidP="00C1765C">
      <w:pPr>
        <w:pStyle w:val="ListBullet"/>
        <w:spacing w:before="170"/>
        <w:rPr>
          <w:lang w:val="da-DK"/>
        </w:rPr>
      </w:pPr>
      <w:r w:rsidRPr="00820C89">
        <w:rPr>
          <w:lang w:val="da-DK"/>
        </w:rPr>
        <w:t>The evaluation</w:t>
      </w:r>
      <w:r w:rsidRPr="00820C89" w:rsidDel="0023129C">
        <w:rPr>
          <w:lang w:val="da-DK"/>
        </w:rPr>
        <w:t xml:space="preserve"> </w:t>
      </w:r>
      <w:r w:rsidRPr="00820C89">
        <w:rPr>
          <w:lang w:val="da-DK"/>
        </w:rPr>
        <w:t>methods and analysis</w:t>
      </w:r>
    </w:p>
    <w:p w14:paraId="411B250D" w14:textId="77777777" w:rsidR="00C1765C" w:rsidRPr="00820C89" w:rsidRDefault="00C1765C" w:rsidP="00C1765C">
      <w:pPr>
        <w:pStyle w:val="ListBullet"/>
        <w:spacing w:before="170"/>
        <w:rPr>
          <w:lang w:val="da-DK"/>
        </w:rPr>
      </w:pPr>
      <w:r w:rsidRPr="00820C89">
        <w:rPr>
          <w:lang w:val="da-DK"/>
        </w:rPr>
        <w:t>The stakeholder engagment strategy</w:t>
      </w:r>
    </w:p>
    <w:p w14:paraId="49692D60" w14:textId="77777777" w:rsidR="00C1765C" w:rsidRPr="00820C89" w:rsidRDefault="00C1765C" w:rsidP="00C1765C">
      <w:pPr>
        <w:pStyle w:val="ListBullet"/>
        <w:spacing w:before="170"/>
        <w:rPr>
          <w:lang w:val="da-DK"/>
        </w:rPr>
      </w:pPr>
      <w:r w:rsidRPr="00820C89">
        <w:rPr>
          <w:lang w:val="da-DK"/>
        </w:rPr>
        <w:t xml:space="preserve">The evaluation implementation plan, including consideration of risks and appropriate mitigation strategies. </w:t>
      </w:r>
    </w:p>
    <w:p w14:paraId="62FEAAEB" w14:textId="77777777" w:rsidR="00C1765C" w:rsidRPr="00820C89" w:rsidRDefault="00C1765C" w:rsidP="00C1765C">
      <w:pPr>
        <w:rPr>
          <w:lang w:val="da-DK"/>
        </w:rPr>
      </w:pPr>
      <w:r w:rsidRPr="00820C89">
        <w:rPr>
          <w:lang w:val="da-DK"/>
        </w:rPr>
        <w:t xml:space="preserve">For ease of reading, this document should be considered the complete Evaluation Strategy. It references the original work provided in </w:t>
      </w:r>
      <w:r w:rsidRPr="00820C89">
        <w:rPr>
          <w:b/>
          <w:lang w:val="da-DK"/>
        </w:rPr>
        <w:t>Appendix A</w:t>
      </w:r>
      <w:r w:rsidRPr="00820C89">
        <w:rPr>
          <w:lang w:val="da-DK"/>
        </w:rPr>
        <w:t xml:space="preserve"> where relevant. </w:t>
      </w:r>
    </w:p>
    <w:p w14:paraId="5EEFDA8D" w14:textId="77777777" w:rsidR="00C1765C" w:rsidRPr="00820C89" w:rsidRDefault="00C1765C" w:rsidP="00C1765C">
      <w:r w:rsidRPr="00820C89">
        <w:t>In developing this document, a series of analytical workshops was held with members of the Evaluation Reference Group (Reference Group):</w:t>
      </w:r>
    </w:p>
    <w:p w14:paraId="32A0439E" w14:textId="77777777" w:rsidR="00C1765C" w:rsidRPr="00820C89" w:rsidRDefault="00C1765C" w:rsidP="00C1765C">
      <w:pPr>
        <w:pStyle w:val="ListBullet"/>
        <w:spacing w:before="60" w:after="60"/>
        <w:contextualSpacing w:val="0"/>
      </w:pPr>
      <w:r w:rsidRPr="00820C89">
        <w:t xml:space="preserve">An evaluation framework workshop covered confirmation of evaluation priorities, evaluation questions, risks and engagement strategies, as well as outcomes definitions and measurement. </w:t>
      </w:r>
    </w:p>
    <w:p w14:paraId="494EC98F" w14:textId="77777777" w:rsidR="00C1765C" w:rsidRPr="00820C89" w:rsidRDefault="00C1765C" w:rsidP="00C1765C">
      <w:pPr>
        <w:pStyle w:val="ListBullet"/>
        <w:spacing w:before="60" w:after="60"/>
        <w:contextualSpacing w:val="0"/>
      </w:pPr>
      <w:r w:rsidRPr="00820C89">
        <w:t xml:space="preserve">Separate workshops were held to inform the development of the stakeholder engagement strategy, and to support understanding of the current program data collected. </w:t>
      </w:r>
    </w:p>
    <w:p w14:paraId="6E973F86" w14:textId="77777777" w:rsidR="00C1765C" w:rsidRPr="00820C89" w:rsidRDefault="00C1765C" w:rsidP="00C1765C">
      <w:r w:rsidRPr="00820C89">
        <w:t>Feedback from the NIAA’s Indigenous Evaluation Committee (IEC) on the original Evaluation Strategy (Appendix A) has also been incorporated</w:t>
      </w:r>
      <w:r w:rsidRPr="00820C89">
        <w:rPr>
          <w:rStyle w:val="FootnoteReference"/>
        </w:rPr>
        <w:footnoteReference w:id="307"/>
      </w:r>
      <w:r w:rsidRPr="00820C89">
        <w:t xml:space="preserve">. Additionally, the stakeholder engagement strategy and data collection tools have been developed in collaboration with, and reviewed by, the Gaimaragal Group (Deloitte Access Economics’ field research and Indigenous community engagement partner) to ensure it is culturally appropriate and relevant.  </w:t>
      </w:r>
    </w:p>
    <w:p w14:paraId="3B6CE9F2" w14:textId="77777777" w:rsidR="00C1765C" w:rsidRPr="00820C89" w:rsidRDefault="00C1765C" w:rsidP="00C1765C">
      <w:pPr>
        <w:pStyle w:val="ListBullet"/>
        <w:spacing w:before="170"/>
        <w:rPr>
          <w:b/>
        </w:rPr>
      </w:pPr>
      <w:r w:rsidRPr="00820C89">
        <w:rPr>
          <w:b/>
        </w:rPr>
        <w:t xml:space="preserve">Chapter 1 – Introduction </w:t>
      </w:r>
      <w:r w:rsidRPr="00820C89">
        <w:rPr>
          <w:bCs/>
        </w:rPr>
        <w:t xml:space="preserve">has provided a </w:t>
      </w:r>
      <w:r w:rsidRPr="00820C89">
        <w:t>brief overview of the context for and approach to evaluation of the IEPs, and the purpose of this document. The remainder of this document is structured as follows:</w:t>
      </w:r>
    </w:p>
    <w:p w14:paraId="5C57C2E7" w14:textId="77777777" w:rsidR="00C1765C" w:rsidRPr="00820C89" w:rsidRDefault="00C1765C" w:rsidP="00C1765C">
      <w:pPr>
        <w:pStyle w:val="ListBullet"/>
        <w:spacing w:before="170"/>
      </w:pPr>
      <w:r w:rsidRPr="00820C89">
        <w:rPr>
          <w:b/>
        </w:rPr>
        <w:t xml:space="preserve">Chapter 2 – Evaluation framework </w:t>
      </w:r>
      <w:r w:rsidRPr="00820C89">
        <w:t xml:space="preserve">discusses the existing program logics (theory of change models) and the evaluation questions, as well as the key performance indicators. Data sources used to inform this evaluation are also detailed. </w:t>
      </w:r>
    </w:p>
    <w:p w14:paraId="2DDCF787" w14:textId="77777777" w:rsidR="00C1765C" w:rsidRPr="00820C89" w:rsidRDefault="00C1765C" w:rsidP="00C1765C">
      <w:pPr>
        <w:pStyle w:val="ListBullet"/>
        <w:spacing w:before="170"/>
      </w:pPr>
      <w:r w:rsidRPr="00820C89">
        <w:rPr>
          <w:b/>
          <w:bCs/>
        </w:rPr>
        <w:t>Chapter 3 – Stakeholder engagement strategy</w:t>
      </w:r>
      <w:r w:rsidRPr="00820C89">
        <w:t xml:space="preserve"> outlines in detail the approach to both qualitative and quantitative research, including to ensuring that appropriately participatory and culturally safe methods are deployed. This chapter also describes features of the Evaluation Strategy designed to embed Indigenous leadership in the evaluation, and addresses the cultural capability in the evaluation team. </w:t>
      </w:r>
    </w:p>
    <w:p w14:paraId="1110C732" w14:textId="77777777" w:rsidR="00C1765C" w:rsidRPr="00820C89" w:rsidRDefault="00C1765C" w:rsidP="00C1765C">
      <w:pPr>
        <w:pStyle w:val="ListBullet"/>
        <w:spacing w:before="170"/>
      </w:pPr>
      <w:r w:rsidRPr="00820C89">
        <w:rPr>
          <w:b/>
        </w:rPr>
        <w:t xml:space="preserve">Chapter 4 – Evaluation implementation plan </w:t>
      </w:r>
      <w:r w:rsidRPr="00820C89">
        <w:t xml:space="preserve">including risk mitigation strategies, communication protocols and evaluation governance. </w:t>
      </w:r>
    </w:p>
    <w:p w14:paraId="4BB671C6" w14:textId="77777777" w:rsidR="00C1765C" w:rsidRPr="00820C89" w:rsidRDefault="00C1765C" w:rsidP="00C1765C">
      <w:pPr>
        <w:pStyle w:val="ListBullet"/>
        <w:spacing w:before="170"/>
      </w:pPr>
      <w:r w:rsidRPr="00820C89">
        <w:rPr>
          <w:b/>
        </w:rPr>
        <w:t xml:space="preserve">Appendix A </w:t>
      </w:r>
      <w:r w:rsidRPr="00820C89">
        <w:t>– SVA Consulting N</w:t>
      </w:r>
      <w:r w:rsidRPr="00820C89">
        <w:rPr>
          <w:bCs/>
        </w:rPr>
        <w:t>ational Indigenous Australians Agency:</w:t>
      </w:r>
      <w:r w:rsidRPr="00820C89">
        <w:t xml:space="preserve"> Evaluation Strategies – Indigenous Employment Programs (September 2019)</w:t>
      </w:r>
    </w:p>
    <w:p w14:paraId="3137A401" w14:textId="77777777" w:rsidR="00C1765C" w:rsidRPr="00820C89" w:rsidRDefault="00C1765C" w:rsidP="00C1765C">
      <w:pPr>
        <w:pStyle w:val="ListBullet"/>
        <w:spacing w:before="170"/>
      </w:pPr>
      <w:r w:rsidRPr="00820C89">
        <w:rPr>
          <w:b/>
        </w:rPr>
        <w:t xml:space="preserve">Appendix B – </w:t>
      </w:r>
      <w:r w:rsidRPr="00820C89">
        <w:rPr>
          <w:lang w:eastAsia="en-AU"/>
        </w:rPr>
        <w:t>SVA Consulting National Indigenous Australians Agency: Evaluation Strategies – Indigenous Employment Programs, Program Logics).</w:t>
      </w:r>
    </w:p>
    <w:p w14:paraId="3E9B837E" w14:textId="77777777" w:rsidR="00C1765C" w:rsidRPr="00820C89" w:rsidRDefault="00C1765C" w:rsidP="00C1765C">
      <w:pPr>
        <w:pStyle w:val="ListBullet"/>
        <w:spacing w:before="170"/>
      </w:pPr>
      <w:r w:rsidRPr="00820C89">
        <w:rPr>
          <w:b/>
        </w:rPr>
        <w:t xml:space="preserve">Appendix C – </w:t>
      </w:r>
      <w:r w:rsidRPr="00820C89">
        <w:rPr>
          <w:bCs/>
        </w:rPr>
        <w:t>IEP Evaluation Strategy</w:t>
      </w:r>
      <w:r w:rsidRPr="00820C89">
        <w:rPr>
          <w:b/>
        </w:rPr>
        <w:t xml:space="preserve"> </w:t>
      </w:r>
      <w:r w:rsidRPr="00820C89">
        <w:rPr>
          <w:lang w:eastAsia="en-AU"/>
        </w:rPr>
        <w:t>Data Matrix.</w:t>
      </w:r>
    </w:p>
    <w:p w14:paraId="6F105D66" w14:textId="77777777" w:rsidR="00C1765C" w:rsidRPr="00820C89" w:rsidRDefault="00C1765C" w:rsidP="00C1765C">
      <w:pPr>
        <w:pStyle w:val="ListBullet"/>
        <w:spacing w:before="170"/>
      </w:pPr>
      <w:r w:rsidRPr="00820C89">
        <w:rPr>
          <w:b/>
        </w:rPr>
        <w:t>Appendix D –</w:t>
      </w:r>
      <w:r w:rsidRPr="00820C89">
        <w:t xml:space="preserve"> Evaluation data collection tools.</w:t>
      </w:r>
    </w:p>
    <w:p w14:paraId="61DC1015" w14:textId="77777777" w:rsidR="00C1765C" w:rsidRPr="00820C89" w:rsidRDefault="00C1765C" w:rsidP="00C1765C">
      <w:pPr>
        <w:pStyle w:val="ListBullet"/>
        <w:spacing w:before="170"/>
      </w:pPr>
      <w:r w:rsidRPr="00820C89">
        <w:rPr>
          <w:b/>
        </w:rPr>
        <w:lastRenderedPageBreak/>
        <w:t>Appendix E –</w:t>
      </w:r>
      <w:r w:rsidRPr="00820C89">
        <w:t xml:space="preserve"> Draft regional consultations sample (locations, TAEG and VTEC providers).</w:t>
      </w:r>
    </w:p>
    <w:p w14:paraId="5261E38C" w14:textId="77777777" w:rsidR="00C1765C" w:rsidRPr="00820C89" w:rsidRDefault="00C1765C" w:rsidP="00C1765C">
      <w:pPr>
        <w:pStyle w:val="Heading1"/>
        <w:tabs>
          <w:tab w:val="num" w:pos="1492"/>
        </w:tabs>
        <w:ind w:left="1492" w:hanging="360"/>
      </w:pPr>
      <w:bookmarkStart w:id="332" w:name="_Toc37099370"/>
      <w:bookmarkStart w:id="333" w:name="_Toc37177365"/>
      <w:bookmarkStart w:id="334" w:name="_Ref43484862"/>
      <w:bookmarkStart w:id="335" w:name="_Toc45206325"/>
      <w:bookmarkStart w:id="336" w:name="_Toc82694502"/>
      <w:bookmarkStart w:id="337" w:name="_Toc82710801"/>
      <w:bookmarkStart w:id="338" w:name="_Toc101343326"/>
      <w:r w:rsidRPr="00820C89">
        <w:lastRenderedPageBreak/>
        <w:t xml:space="preserve">Evaluation </w:t>
      </w:r>
      <w:bookmarkEnd w:id="332"/>
      <w:bookmarkEnd w:id="333"/>
      <w:bookmarkEnd w:id="334"/>
      <w:r w:rsidRPr="00820C89">
        <w:t>Framework</w:t>
      </w:r>
      <w:bookmarkEnd w:id="335"/>
      <w:bookmarkEnd w:id="336"/>
      <w:bookmarkEnd w:id="337"/>
      <w:bookmarkEnd w:id="338"/>
    </w:p>
    <w:p w14:paraId="10635D9C" w14:textId="77777777" w:rsidR="00C1765C" w:rsidRPr="00820C89" w:rsidRDefault="00C1765C" w:rsidP="00C1765C">
      <w:r w:rsidRPr="00820C89">
        <w:t>This chapters presents the conceptual framework underpinning the evaluation approach, including:</w:t>
      </w:r>
    </w:p>
    <w:p w14:paraId="4F0AE4CA" w14:textId="77777777" w:rsidR="00C1765C" w:rsidRPr="00820C89" w:rsidRDefault="00C1765C" w:rsidP="00C1765C">
      <w:pPr>
        <w:pStyle w:val="ListBullet"/>
        <w:spacing w:before="170"/>
      </w:pPr>
      <w:r w:rsidRPr="00820C89">
        <w:t>Objectives and scope of the evaluation</w:t>
      </w:r>
    </w:p>
    <w:p w14:paraId="6FF7FF48" w14:textId="77777777" w:rsidR="00C1765C" w:rsidRPr="00820C89" w:rsidRDefault="00C1765C" w:rsidP="00C1765C">
      <w:pPr>
        <w:pStyle w:val="ListBullet"/>
        <w:spacing w:before="170"/>
      </w:pPr>
      <w:r w:rsidRPr="00820C89">
        <w:t>Conceptual framework and reporting domains</w:t>
      </w:r>
    </w:p>
    <w:p w14:paraId="18096E8F" w14:textId="77777777" w:rsidR="00C1765C" w:rsidRPr="00820C89" w:rsidRDefault="00C1765C" w:rsidP="00C1765C">
      <w:pPr>
        <w:pStyle w:val="ListBullet"/>
        <w:spacing w:before="170"/>
      </w:pPr>
      <w:r w:rsidRPr="00820C89">
        <w:t>Program logics (theory of change)</w:t>
      </w:r>
    </w:p>
    <w:p w14:paraId="3CE3321A" w14:textId="77777777" w:rsidR="00C1765C" w:rsidRPr="00820C89" w:rsidRDefault="00C1765C" w:rsidP="00C1765C">
      <w:pPr>
        <w:pStyle w:val="ListBullet"/>
        <w:spacing w:before="170"/>
      </w:pPr>
      <w:r w:rsidRPr="00820C89">
        <w:t>Evaluation questions</w:t>
      </w:r>
    </w:p>
    <w:p w14:paraId="7305D43A" w14:textId="77777777" w:rsidR="00C1765C" w:rsidRPr="00820C89" w:rsidRDefault="00C1765C" w:rsidP="00C1765C">
      <w:pPr>
        <w:pStyle w:val="ListBullet"/>
        <w:spacing w:before="170"/>
      </w:pPr>
      <w:r w:rsidRPr="00820C89">
        <w:t>Evaluation indicator framework</w:t>
      </w:r>
    </w:p>
    <w:p w14:paraId="41ABAB88" w14:textId="77777777" w:rsidR="00C1765C" w:rsidRPr="00820C89" w:rsidRDefault="00C1765C" w:rsidP="00C1765C">
      <w:pPr>
        <w:pStyle w:val="ListBullet"/>
        <w:spacing w:before="170"/>
      </w:pPr>
      <w:r w:rsidRPr="00820C89">
        <w:t>Data collection methods</w:t>
      </w:r>
    </w:p>
    <w:p w14:paraId="71E060FC" w14:textId="77777777" w:rsidR="00C1765C" w:rsidRPr="00820C89" w:rsidRDefault="00C1765C" w:rsidP="00C1765C">
      <w:pPr>
        <w:pStyle w:val="ListBullet"/>
        <w:spacing w:before="170"/>
      </w:pPr>
      <w:r w:rsidRPr="00820C89">
        <w:t>Data analysis and reporting techniques.</w:t>
      </w:r>
    </w:p>
    <w:p w14:paraId="47F5A8EB" w14:textId="77777777" w:rsidR="00C1765C" w:rsidRPr="00820C89" w:rsidRDefault="00C1765C" w:rsidP="00C1765C">
      <w:r w:rsidRPr="00820C89">
        <w:t xml:space="preserve">The evaluation will follow a theory-based, ‘realist’ evaluation approach, in order to determine ‘what works, for whom and in what contexts’ – recognising that effectiveness will vary across different contexts. This approach is likely to require a degree of flexibility in collecting and analysing results. </w:t>
      </w:r>
    </w:p>
    <w:p w14:paraId="365E2580" w14:textId="77777777" w:rsidR="00C1765C" w:rsidRPr="00820C89" w:rsidRDefault="00C1765C" w:rsidP="00C1765C">
      <w:r w:rsidRPr="00820C89">
        <w:t xml:space="preserve">To determine the contextual factors that are of interest to the evaluation, and will be explored for their influence on outcomes realisation in line with the realist approach, a literature scan was undertaken. The outputs of this scan, which is available as a separate document, informed the selection of contextual factors and population sub groups that are established in the evaluation questions and indicator framework presented below. It is acknowledged that these contextual factors and sub groups will be further refined over the course of the evaluation, as the stakeholder consultation process sheds further light on how context interacts with program implementation, engagement and outcomes. </w:t>
      </w:r>
    </w:p>
    <w:p w14:paraId="54D16914" w14:textId="77777777" w:rsidR="00C1765C" w:rsidRPr="00820C89" w:rsidRDefault="00C1765C" w:rsidP="00715F70">
      <w:pPr>
        <w:pStyle w:val="Heading2"/>
        <w:numPr>
          <w:ilvl w:val="1"/>
          <w:numId w:val="69"/>
        </w:numPr>
        <w:spacing w:after="60"/>
        <w:ind w:left="1440" w:hanging="360"/>
      </w:pPr>
      <w:bookmarkStart w:id="339" w:name="_Toc45206326"/>
      <w:bookmarkStart w:id="340" w:name="_Toc82694503"/>
      <w:bookmarkStart w:id="341" w:name="_Toc82710802"/>
      <w:bookmarkStart w:id="342" w:name="_Toc101343327"/>
      <w:bookmarkStart w:id="343" w:name="_Toc36569303"/>
      <w:bookmarkStart w:id="344" w:name="_Toc37099371"/>
      <w:bookmarkStart w:id="345" w:name="_Toc37177366"/>
      <w:r w:rsidRPr="00820C89">
        <w:t>Objectives and scope of this evaluation</w:t>
      </w:r>
      <w:bookmarkEnd w:id="339"/>
      <w:bookmarkEnd w:id="340"/>
      <w:bookmarkEnd w:id="341"/>
      <w:bookmarkEnd w:id="342"/>
      <w:r w:rsidRPr="00820C89">
        <w:t xml:space="preserve"> </w:t>
      </w:r>
      <w:bookmarkEnd w:id="343"/>
      <w:bookmarkEnd w:id="344"/>
      <w:bookmarkEnd w:id="345"/>
    </w:p>
    <w:p w14:paraId="00B90C58" w14:textId="77777777" w:rsidR="00C1765C" w:rsidRPr="00820C89" w:rsidRDefault="00C1765C" w:rsidP="00C1765C">
      <w:r w:rsidRPr="00820C89">
        <w:t>This evaluation is comprised of separate evaluations of three distinct programs.</w:t>
      </w:r>
      <w:r w:rsidRPr="00820C89">
        <w:rPr>
          <w:rStyle w:val="FootnoteReference"/>
        </w:rPr>
        <w:footnoteReference w:id="308"/>
      </w:r>
      <w:r w:rsidRPr="00820C89">
        <w:t xml:space="preserve"> Utilising a nested evaluation approach, where appropriate, programs will be considered holistically and comparisons will be drawn across each. This is to facilitate a more strategic assessment of how the programs are operating together to support Indigenous Australians to gain, and retain, sustainable employment. </w:t>
      </w:r>
    </w:p>
    <w:p w14:paraId="561B4AE8" w14:textId="77777777" w:rsidR="00C1765C" w:rsidRPr="00820C89" w:rsidRDefault="00C1765C" w:rsidP="00C1765C">
      <w:r w:rsidRPr="00820C89">
        <w:rPr>
          <w:lang w:val="da-DK"/>
        </w:rPr>
        <w:t xml:space="preserve">The evaluation will assess the individual and collective effectiveness of the IEPs and how they have been implemented, whether the programs are meeting stated objectives, and insights to inform policy-makers about possible future improvements. </w:t>
      </w:r>
      <w:r w:rsidRPr="00820C89">
        <w:t>Specifically, t</w:t>
      </w:r>
      <w:r w:rsidRPr="00820C89">
        <w:rPr>
          <w:color w:val="000000" w:themeColor="text1"/>
          <w:lang w:val="da-DK"/>
        </w:rPr>
        <w:t xml:space="preserve">he three overarching objectives of this evaluation, as stated by the NIAA, are to: </w:t>
      </w:r>
    </w:p>
    <w:p w14:paraId="7015964C" w14:textId="77777777" w:rsidR="00C1765C" w:rsidRPr="00820C89" w:rsidRDefault="00C1765C" w:rsidP="00C1765C">
      <w:pPr>
        <w:rPr>
          <w:b/>
          <w:color w:val="000000" w:themeColor="text1"/>
          <w:lang w:val="da-DK"/>
        </w:rPr>
      </w:pPr>
      <w:r w:rsidRPr="00820C89">
        <w:rPr>
          <w:b/>
          <w:color w:val="86BC25" w:themeColor="accent1"/>
          <w:lang w:val="da-DK"/>
        </w:rPr>
        <w:t>1. Understand program design and delivery:</w:t>
      </w:r>
      <w:r w:rsidRPr="00820C89">
        <w:rPr>
          <w:bCs/>
          <w:lang w:val="da-DK"/>
        </w:rPr>
        <w:t xml:space="preserve"> </w:t>
      </w:r>
      <w:r w:rsidRPr="00820C89">
        <w:rPr>
          <w:color w:val="000000" w:themeColor="text1"/>
          <w:lang w:val="da-DK"/>
        </w:rPr>
        <w:t>Understand how the IEPs have been designed, and how the program activities have been implemented to date.</w:t>
      </w:r>
    </w:p>
    <w:p w14:paraId="0733DC1F" w14:textId="77777777" w:rsidR="00C1765C" w:rsidRPr="00820C89" w:rsidRDefault="00C1765C" w:rsidP="00C1765C">
      <w:pPr>
        <w:rPr>
          <w:color w:val="000000" w:themeColor="text1"/>
          <w:lang w:val="da-DK"/>
        </w:rPr>
      </w:pPr>
      <w:r w:rsidRPr="00820C89">
        <w:rPr>
          <w:b/>
          <w:color w:val="86BC25" w:themeColor="accent1"/>
          <w:lang w:val="da-DK"/>
        </w:rPr>
        <w:t>2. Understand</w:t>
      </w:r>
      <w:r w:rsidRPr="00820C89">
        <w:rPr>
          <w:color w:val="86BC25" w:themeColor="accent1"/>
          <w:lang w:val="da-DK"/>
        </w:rPr>
        <w:t xml:space="preserve"> </w:t>
      </w:r>
      <w:r w:rsidRPr="00820C89">
        <w:rPr>
          <w:b/>
          <w:color w:val="86BC25" w:themeColor="accent1"/>
          <w:lang w:val="da-DK"/>
        </w:rPr>
        <w:t>program impact and effectiveness:</w:t>
      </w:r>
      <w:r w:rsidRPr="00820C89">
        <w:rPr>
          <w:bCs/>
          <w:lang w:val="da-DK"/>
        </w:rPr>
        <w:t xml:space="preserve"> </w:t>
      </w:r>
      <w:r w:rsidRPr="00820C89">
        <w:rPr>
          <w:color w:val="000000" w:themeColor="text1"/>
          <w:lang w:val="da-DK"/>
        </w:rPr>
        <w:t>Understand the outcomes (intended and unintended) that the IEPs have created, and the factors that explain the achievement and non-achievement of outcomes – including size, funding, region and relationship with other programs.</w:t>
      </w:r>
    </w:p>
    <w:p w14:paraId="6B904423" w14:textId="77777777" w:rsidR="00C1765C" w:rsidRPr="00820C89" w:rsidRDefault="00C1765C" w:rsidP="00C1765C">
      <w:pPr>
        <w:rPr>
          <w:color w:val="000000" w:themeColor="text1"/>
          <w:lang w:val="da-DK"/>
        </w:rPr>
      </w:pPr>
      <w:r w:rsidRPr="00820C89">
        <w:rPr>
          <w:b/>
          <w:color w:val="86BC25" w:themeColor="accent1"/>
          <w:lang w:val="da-DK"/>
        </w:rPr>
        <w:t>3. Understand policy implications and potential for future impact</w:t>
      </w:r>
      <w:r w:rsidRPr="00820C89">
        <w:rPr>
          <w:color w:val="86BC25" w:themeColor="accent1"/>
          <w:lang w:val="da-DK"/>
        </w:rPr>
        <w:t>:</w:t>
      </w:r>
      <w:r w:rsidRPr="00820C89">
        <w:rPr>
          <w:bCs/>
          <w:lang w:val="da-DK"/>
        </w:rPr>
        <w:t xml:space="preserve"> </w:t>
      </w:r>
      <w:r w:rsidRPr="00820C89">
        <w:rPr>
          <w:color w:val="000000" w:themeColor="text1"/>
          <w:lang w:val="da-DK"/>
        </w:rPr>
        <w:t xml:space="preserve">Understand how the IEPs could be improved to increase impact and what the implications are for the design and implementation of future programs. </w:t>
      </w:r>
    </w:p>
    <w:p w14:paraId="1892D95F" w14:textId="77777777" w:rsidR="00C1765C" w:rsidRPr="00820C89" w:rsidRDefault="00C1765C" w:rsidP="00C1765C">
      <w:r w:rsidRPr="00820C89">
        <w:t xml:space="preserve">Both TAEG Employment and the VTEC initiatives have evolved since their establishment. While prior incarnations of the programs will provide important historical context, and be considered by the evaluation as such, previous iterations of the programs will not be evaluated. The evaluation will consider each of the in-scope programs in their current form. As such, this includes all EPIs </w:t>
      </w:r>
      <w:r w:rsidRPr="00820C89">
        <w:lastRenderedPageBreak/>
        <w:t xml:space="preserve">from March 2015, VTECs from January 2014, but only TAEGs as at July 2016 (revised program date) onwards.   </w:t>
      </w:r>
    </w:p>
    <w:p w14:paraId="54A9BF4B" w14:textId="77777777" w:rsidR="00C1765C" w:rsidRPr="00820C89" w:rsidRDefault="00C1765C" w:rsidP="00C1765C">
      <w:pPr>
        <w:rPr>
          <w:bCs/>
        </w:rPr>
      </w:pPr>
      <w:r w:rsidRPr="00820C89">
        <w:t xml:space="preserve">Overall, this means the scope of the evaluation is quite broad. In line with the objectives of the evaluation, investigation of strategic insights will be prioritised over observations related to specific aspects of individual programs. Prioritisation of lines of inquiry or evaluation sub-questions will be continuously refined throughout the evaluation process, taking into account emerging findings, and advice from Indigenous leadership and participants.  </w:t>
      </w:r>
    </w:p>
    <w:p w14:paraId="0F1C796A" w14:textId="77777777" w:rsidR="00C1765C" w:rsidRPr="00820C89" w:rsidRDefault="00C1765C" w:rsidP="00715F70">
      <w:pPr>
        <w:pStyle w:val="Heading2"/>
        <w:numPr>
          <w:ilvl w:val="1"/>
          <w:numId w:val="12"/>
        </w:numPr>
        <w:tabs>
          <w:tab w:val="num" w:pos="1492"/>
        </w:tabs>
        <w:spacing w:after="60"/>
        <w:ind w:left="1492" w:hanging="360"/>
      </w:pPr>
      <w:bookmarkStart w:id="346" w:name="_Toc37099372"/>
      <w:bookmarkStart w:id="347" w:name="_Toc37177367"/>
      <w:bookmarkStart w:id="348" w:name="_Toc45206327"/>
      <w:bookmarkStart w:id="349" w:name="_Toc82694504"/>
      <w:bookmarkStart w:id="350" w:name="_Toc82710803"/>
      <w:bookmarkStart w:id="351" w:name="_Toc101343328"/>
      <w:r w:rsidRPr="00820C89">
        <w:t>Evaluation principles</w:t>
      </w:r>
      <w:bookmarkEnd w:id="346"/>
      <w:bookmarkEnd w:id="347"/>
      <w:bookmarkEnd w:id="348"/>
      <w:bookmarkEnd w:id="349"/>
      <w:bookmarkEnd w:id="350"/>
      <w:bookmarkEnd w:id="351"/>
    </w:p>
    <w:p w14:paraId="526A90D4" w14:textId="77777777" w:rsidR="00C1765C" w:rsidRPr="00820C89" w:rsidRDefault="00C1765C" w:rsidP="00C1765C">
      <w:pPr>
        <w:spacing w:before="60" w:after="60"/>
      </w:pPr>
      <w:r w:rsidRPr="00820C89">
        <w:t xml:space="preserve">SVA Consulting proposed four key principles to guide this evaluation (SVA Consulting, 2019). These principles have been refined to reflect feedback from the IEC, findings from the Productivity Commission’s Indigenous Evaluation Strategy Issues Paper (2019) and Deloitte Access Economics’ approach to evaluation and engagement with Indigenous policy development. They are also designed to complement and act in conjunction with the NIAA’s IAS Evaluation Framework </w:t>
      </w:r>
      <w:r w:rsidRPr="00820C89" w:rsidDel="00545872">
        <w:t>(</w:t>
      </w:r>
      <w:r w:rsidRPr="00820C89">
        <w:t xml:space="preserve">Australian Government, 2020). Of particular importance to the evaluation design is the need and opportunity to prioritise Indigenous perspectives, and the IAS evaluation framework provides guidance on this, as set out in Box 2.1. </w:t>
      </w:r>
    </w:p>
    <w:p w14:paraId="5D42ED21" w14:textId="77777777" w:rsidR="00C1765C" w:rsidRPr="00820C89" w:rsidRDefault="00C1765C" w:rsidP="00C1765C">
      <w:pPr>
        <w:pStyle w:val="CaptionFigure"/>
        <w:numPr>
          <w:ilvl w:val="0"/>
          <w:numId w:val="0"/>
        </w:numPr>
      </w:pPr>
      <w:r w:rsidRPr="00820C89">
        <w:rPr>
          <w:noProof/>
          <w:lang w:eastAsia="en-AU"/>
        </w:rPr>
        <mc:AlternateContent>
          <mc:Choice Requires="wps">
            <w:drawing>
              <wp:anchor distT="45720" distB="45720" distL="114300" distR="114300" simplePos="0" relativeHeight="251658275" behindDoc="0" locked="0" layoutInCell="1" allowOverlap="1" wp14:anchorId="4AC6B778" wp14:editId="1E0D0043">
                <wp:simplePos x="0" y="0"/>
                <wp:positionH relativeFrom="margin">
                  <wp:align>left</wp:align>
                </wp:positionH>
                <wp:positionV relativeFrom="paragraph">
                  <wp:posOffset>328295</wp:posOffset>
                </wp:positionV>
                <wp:extent cx="5600700" cy="2038350"/>
                <wp:effectExtent l="0" t="0" r="0" b="0"/>
                <wp:wrapSquare wrapText="bothSides"/>
                <wp:docPr id="1489793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038350"/>
                        </a:xfrm>
                        <a:prstGeom prst="rect">
                          <a:avLst/>
                        </a:prstGeom>
                        <a:solidFill>
                          <a:schemeClr val="accent3">
                            <a:lumMod val="20000"/>
                            <a:lumOff val="80000"/>
                          </a:schemeClr>
                        </a:solidFill>
                        <a:ln w="9525">
                          <a:noFill/>
                          <a:miter lim="800000"/>
                          <a:headEnd/>
                          <a:tailEnd/>
                        </a:ln>
                      </wps:spPr>
                      <wps:txbx>
                        <w:txbxContent>
                          <w:p w14:paraId="311F6C15" w14:textId="77777777" w:rsidR="00F1362E" w:rsidRPr="005C5ED6" w:rsidRDefault="00F1362E" w:rsidP="00C1765C">
                            <w:r w:rsidRPr="005C5ED6">
                              <w:t xml:space="preserve">The </w:t>
                            </w:r>
                            <w:r>
                              <w:t>IAS Evaluation Framework (2018)</w:t>
                            </w:r>
                            <w:r w:rsidRPr="005C5ED6" w:rsidDel="00A96414">
                              <w:t xml:space="preserve"> </w:t>
                            </w:r>
                            <w:r w:rsidRPr="005C5ED6">
                              <w:t>emphasis</w:t>
                            </w:r>
                            <w:r>
                              <w:t>es:</w:t>
                            </w:r>
                            <w:r w:rsidRPr="005C5ED6">
                              <w:t xml:space="preserve"> </w:t>
                            </w:r>
                          </w:p>
                          <w:p w14:paraId="1D82266A" w14:textId="77777777" w:rsidR="00F1362E" w:rsidRDefault="00F1362E" w:rsidP="00C1765C">
                            <w:pPr>
                              <w:pStyle w:val="ListBullet"/>
                              <w:spacing w:before="60" w:after="60"/>
                              <w:contextualSpacing w:val="0"/>
                            </w:pPr>
                            <w:r w:rsidRPr="00A71B1B">
                              <w:t xml:space="preserve">Recognising the strengths of Aboriginal and Torres Strait Islander communities and cultures, working collaboratively should be an integral evaluation activity. </w:t>
                            </w:r>
                          </w:p>
                          <w:p w14:paraId="2508809C" w14:textId="77777777" w:rsidR="00F1362E" w:rsidRPr="00A71B1B" w:rsidRDefault="00F1362E" w:rsidP="00C1765C">
                            <w:pPr>
                              <w:pStyle w:val="ListBullet"/>
                              <w:spacing w:before="60" w:after="60"/>
                              <w:contextualSpacing w:val="0"/>
                            </w:pPr>
                            <w:r w:rsidRPr="00A71B1B">
                              <w:t xml:space="preserve">Collaboration across different areas of expertise contributes to solving complex problems. As such, the collective views of Indigenous Australians, service providers and academics should be sought. </w:t>
                            </w:r>
                          </w:p>
                          <w:p w14:paraId="523A9AD1" w14:textId="77777777" w:rsidR="00F1362E" w:rsidRPr="00A71B1B" w:rsidRDefault="00F1362E" w:rsidP="00C1765C">
                            <w:pPr>
                              <w:pStyle w:val="ListBullet"/>
                              <w:spacing w:before="60" w:after="60"/>
                              <w:contextualSpacing w:val="0"/>
                            </w:pPr>
                            <w:r w:rsidRPr="00A71B1B">
                              <w:t xml:space="preserve">Evaluation design should integrate community values, knowledge and perspectives to ensure findings are useful, credible and helpful. </w:t>
                            </w:r>
                          </w:p>
                          <w:p w14:paraId="2D521BF8" w14:textId="77777777" w:rsidR="00F1362E" w:rsidRPr="00A71B1B" w:rsidRDefault="00F1362E" w:rsidP="00C1765C">
                            <w:pPr>
                              <w:pStyle w:val="ListBullet"/>
                              <w:spacing w:before="60" w:after="60"/>
                              <w:contextualSpacing w:val="0"/>
                            </w:pPr>
                            <w:r w:rsidRPr="00A71B1B">
                              <w:t>Knowledge translation will provide evidence of learning and integration of evaluation towards improvement – including generating and sharing transferable 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6B778" id="_x0000_t202" coordsize="21600,21600" o:spt="202" path="m,l,21600r21600,l21600,xe">
                <v:stroke joinstyle="miter"/>
                <v:path gradientshapeok="t" o:connecttype="rect"/>
              </v:shapetype>
              <v:shape id="Text Box 2" o:spid="_x0000_s1026" type="#_x0000_t202" style="position:absolute;margin-left:0;margin-top:25.85pt;width:441pt;height:160.5pt;z-index:25165827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" fillcolor="#dff0f9 [662]" stroked="f">
                <v:textbox>
                  <w:txbxContent>
                    <w:p w14:paraId="311F6C15" w14:textId="77777777" w:rsidR="00F1362E" w:rsidRPr="005C5ED6" w:rsidRDefault="00F1362E" w:rsidP="00C1765C">
                      <w:r w:rsidRPr="005C5ED6">
                        <w:t xml:space="preserve">The </w:t>
                      </w:r>
                      <w:r>
                        <w:t>IAS Evaluation Framework (2018)</w:t>
                      </w:r>
                      <w:r w:rsidRPr="005C5ED6" w:rsidDel="00A96414">
                        <w:t xml:space="preserve"> </w:t>
                      </w:r>
                      <w:r w:rsidRPr="005C5ED6">
                        <w:t>emphasis</w:t>
                      </w:r>
                      <w:r>
                        <w:t>es:</w:t>
                      </w:r>
                      <w:r w:rsidRPr="005C5ED6">
                        <w:t xml:space="preserve"> </w:t>
                      </w:r>
                    </w:p>
                    <w:p w14:paraId="1D82266A" w14:textId="77777777" w:rsidR="00F1362E" w:rsidRDefault="00F1362E" w:rsidP="00C1765C">
                      <w:pPr>
                        <w:pStyle w:val="ListBullet"/>
                        <w:spacing w:before="60" w:after="60"/>
                        <w:contextualSpacing w:val="0"/>
                      </w:pPr>
                      <w:r w:rsidRPr="00A71B1B">
                        <w:t xml:space="preserve">Recognising the strengths of Aboriginal and Torres Strait Islander communities and cultures, working collaboratively should be an integral evaluation activity. </w:t>
                      </w:r>
                    </w:p>
                    <w:p w14:paraId="2508809C" w14:textId="77777777" w:rsidR="00F1362E" w:rsidRPr="00A71B1B" w:rsidRDefault="00F1362E" w:rsidP="00C1765C">
                      <w:pPr>
                        <w:pStyle w:val="ListBullet"/>
                        <w:spacing w:before="60" w:after="60"/>
                        <w:contextualSpacing w:val="0"/>
                      </w:pPr>
                      <w:r w:rsidRPr="00A71B1B">
                        <w:t xml:space="preserve">Collaboration across different areas of expertise contributes to solving complex problems. As such, the collective views of Indigenous Australians, service providers and academics should be sought. </w:t>
                      </w:r>
                    </w:p>
                    <w:p w14:paraId="523A9AD1" w14:textId="77777777" w:rsidR="00F1362E" w:rsidRPr="00A71B1B" w:rsidRDefault="00F1362E" w:rsidP="00C1765C">
                      <w:pPr>
                        <w:pStyle w:val="ListBullet"/>
                        <w:spacing w:before="60" w:after="60"/>
                        <w:contextualSpacing w:val="0"/>
                      </w:pPr>
                      <w:r w:rsidRPr="00A71B1B">
                        <w:t xml:space="preserve">Evaluation design should integrate community values, knowledge and perspectives to ensure findings are useful, credible and helpful. </w:t>
                      </w:r>
                    </w:p>
                    <w:p w14:paraId="2D521BF8" w14:textId="77777777" w:rsidR="00F1362E" w:rsidRPr="00A71B1B" w:rsidRDefault="00F1362E" w:rsidP="00C1765C">
                      <w:pPr>
                        <w:pStyle w:val="ListBullet"/>
                        <w:spacing w:before="60" w:after="60"/>
                        <w:contextualSpacing w:val="0"/>
                      </w:pPr>
                      <w:r w:rsidRPr="00A71B1B">
                        <w:t>Knowledge translation will provide evidence of learning and integration of evaluation towards improvement – including generating and sharing transferable knowledge.</w:t>
                      </w:r>
                    </w:p>
                  </w:txbxContent>
                </v:textbox>
                <w10:wrap type="square" anchorx="margin"/>
              </v:shape>
            </w:pict>
          </mc:Fallback>
        </mc:AlternateContent>
      </w:r>
      <w:r w:rsidRPr="00820C89">
        <w:t xml:space="preserve">Box 2.1: The Indigenous Advancement Strategy (IAS) </w:t>
      </w:r>
    </w:p>
    <w:p w14:paraId="6B8FFC34" w14:textId="77777777" w:rsidR="00C1765C" w:rsidRPr="00820C89" w:rsidRDefault="00C1765C" w:rsidP="00C1765C">
      <w:r w:rsidRPr="00820C89">
        <w:t xml:space="preserve">At all times, data collection, analysis and reporting will be undertaken with reference to these evaluation principles. These principles articulate shared expectations regarding the approach. They will be used to guide decisions in relation to method and approach, and to highlight where trade-offs may occur. </w:t>
      </w:r>
    </w:p>
    <w:p w14:paraId="0DCB4257" w14:textId="77777777" w:rsidR="00C1765C" w:rsidRPr="00820C89" w:rsidRDefault="00C1765C" w:rsidP="00C1765C">
      <w:r w:rsidRPr="00820C89">
        <w:t xml:space="preserve">The guiding principles for this evaluation are: </w:t>
      </w:r>
    </w:p>
    <w:p w14:paraId="49BCC95D" w14:textId="77777777" w:rsidR="00C1765C" w:rsidRPr="00820C89" w:rsidRDefault="00C1765C" w:rsidP="00715F70">
      <w:pPr>
        <w:pStyle w:val="ListParagraph"/>
        <w:numPr>
          <w:ilvl w:val="0"/>
          <w:numId w:val="111"/>
        </w:numPr>
        <w:spacing w:before="60" w:after="60"/>
        <w:ind w:left="357" w:hanging="357"/>
        <w:contextualSpacing w:val="0"/>
      </w:pPr>
      <w:r w:rsidRPr="00820C89">
        <w:rPr>
          <w:b/>
          <w:bCs/>
          <w:color w:val="86BC25" w:themeColor="accent1"/>
        </w:rPr>
        <w:t>A robust method to support evidence-based decision-making and program improvements.</w:t>
      </w:r>
      <w:r w:rsidRPr="00820C89">
        <w:rPr>
          <w:color w:val="86BC25" w:themeColor="accent1"/>
        </w:rPr>
        <w:t xml:space="preserve"> </w:t>
      </w:r>
      <w:r w:rsidRPr="00820C89">
        <w:t>This evaluation aims to generate evidence-based insights that will help strengthen the practices of EPI, VTEC and TAEG Employment. Robust methods of data analysis will be used to understand the programs’ set-up and implementation, the factors that have influenced success, and the potential for future improvements. The evaluation will seek to share knowledge and thinking as it develops (and as appropriate), supporting decision making cycles and partnership with the NIAA.</w:t>
      </w:r>
    </w:p>
    <w:p w14:paraId="6A85D2BE" w14:textId="77777777" w:rsidR="00C1765C" w:rsidRPr="00820C89" w:rsidRDefault="00C1765C" w:rsidP="00C1765C">
      <w:pPr>
        <w:pStyle w:val="ListParagraph"/>
        <w:spacing w:before="60" w:after="60"/>
        <w:contextualSpacing w:val="0"/>
      </w:pPr>
      <w:r w:rsidRPr="00820C89">
        <w:rPr>
          <w:i/>
        </w:rPr>
        <w:t xml:space="preserve">This is aligned with the IAS’s (2018) best practice evaluation principle of ‘evidence-based’ which dictates that ‘robust evaluation methodologies and analytical methods are used to understand programs in real-world settings, and to inform program design and implementation’. </w:t>
      </w:r>
    </w:p>
    <w:p w14:paraId="2AF2BAAF" w14:textId="77777777" w:rsidR="00C1765C" w:rsidRPr="00820C89" w:rsidRDefault="00C1765C" w:rsidP="00715F70">
      <w:pPr>
        <w:pStyle w:val="ListParagraph"/>
        <w:numPr>
          <w:ilvl w:val="0"/>
          <w:numId w:val="111"/>
        </w:numPr>
        <w:spacing w:before="60" w:after="60"/>
        <w:ind w:left="357" w:hanging="357"/>
        <w:contextualSpacing w:val="0"/>
      </w:pPr>
      <w:r w:rsidRPr="00820C89">
        <w:rPr>
          <w:b/>
          <w:bCs/>
          <w:color w:val="86BC25" w:themeColor="accent1"/>
        </w:rPr>
        <w:t>Prioritisation of Indigenous experience, perspectives and knowledge frameworks.</w:t>
      </w:r>
      <w:r w:rsidRPr="00820C89">
        <w:t xml:space="preserve"> Evaluation activities will be informed and framed by the knowledge and perspectives of </w:t>
      </w:r>
      <w:r w:rsidRPr="00820C89">
        <w:lastRenderedPageBreak/>
        <w:t>Indigenous people. The evaluation will incorporate participatory processes</w:t>
      </w:r>
      <w:r w:rsidRPr="00820C89">
        <w:rPr>
          <w:rStyle w:val="FootnoteReference"/>
        </w:rPr>
        <w:footnoteReference w:id="309"/>
      </w:r>
      <w:r w:rsidRPr="00820C89">
        <w:t xml:space="preserve"> to ensure these perspectives are captured and understood, and triangulated with existing program data held by government. </w:t>
      </w:r>
    </w:p>
    <w:p w14:paraId="3CF0A87C" w14:textId="77777777" w:rsidR="00C1765C" w:rsidRPr="00820C89" w:rsidRDefault="00C1765C" w:rsidP="00C1765C">
      <w:pPr>
        <w:pStyle w:val="ListParagraph"/>
        <w:spacing w:before="60" w:after="60"/>
        <w:contextualSpacing w:val="0"/>
      </w:pPr>
      <w:r w:rsidRPr="00820C89">
        <w:rPr>
          <w:i/>
        </w:rPr>
        <w:t>Th</w:t>
      </w:r>
      <w:r w:rsidRPr="00820C89">
        <w:rPr>
          <w:bCs/>
          <w:i/>
        </w:rPr>
        <w:t xml:space="preserve">is is aligned with the Productivity Commission’s (2020) overarching principle of ‘centring Aboriginal and Torres Strait Islander people, perspectives, priorities and knowledges’.  </w:t>
      </w:r>
    </w:p>
    <w:p w14:paraId="777C7FE0" w14:textId="77777777" w:rsidR="00C1765C" w:rsidRPr="00820C89" w:rsidRDefault="00C1765C" w:rsidP="00715F70">
      <w:pPr>
        <w:pStyle w:val="ListParagraph"/>
        <w:numPr>
          <w:ilvl w:val="0"/>
          <w:numId w:val="111"/>
        </w:numPr>
        <w:spacing w:before="60" w:after="60"/>
        <w:ind w:left="357" w:hanging="357"/>
        <w:contextualSpacing w:val="0"/>
      </w:pPr>
      <w:r w:rsidRPr="00820C89">
        <w:rPr>
          <w:b/>
          <w:bCs/>
          <w:color w:val="86BC25" w:themeColor="accent1"/>
        </w:rPr>
        <w:t>Reflecting the place-based nature of programs and providers</w:t>
      </w:r>
      <w:r w:rsidRPr="00820C89">
        <w:t>. Evaluation activities will recognise the variances across communities, locations, industries and providers, as well as the challenges associated with generalisability across evaluation findings. This evaluation’s approach to data collection and analysis will incorporate a mix of breadth and depth, to drive authentic and tangible findings.</w:t>
      </w:r>
    </w:p>
    <w:p w14:paraId="7E42A49D" w14:textId="77777777" w:rsidR="00C1765C" w:rsidRPr="00820C89" w:rsidRDefault="00C1765C" w:rsidP="00C1765C">
      <w:pPr>
        <w:pStyle w:val="ListParagraph"/>
        <w:spacing w:before="60" w:after="60"/>
        <w:contextualSpacing w:val="0"/>
        <w:rPr>
          <w:i/>
        </w:rPr>
      </w:pPr>
      <w:r w:rsidRPr="00820C89">
        <w:rPr>
          <w:i/>
        </w:rPr>
        <w:t xml:space="preserve">This is aligned with the IAS’s (2018) best practice evaluation principle of ‘impact focused’, which states that evaluations should rigorously test the causal explanations for program effectiveness across varying community and organisational settings. </w:t>
      </w:r>
    </w:p>
    <w:p w14:paraId="5DB21F22" w14:textId="77777777" w:rsidR="00C1765C" w:rsidRPr="00820C89" w:rsidRDefault="00C1765C" w:rsidP="00715F70">
      <w:pPr>
        <w:pStyle w:val="ListParagraph"/>
        <w:numPr>
          <w:ilvl w:val="0"/>
          <w:numId w:val="111"/>
        </w:numPr>
        <w:spacing w:before="60" w:after="60"/>
        <w:ind w:left="357" w:hanging="357"/>
        <w:contextualSpacing w:val="0"/>
      </w:pPr>
      <w:r w:rsidRPr="00820C89">
        <w:rPr>
          <w:b/>
          <w:bCs/>
          <w:color w:val="86BC25" w:themeColor="accent1"/>
        </w:rPr>
        <w:t>Pragmatism.</w:t>
      </w:r>
      <w:r w:rsidRPr="00820C89">
        <w:t xml:space="preserve"> Evaluation methodologies will balance rigour in the measurement and attribution of outcomes with the efficient use of time and resources, and availability of data. The evaluation framework, presenting agreed priority areas for the evaluation, will guide decision making. Insights and knowledge gathered tangential to the evaluation priorities will be considered and shared in appropriate formats.</w:t>
      </w:r>
    </w:p>
    <w:p w14:paraId="15613E2F" w14:textId="77777777" w:rsidR="00C1765C" w:rsidRPr="00820C89" w:rsidRDefault="00C1765C" w:rsidP="00C1765C">
      <w:pPr>
        <w:pStyle w:val="ListParagraph"/>
        <w:spacing w:before="60" w:after="60"/>
        <w:contextualSpacing w:val="0"/>
        <w:rPr>
          <w:i/>
        </w:rPr>
      </w:pPr>
      <w:r w:rsidRPr="00820C89">
        <w:rPr>
          <w:i/>
        </w:rPr>
        <w:t xml:space="preserve">This is aligned with the Productivity Commission’s (2020) ‘useful’ principle, which notes that evaluation findings should inform policy and program decisions. </w:t>
      </w:r>
    </w:p>
    <w:p w14:paraId="4E9B5AF4" w14:textId="77777777" w:rsidR="00C1765C" w:rsidRPr="00820C89" w:rsidRDefault="00C1765C" w:rsidP="00715F70">
      <w:pPr>
        <w:pStyle w:val="ListParagraph"/>
        <w:numPr>
          <w:ilvl w:val="0"/>
          <w:numId w:val="111"/>
        </w:numPr>
        <w:spacing w:before="60" w:after="60"/>
        <w:ind w:left="357" w:hanging="357"/>
        <w:contextualSpacing w:val="0"/>
      </w:pPr>
      <w:r w:rsidRPr="00820C89">
        <w:rPr>
          <w:b/>
          <w:bCs/>
          <w:color w:val="86BC25" w:themeColor="accent1"/>
        </w:rPr>
        <w:t>Taking a participant-centric approach.</w:t>
      </w:r>
      <w:r w:rsidRPr="00820C89">
        <w:t xml:space="preserve"> The evaluation will be designed with participants at the centre. As far as practically possible, while still generating meaningful data insights and findings, evaluation activities will be undertaken in ways that are most useful and least disruptive for participants. This will include engaging participants in ways that are inclusive of, and responsive to, local Indigenous traditions and cultures. As appropriate, data collected will be shared back with participants, validating findings and ensuring data sovereignty. </w:t>
      </w:r>
    </w:p>
    <w:p w14:paraId="38FD203A" w14:textId="77777777" w:rsidR="00C1765C" w:rsidRPr="00820C89" w:rsidRDefault="00C1765C" w:rsidP="00C1765C">
      <w:pPr>
        <w:pStyle w:val="ListParagraph"/>
        <w:spacing w:before="60" w:after="60"/>
        <w:contextualSpacing w:val="0"/>
        <w:rPr>
          <w:i/>
        </w:rPr>
      </w:pPr>
      <w:r w:rsidRPr="00820C89">
        <w:rPr>
          <w:i/>
        </w:rPr>
        <w:t xml:space="preserve">This is largely aligned with the IAS’s (2018) best practice evaluation principle of ‘fit-for-purpose’ that ensures that evaluation is responsive to place and is appropriate to the Indigenous communities where the programs are implemented, and the scale of effort and resources demanded by the evaluation are proportional to its potential significance and impacts. </w:t>
      </w:r>
    </w:p>
    <w:p w14:paraId="61CA25E3" w14:textId="77777777" w:rsidR="00C1765C" w:rsidRPr="00820C89" w:rsidRDefault="00C1765C" w:rsidP="00C1765C">
      <w:r w:rsidRPr="00820C89">
        <w:t>These principles, supported by Deloitte’s Indigenous Leadership Group and the Gaimaragal Group, will form the basis of our evaluative approach.</w:t>
      </w:r>
    </w:p>
    <w:p w14:paraId="231C66FC" w14:textId="77777777" w:rsidR="00C1765C" w:rsidRPr="00820C89" w:rsidRDefault="00C1765C" w:rsidP="00715F70">
      <w:pPr>
        <w:pStyle w:val="Heading2"/>
        <w:numPr>
          <w:ilvl w:val="1"/>
          <w:numId w:val="12"/>
        </w:numPr>
        <w:tabs>
          <w:tab w:val="num" w:pos="1492"/>
        </w:tabs>
        <w:spacing w:after="60" w:line="276" w:lineRule="auto"/>
        <w:ind w:left="1492" w:hanging="360"/>
      </w:pPr>
      <w:bookmarkStart w:id="352" w:name="_Toc45206328"/>
      <w:bookmarkStart w:id="353" w:name="_Toc82694505"/>
      <w:bookmarkStart w:id="354" w:name="_Toc82710804"/>
      <w:bookmarkStart w:id="355" w:name="_Toc101343329"/>
      <w:r w:rsidRPr="00820C89">
        <w:t>Evaluation approach</w:t>
      </w:r>
      <w:bookmarkEnd w:id="352"/>
      <w:bookmarkEnd w:id="353"/>
      <w:bookmarkEnd w:id="354"/>
      <w:bookmarkEnd w:id="355"/>
    </w:p>
    <w:p w14:paraId="13A78C25" w14:textId="69E7269B" w:rsidR="00C1765C" w:rsidRPr="00820C89" w:rsidRDefault="00C1765C" w:rsidP="00C1765C">
      <w:pPr>
        <w:spacing w:line="276" w:lineRule="auto"/>
        <w:rPr>
          <w:rFonts w:eastAsia="Verdana" w:cs="Times New Roman"/>
        </w:rPr>
      </w:pPr>
      <w:r w:rsidRPr="00820C89">
        <w:rPr>
          <w:rFonts w:eastAsia="Verdana" w:cs="Times New Roman"/>
        </w:rPr>
        <w:t xml:space="preserve">In order to evaluate IEPs across evaluation objectives and within the context described, several evaluation designs and methods have been combined to answer particular evaluation questions. The specifics of these analytical approaches are detailed later in Section </w:t>
      </w:r>
      <w:r w:rsidRPr="00820C89">
        <w:rPr>
          <w:rFonts w:eastAsia="Verdana" w:cs="Times New Roman"/>
        </w:rPr>
        <w:fldChar w:fldCharType="begin"/>
      </w:r>
      <w:r w:rsidRPr="00820C89">
        <w:rPr>
          <w:rFonts w:eastAsia="Verdana" w:cs="Times New Roman"/>
        </w:rPr>
        <w:instrText xml:space="preserve"> REF _Ref43484862 \r \h </w:instrText>
      </w:r>
      <w:r w:rsidR="00820C89">
        <w:rPr>
          <w:rFonts w:eastAsia="Verdana" w:cs="Times New Roman"/>
        </w:rPr>
        <w:instrText xml:space="preserve"> \* MERGEFORMAT </w:instrText>
      </w:r>
      <w:r w:rsidRPr="00820C89">
        <w:rPr>
          <w:rFonts w:eastAsia="Verdana" w:cs="Times New Roman"/>
        </w:rPr>
      </w:r>
      <w:r w:rsidRPr="00820C89">
        <w:rPr>
          <w:rFonts w:eastAsia="Verdana" w:cs="Times New Roman"/>
        </w:rPr>
        <w:fldChar w:fldCharType="separate"/>
      </w:r>
      <w:r w:rsidR="008565C8">
        <w:rPr>
          <w:rFonts w:eastAsia="Verdana" w:cs="Times New Roman"/>
        </w:rPr>
        <w:t>2</w:t>
      </w:r>
      <w:r w:rsidRPr="00820C89">
        <w:rPr>
          <w:rFonts w:eastAsia="Verdana" w:cs="Times New Roman"/>
        </w:rPr>
        <w:fldChar w:fldCharType="end"/>
      </w:r>
      <w:r w:rsidRPr="00820C89">
        <w:rPr>
          <w:rFonts w:eastAsia="Verdana" w:cs="Times New Roman"/>
        </w:rPr>
        <w:t xml:space="preserve"> and </w:t>
      </w:r>
      <w:r w:rsidRPr="00820C89">
        <w:rPr>
          <w:rFonts w:eastAsia="Verdana" w:cs="Times New Roman"/>
        </w:rPr>
        <w:fldChar w:fldCharType="begin"/>
      </w:r>
      <w:r w:rsidRPr="00820C89">
        <w:rPr>
          <w:rFonts w:eastAsia="Verdana" w:cs="Times New Roman"/>
        </w:rPr>
        <w:instrText xml:space="preserve"> REF _Ref43455305 \r \h </w:instrText>
      </w:r>
      <w:r w:rsidR="00820C89">
        <w:rPr>
          <w:rFonts w:eastAsia="Verdana" w:cs="Times New Roman"/>
        </w:rPr>
        <w:instrText xml:space="preserve"> \* MERGEFORMAT </w:instrText>
      </w:r>
      <w:r w:rsidRPr="00820C89">
        <w:rPr>
          <w:rFonts w:eastAsia="Verdana" w:cs="Times New Roman"/>
        </w:rPr>
      </w:r>
      <w:r w:rsidRPr="00820C89">
        <w:rPr>
          <w:rFonts w:eastAsia="Verdana" w:cs="Times New Roman"/>
        </w:rPr>
        <w:fldChar w:fldCharType="separate"/>
      </w:r>
      <w:r w:rsidR="008565C8">
        <w:rPr>
          <w:rFonts w:eastAsia="Verdana" w:cs="Times New Roman"/>
        </w:rPr>
        <w:t>3</w:t>
      </w:r>
      <w:r w:rsidRPr="00820C89">
        <w:rPr>
          <w:rFonts w:eastAsia="Verdana" w:cs="Times New Roman"/>
        </w:rPr>
        <w:fldChar w:fldCharType="end"/>
      </w:r>
      <w:r w:rsidRPr="00820C89">
        <w:rPr>
          <w:rFonts w:eastAsia="Verdana" w:cs="Times New Roman"/>
        </w:rPr>
        <w:t>, while the following discussion provides an overview of the theoretical approach that underpins these analytical decisions.</w:t>
      </w:r>
    </w:p>
    <w:p w14:paraId="1DB81C91" w14:textId="77777777" w:rsidR="00C1765C" w:rsidRPr="00820C89" w:rsidRDefault="00C1765C" w:rsidP="00C1765C">
      <w:pPr>
        <w:spacing w:line="276" w:lineRule="auto"/>
        <w:rPr>
          <w:rFonts w:eastAsia="Verdana" w:cs="Times New Roman"/>
        </w:rPr>
      </w:pPr>
      <w:r w:rsidRPr="00820C89">
        <w:rPr>
          <w:rFonts w:eastAsia="Verdana" w:cs="Times New Roman"/>
        </w:rPr>
        <w:t xml:space="preserve">This evaluation focuses first and foremost on understanding program impact and it does so by combining both </w:t>
      </w:r>
      <w:r w:rsidRPr="00820C89">
        <w:rPr>
          <w:rFonts w:eastAsia="Verdana" w:cs="Times New Roman"/>
          <w:b/>
          <w:bCs/>
          <w:color w:val="86BC25" w:themeColor="accent1"/>
        </w:rPr>
        <w:t>realist theory-based</w:t>
      </w:r>
      <w:r w:rsidRPr="00820C89">
        <w:rPr>
          <w:rFonts w:eastAsia="Verdana" w:cs="Times New Roman"/>
          <w:color w:val="86BC25" w:themeColor="accent1"/>
        </w:rPr>
        <w:t xml:space="preserve"> </w:t>
      </w:r>
      <w:r w:rsidRPr="00820C89">
        <w:rPr>
          <w:rFonts w:eastAsia="Verdana" w:cs="Times New Roman"/>
        </w:rPr>
        <w:t xml:space="preserve">and </w:t>
      </w:r>
      <w:r w:rsidRPr="00820C89">
        <w:rPr>
          <w:rFonts w:eastAsia="Verdana" w:cs="Times New Roman"/>
          <w:b/>
          <w:bCs/>
          <w:color w:val="86BC25" w:themeColor="accent1"/>
        </w:rPr>
        <w:t>quasi-experimental methods</w:t>
      </w:r>
      <w:r w:rsidRPr="00820C89">
        <w:rPr>
          <w:rFonts w:eastAsia="Verdana" w:cs="Times New Roman"/>
          <w:color w:val="86BC25" w:themeColor="accent1"/>
        </w:rPr>
        <w:t xml:space="preserve"> </w:t>
      </w:r>
      <w:r w:rsidRPr="00820C89">
        <w:rPr>
          <w:rFonts w:eastAsia="Verdana" w:cs="Times New Roman"/>
        </w:rPr>
        <w:t xml:space="preserve">to understand the contexts and factors that lead to outcomes. Recognising that this evaluation exists in a cross-cultural context, participatory approaches to analysis and engagement with Indigenous people and communities will ensure that Indigenous experiences and perspectives are central and influence the way data is collected and insights are understood. </w:t>
      </w:r>
    </w:p>
    <w:p w14:paraId="3B2CB833" w14:textId="77777777" w:rsidR="00C1765C" w:rsidRPr="00820C89" w:rsidRDefault="00C1765C" w:rsidP="00C1765C">
      <w:pPr>
        <w:spacing w:line="276" w:lineRule="auto"/>
        <w:rPr>
          <w:rFonts w:eastAsia="Verdana" w:cs="Times New Roman"/>
        </w:rPr>
      </w:pPr>
      <w:r w:rsidRPr="00820C89">
        <w:rPr>
          <w:rFonts w:eastAsia="Verdana" w:cs="Times New Roman"/>
        </w:rPr>
        <w:lastRenderedPageBreak/>
        <w:t xml:space="preserve">Within this framework, it is acknowledged that the three programs interact with each other, as well as operating within a broader range of complex social systems (including but not limited to Indigenous knowledge and cultural structures, broader macroeconomic and social structures, government programs, mainstream employment programs, and mainstream policy constructs such as Indigenous employment targets). </w:t>
      </w:r>
    </w:p>
    <w:p w14:paraId="3DA347FB" w14:textId="77777777" w:rsidR="00C1765C" w:rsidRPr="00820C89" w:rsidRDefault="00C1765C" w:rsidP="00C1765C">
      <w:pPr>
        <w:spacing w:line="276" w:lineRule="auto"/>
        <w:rPr>
          <w:rFonts w:eastAsia="Verdana" w:cs="Times New Roman"/>
        </w:rPr>
      </w:pPr>
      <w:r w:rsidRPr="00820C89">
        <w:rPr>
          <w:rFonts w:eastAsia="Verdana" w:cs="Times New Roman"/>
        </w:rPr>
        <w:t xml:space="preserve">To understand how the programs operate within this environment, </w:t>
      </w:r>
      <w:r w:rsidRPr="00820C89">
        <w:rPr>
          <w:rFonts w:eastAsia="Verdana" w:cs="Times New Roman"/>
          <w:b/>
          <w:bCs/>
          <w:color w:val="86BC25" w:themeColor="accent1"/>
        </w:rPr>
        <w:t>a systems approach</w:t>
      </w:r>
      <w:r w:rsidRPr="00820C89">
        <w:rPr>
          <w:rFonts w:eastAsia="Verdana" w:cs="Times New Roman"/>
          <w:color w:val="86BC25" w:themeColor="accent1"/>
        </w:rPr>
        <w:t xml:space="preserve"> </w:t>
      </w:r>
      <w:r w:rsidRPr="00820C89">
        <w:rPr>
          <w:rFonts w:eastAsia="Verdana" w:cs="Times New Roman"/>
        </w:rPr>
        <w:t xml:space="preserve">will be utilised. The evaluation will seek to understand, and comment on – at a high level – the relationships between different actors, interventions and motivations within a system and the mechanisms through which these can be influenced or adjusted.   </w:t>
      </w:r>
    </w:p>
    <w:p w14:paraId="3C0D3EA7" w14:textId="77777777" w:rsidR="00C1765C" w:rsidRPr="00820C89" w:rsidRDefault="00C1765C" w:rsidP="00715F70">
      <w:pPr>
        <w:pStyle w:val="Heading3"/>
        <w:numPr>
          <w:ilvl w:val="2"/>
          <w:numId w:val="12"/>
        </w:numPr>
        <w:tabs>
          <w:tab w:val="num" w:pos="1492"/>
        </w:tabs>
        <w:ind w:hanging="360"/>
      </w:pPr>
      <w:bookmarkStart w:id="356" w:name="_Toc45206329"/>
      <w:r w:rsidRPr="00820C89">
        <w:t>Impact evaluation</w:t>
      </w:r>
      <w:bookmarkEnd w:id="356"/>
    </w:p>
    <w:p w14:paraId="632957AB" w14:textId="77777777" w:rsidR="00C1765C" w:rsidRPr="00820C89" w:rsidRDefault="00C1765C" w:rsidP="00C1765C">
      <w:pPr>
        <w:spacing w:line="276" w:lineRule="auto"/>
        <w:rPr>
          <w:rFonts w:eastAsia="Verdana" w:cs="Times New Roman"/>
          <w:color w:val="000000" w:themeColor="text1"/>
        </w:rPr>
      </w:pPr>
      <w:r w:rsidRPr="00820C89">
        <w:rPr>
          <w:rFonts w:eastAsia="Verdana" w:cs="Times New Roman"/>
        </w:rPr>
        <w:t xml:space="preserve">An </w:t>
      </w:r>
      <w:r w:rsidRPr="00820C89">
        <w:rPr>
          <w:rFonts w:eastAsia="Verdana" w:cs="Times New Roman"/>
          <w:b/>
          <w:bCs/>
          <w:color w:val="86BC25" w:themeColor="accent1"/>
        </w:rPr>
        <w:t>impact evaluation</w:t>
      </w:r>
      <w:r w:rsidRPr="00820C89">
        <w:rPr>
          <w:rFonts w:eastAsia="Verdana" w:cs="Times New Roman"/>
          <w:color w:val="86BC25" w:themeColor="accent1"/>
        </w:rPr>
        <w:t xml:space="preserve"> </w:t>
      </w:r>
      <w:r w:rsidRPr="00820C89">
        <w:rPr>
          <w:rFonts w:eastAsia="Verdana" w:cs="Times New Roman"/>
        </w:rPr>
        <w:t xml:space="preserve">considers the extent to which an intervention’s intended beneficiaries </w:t>
      </w:r>
      <w:r w:rsidRPr="00820C89">
        <w:rPr>
          <w:rFonts w:eastAsia="Verdana" w:cs="Times New Roman"/>
          <w:color w:val="000000" w:themeColor="text1"/>
        </w:rPr>
        <w:t>are benefiting from an intervention rather than other factors. To achieve this, impact evaluations must consider the full scope of long-term impacts of an intervention on its final beneficiaries; this includes positive and negative, direct and indirect, intended and unintended impacts.</w:t>
      </w:r>
      <w:r w:rsidRPr="00820C89">
        <w:rPr>
          <w:rStyle w:val="FootnoteReference"/>
          <w:rFonts w:eastAsia="Verdana" w:cs="Times New Roman"/>
          <w:color w:val="000000" w:themeColor="text1"/>
        </w:rPr>
        <w:footnoteReference w:id="310"/>
      </w:r>
      <w:r w:rsidRPr="00820C89">
        <w:rPr>
          <w:rFonts w:eastAsia="Verdana" w:cs="Times New Roman"/>
          <w:color w:val="000000" w:themeColor="text1"/>
        </w:rPr>
        <w:t xml:space="preserve"> In this instance, the impact that this evaluation is primarily concerned with is the influence that each program has on both employers and jobseekers/employees engaged in the program, and how this flows on to individual, community and societal outcomes.</w:t>
      </w:r>
    </w:p>
    <w:p w14:paraId="44153481" w14:textId="7B9F073B" w:rsidR="00C1765C" w:rsidRPr="00820C89" w:rsidRDefault="00C1765C" w:rsidP="00C1765C">
      <w:pPr>
        <w:spacing w:line="276" w:lineRule="auto"/>
        <w:rPr>
          <w:rFonts w:eastAsia="Verdana" w:cs="Times New Roman"/>
        </w:rPr>
      </w:pPr>
      <w:r w:rsidRPr="00820C89">
        <w:rPr>
          <w:rFonts w:eastAsia="Verdana" w:cs="Times New Roman"/>
          <w:color w:val="000000" w:themeColor="text1"/>
        </w:rPr>
        <w:t xml:space="preserve">Impact will be understood for this evaluation from both a quasi-experimental and theory-based approach. Both of these approaches rely on and will test in differing ways the IEP </w:t>
      </w:r>
      <w:r w:rsidRPr="00820C89">
        <w:rPr>
          <w:rFonts w:eastAsia="Verdana" w:cs="Times New Roman"/>
          <w:b/>
          <w:bCs/>
          <w:color w:val="86BC25" w:themeColor="accent1"/>
        </w:rPr>
        <w:t xml:space="preserve">program theory </w:t>
      </w:r>
      <w:r w:rsidRPr="00820C89">
        <w:rPr>
          <w:rFonts w:eastAsia="Verdana" w:cs="Times New Roman"/>
          <w:color w:val="000000" w:themeColor="text1"/>
        </w:rPr>
        <w:t xml:space="preserve">or </w:t>
      </w:r>
      <w:r w:rsidRPr="00820C89">
        <w:rPr>
          <w:rFonts w:eastAsia="Verdana" w:cs="Times New Roman"/>
          <w:b/>
          <w:bCs/>
          <w:color w:val="86BC25" w:themeColor="accent1"/>
        </w:rPr>
        <w:t>theory of change</w:t>
      </w:r>
      <w:r w:rsidRPr="00820C89">
        <w:rPr>
          <w:rFonts w:eastAsia="Verdana" w:cs="Times New Roman"/>
        </w:rPr>
        <w:t xml:space="preserve">. This program theory is captured by the evaluation’s program logics, which are included at different levels of granularity and interaction in Section </w:t>
      </w:r>
      <w:r w:rsidRPr="00820C89">
        <w:rPr>
          <w:rFonts w:eastAsia="Verdana" w:cs="Times New Roman"/>
        </w:rPr>
        <w:fldChar w:fldCharType="begin"/>
      </w:r>
      <w:r w:rsidRPr="00820C89">
        <w:rPr>
          <w:rFonts w:eastAsia="Verdana" w:cs="Times New Roman"/>
        </w:rPr>
        <w:instrText xml:space="preserve"> REF _Ref43472167 \r \h </w:instrText>
      </w:r>
      <w:r w:rsidR="00820C89">
        <w:rPr>
          <w:rFonts w:eastAsia="Verdana" w:cs="Times New Roman"/>
        </w:rPr>
        <w:instrText xml:space="preserve"> \* MERGEFORMAT </w:instrText>
      </w:r>
      <w:r w:rsidRPr="00820C89">
        <w:rPr>
          <w:rFonts w:eastAsia="Verdana" w:cs="Times New Roman"/>
        </w:rPr>
      </w:r>
      <w:r w:rsidRPr="00820C89">
        <w:rPr>
          <w:rFonts w:eastAsia="Verdana" w:cs="Times New Roman"/>
        </w:rPr>
        <w:fldChar w:fldCharType="separate"/>
      </w:r>
      <w:r w:rsidR="008565C8">
        <w:rPr>
          <w:rFonts w:eastAsia="Verdana" w:cs="Times New Roman"/>
        </w:rPr>
        <w:t>2.4</w:t>
      </w:r>
      <w:r w:rsidRPr="00820C89">
        <w:rPr>
          <w:rFonts w:eastAsia="Verdana" w:cs="Times New Roman"/>
        </w:rPr>
        <w:fldChar w:fldCharType="end"/>
      </w:r>
      <w:r w:rsidRPr="00820C89">
        <w:rPr>
          <w:rFonts w:eastAsia="Verdana" w:cs="Times New Roman"/>
        </w:rPr>
        <w:t>.</w:t>
      </w:r>
      <w:r w:rsidRPr="00820C89">
        <w:rPr>
          <w:rFonts w:eastAsia="Verdana" w:cs="Times New Roman"/>
          <w:b/>
        </w:rPr>
        <w:t xml:space="preserve"> </w:t>
      </w:r>
      <w:r w:rsidRPr="00820C89">
        <w:rPr>
          <w:rFonts w:eastAsia="Verdana" w:cs="Times New Roman"/>
          <w:bCs/>
        </w:rPr>
        <w:t>These theories of change exist at the following levels:</w:t>
      </w:r>
    </w:p>
    <w:p w14:paraId="7C8C1C97" w14:textId="77777777" w:rsidR="00C1765C" w:rsidRPr="00820C89" w:rsidRDefault="00C1765C" w:rsidP="00715F70">
      <w:pPr>
        <w:pStyle w:val="ListParagraph"/>
        <w:numPr>
          <w:ilvl w:val="0"/>
          <w:numId w:val="168"/>
        </w:numPr>
        <w:spacing w:before="170" w:line="276" w:lineRule="auto"/>
        <w:rPr>
          <w:rFonts w:eastAsia="Verdana" w:cs="Times New Roman"/>
          <w:bCs/>
        </w:rPr>
      </w:pPr>
      <w:r w:rsidRPr="00820C89">
        <w:rPr>
          <w:rFonts w:eastAsia="Verdana" w:cs="Times New Roman"/>
          <w:b/>
        </w:rPr>
        <w:t>High-level system theory</w:t>
      </w:r>
      <w:r w:rsidRPr="00820C89">
        <w:rPr>
          <w:rFonts w:eastAsia="Verdana" w:cs="Times New Roman"/>
          <w:bCs/>
        </w:rPr>
        <w:t>, which illustrates how the three IEPs interact with employers and jobseekers and are influenced by contextual factors that impact supply and demand.</w:t>
      </w:r>
    </w:p>
    <w:p w14:paraId="2631C3FE" w14:textId="77777777" w:rsidR="00C1765C" w:rsidRPr="00820C89" w:rsidRDefault="00C1765C" w:rsidP="00715F70">
      <w:pPr>
        <w:pStyle w:val="ListParagraph"/>
        <w:numPr>
          <w:ilvl w:val="0"/>
          <w:numId w:val="168"/>
        </w:numPr>
        <w:spacing w:before="170" w:line="276" w:lineRule="auto"/>
        <w:rPr>
          <w:rFonts w:eastAsia="Verdana" w:cs="Times New Roman"/>
          <w:bCs/>
        </w:rPr>
      </w:pPr>
      <w:r w:rsidRPr="00820C89">
        <w:rPr>
          <w:rFonts w:eastAsia="Verdana" w:cs="Times New Roman"/>
          <w:b/>
        </w:rPr>
        <w:t>An over-arching program logic</w:t>
      </w:r>
      <w:r w:rsidRPr="00820C89">
        <w:rPr>
          <w:rFonts w:eastAsia="Verdana" w:cs="Times New Roman"/>
          <w:bCs/>
        </w:rPr>
        <w:t>, which combines all three IEPs, to show the similarities and differences across the three programs in the way that program inputs, outputs and outcomes are expected to interact.</w:t>
      </w:r>
    </w:p>
    <w:p w14:paraId="5E38B9EB" w14:textId="77777777" w:rsidR="00C1765C" w:rsidRPr="00820C89" w:rsidRDefault="00C1765C" w:rsidP="00715F70">
      <w:pPr>
        <w:pStyle w:val="ListParagraph"/>
        <w:numPr>
          <w:ilvl w:val="0"/>
          <w:numId w:val="168"/>
        </w:numPr>
        <w:spacing w:before="170" w:line="276" w:lineRule="auto"/>
        <w:rPr>
          <w:rFonts w:eastAsia="Verdana" w:cs="Times New Roman"/>
          <w:bCs/>
        </w:rPr>
      </w:pPr>
      <w:r w:rsidRPr="00820C89">
        <w:rPr>
          <w:rFonts w:eastAsia="Verdana" w:cs="Times New Roman"/>
          <w:b/>
        </w:rPr>
        <w:t>Individual IEP program logics</w:t>
      </w:r>
      <w:r w:rsidRPr="00820C89">
        <w:rPr>
          <w:rFonts w:eastAsia="Verdana" w:cs="Times New Roman"/>
          <w:bCs/>
        </w:rPr>
        <w:t>, which identify the relationships between different program inputs, activities, outputs and outcomes.</w:t>
      </w:r>
    </w:p>
    <w:p w14:paraId="4141539F" w14:textId="77777777" w:rsidR="00C1765C" w:rsidRPr="00820C89" w:rsidRDefault="00C1765C" w:rsidP="00715F70">
      <w:pPr>
        <w:pStyle w:val="ListParagraph"/>
        <w:numPr>
          <w:ilvl w:val="0"/>
          <w:numId w:val="168"/>
        </w:numPr>
        <w:spacing w:before="170" w:line="276" w:lineRule="auto"/>
        <w:rPr>
          <w:rFonts w:eastAsia="Verdana" w:cs="Times New Roman"/>
          <w:bCs/>
        </w:rPr>
      </w:pPr>
      <w:r w:rsidRPr="00820C89">
        <w:rPr>
          <w:rFonts w:eastAsia="Verdana" w:cs="Times New Roman"/>
          <w:b/>
        </w:rPr>
        <w:t>A stakeholder journey map</w:t>
      </w:r>
      <w:r w:rsidRPr="00820C89">
        <w:rPr>
          <w:rFonts w:eastAsia="Verdana" w:cs="Times New Roman"/>
          <w:bCs/>
        </w:rPr>
        <w:t>, which illustrates the program experience for employers and jobseekers/employees, including the assumptions underlying progress between different activities and outcomes.</w:t>
      </w:r>
    </w:p>
    <w:p w14:paraId="0231E025" w14:textId="77777777" w:rsidR="00C1765C" w:rsidRPr="00820C89" w:rsidRDefault="00C1765C" w:rsidP="00C1765C">
      <w:pPr>
        <w:spacing w:line="276" w:lineRule="auto"/>
        <w:rPr>
          <w:rFonts w:eastAsia="Verdana" w:cs="Times New Roman"/>
          <w:bCs/>
        </w:rPr>
      </w:pPr>
      <w:r w:rsidRPr="00820C89">
        <w:rPr>
          <w:rFonts w:eastAsia="Verdana" w:cs="Times New Roman"/>
          <w:bCs/>
        </w:rPr>
        <w:t>As currently depicted, these theories of change are the ‘explicit program theory’, based on the starting assumptions of policy planners and existing evidence. The evaluation will aim to reveal the ‘grounded theory’, which will be based on insights from data collection, and will show how the programs occur in practice.</w:t>
      </w:r>
      <w:r w:rsidRPr="00820C89">
        <w:rPr>
          <w:rStyle w:val="FootnoteReference"/>
          <w:rFonts w:eastAsia="Verdana" w:cs="Times New Roman"/>
          <w:bCs/>
        </w:rPr>
        <w:footnoteReference w:id="311"/>
      </w:r>
      <w:r w:rsidRPr="00820C89">
        <w:rPr>
          <w:rFonts w:eastAsia="Verdana" w:cs="Times New Roman"/>
          <w:bCs/>
        </w:rPr>
        <w:t xml:space="preserve"> As such, we expect these theories of change to be refined over the course of the evaluation, becoming increasingly evidence-based and nuanced. </w:t>
      </w:r>
    </w:p>
    <w:p w14:paraId="4E7095B3" w14:textId="77777777" w:rsidR="00C1765C" w:rsidRPr="00820C89" w:rsidRDefault="00C1765C" w:rsidP="00715F70">
      <w:pPr>
        <w:pStyle w:val="Heading3"/>
        <w:numPr>
          <w:ilvl w:val="2"/>
          <w:numId w:val="12"/>
        </w:numPr>
        <w:tabs>
          <w:tab w:val="num" w:pos="1492"/>
        </w:tabs>
        <w:ind w:hanging="360"/>
      </w:pPr>
      <w:bookmarkStart w:id="357" w:name="_Toc45206330"/>
      <w:r w:rsidRPr="00820C89">
        <w:t>Quasi-experimental and theory-based designs</w:t>
      </w:r>
      <w:bookmarkEnd w:id="357"/>
    </w:p>
    <w:p w14:paraId="502BDEF4" w14:textId="5E37394B" w:rsidR="00C1765C" w:rsidRPr="00820C89" w:rsidRDefault="00C1765C" w:rsidP="00C1765C">
      <w:pPr>
        <w:spacing w:line="276" w:lineRule="auto"/>
        <w:rPr>
          <w:rFonts w:eastAsia="Verdana" w:cs="Times New Roman"/>
          <w:color w:val="000000" w:themeColor="text1"/>
        </w:rPr>
      </w:pPr>
      <w:r w:rsidRPr="00820C89">
        <w:rPr>
          <w:rFonts w:eastAsia="Verdana" w:cs="Times New Roman"/>
          <w:color w:val="000000" w:themeColor="text1"/>
        </w:rPr>
        <w:t xml:space="preserve">This evaluation combines evaluation design and method in how it tests these theories. The </w:t>
      </w:r>
      <w:r w:rsidRPr="00820C89">
        <w:rPr>
          <w:rFonts w:eastAsia="Verdana" w:cs="Times New Roman"/>
          <w:b/>
          <w:bCs/>
          <w:color w:val="86BC25" w:themeColor="accent1"/>
        </w:rPr>
        <w:t>quasi-experimental approach</w:t>
      </w:r>
      <w:r w:rsidRPr="00820C89">
        <w:rPr>
          <w:rFonts w:eastAsia="Verdana" w:cs="Times New Roman"/>
          <w:color w:val="86BC25" w:themeColor="accent1"/>
        </w:rPr>
        <w:t xml:space="preserve"> </w:t>
      </w:r>
      <w:r w:rsidRPr="00820C89">
        <w:rPr>
          <w:rFonts w:eastAsia="Verdana" w:cs="Times New Roman"/>
          <w:color w:val="000000" w:themeColor="text1"/>
        </w:rPr>
        <w:t xml:space="preserve">will include econometric analysis to estimate employment impacts that can be directly attributed to the TAEG, VTEC and EPI programs. This analysis will be guided by the over-arching program logic to compare impact between the three programs, as well as mainstream employment programs (jobactive and CDP), by identifying a relevant counterfactual and creating a probability model (further detail is provided in Section </w:t>
      </w:r>
      <w:r w:rsidRPr="00820C89">
        <w:rPr>
          <w:rFonts w:eastAsia="Verdana" w:cs="Times New Roman"/>
          <w:color w:val="000000" w:themeColor="text1"/>
        </w:rPr>
        <w:fldChar w:fldCharType="begin"/>
      </w:r>
      <w:r w:rsidRPr="00820C89">
        <w:rPr>
          <w:rFonts w:eastAsia="Verdana" w:cs="Times New Roman"/>
          <w:color w:val="000000" w:themeColor="text1"/>
        </w:rPr>
        <w:instrText xml:space="preserve"> REF _Ref43470856 \r \h </w:instrText>
      </w:r>
      <w:r w:rsidR="00820C89">
        <w:rPr>
          <w:rFonts w:eastAsia="Verdana" w:cs="Times New Roman"/>
          <w:color w:val="000000" w:themeColor="text1"/>
        </w:rPr>
        <w:instrText xml:space="preserve"> \* MERGEFORMAT </w:instrText>
      </w:r>
      <w:r w:rsidRPr="00820C89">
        <w:rPr>
          <w:rFonts w:eastAsia="Verdana" w:cs="Times New Roman"/>
          <w:color w:val="000000" w:themeColor="text1"/>
        </w:rPr>
      </w:r>
      <w:r w:rsidRPr="00820C89">
        <w:rPr>
          <w:rFonts w:eastAsia="Verdana" w:cs="Times New Roman"/>
          <w:color w:val="000000" w:themeColor="text1"/>
        </w:rPr>
        <w:fldChar w:fldCharType="separate"/>
      </w:r>
      <w:r w:rsidR="008565C8">
        <w:rPr>
          <w:rFonts w:eastAsia="Verdana" w:cs="Times New Roman"/>
          <w:color w:val="000000" w:themeColor="text1"/>
        </w:rPr>
        <w:t>2.6.1</w:t>
      </w:r>
      <w:r w:rsidRPr="00820C89">
        <w:rPr>
          <w:rFonts w:eastAsia="Verdana" w:cs="Times New Roman"/>
          <w:color w:val="000000" w:themeColor="text1"/>
        </w:rPr>
        <w:fldChar w:fldCharType="end"/>
      </w:r>
      <w:r w:rsidRPr="00820C89">
        <w:rPr>
          <w:rFonts w:eastAsia="Verdana" w:cs="Times New Roman"/>
          <w:color w:val="000000" w:themeColor="text1"/>
        </w:rPr>
        <w:t xml:space="preserve">). This analysis will enable the evaluation to undertake sub-group analysis to understand the comparative </w:t>
      </w:r>
      <w:r w:rsidRPr="00820C89">
        <w:rPr>
          <w:rFonts w:eastAsia="Verdana" w:cs="Times New Roman"/>
          <w:color w:val="000000" w:themeColor="text1"/>
        </w:rPr>
        <w:lastRenderedPageBreak/>
        <w:t xml:space="preserve">effectiveness of employment programs and be able to understand some of the contextual conditions that are associated with greater success. </w:t>
      </w:r>
    </w:p>
    <w:p w14:paraId="3E1508D6" w14:textId="77777777" w:rsidR="00C1765C" w:rsidRPr="00820C89" w:rsidRDefault="00C1765C" w:rsidP="00C1765C">
      <w:pPr>
        <w:spacing w:line="276" w:lineRule="auto"/>
        <w:rPr>
          <w:rFonts w:eastAsia="Verdana" w:cs="Times New Roman"/>
          <w:color w:val="000000" w:themeColor="text1"/>
        </w:rPr>
      </w:pPr>
      <w:r w:rsidRPr="00820C89">
        <w:rPr>
          <w:rFonts w:eastAsia="Verdana" w:cs="Times New Roman"/>
          <w:color w:val="000000" w:themeColor="text1"/>
        </w:rPr>
        <w:t xml:space="preserve">In tandem with this quasi-experimental approach, the evaluation will also examine impact using a </w:t>
      </w:r>
      <w:r w:rsidRPr="00820C89">
        <w:rPr>
          <w:rFonts w:eastAsia="Verdana" w:cs="Times New Roman"/>
          <w:b/>
          <w:bCs/>
          <w:color w:val="86BC25" w:themeColor="accent1"/>
        </w:rPr>
        <w:t>theory-based</w:t>
      </w:r>
      <w:r w:rsidRPr="00820C89">
        <w:rPr>
          <w:rFonts w:eastAsia="Verdana" w:cs="Times New Roman"/>
          <w:color w:val="86BC25" w:themeColor="accent1"/>
        </w:rPr>
        <w:t xml:space="preserve"> </w:t>
      </w:r>
      <w:r w:rsidRPr="00820C89">
        <w:rPr>
          <w:rFonts w:eastAsia="Verdana" w:cs="Times New Roman"/>
          <w:b/>
          <w:bCs/>
          <w:color w:val="86BC25" w:themeColor="accent1"/>
        </w:rPr>
        <w:t>realist approach</w:t>
      </w:r>
      <w:r w:rsidRPr="00820C89">
        <w:rPr>
          <w:rFonts w:eastAsia="Verdana" w:cs="Times New Roman"/>
          <w:color w:val="000000" w:themeColor="text1"/>
        </w:rPr>
        <w:t xml:space="preserve">. While the econometric analysis will seek to understand the relative attribution of programs to correlated outcomes, a realist approach will use a more refined interpretation of causation to focus on the </w:t>
      </w:r>
      <w:r w:rsidRPr="00820C89">
        <w:rPr>
          <w:rFonts w:eastAsia="Verdana" w:cs="Times New Roman"/>
        </w:rPr>
        <w:t>processes and contexts of implementation that yield impact</w:t>
      </w:r>
      <w:r w:rsidRPr="00820C89">
        <w:rPr>
          <w:rFonts w:eastAsia="Verdana" w:cs="Times New Roman"/>
          <w:color w:val="000000" w:themeColor="text1"/>
        </w:rPr>
        <w:t>.</w:t>
      </w:r>
      <w:r w:rsidRPr="00820C89">
        <w:rPr>
          <w:rStyle w:val="FootnoteReference"/>
          <w:rFonts w:eastAsia="Verdana" w:cs="Times New Roman"/>
          <w:color w:val="000000" w:themeColor="text1"/>
        </w:rPr>
        <w:footnoteReference w:id="312"/>
      </w:r>
      <w:r w:rsidRPr="00820C89">
        <w:rPr>
          <w:rFonts w:eastAsia="Verdana" w:cs="Times New Roman"/>
          <w:color w:val="000000" w:themeColor="text1"/>
        </w:rPr>
        <w:t xml:space="preserve"> This approach moves beyond binary program assessments of success or failure by considering the particular context-specific patterns or mechanisms by which programs work to achieve change within specific contexts.</w:t>
      </w:r>
      <w:r w:rsidRPr="00820C89">
        <w:rPr>
          <w:rStyle w:val="FootnoteReference"/>
          <w:rFonts w:eastAsia="Verdana" w:cs="Times New Roman"/>
          <w:color w:val="000000" w:themeColor="text1"/>
        </w:rPr>
        <w:footnoteReference w:id="313"/>
      </w:r>
      <w:r w:rsidRPr="00820C89">
        <w:rPr>
          <w:rFonts w:eastAsia="Verdana" w:cs="Times New Roman"/>
          <w:color w:val="000000" w:themeColor="text1"/>
        </w:rPr>
        <w:t xml:space="preserve"> </w:t>
      </w:r>
    </w:p>
    <w:p w14:paraId="4800DD8C" w14:textId="4BD097FB" w:rsidR="00C1765C" w:rsidRPr="00820C89" w:rsidRDefault="00C1765C" w:rsidP="00C1765C">
      <w:pPr>
        <w:spacing w:line="276" w:lineRule="auto"/>
        <w:rPr>
          <w:rFonts w:eastAsia="Verdana" w:cs="Times New Roman"/>
        </w:rPr>
      </w:pPr>
      <w:r w:rsidRPr="00820C89">
        <w:rPr>
          <w:rFonts w:eastAsia="Verdana" w:cs="Times New Roman"/>
        </w:rPr>
        <w:t xml:space="preserve">This evaluation specifically aims to understand in what contexts and with what mechanisms IEPs change the behaviour of employers and jobseekers/employees. To do this, program logics have been used to map out the mechanisms and outcomes in certain contexts. The stakeholder journey map presented in Section </w:t>
      </w:r>
      <w:r w:rsidRPr="00820C89">
        <w:rPr>
          <w:rFonts w:eastAsia="Verdana" w:cs="Times New Roman"/>
        </w:rPr>
        <w:fldChar w:fldCharType="begin"/>
      </w:r>
      <w:r w:rsidRPr="00820C89">
        <w:rPr>
          <w:rFonts w:eastAsia="Verdana" w:cs="Times New Roman"/>
        </w:rPr>
        <w:instrText xml:space="preserve"> REF _Ref43476968 \r \h  \* MERGEFORMAT </w:instrText>
      </w:r>
      <w:r w:rsidRPr="00820C89">
        <w:rPr>
          <w:rFonts w:eastAsia="Verdana" w:cs="Times New Roman"/>
        </w:rPr>
      </w:r>
      <w:r w:rsidRPr="00820C89">
        <w:rPr>
          <w:rFonts w:eastAsia="Verdana" w:cs="Times New Roman"/>
        </w:rPr>
        <w:fldChar w:fldCharType="separate"/>
      </w:r>
      <w:r w:rsidR="008565C8">
        <w:rPr>
          <w:rFonts w:eastAsia="Verdana" w:cs="Times New Roman"/>
        </w:rPr>
        <w:t>2.4.3</w:t>
      </w:r>
      <w:r w:rsidRPr="00820C89">
        <w:rPr>
          <w:rFonts w:eastAsia="Verdana" w:cs="Times New Roman"/>
        </w:rPr>
        <w:fldChar w:fldCharType="end"/>
      </w:r>
      <w:r w:rsidRPr="00820C89">
        <w:rPr>
          <w:rFonts w:eastAsia="Verdana" w:cs="Times New Roman"/>
        </w:rPr>
        <w:t xml:space="preserve"> provides this basis for developing data collection tools, and data collected in alignment with this journey will be used to validate the logic presented. </w:t>
      </w:r>
    </w:p>
    <w:p w14:paraId="64401B99" w14:textId="77777777" w:rsidR="00C1765C" w:rsidRPr="00820C89" w:rsidRDefault="00C1765C" w:rsidP="00715F70">
      <w:pPr>
        <w:pStyle w:val="Heading3"/>
        <w:numPr>
          <w:ilvl w:val="2"/>
          <w:numId w:val="12"/>
        </w:numPr>
        <w:tabs>
          <w:tab w:val="num" w:pos="1492"/>
        </w:tabs>
        <w:ind w:hanging="360"/>
      </w:pPr>
      <w:bookmarkStart w:id="358" w:name="_Toc45206331"/>
      <w:r w:rsidRPr="00820C89">
        <w:t>Participatory approaches</w:t>
      </w:r>
      <w:bookmarkEnd w:id="358"/>
    </w:p>
    <w:p w14:paraId="0A6FB153" w14:textId="77777777" w:rsidR="00C1765C" w:rsidRPr="00820C89" w:rsidRDefault="00C1765C" w:rsidP="00C1765C">
      <w:pPr>
        <w:spacing w:line="276" w:lineRule="auto"/>
        <w:rPr>
          <w:rFonts w:eastAsia="Verdana" w:cs="Times New Roman"/>
        </w:rPr>
      </w:pPr>
      <w:r w:rsidRPr="00820C89">
        <w:rPr>
          <w:rFonts w:eastAsia="Verdana" w:cs="Times New Roman"/>
        </w:rPr>
        <w:t xml:space="preserve">This evaluation also deliberately includes </w:t>
      </w:r>
      <w:r w:rsidRPr="00820C89">
        <w:rPr>
          <w:rFonts w:eastAsia="Verdana" w:cs="Times New Roman"/>
          <w:b/>
          <w:bCs/>
          <w:color w:val="86BC25" w:themeColor="accent1"/>
        </w:rPr>
        <w:t xml:space="preserve">participatory approaches </w:t>
      </w:r>
      <w:r w:rsidRPr="00820C89">
        <w:rPr>
          <w:rFonts w:eastAsia="Verdana" w:cs="Times New Roman"/>
        </w:rPr>
        <w:t xml:space="preserve">to ensure that the evaluation holds at the centre Indigenous people, perspectives, priorities and knowledges. In the words of the recently released </w:t>
      </w:r>
      <w:r w:rsidRPr="00820C89">
        <w:rPr>
          <w:rFonts w:eastAsia="Verdana" w:cs="Times New Roman"/>
          <w:i/>
          <w:iCs/>
        </w:rPr>
        <w:t xml:space="preserve">Indigenous Evaluation Strategy Draft, </w:t>
      </w:r>
      <w:r w:rsidRPr="00820C89">
        <w:rPr>
          <w:rFonts w:eastAsia="Verdana" w:cs="Times New Roman"/>
        </w:rPr>
        <w:t>‘evaluations of policies and programs that seek to improve the lives of Aboriginal and Torres Strait Islander people need to engage effectively with Aboriginal and Torres Strait Islander people if they are to be credible, useful, ethical and transparent’.</w:t>
      </w:r>
      <w:r w:rsidRPr="00820C89">
        <w:rPr>
          <w:rStyle w:val="FootnoteReference"/>
          <w:rFonts w:eastAsia="Verdana" w:cs="Times New Roman"/>
        </w:rPr>
        <w:footnoteReference w:id="314"/>
      </w:r>
      <w:r w:rsidRPr="00820C89">
        <w:rPr>
          <w:rFonts w:eastAsia="Verdana" w:cs="Times New Roman"/>
        </w:rPr>
        <w:t xml:space="preserve"> </w:t>
      </w:r>
    </w:p>
    <w:p w14:paraId="79F2707A" w14:textId="77777777" w:rsidR="00C1765C" w:rsidRPr="00820C89" w:rsidRDefault="00C1765C" w:rsidP="00C1765C">
      <w:pPr>
        <w:spacing w:line="276" w:lineRule="auto"/>
        <w:textAlignment w:val="baseline"/>
        <w:rPr>
          <w:rFonts w:eastAsia="MingLiU" w:cs="Calibri"/>
          <w:color w:val="FF0000"/>
          <w:lang w:eastAsia="en-AU"/>
        </w:rPr>
      </w:pPr>
      <w:r w:rsidRPr="00820C89">
        <w:rPr>
          <w:rFonts w:eastAsia="Verdana" w:cs="Times New Roman"/>
        </w:rPr>
        <w:t>Participatory approaches are valuable in navigating ‘</w:t>
      </w:r>
      <w:r w:rsidRPr="00820C89">
        <w:rPr>
          <w:rFonts w:eastAsia="MingLiU" w:cs="Calibri"/>
          <w:iCs/>
          <w:color w:val="000000" w:themeColor="text1"/>
          <w:lang w:eastAsia="en-AU"/>
        </w:rPr>
        <w:t>power differentials among stakeholders by giving ‘voice’ to the disempowered in our society’.</w:t>
      </w:r>
      <w:r w:rsidRPr="00820C89">
        <w:rPr>
          <w:rStyle w:val="FootnoteReference"/>
          <w:rFonts w:eastAsia="MingLiU" w:cs="Calibri"/>
          <w:iCs/>
          <w:color w:val="000000" w:themeColor="text1"/>
          <w:lang w:eastAsia="en-AU"/>
        </w:rPr>
        <w:footnoteReference w:id="315"/>
      </w:r>
      <w:r w:rsidRPr="00820C89">
        <w:rPr>
          <w:rFonts w:eastAsia="MingLiU" w:cs="Calibri"/>
          <w:color w:val="000000" w:themeColor="text1"/>
          <w:lang w:eastAsia="en-AU"/>
        </w:rPr>
        <w:t xml:space="preserve"> </w:t>
      </w:r>
      <w:r w:rsidRPr="00820C89">
        <w:rPr>
          <w:rFonts w:eastAsia="Verdana" w:cs="Times New Roman"/>
        </w:rPr>
        <w:t>As such, participatory approaches are considered best practice when designing interventions and evaluations within Indigenous communities.</w:t>
      </w:r>
      <w:r w:rsidRPr="00820C89">
        <w:rPr>
          <w:rStyle w:val="FootnoteReference"/>
          <w:rFonts w:eastAsia="Verdana" w:cs="Times New Roman"/>
        </w:rPr>
        <w:footnoteReference w:id="316"/>
      </w:r>
    </w:p>
    <w:p w14:paraId="64D1E26B" w14:textId="77777777" w:rsidR="00C1765C" w:rsidRPr="00820C89" w:rsidRDefault="00C1765C" w:rsidP="00C1765C">
      <w:pPr>
        <w:spacing w:line="276" w:lineRule="auto"/>
        <w:rPr>
          <w:rFonts w:eastAsia="MingLiU" w:cs="Calibri"/>
          <w:color w:val="000000" w:themeColor="text1"/>
          <w:lang w:eastAsia="en-AU"/>
        </w:rPr>
      </w:pPr>
      <w:r w:rsidRPr="00820C89">
        <w:rPr>
          <w:rFonts w:eastAsia="MingLiU" w:cs="Calibri"/>
          <w:iCs/>
          <w:color w:val="000000" w:themeColor="text1"/>
          <w:lang w:eastAsia="en-AU"/>
        </w:rPr>
        <w:t xml:space="preserve">Participatory approaches do not describe a ‘single’ method, but rather, a particular way of undertaking evaluations that are meaningful to different stakeholders, and in particular to </w:t>
      </w:r>
      <w:r w:rsidRPr="00820C89">
        <w:rPr>
          <w:rFonts w:eastAsia="Times New Roman" w:cs="Calibri"/>
          <w:iCs/>
          <w:color w:val="000000" w:themeColor="text1"/>
          <w:lang w:eastAsia="en-AU"/>
        </w:rPr>
        <w:t>program participants</w:t>
      </w:r>
      <w:r w:rsidRPr="00820C89">
        <w:rPr>
          <w:rFonts w:eastAsia="Times New Roman" w:cs="Calibri"/>
          <w:color w:val="000000" w:themeColor="text1"/>
          <w:lang w:eastAsia="en-AU"/>
        </w:rPr>
        <w:t>.</w:t>
      </w:r>
      <w:r w:rsidRPr="00820C89" w:rsidDel="00CA261C">
        <w:rPr>
          <w:rFonts w:eastAsia="Verdana" w:cs="Times New Roman"/>
        </w:rPr>
        <w:t xml:space="preserve"> </w:t>
      </w:r>
      <w:r w:rsidRPr="00820C89">
        <w:rPr>
          <w:rFonts w:eastAsia="MingLiU" w:cs="Calibri"/>
          <w:color w:val="000000" w:themeColor="text1"/>
          <w:lang w:eastAsia="en-AU"/>
        </w:rPr>
        <w:t xml:space="preserve">As there are multiple avenues available to use participatory approaches across the stages of an evaluation, </w:t>
      </w:r>
      <w:r w:rsidRPr="00820C89">
        <w:rPr>
          <w:rFonts w:eastAsia="MingLiU" w:cs="Calibri"/>
          <w:iCs/>
          <w:color w:val="000000" w:themeColor="text1"/>
          <w:lang w:eastAsia="en-AU"/>
        </w:rPr>
        <w:t>decisions need to be made regarding which stakeholders are involved in different aspect of the evaluation, and the purpose of varying forms of participation</w:t>
      </w:r>
      <w:r w:rsidRPr="00820C89">
        <w:rPr>
          <w:rFonts w:eastAsia="Times New Roman" w:cs="Calibri"/>
          <w:iCs/>
          <w:color w:val="000000" w:themeColor="text1"/>
          <w:lang w:eastAsia="en-AU"/>
        </w:rPr>
        <w:t>.</w:t>
      </w:r>
    </w:p>
    <w:p w14:paraId="62E80480" w14:textId="77777777" w:rsidR="00C1765C" w:rsidRPr="00820C89" w:rsidRDefault="00C1765C" w:rsidP="00C1765C">
      <w:pPr>
        <w:spacing w:line="276" w:lineRule="auto"/>
        <w:rPr>
          <w:rFonts w:eastAsia="MingLiU" w:cs="Calibri"/>
          <w:color w:val="000000" w:themeColor="text1"/>
          <w:lang w:eastAsia="en-AU"/>
        </w:rPr>
      </w:pPr>
      <w:r w:rsidRPr="00820C89">
        <w:rPr>
          <w:rFonts w:eastAsia="MingLiU" w:cs="Calibri"/>
          <w:color w:val="000000" w:themeColor="text1"/>
          <w:lang w:eastAsia="en-AU"/>
        </w:rPr>
        <w:t>For this evaluation, there is a need to ensure that Indigenous perspectives meaningfully shape the evaluation design, implementation and interpretation of findings; and that the voices of program participants and their communities are heard. In Australia, there is a tendency in research with Indigenous communities for researchers to ‘enter an Indigenous community, collect the information they need, leave the community, and publish the results as they see fit’.</w:t>
      </w:r>
      <w:r w:rsidRPr="00820C89">
        <w:rPr>
          <w:rStyle w:val="FootnoteReference"/>
          <w:rFonts w:eastAsia="MingLiU" w:cs="Calibri"/>
          <w:color w:val="000000" w:themeColor="text1"/>
          <w:lang w:eastAsia="en-AU"/>
        </w:rPr>
        <w:footnoteReference w:id="317"/>
      </w:r>
      <w:r w:rsidRPr="00820C89">
        <w:rPr>
          <w:rFonts w:eastAsia="MingLiU" w:cs="Calibri"/>
          <w:color w:val="000000" w:themeColor="text1"/>
          <w:lang w:eastAsia="en-AU"/>
        </w:rPr>
        <w:t xml:space="preserve"> This can </w:t>
      </w:r>
      <w:r w:rsidRPr="00820C89">
        <w:rPr>
          <w:rFonts w:eastAsia="MingLiU" w:cs="Calibri"/>
          <w:color w:val="000000" w:themeColor="text1"/>
          <w:lang w:eastAsia="en-AU"/>
        </w:rPr>
        <w:lastRenderedPageBreak/>
        <w:t>often mean that ‘mainstream perspectives on evaluation findings are heard, while Indigenous views are silenced or not acknowledged’.</w:t>
      </w:r>
      <w:r w:rsidRPr="00820C89">
        <w:rPr>
          <w:rStyle w:val="FootnoteReference"/>
          <w:rFonts w:eastAsia="MingLiU" w:cs="Calibri"/>
          <w:color w:val="000000" w:themeColor="text1"/>
          <w:lang w:eastAsia="en-AU"/>
        </w:rPr>
        <w:footnoteReference w:id="318"/>
      </w:r>
    </w:p>
    <w:p w14:paraId="7A019656" w14:textId="77777777" w:rsidR="00C1765C" w:rsidRPr="00820C89" w:rsidRDefault="00C1765C" w:rsidP="00C1765C">
      <w:pPr>
        <w:spacing w:line="276" w:lineRule="auto"/>
        <w:rPr>
          <w:rFonts w:eastAsia="MingLiU" w:cs="Calibri"/>
          <w:color w:val="000000" w:themeColor="text1"/>
          <w:lang w:eastAsia="en-AU"/>
        </w:rPr>
      </w:pPr>
      <w:r w:rsidRPr="00820C89">
        <w:rPr>
          <w:rFonts w:eastAsia="MingLiU" w:cs="Calibri"/>
          <w:color w:val="000000" w:themeColor="text1"/>
          <w:lang w:eastAsia="en-AU"/>
        </w:rPr>
        <w:t>This evaluation has been designed to diminish the limitations of previous research with Indigenous communities, by deliberately assembling a team that combines both Indigenous and non-Indigenous researchers and developing a stakeholder engagement approach that prioritises Indigenous perspectives.</w:t>
      </w:r>
    </w:p>
    <w:p w14:paraId="29F15A67" w14:textId="77777777" w:rsidR="00C1765C" w:rsidRPr="00820C89" w:rsidRDefault="00C1765C" w:rsidP="00C1765C">
      <w:pPr>
        <w:spacing w:line="276" w:lineRule="auto"/>
        <w:rPr>
          <w:rFonts w:eastAsia="MingLiU" w:cs="Calibri"/>
          <w:color w:val="000000" w:themeColor="text1"/>
          <w:lang w:eastAsia="en-AU"/>
        </w:rPr>
      </w:pPr>
      <w:r w:rsidRPr="00820C89">
        <w:rPr>
          <w:rFonts w:eastAsia="MingLiU" w:cs="Calibri"/>
          <w:color w:val="000000" w:themeColor="text1"/>
          <w:lang w:eastAsia="en-AU"/>
        </w:rPr>
        <w:t>This evaluation is co-led by</w:t>
      </w:r>
      <w:r w:rsidRPr="00820C89">
        <w:t xml:space="preserve"> </w:t>
      </w:r>
      <w:r w:rsidRPr="00820C89">
        <w:rPr>
          <w:rFonts w:eastAsia="MingLiU" w:cs="Calibri"/>
          <w:color w:val="000000" w:themeColor="text1"/>
          <w:lang w:eastAsia="en-AU"/>
        </w:rPr>
        <w:t xml:space="preserve">both Professor Deen Sanders OAM, a Worimi man and researcher, and Matt Wright, a non-Indigenous evaluator. As well, Susan Moylan-Coombs, a Woolwonga and Gurindji woman and the founding Director of the Gaimaragal Group, is an integral part of the team and will be so throughout the evaluation, providing advice on all stages of the evaluation as well as designing and leading regional consultations with Indigenous program participants.  </w:t>
      </w:r>
    </w:p>
    <w:p w14:paraId="2B25F052" w14:textId="77777777" w:rsidR="00C1765C" w:rsidRPr="00820C89" w:rsidRDefault="00C1765C" w:rsidP="00C1765C">
      <w:pPr>
        <w:spacing w:line="276" w:lineRule="auto"/>
        <w:rPr>
          <w:rFonts w:eastAsia="MingLiU" w:cs="Calibri"/>
          <w:color w:val="000000" w:themeColor="text1"/>
          <w:lang w:eastAsia="en-AU"/>
        </w:rPr>
      </w:pPr>
      <w:r w:rsidRPr="00820C89">
        <w:rPr>
          <w:rFonts w:eastAsia="MingLiU" w:cs="Calibri"/>
          <w:color w:val="000000" w:themeColor="text1"/>
          <w:lang w:eastAsia="en-AU"/>
        </w:rPr>
        <w:t>A team approach like the one utilised in this evaluation can be identified as ‘evaluation done with’ Indigenous people, where ‘power and decision making are shared and negotiated’ and ‘Indigenous and Western worldviews and approaches are utilised’.</w:t>
      </w:r>
      <w:r w:rsidRPr="00820C89">
        <w:rPr>
          <w:rStyle w:val="FootnoteReference"/>
          <w:rFonts w:eastAsia="MingLiU" w:cs="Calibri"/>
          <w:color w:val="000000" w:themeColor="text1"/>
          <w:lang w:eastAsia="en-AU"/>
        </w:rPr>
        <w:footnoteReference w:id="319"/>
      </w:r>
      <w:r w:rsidRPr="00820C89">
        <w:rPr>
          <w:rFonts w:eastAsia="MingLiU" w:cs="Calibri"/>
          <w:color w:val="000000" w:themeColor="text1"/>
          <w:lang w:eastAsia="en-AU"/>
        </w:rPr>
        <w:t xml:space="preserve"> In a day-to-day sense, this means that both Indigenous and non-Indigenous team members are actively involved in managing the evaluation, developing and implementing data collection tools and interpreting findings. Legitimate and sustained roles for Indigenous people within the evaluation team ensures that Indigenous perspectives are incorporated and prioritised throughout all stages of the evaluation.</w:t>
      </w:r>
    </w:p>
    <w:p w14:paraId="69813787" w14:textId="46777328" w:rsidR="00C1765C" w:rsidRPr="00820C89" w:rsidRDefault="00C1765C" w:rsidP="00C1765C">
      <w:pPr>
        <w:spacing w:line="276" w:lineRule="auto"/>
        <w:rPr>
          <w:rFonts w:eastAsia="MingLiU" w:cs="Calibri"/>
          <w:color w:val="000000" w:themeColor="text1"/>
          <w:lang w:eastAsia="en-AU"/>
        </w:rPr>
      </w:pPr>
      <w:r w:rsidRPr="00820C89">
        <w:rPr>
          <w:rFonts w:eastAsia="MingLiU" w:cs="Calibri"/>
          <w:color w:val="000000" w:themeColor="text1"/>
          <w:lang w:eastAsia="en-AU"/>
        </w:rPr>
        <w:t xml:space="preserve">The regional consultation approach specifically, also prioritises participatory approaches and is detailed in full in Section </w:t>
      </w:r>
      <w:r w:rsidRPr="00820C89">
        <w:rPr>
          <w:rFonts w:eastAsia="MingLiU" w:cs="Calibri"/>
          <w:color w:val="000000" w:themeColor="text1"/>
          <w:lang w:eastAsia="en-AU"/>
        </w:rPr>
        <w:fldChar w:fldCharType="begin"/>
      </w:r>
      <w:r w:rsidRPr="00820C89">
        <w:rPr>
          <w:rFonts w:eastAsia="MingLiU" w:cs="Calibri"/>
          <w:color w:val="000000" w:themeColor="text1"/>
          <w:lang w:eastAsia="en-AU"/>
        </w:rPr>
        <w:instrText xml:space="preserve"> REF _Ref43455305 \r \h </w:instrText>
      </w:r>
      <w:r w:rsidR="00820C89">
        <w:rPr>
          <w:rFonts w:eastAsia="MingLiU" w:cs="Calibri"/>
          <w:color w:val="000000" w:themeColor="text1"/>
          <w:lang w:eastAsia="en-AU"/>
        </w:rPr>
        <w:instrText xml:space="preserve"> \* MERGEFORMAT </w:instrText>
      </w:r>
      <w:r w:rsidRPr="00820C89">
        <w:rPr>
          <w:rFonts w:eastAsia="MingLiU" w:cs="Calibri"/>
          <w:color w:val="000000" w:themeColor="text1"/>
          <w:lang w:eastAsia="en-AU"/>
        </w:rPr>
      </w:r>
      <w:r w:rsidRPr="00820C89">
        <w:rPr>
          <w:rFonts w:eastAsia="MingLiU" w:cs="Calibri"/>
          <w:color w:val="000000" w:themeColor="text1"/>
          <w:lang w:eastAsia="en-AU"/>
        </w:rPr>
        <w:fldChar w:fldCharType="separate"/>
      </w:r>
      <w:r w:rsidR="008565C8">
        <w:rPr>
          <w:rFonts w:eastAsia="MingLiU" w:cs="Calibri"/>
          <w:color w:val="000000" w:themeColor="text1"/>
          <w:lang w:eastAsia="en-AU"/>
        </w:rPr>
        <w:t>3</w:t>
      </w:r>
      <w:r w:rsidRPr="00820C89">
        <w:rPr>
          <w:rFonts w:eastAsia="MingLiU" w:cs="Calibri"/>
          <w:color w:val="000000" w:themeColor="text1"/>
          <w:lang w:eastAsia="en-AU"/>
        </w:rPr>
        <w:fldChar w:fldCharType="end"/>
      </w:r>
      <w:r w:rsidRPr="00820C89">
        <w:rPr>
          <w:rFonts w:eastAsia="MingLiU" w:cs="Calibri"/>
          <w:color w:val="000000" w:themeColor="text1"/>
          <w:lang w:eastAsia="en-AU"/>
        </w:rPr>
        <w:t xml:space="preserve"> of the evaluation strategy. The regional consultation process will see both Indigenous and non-Indigenous evaluators engage with Indigenous communities, including IEP participants.  The designed process for conducting these consultations (detailed in Section </w:t>
      </w:r>
      <w:r w:rsidRPr="00820C89">
        <w:rPr>
          <w:rFonts w:eastAsia="MingLiU" w:cs="Calibri"/>
          <w:color w:val="000000" w:themeColor="text1"/>
          <w:lang w:eastAsia="en-AU"/>
        </w:rPr>
        <w:fldChar w:fldCharType="begin"/>
      </w:r>
      <w:r w:rsidRPr="00820C89">
        <w:rPr>
          <w:rFonts w:eastAsia="MingLiU" w:cs="Calibri"/>
          <w:color w:val="000000" w:themeColor="text1"/>
          <w:lang w:eastAsia="en-AU"/>
        </w:rPr>
        <w:instrText xml:space="preserve"> REF _Ref43484088 \r \h </w:instrText>
      </w:r>
      <w:r w:rsidR="00820C89">
        <w:rPr>
          <w:rFonts w:eastAsia="MingLiU" w:cs="Calibri"/>
          <w:color w:val="000000" w:themeColor="text1"/>
          <w:lang w:eastAsia="en-AU"/>
        </w:rPr>
        <w:instrText xml:space="preserve"> \* MERGEFORMAT </w:instrText>
      </w:r>
      <w:r w:rsidRPr="00820C89">
        <w:rPr>
          <w:rFonts w:eastAsia="MingLiU" w:cs="Calibri"/>
          <w:color w:val="000000" w:themeColor="text1"/>
          <w:lang w:eastAsia="en-AU"/>
        </w:rPr>
      </w:r>
      <w:r w:rsidRPr="00820C89">
        <w:rPr>
          <w:rFonts w:eastAsia="MingLiU" w:cs="Calibri"/>
          <w:color w:val="000000" w:themeColor="text1"/>
          <w:lang w:eastAsia="en-AU"/>
        </w:rPr>
        <w:fldChar w:fldCharType="separate"/>
      </w:r>
      <w:r w:rsidR="008565C8">
        <w:rPr>
          <w:rFonts w:eastAsia="MingLiU" w:cs="Calibri"/>
          <w:color w:val="000000" w:themeColor="text1"/>
          <w:lang w:eastAsia="en-AU"/>
        </w:rPr>
        <w:t>3.3.4</w:t>
      </w:r>
      <w:r w:rsidRPr="00820C89">
        <w:rPr>
          <w:rFonts w:eastAsia="MingLiU" w:cs="Calibri"/>
          <w:color w:val="000000" w:themeColor="text1"/>
          <w:lang w:eastAsia="en-AU"/>
        </w:rPr>
        <w:fldChar w:fldCharType="end"/>
      </w:r>
      <w:r w:rsidRPr="00820C89">
        <w:rPr>
          <w:rFonts w:eastAsia="MingLiU" w:cs="Calibri"/>
          <w:color w:val="000000" w:themeColor="text1"/>
          <w:lang w:eastAsia="en-AU"/>
        </w:rPr>
        <w:t>) reflects this need, as significant effort will be undertaken to:</w:t>
      </w:r>
    </w:p>
    <w:p w14:paraId="1D3C29A9" w14:textId="77777777" w:rsidR="00C1765C" w:rsidRPr="00820C89" w:rsidRDefault="00C1765C" w:rsidP="00715F70">
      <w:pPr>
        <w:pStyle w:val="ListParagraph"/>
        <w:numPr>
          <w:ilvl w:val="0"/>
          <w:numId w:val="169"/>
        </w:numPr>
        <w:spacing w:before="170" w:line="276" w:lineRule="auto"/>
        <w:rPr>
          <w:rFonts w:eastAsia="MingLiU" w:cs="Calibri"/>
          <w:color w:val="000000" w:themeColor="text1"/>
          <w:lang w:eastAsia="en-AU"/>
        </w:rPr>
      </w:pPr>
      <w:r w:rsidRPr="00820C89">
        <w:rPr>
          <w:rFonts w:eastAsia="MingLiU" w:cs="Calibri"/>
          <w:color w:val="000000" w:themeColor="text1"/>
          <w:lang w:eastAsia="en-AU"/>
        </w:rPr>
        <w:t>research and understand that all team members understand the history of each community</w:t>
      </w:r>
    </w:p>
    <w:p w14:paraId="2816F649" w14:textId="77777777" w:rsidR="00C1765C" w:rsidRPr="00820C89" w:rsidRDefault="00C1765C" w:rsidP="00715F70">
      <w:pPr>
        <w:pStyle w:val="ListParagraph"/>
        <w:numPr>
          <w:ilvl w:val="0"/>
          <w:numId w:val="169"/>
        </w:numPr>
        <w:spacing w:before="170" w:line="276" w:lineRule="auto"/>
        <w:rPr>
          <w:rFonts w:eastAsia="MingLiU" w:cs="Calibri"/>
          <w:color w:val="000000" w:themeColor="text1"/>
          <w:lang w:eastAsia="en-AU"/>
        </w:rPr>
      </w:pPr>
      <w:r w:rsidRPr="00820C89">
        <w:rPr>
          <w:rFonts w:eastAsia="MingLiU" w:cs="Calibri"/>
          <w:color w:val="000000" w:themeColor="text1"/>
          <w:lang w:eastAsia="en-AU"/>
        </w:rPr>
        <w:t>ensure that the evaluation team connects with community leaders or Elders prior to visiting</w:t>
      </w:r>
    </w:p>
    <w:p w14:paraId="13F329B6" w14:textId="77777777" w:rsidR="00C1765C" w:rsidRPr="00820C89" w:rsidRDefault="00C1765C" w:rsidP="00715F70">
      <w:pPr>
        <w:pStyle w:val="ListParagraph"/>
        <w:numPr>
          <w:ilvl w:val="0"/>
          <w:numId w:val="169"/>
        </w:numPr>
        <w:spacing w:before="170" w:line="276" w:lineRule="auto"/>
        <w:rPr>
          <w:rFonts w:eastAsia="MingLiU" w:cs="Calibri"/>
          <w:color w:val="000000" w:themeColor="text1"/>
          <w:lang w:eastAsia="en-AU"/>
        </w:rPr>
      </w:pPr>
      <w:r w:rsidRPr="00820C89">
        <w:rPr>
          <w:rFonts w:eastAsia="MingLiU" w:cs="Calibri"/>
          <w:color w:val="000000" w:themeColor="text1"/>
          <w:lang w:eastAsia="en-AU"/>
        </w:rPr>
        <w:t xml:space="preserve">have Indigenous team-members lead consultations </w:t>
      </w:r>
    </w:p>
    <w:p w14:paraId="7293E0C3" w14:textId="77777777" w:rsidR="00C1765C" w:rsidRPr="00820C89" w:rsidRDefault="00C1765C" w:rsidP="00715F70">
      <w:pPr>
        <w:pStyle w:val="ListParagraph"/>
        <w:numPr>
          <w:ilvl w:val="0"/>
          <w:numId w:val="169"/>
        </w:numPr>
        <w:spacing w:before="170" w:line="276" w:lineRule="auto"/>
        <w:rPr>
          <w:rFonts w:eastAsia="MingLiU" w:cs="Calibri"/>
          <w:color w:val="000000" w:themeColor="text1"/>
          <w:lang w:eastAsia="en-AU"/>
        </w:rPr>
      </w:pPr>
      <w:r w:rsidRPr="00820C89">
        <w:rPr>
          <w:rFonts w:eastAsia="MingLiU" w:cs="Calibri"/>
          <w:color w:val="000000" w:themeColor="text1"/>
          <w:lang w:eastAsia="en-AU"/>
        </w:rPr>
        <w:t>design a consultation process that is responsive to community context and needs</w:t>
      </w:r>
    </w:p>
    <w:p w14:paraId="2E229B24" w14:textId="77777777" w:rsidR="00C1765C" w:rsidRPr="00820C89" w:rsidRDefault="00C1765C" w:rsidP="00715F70">
      <w:pPr>
        <w:pStyle w:val="ListParagraph"/>
        <w:numPr>
          <w:ilvl w:val="0"/>
          <w:numId w:val="169"/>
        </w:numPr>
        <w:spacing w:before="170" w:line="276" w:lineRule="auto"/>
        <w:rPr>
          <w:rFonts w:eastAsia="MingLiU" w:cs="Calibri"/>
          <w:color w:val="000000" w:themeColor="text1"/>
          <w:lang w:eastAsia="en-AU"/>
        </w:rPr>
      </w:pPr>
      <w:r w:rsidRPr="00820C89">
        <w:rPr>
          <w:rFonts w:eastAsia="MingLiU" w:cs="Calibri"/>
          <w:color w:val="000000" w:themeColor="text1"/>
          <w:lang w:eastAsia="en-AU"/>
        </w:rPr>
        <w:t>share findings of the evaluation with communities and sure that they are owned by communities.</w:t>
      </w:r>
    </w:p>
    <w:p w14:paraId="00A68920" w14:textId="77777777" w:rsidR="00C1765C" w:rsidRPr="00820C89" w:rsidRDefault="00C1765C" w:rsidP="00C1765C">
      <w:pPr>
        <w:rPr>
          <w:i/>
        </w:rPr>
      </w:pPr>
      <w:r w:rsidRPr="00820C89">
        <w:rPr>
          <w:lang w:eastAsia="en-AU"/>
        </w:rPr>
        <w:t xml:space="preserve">These efforts will be taken to ensure that conditions are appropriate to allow Indigenous communities, including program participants, to feel safe to share their experiences and views. This is essential to ensure that, when shared, Indigenous knowledge and voices are </w:t>
      </w:r>
      <w:r w:rsidRPr="00820C89">
        <w:rPr>
          <w:rFonts w:eastAsia="Verdana" w:cs="Times New Roman"/>
        </w:rPr>
        <w:t>’afforded a ‘parity of esteem’ with others, and are given primacy wherever appropriate.</w:t>
      </w:r>
      <w:r w:rsidRPr="00820C89">
        <w:rPr>
          <w:rStyle w:val="FootnoteReference"/>
          <w:rFonts w:eastAsia="Verdana" w:cs="Times New Roman"/>
        </w:rPr>
        <w:footnoteReference w:id="320"/>
      </w:r>
    </w:p>
    <w:p w14:paraId="0FE74A53" w14:textId="77777777" w:rsidR="00C1765C" w:rsidRPr="00820C89" w:rsidRDefault="00C1765C" w:rsidP="00715F70">
      <w:pPr>
        <w:pStyle w:val="Heading2"/>
        <w:numPr>
          <w:ilvl w:val="1"/>
          <w:numId w:val="69"/>
        </w:numPr>
        <w:spacing w:after="60"/>
        <w:ind w:left="1440" w:hanging="360"/>
      </w:pPr>
      <w:bookmarkStart w:id="359" w:name="_Toc37099373"/>
      <w:bookmarkStart w:id="360" w:name="_Toc37177368"/>
      <w:bookmarkStart w:id="361" w:name="_Toc45206332"/>
      <w:bookmarkStart w:id="362" w:name="_Toc82694506"/>
      <w:bookmarkStart w:id="363" w:name="_Toc82710805"/>
      <w:bookmarkStart w:id="364" w:name="_Toc101343330"/>
      <w:bookmarkStart w:id="365" w:name="_Toc36569304"/>
      <w:bookmarkStart w:id="366" w:name="_Ref43472167"/>
      <w:r w:rsidRPr="00820C89">
        <w:t>Program logic (theory of change)</w:t>
      </w:r>
      <w:r w:rsidRPr="00820C89">
        <w:rPr>
          <w:rStyle w:val="FootnoteReference"/>
        </w:rPr>
        <w:footnoteReference w:id="321"/>
      </w:r>
      <w:bookmarkEnd w:id="359"/>
      <w:bookmarkEnd w:id="360"/>
      <w:bookmarkEnd w:id="361"/>
      <w:bookmarkEnd w:id="362"/>
      <w:bookmarkEnd w:id="363"/>
      <w:bookmarkEnd w:id="364"/>
      <w:r w:rsidRPr="00820C89">
        <w:t xml:space="preserve"> </w:t>
      </w:r>
      <w:bookmarkEnd w:id="365"/>
      <w:bookmarkEnd w:id="366"/>
    </w:p>
    <w:p w14:paraId="371B0063" w14:textId="77777777" w:rsidR="00C1765C" w:rsidRPr="00820C89" w:rsidRDefault="00C1765C" w:rsidP="00C1765C">
      <w:r w:rsidRPr="00820C89">
        <w:t>Program logics form part of an evaluator’s toolkit and provide the foundation for program planning, measurement, evaluation and implementation</w:t>
      </w:r>
      <w:r w:rsidRPr="00820C89">
        <w:rPr>
          <w:rStyle w:val="FootnoteReference"/>
        </w:rPr>
        <w:footnoteReference w:id="322"/>
      </w:r>
      <w:r w:rsidRPr="00820C89">
        <w:t xml:space="preserve">. Program logics are diagrammatic theory of change models that show the causal links of the program – that is, they articulate how </w:t>
      </w:r>
      <w:r w:rsidRPr="00820C89">
        <w:lastRenderedPageBreak/>
        <w:t>the activities of a program are linked to its intended outcomes.</w:t>
      </w:r>
      <w:r w:rsidRPr="00820C89">
        <w:rPr>
          <w:rStyle w:val="FootnoteReference"/>
        </w:rPr>
        <w:footnoteReference w:id="323"/>
      </w:r>
      <w:r w:rsidRPr="00820C89">
        <w:t xml:space="preserve"> As such, program logics are critical in guiding the development of evaluation questions and data collection approach. </w:t>
      </w:r>
    </w:p>
    <w:p w14:paraId="21EA97B7" w14:textId="77777777" w:rsidR="00C1765C" w:rsidRPr="00820C89" w:rsidRDefault="00C1765C" w:rsidP="00C1765C">
      <w:r w:rsidRPr="00820C89">
        <w:t xml:space="preserve">The IEP theory of change exists at several levels of granularity and synthesis. The evaluation lines of inquiry will have regard to these theories of change and interrogate the extent to which certain activities are occurring and achieving their intended outcomes or otherwise, and how and why. </w:t>
      </w:r>
    </w:p>
    <w:p w14:paraId="3FCB1D0D" w14:textId="77777777" w:rsidR="00C1765C" w:rsidRPr="00820C89" w:rsidRDefault="00C1765C" w:rsidP="00C1765C">
      <w:r w:rsidRPr="00820C89">
        <w:t xml:space="preserve">It is not possible to test every element of the IEP theory of change at every level of detail. Pragmatism and emerging data about the importance of various elements will inform evaluation priorities to focus on insights specific to the evaluation objectives. </w:t>
      </w:r>
    </w:p>
    <w:p w14:paraId="6E263FD4" w14:textId="77777777" w:rsidR="00C1765C" w:rsidRPr="00820C89" w:rsidRDefault="00C1765C" w:rsidP="00715F70">
      <w:pPr>
        <w:pStyle w:val="Heading3"/>
        <w:numPr>
          <w:ilvl w:val="2"/>
          <w:numId w:val="12"/>
        </w:numPr>
        <w:tabs>
          <w:tab w:val="num" w:pos="1492"/>
        </w:tabs>
        <w:ind w:hanging="360"/>
      </w:pPr>
      <w:bookmarkStart w:id="367" w:name="_Toc45206333"/>
      <w:r w:rsidRPr="00820C89">
        <w:t>System-level theory of change</w:t>
      </w:r>
      <w:bookmarkEnd w:id="367"/>
    </w:p>
    <w:p w14:paraId="4C6BAC7D" w14:textId="77777777" w:rsidR="00C1765C" w:rsidRPr="00820C89" w:rsidRDefault="00C1765C" w:rsidP="00C1765C">
      <w:r w:rsidRPr="00820C89">
        <w:t xml:space="preserve">The IEPs operate within a broader system. Figure 2.1 outlines a stylised system level theory of change. This level of detail is useful for testing the different implementation strategies used across the three programs and for recognising the broader contexts that influence program impacts. </w:t>
      </w:r>
    </w:p>
    <w:p w14:paraId="59C516A5" w14:textId="77777777" w:rsidR="00C1765C" w:rsidRPr="00820C89" w:rsidRDefault="00C1765C" w:rsidP="00C1765C">
      <w:r w:rsidRPr="00820C89">
        <w:t xml:space="preserve">The diagram is not intended to be reflective of how the programs were designed, rather, for the purpose of the evaluation design, it is useful to demonstrate how they might theoretically fit together and complement each other. It highlights the system level levers, managed by NIAA, and a number of other key assumptions and contextual factors related to the programs. These factors will be explored through the evaluation, and the representation will be refined over time. </w:t>
      </w:r>
    </w:p>
    <w:p w14:paraId="79028C9B" w14:textId="77777777" w:rsidR="00C1765C" w:rsidRPr="00820C89" w:rsidRDefault="00C1765C" w:rsidP="00C1765C">
      <w:r w:rsidRPr="00820C89">
        <w:t xml:space="preserve">The factors affecting both supply and demand are known to vary significantly by location and to have potentially large influence on the extent to which programs realise desired outcomes. </w:t>
      </w:r>
    </w:p>
    <w:p w14:paraId="71D92040" w14:textId="77777777" w:rsidR="00C1765C" w:rsidRPr="00543B95" w:rsidRDefault="00C1765C" w:rsidP="00715F70">
      <w:pPr>
        <w:pStyle w:val="CaptionFigure"/>
        <w:numPr>
          <w:ilvl w:val="8"/>
          <w:numId w:val="12"/>
        </w:numPr>
        <w:spacing w:before="170"/>
      </w:pPr>
      <w:r w:rsidRPr="00820C89">
        <w:t xml:space="preserve"> </w:t>
      </w:r>
      <w:bookmarkStart w:id="368" w:name="_Ref44081908"/>
      <w:r w:rsidRPr="00543B95">
        <w:t>System theory of change</w:t>
      </w:r>
      <w:bookmarkEnd w:id="368"/>
      <w:r w:rsidRPr="00543B95">
        <w:t xml:space="preserve"> </w:t>
      </w:r>
    </w:p>
    <w:p w14:paraId="31B72087" w14:textId="77777777" w:rsidR="00C1765C" w:rsidRPr="00820C89" w:rsidRDefault="00C1765C" w:rsidP="00C1765C">
      <w:r w:rsidRPr="00820C89">
        <w:rPr>
          <w:noProof/>
          <w:lang w:eastAsia="en-AU"/>
        </w:rPr>
        <w:drawing>
          <wp:inline distT="0" distB="0" distL="0" distR="0" wp14:anchorId="7F8507AC" wp14:editId="3B708E43">
            <wp:extent cx="5685197" cy="3429000"/>
            <wp:effectExtent l="0" t="0" r="0" b="0"/>
            <wp:docPr id="1489793639" name="Picture 1489793639" descr="Figure 2.1 Identifies the NIAA's system levers, which include:&#10;&#10;Policy leadership - setting the vision and strategy for Indigenous Employment through polucy, goals and targets&#10;&#10;Resourcing - the quantity and nature of resourcing provided to administer and support delivery of the IEPs.&#10;&#10;NIAA human resources: the utilisation of NIAA central and regional staff to support IEP design, administration and delivery.&#10;&#10;Program guidelines and information: the level and nature of guidance and information provided to support effective program delivery.&#10;&#10;Accountability mechanisms: contract management, outcomes measurement and monitoring, payment milestones and other mechanisms to support accountability.&#10;&#10;Partnerships: the manner inw hich the NIAA utilises complementary agencies, programs and servies.&#10;&#10;Through utilising a combination of the system levers, the NIAA administer the three IEPs, utilising providers or employers as delivery agents in a complex service delivery invironment. Programs currently being delivered include EPI, VTEC and TAEG.&#10;&#10;The Figure displays factors affecting supply and demand against the three programs.&#10;&#10;The unique factors affecting the EPI's supply include the: skills, relationships and approach of providers, and the employers may directly recruit jobseekers or use service providers such as VTECS.&#10;&#10;Unique factors affecting VTEC's supply include the need to systemically respond to regional communities' needs.&#10;&#10;Unique factors affecting TAEG's supply include the ability to respond flexibly to community needs as well as the NIAA regional and central offices to conider applications that have the ability to meet community needs.&#10;&#10;The Factors affecting the all program's supply include the: skills, relationships and approach of providers, the employers may directly recruit jobseekers or use service providers such as VTECS; State and Territory skills and employment programs; Commonwealth agencies and programsl current skills and education of participantsl family, cultural or personal committments; mainstream employment programs; personal preferences, value and aspirations for work and provider capability and capacity.&#10;&#10;The uniqe factors affecting the demand for EPI include NIAA central liasing with large scale employers.&#10;&#10;The unique factors affecting the demand for VTEC include the need to systematically respond to reigional labour markets and the need for Indigenous-owned providers undertaking job-matching for candidates.&#10;&#10;The unique factors affting the demand for TAEG are TAEG providers may also be employers or may provide ongoing employment outcomes.&#10;&#10;The Factors affecting the all employer-based program's demand include the following macroeconomic conditions: the current available workforce; motivation for program participant; desire to grown Indigenous workforce; migrationa nd population; skills requirements; consumer demand; and size of working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90151" cy="3431988"/>
                    </a:xfrm>
                    <a:prstGeom prst="rect">
                      <a:avLst/>
                    </a:prstGeom>
                    <a:noFill/>
                  </pic:spPr>
                </pic:pic>
              </a:graphicData>
            </a:graphic>
          </wp:inline>
        </w:drawing>
      </w:r>
    </w:p>
    <w:p w14:paraId="59679676" w14:textId="77777777" w:rsidR="00C1765C" w:rsidRPr="00820C89" w:rsidRDefault="00C1765C" w:rsidP="00C1765C">
      <w:pPr>
        <w:rPr>
          <w:iCs/>
          <w:sz w:val="16"/>
          <w:szCs w:val="16"/>
        </w:rPr>
      </w:pPr>
      <w:r w:rsidRPr="00820C89">
        <w:rPr>
          <w:iCs/>
          <w:sz w:val="16"/>
          <w:szCs w:val="16"/>
        </w:rPr>
        <w:t>Source: Deloitte Access Economics</w:t>
      </w:r>
    </w:p>
    <w:p w14:paraId="76040847" w14:textId="77777777" w:rsidR="00C1765C" w:rsidRPr="00820C89" w:rsidRDefault="00C1765C" w:rsidP="00715F70">
      <w:pPr>
        <w:pStyle w:val="Heading3"/>
        <w:numPr>
          <w:ilvl w:val="2"/>
          <w:numId w:val="12"/>
        </w:numPr>
        <w:tabs>
          <w:tab w:val="num" w:pos="1492"/>
        </w:tabs>
        <w:ind w:hanging="360"/>
      </w:pPr>
      <w:bookmarkStart w:id="369" w:name="_Toc45206334"/>
      <w:bookmarkStart w:id="370" w:name="_Toc37099374"/>
      <w:bookmarkStart w:id="371" w:name="_Toc37177369"/>
      <w:bookmarkStart w:id="372" w:name="_Toc37217748"/>
      <w:bookmarkStart w:id="373" w:name="_Toc37402739"/>
      <w:r w:rsidRPr="00820C89">
        <w:t>Overarching program logic</w:t>
      </w:r>
      <w:bookmarkEnd w:id="369"/>
    </w:p>
    <w:p w14:paraId="13BE7CB7" w14:textId="77777777" w:rsidR="00C1765C" w:rsidRPr="00820C89" w:rsidRDefault="00C1765C" w:rsidP="00C1765C">
      <w:r w:rsidRPr="00820C89">
        <w:t xml:space="preserve">The overarching program logic outlines how each of the three programs in scope of the evaluation are intended to achieve improved employment outcomes for Indigenous Australians (and for EPI, </w:t>
      </w:r>
      <w:r w:rsidRPr="00820C89">
        <w:lastRenderedPageBreak/>
        <w:t xml:space="preserve">greater parity and improved cultural inclusion and competency in Australian companies), through undertaking specific activities. </w:t>
      </w:r>
    </w:p>
    <w:p w14:paraId="0DC321C5" w14:textId="77777777" w:rsidR="00C1765C" w:rsidRPr="00820C89" w:rsidRDefault="00C1765C" w:rsidP="00C1765C">
      <w:r w:rsidRPr="00820C89">
        <w:t xml:space="preserve">This overarching program logic has been built directly from the three individual program logics (provided at </w:t>
      </w:r>
      <w:r w:rsidRPr="00820C89">
        <w:rPr>
          <w:b/>
        </w:rPr>
        <w:t>Appendix B</w:t>
      </w:r>
      <w:r w:rsidRPr="00820C89">
        <w:t xml:space="preserve">) that were created in collaboration between SVA and the NIAA. These program logics were developed based on a rigorous consultation with a range of key stakeholders, including service providers and partners. Both the overarching and individual program logics will be refined over the course of the evaluation. </w:t>
      </w:r>
    </w:p>
    <w:p w14:paraId="11F33944" w14:textId="77777777" w:rsidR="00C1765C" w:rsidRPr="00820C89" w:rsidRDefault="00C1765C" w:rsidP="00C1765C">
      <w:r w:rsidRPr="00820C89">
        <w:t xml:space="preserve">The overarching logic highlights that there is a large degree of similarity between the objectives of the three IEPs. The headline objectives and medium/long term outcomes are the same (with minor differences for EPI), however the interventions are different. </w:t>
      </w:r>
    </w:p>
    <w:p w14:paraId="3AE8B01C" w14:textId="0CA87D37" w:rsidR="00C1765C" w:rsidRPr="00820C89" w:rsidRDefault="00C1765C" w:rsidP="00C1765C">
      <w:r w:rsidRPr="00820C89">
        <w:t xml:space="preserve">There are a number of system levers the NIAA has to influence these outcomes (as depicted in </w:t>
      </w:r>
      <w:r w:rsidRPr="00820C89">
        <w:fldChar w:fldCharType="begin"/>
      </w:r>
      <w:r w:rsidRPr="00820C89">
        <w:instrText xml:space="preserve"> REF _Ref44081908 \r \h </w:instrText>
      </w:r>
      <w:r w:rsidR="00820C89">
        <w:instrText xml:space="preserve"> \* MERGEFORMAT </w:instrText>
      </w:r>
      <w:r w:rsidRPr="00820C89">
        <w:fldChar w:fldCharType="separate"/>
      </w:r>
      <w:r w:rsidR="008565C8">
        <w:t>Figure 2.1</w:t>
      </w:r>
      <w:r w:rsidRPr="00820C89">
        <w:fldChar w:fldCharType="end"/>
      </w:r>
      <w:r w:rsidRPr="00820C89">
        <w:t xml:space="preserve">) – and the evaluation will test how effectively the three programs (together and in isolation) are realising these objectives. </w:t>
      </w:r>
    </w:p>
    <w:p w14:paraId="0BB8E3D0" w14:textId="77777777" w:rsidR="00C1765C" w:rsidRPr="00820C89" w:rsidRDefault="00C1765C" w:rsidP="00C1765C">
      <w:pPr>
        <w:sectPr w:rsidR="00C1765C" w:rsidRPr="00820C89" w:rsidSect="005F043A">
          <w:footerReference w:type="default" r:id="rId98"/>
          <w:pgSz w:w="11906" w:h="16838" w:code="9"/>
          <w:pgMar w:top="1440" w:right="1440" w:bottom="1440" w:left="1440" w:header="680" w:footer="425" w:gutter="0"/>
          <w:cols w:space="284"/>
          <w:docGrid w:linePitch="360"/>
        </w:sectPr>
      </w:pPr>
    </w:p>
    <w:p w14:paraId="4F085A89" w14:textId="77777777" w:rsidR="00C1765C" w:rsidRPr="00543B95" w:rsidRDefault="00C1765C" w:rsidP="00715F70">
      <w:pPr>
        <w:pStyle w:val="CaptionFigure"/>
        <w:numPr>
          <w:ilvl w:val="8"/>
          <w:numId w:val="12"/>
        </w:numPr>
        <w:spacing w:before="170"/>
        <w:ind w:left="568"/>
      </w:pPr>
      <w:r w:rsidRPr="00820C89">
        <w:lastRenderedPageBreak/>
        <w:t xml:space="preserve"> </w:t>
      </w:r>
      <w:r w:rsidRPr="00543B95">
        <w:t>IEP overarching program logic</w:t>
      </w:r>
    </w:p>
    <w:p w14:paraId="0E86078C" w14:textId="77777777" w:rsidR="00C1765C" w:rsidRPr="00820C89" w:rsidRDefault="00C1765C" w:rsidP="00C1765C">
      <w:r w:rsidRPr="00820C89">
        <w:rPr>
          <w:noProof/>
          <w:lang w:eastAsia="en-AU"/>
        </w:rPr>
        <w:drawing>
          <wp:inline distT="0" distB="0" distL="0" distR="0" wp14:anchorId="4528222D" wp14:editId="732F1918">
            <wp:extent cx="8821793" cy="4900295"/>
            <wp:effectExtent l="0" t="0" r="0" b="0"/>
            <wp:docPr id="1489793618" name="Picture 1489793618" descr="Figure 2.2 is a copy of figure 4.1 from page 57. The following is a description of this figure.&#10;&#10;The figure describes the IEPs program logic.&#10;&#10;The program objectives are noted to be:&#10;-Improved employment outcomes for Indigenous Australians; and greater parity and imporived strategies among Australian companies.&#10;&#10;These outcomes are further described with the sub-objectives of:&#10;- More Australian companies achieve and maintain parity in employment and between Indigenous and non-Indgienous Australians;&#10;- Australian companies adopt more culturally appropriate employment practices;&#10;-Australian companies increase procurement from Indigenous companies;&#10;More Indigenous Australians are in sustainable employment; and&#10;- The gap in employment outcomes for indigenous Australians are reduced.&#10;&#10;Figure 4.1 then goes into further detail by noting the Inputs, Activities and Outputs of the program.&#10;&#10;The inputs for all programs are:&#10;-Accountability mechanisms and outcomes measurement;&#10;-NIAA program and policy staff;&#10;-Program guidelines and information; and&#10;Policy leadership (i.e. the IAS).&#10;&#10;The inputs for the EPI are:&#10;- approximately $12,000 for each completed contract (including acquitable advance payment).&#10;&#10;The inputs for the TAEG are:&#10;- approximately $8,250 ('highly disadvantaged') for placement and $1,500 for work preparation; and&#10;- NIAA regional network support.&#10;&#10;The inputs for the VTEC are:&#10;-$15,000 per participant (Stream C / DES); and&#10;-NIAA regional network support.&#10;&#10;The activities for all programs are:&#10;-Reporting and performance management;&#10;-Disseminate participant information and recruitment;&#10;-Pre-employment support; and &#10;-Milestone payments.&#10;&#10;The activities for EPI are:&#10;-Recruit EPI partners; and&#10;- Employment commitments.&#10;&#10;The activities for TAEG are:&#10;-Community engagement;&#10;-Program design and application/ agreements;&#10;-recruit providers; and&#10;- Vocational training.&#10;&#10;The activities for VTEC are:&#10;-Community engagement;&#10;-Program design and application / agreements;&#10;-Recruit providers (must be, or have joint ventures with) Indigenous organisation; and&#10;- Vocational training.&#10;&#10;The outputs for all programs are:&#10;- Number and proportion of participants meeting milestones.&#10;&#10;The outputs for EPI are:&#10;- 200+ placements in organisation;&#10;- Proportion of Indigenous employees in organisation.&#10;&#10;The outputs for TAEG are:&#10;- Number and proportion of participants meeting milestones; and&#10;-Number of participants completing new licenses/training qualifications.&#10;&#10;The outputs for VTEC are:&#10;-70 per cent + Stream B / C participants; and&#10;- Number of participants completing new licenses / training qualifications.&#10;&#10;The short-term outcomes (at the start of the program) are described as:&#10;Participants more likely to access supports:&#10;-More aware that specific support is available;&#10;-Feel services are tailored and relevant; &#10;-Feel supported and culturally safe;&#10;-More likely to maintain positive engagement with provider over time.&#10;&#10;Participants more likely to obtain appropriate employment:&#10;- More likely to access ongoing employment;&#10;- Feel included, understood and culturally safe in the workplace; and&#10;- Feel employment is appropriate and meaningful.&#10;&#10;Employers more likely to employ Indigenous Job seekers:&#10;-Employers develop strategies for culturally appropriate recruitment and procurement strategies;&#10;-Employers have improved access to candidates to fill existing roles;&#10;- Employers have increased appreciation of benefits of indigenous employment; and&#10;- Employers increase employment of indigenous jobseekers.&#10;&#10;The Medium-term and long-term outcomes (both during and after program placement) are described as:&#10;&#10;Participants develop improved work readiness:&#10;-Develop work readiness skills, including cognitive skills and soft ebhavioural skills; and&#10;- improved understanding of their aspirations and strengths.&#10;&#10;Participants develop improved job skills:&#10;- Develop skills in a specific vocation / role (MT);&#10;- Complete new licenses / training qualifications (including recognition of prior learning) (MT).&#10;Participants develop improved wellbeing and are more likely to access supports to address barriers to employment:&#10;-Develop new support networks;&#10;-Increased income and financial security; and&#10;- Increased trust in mainstream employers and employment services.&#10;&#10;Participants remain engaged in sustainable employment and are more likely to remain in employment (LT):&#10;- Participants can advance in their careers with current or other employers (LT).&#10;&#10;Companies deliver and embed new strategies:&#10;-Employers embed recruitment of indigenous jobseekers into business practices (LT);&#10;-Employers more likely to procure from Indigenous companies (LT;&#10;-Employers retain their indigenous employees;&#10;- Employers more likely to promote Indigenous employees through their workforce;&#10;-Employers have enhanced reputation and workforce outcomes (LT); and&#10;- Employers become less dependent on EPI funding over time (EPI-LT).&#10;&#10;External considerations that are beyond the direct scope of this framework, but which will have material influence over whether the objectives are met include the following (it is important to ntoe that these factors will be able to be considered within the categories of barriers and enablers in this monitoring and evaluation framework).&#10;"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45070" cy="4913225"/>
                    </a:xfrm>
                    <a:prstGeom prst="rect">
                      <a:avLst/>
                    </a:prstGeom>
                    <a:noFill/>
                  </pic:spPr>
                </pic:pic>
              </a:graphicData>
            </a:graphic>
          </wp:inline>
        </w:drawing>
      </w:r>
    </w:p>
    <w:p w14:paraId="46DC4E2A" w14:textId="77777777" w:rsidR="00C1765C" w:rsidRPr="00820C89" w:rsidRDefault="00C1765C" w:rsidP="00C1765C">
      <w:pPr>
        <w:rPr>
          <w:iCs/>
          <w:sz w:val="16"/>
          <w:szCs w:val="16"/>
        </w:rPr>
      </w:pPr>
      <w:r w:rsidRPr="00820C89">
        <w:rPr>
          <w:iCs/>
          <w:sz w:val="16"/>
          <w:szCs w:val="16"/>
        </w:rPr>
        <w:t>Source: Deloitte Access Economics</w:t>
      </w:r>
    </w:p>
    <w:p w14:paraId="0CAF85F7" w14:textId="77777777" w:rsidR="00C1765C" w:rsidRPr="00820C89" w:rsidRDefault="00C1765C" w:rsidP="00C1765C">
      <w:pPr>
        <w:rPr>
          <w:iCs/>
          <w:sz w:val="16"/>
          <w:szCs w:val="16"/>
        </w:rPr>
        <w:sectPr w:rsidR="00C1765C" w:rsidRPr="00820C89" w:rsidSect="00500514">
          <w:pgSz w:w="16838" w:h="11906" w:orient="landscape" w:code="9"/>
          <w:pgMar w:top="1440" w:right="1440" w:bottom="1440" w:left="1440" w:header="680" w:footer="425" w:gutter="0"/>
          <w:cols w:space="284"/>
          <w:docGrid w:linePitch="360"/>
        </w:sectPr>
      </w:pPr>
    </w:p>
    <w:p w14:paraId="44B30D00" w14:textId="77777777" w:rsidR="00C1765C" w:rsidRPr="00820C89" w:rsidRDefault="00C1765C" w:rsidP="00C1765C"/>
    <w:p w14:paraId="2406A2A7" w14:textId="77777777" w:rsidR="00C1765C" w:rsidRPr="00820C89" w:rsidRDefault="00C1765C" w:rsidP="00715F70">
      <w:pPr>
        <w:pStyle w:val="Heading3"/>
        <w:numPr>
          <w:ilvl w:val="2"/>
          <w:numId w:val="12"/>
        </w:numPr>
        <w:tabs>
          <w:tab w:val="num" w:pos="1492"/>
        </w:tabs>
        <w:ind w:left="993" w:hanging="360"/>
      </w:pPr>
      <w:bookmarkStart w:id="374" w:name="_Toc45206335"/>
      <w:bookmarkStart w:id="375" w:name="_Ref43476968"/>
      <w:bookmarkEnd w:id="370"/>
      <w:bookmarkEnd w:id="371"/>
      <w:bookmarkEnd w:id="372"/>
      <w:bookmarkEnd w:id="373"/>
      <w:r w:rsidRPr="00820C89">
        <w:t>Stakeholder journey map</w:t>
      </w:r>
      <w:bookmarkEnd w:id="374"/>
    </w:p>
    <w:bookmarkEnd w:id="375"/>
    <w:p w14:paraId="2D9A987E" w14:textId="6C042350" w:rsidR="00C1765C" w:rsidRPr="00820C89" w:rsidRDefault="00C1765C" w:rsidP="00C1765C">
      <w:r w:rsidRPr="00820C89">
        <w:t xml:space="preserve">The stakeholder journey map at </w:t>
      </w:r>
      <w:r w:rsidRPr="00820C89">
        <w:fldChar w:fldCharType="begin"/>
      </w:r>
      <w:r w:rsidRPr="00820C89">
        <w:instrText xml:space="preserve"> REF _Ref44082039 \r \h </w:instrText>
      </w:r>
      <w:r w:rsidR="00820C89">
        <w:instrText xml:space="preserve"> \* MERGEFORMAT </w:instrText>
      </w:r>
      <w:r w:rsidRPr="00820C89">
        <w:fldChar w:fldCharType="separate"/>
      </w:r>
      <w:r w:rsidR="008565C8">
        <w:t>Figure 2.3</w:t>
      </w:r>
      <w:r w:rsidRPr="00820C89">
        <w:fldChar w:fldCharType="end"/>
      </w:r>
      <w:r w:rsidRPr="00820C89">
        <w:t xml:space="preserve"> highlights some of the key assumptions that will be tested through the evaluation. The journey map shows the expected experience of employers and participants who participate in IEPs. The experience milestones, and the assumptions marked as critical for desired outcomes to be realised, are informed by evidence gathered through the evaluation literature scan and consultation with NIAA regional and program staff. </w:t>
      </w:r>
    </w:p>
    <w:p w14:paraId="1ED8D99D" w14:textId="77777777" w:rsidR="00C1765C" w:rsidRPr="00820C89" w:rsidRDefault="00C1765C" w:rsidP="00C1765C">
      <w:r w:rsidRPr="00820C89">
        <w:t xml:space="preserve">The evaluation will aim to assess the alignment between the intended journey and the lived experience of employers and participants in the IEPs. </w:t>
      </w:r>
    </w:p>
    <w:p w14:paraId="00212C96" w14:textId="77777777" w:rsidR="00C1765C" w:rsidRPr="00820C89" w:rsidRDefault="00C1765C" w:rsidP="00C1765C">
      <w:pPr>
        <w:sectPr w:rsidR="00C1765C" w:rsidRPr="00820C89" w:rsidSect="005F043A">
          <w:pgSz w:w="11906" w:h="16838" w:code="9"/>
          <w:pgMar w:top="1440" w:right="1440" w:bottom="1440" w:left="1440" w:header="680" w:footer="425" w:gutter="0"/>
          <w:cols w:space="284"/>
          <w:docGrid w:linePitch="360"/>
        </w:sectPr>
      </w:pPr>
      <w:bookmarkStart w:id="376" w:name="_Toc37099377"/>
      <w:bookmarkStart w:id="377" w:name="_Toc37177372"/>
      <w:bookmarkStart w:id="378" w:name="_Toc36569305"/>
    </w:p>
    <w:p w14:paraId="13B83416" w14:textId="77777777" w:rsidR="00C1765C" w:rsidRPr="00543B95" w:rsidRDefault="00C1765C" w:rsidP="00715F70">
      <w:pPr>
        <w:pStyle w:val="CaptionFigure"/>
        <w:numPr>
          <w:ilvl w:val="8"/>
          <w:numId w:val="12"/>
        </w:numPr>
        <w:spacing w:before="170"/>
      </w:pPr>
      <w:r w:rsidRPr="00820C89">
        <w:lastRenderedPageBreak/>
        <w:t xml:space="preserve"> </w:t>
      </w:r>
      <w:bookmarkStart w:id="379" w:name="_Ref44082039"/>
      <w:r w:rsidRPr="00543B95">
        <w:t>IEP stakeholder journey map</w:t>
      </w:r>
      <w:bookmarkEnd w:id="379"/>
    </w:p>
    <w:p w14:paraId="1CB2EF4F" w14:textId="77777777" w:rsidR="00C1765C" w:rsidRPr="00820C89" w:rsidRDefault="00C1765C" w:rsidP="00C1765C">
      <w:r w:rsidRPr="00820C89">
        <w:rPr>
          <w:noProof/>
          <w:lang w:eastAsia="en-AU"/>
        </w:rPr>
        <w:drawing>
          <wp:inline distT="0" distB="0" distL="0" distR="0" wp14:anchorId="22AA2C47" wp14:editId="1D7E252F">
            <wp:extent cx="9661936" cy="4953000"/>
            <wp:effectExtent l="0" t="0" r="0" b="0"/>
            <wp:docPr id="1489793606" name="Picture 3" descr="The timeline is presented with two adjacent lines noting the IEPs Program and the IEP Planning streams. IEP Program is top line and the Program Planning is on the bottom.&#10;&#10;As the timelines are concurrent, the events will be discussed as they occur for both during program and program planning timelines from right to left and will note which stream they event belongs to.&#10;&#10;Please note that the During Program phase is focussed on the employer and the program planning is focussed on the participant.&#10;&#10;Programs planning: The first event in the timeline is to make all programs aware that tailored supports are available. This point then flows into a subpoint, supported are valuable to participants. &#10;&#10;This then moves into the second program planning event - Access tailored supprots. This point then flows into the subpoint which states that supports are appropriate to individual needs and address barriers to workforce participation.&#10;&#10;This then links to the expected outcome of Improved work readiness that seeks to reduce abrriers to employment, improved understanding of aspirations and strenghts and improved soft behavioural skills.&#10;&#10;Between the two program planning events is the first During Program event. This activity is labelled &quot;Develop culturally appropriate recruitment strategies&quot; where employers value providing indigenous employment opportunities.&#10;&#10;The second event in the during program timeline is the Identification of job vacancies and skills required where the employer has increased access to potential Indigenous employees.&#10;&#10;The first activity in the Program planning time line is to be aware of the available job opportunities. &#10;&#10;The next event in the during program timeline is the advertisement of roles. &#10;&#10;The next event in the program planning timeline is where the participant accesses skills-based training that is appropriate to individual needs. This is noted to improve job readiness as developed skills will align with available jobs and individual goals and preferences.&#10;&#10;The next four events occur concurrently in the During Program and Program Planning timelines.&#10;&#10;The first of the current activities on the During Program timeline is the Interview Participants Activity. This is expected to lead to the outcome of a less resource intensive recruitment process. Linking to this activity through the process of making participants job ready is the second-concurrent acitivity where the Participant commencs employment which is expected to lead to the outcome that employers employ a suitably skills &quot;job ready&quot; candidate.&#10;&#10;The third and fourth concurrent activity occur during the Program Planning timeline.&#10;&#10;The third activity are the interviews with employers. Linked to this under the assumption that job opportunities are valued by participants is the fourth activity titled commences employment. The expected outcome linked to this activity is for the participant to gain meaninful employment aligned with individual goals and preferences.&#10;&#10;The next two events occur concurrently in the during program and program planning timelines at the 4, 13, 26, 39, 52 and 104 week payment milestones section.&#10;&#10;The during program activity is the employer and or provider provides continued on-the-job support and training for the participant. The expected outcome is enhanced workforce outcomes through stronger relationships with employees.&#10;&#10;The concurrent program planning activity is the participant receives continued on-the-job support and training by the employer and program provider. It is assumed that the supports are appropriate for individual needs will lead to improved wellbeing where the participant will develop new support networks; will be more likely to remain engaged in sustainable employment; will have increased income and financial security and increased trust in mainstream employers and feel included and culturally safe in the workplace.&#10;&#10;The last two activities on the during program and program planning timelines also occur concurrently.&#10;&#10;The last during program activity, continued recruitment and retention of Indigenous employees has two expected outcomes. The first is more sustainable Indigenous employment practices based on the assumption that leaders prioritise Indigenous employment practices. The second is enhanced reputation as an employer based on indigenous employment practices are valied in the community.&#10;&#10;It is assumed the during program phase will lead to employers continued valuing of Indigenous employees sustained job opportunities exist.&#10;&#10;The last activity of the program planning timeline is the participants continued workforce employment which will lead to the expected outcome of improved employability where the opportunity to advance their career with current employer or other employers.&#10;&#10;It is assumed the program planning phase will lead to participants supports being appropriate to individual needs.&#10;&#10;End of timeline and table."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9"/>
                    <a:stretch>
                      <a:fillRect/>
                    </a:stretch>
                  </pic:blipFill>
                  <pic:spPr>
                    <a:xfrm>
                      <a:off x="0" y="0"/>
                      <a:ext cx="9668132" cy="4956176"/>
                    </a:xfrm>
                    <a:prstGeom prst="rect">
                      <a:avLst/>
                    </a:prstGeom>
                  </pic:spPr>
                </pic:pic>
              </a:graphicData>
            </a:graphic>
          </wp:inline>
        </w:drawing>
      </w:r>
    </w:p>
    <w:p w14:paraId="17937E34" w14:textId="77777777" w:rsidR="00C1765C" w:rsidRPr="00820C89" w:rsidRDefault="00C1765C" w:rsidP="00C1765C">
      <w:pPr>
        <w:rPr>
          <w:i/>
          <w:sz w:val="16"/>
          <w:szCs w:val="16"/>
        </w:rPr>
        <w:sectPr w:rsidR="00C1765C" w:rsidRPr="00820C89" w:rsidSect="00795649">
          <w:pgSz w:w="16838" w:h="11906" w:orient="landscape" w:code="9"/>
          <w:pgMar w:top="1440" w:right="1440" w:bottom="1440" w:left="1440" w:header="680" w:footer="425" w:gutter="0"/>
          <w:cols w:space="284"/>
          <w:docGrid w:linePitch="360"/>
        </w:sectPr>
      </w:pPr>
      <w:r w:rsidRPr="00820C89">
        <w:rPr>
          <w:i/>
          <w:sz w:val="16"/>
          <w:szCs w:val="16"/>
        </w:rPr>
        <w:t>Source: Deloitte Access Economics</w:t>
      </w:r>
    </w:p>
    <w:p w14:paraId="105D480B" w14:textId="77777777" w:rsidR="00C1765C" w:rsidRPr="00820C89" w:rsidRDefault="00C1765C" w:rsidP="00715F70">
      <w:pPr>
        <w:pStyle w:val="Heading2"/>
        <w:numPr>
          <w:ilvl w:val="1"/>
          <w:numId w:val="69"/>
        </w:numPr>
        <w:spacing w:after="60"/>
        <w:ind w:left="1440" w:hanging="360"/>
      </w:pPr>
      <w:bookmarkStart w:id="380" w:name="_Toc45206336"/>
      <w:bookmarkStart w:id="381" w:name="_Toc82694507"/>
      <w:bookmarkStart w:id="382" w:name="_Toc82710806"/>
      <w:bookmarkStart w:id="383" w:name="_Toc101343331"/>
      <w:r w:rsidRPr="00820C89">
        <w:lastRenderedPageBreak/>
        <w:t>Evaluation questions</w:t>
      </w:r>
      <w:bookmarkEnd w:id="380"/>
      <w:bookmarkEnd w:id="381"/>
      <w:bookmarkEnd w:id="382"/>
      <w:bookmarkEnd w:id="383"/>
      <w:r w:rsidRPr="00820C89">
        <w:t xml:space="preserve"> </w:t>
      </w:r>
      <w:bookmarkEnd w:id="376"/>
      <w:bookmarkEnd w:id="377"/>
      <w:bookmarkEnd w:id="378"/>
    </w:p>
    <w:p w14:paraId="65A1757B" w14:textId="77777777" w:rsidR="00C1765C" w:rsidRPr="00820C89" w:rsidRDefault="00C1765C" w:rsidP="00C1765C">
      <w:r w:rsidRPr="00820C89">
        <w:t xml:space="preserve">The evaluation questions, clustered under the three evaluation objectives, have been adapted from the existing Evaluation Strategy to reflect feedback received from IEC committee members, and have been further validated through a workshop held with the ERG. </w:t>
      </w:r>
    </w:p>
    <w:p w14:paraId="7E24E551" w14:textId="77777777" w:rsidR="00C1765C" w:rsidRPr="00820C89" w:rsidRDefault="00C1765C" w:rsidP="00C1765C">
      <w:r w:rsidRPr="00820C89">
        <w:t xml:space="preserve">Associated with these headline evaluation criteria are various lines of inquiry (the italics beneath each question) to demonstrate in what ways each question will be explored. The lines of inquiry link back to the program logics and have been developed to be common across the three programs. </w:t>
      </w:r>
    </w:p>
    <w:p w14:paraId="687E5B5F" w14:textId="77777777" w:rsidR="00C1765C" w:rsidRPr="00820C89" w:rsidRDefault="00C1765C" w:rsidP="00C1765C">
      <w:r w:rsidRPr="00820C89">
        <w:t>The lines of inquiry are anticipated to evolve throughout the evaluation. This will allow the analysis and reporting to adapt to emerging areas of focus and interest, highlight similarities and differences between programs, and prioritise information according to significance.</w:t>
      </w:r>
    </w:p>
    <w:p w14:paraId="52842A98" w14:textId="77777777" w:rsidR="00C1765C" w:rsidRPr="00820C89" w:rsidRDefault="00C1765C" w:rsidP="00715F70">
      <w:pPr>
        <w:pStyle w:val="CaptionTable"/>
        <w:numPr>
          <w:ilvl w:val="6"/>
          <w:numId w:val="12"/>
        </w:numPr>
        <w:ind w:left="1417" w:hanging="1417"/>
      </w:pPr>
      <w:r w:rsidRPr="00820C89">
        <w:t>: Headline evaluation criteria, questions and lines of inquiry</w:t>
      </w:r>
    </w:p>
    <w:tbl>
      <w:tblPr>
        <w:tblStyle w:val="Deloittetable"/>
        <w:tblW w:w="8364" w:type="dxa"/>
        <w:tblLayout w:type="fixed"/>
        <w:tblLook w:val="0420" w:firstRow="1" w:lastRow="0" w:firstColumn="0" w:lastColumn="0" w:noHBand="0" w:noVBand="1"/>
      </w:tblPr>
      <w:tblGrid>
        <w:gridCol w:w="1316"/>
        <w:gridCol w:w="7048"/>
      </w:tblGrid>
      <w:tr w:rsidR="00C1765C" w:rsidRPr="00820C89" w14:paraId="769046E2" w14:textId="77777777" w:rsidTr="00087C85">
        <w:trPr>
          <w:cnfStyle w:val="100000000000" w:firstRow="1" w:lastRow="0" w:firstColumn="0" w:lastColumn="0" w:oddVBand="0" w:evenVBand="0" w:oddHBand="0" w:evenHBand="0" w:firstRowFirstColumn="0" w:firstRowLastColumn="0" w:lastRowFirstColumn="0" w:lastRowLastColumn="0"/>
          <w:trHeight w:val="30"/>
          <w:tblHeader/>
        </w:trPr>
        <w:tc>
          <w:tcPr>
            <w:tcW w:w="8364" w:type="dxa"/>
            <w:gridSpan w:val="2"/>
            <w:hideMark/>
          </w:tcPr>
          <w:p w14:paraId="3362F651" w14:textId="77777777" w:rsidR="00C1765C" w:rsidRPr="00820C89" w:rsidRDefault="00C1765C" w:rsidP="006D2536">
            <w:pPr>
              <w:spacing w:after="0"/>
            </w:pPr>
            <w:r w:rsidRPr="00820C89">
              <w:rPr>
                <w:b/>
                <w:bCs/>
              </w:rPr>
              <w:t>1. Appropriateness of program design and implementation</w:t>
            </w:r>
          </w:p>
        </w:tc>
      </w:tr>
      <w:tr w:rsidR="00C1765C" w:rsidRPr="00820C89" w14:paraId="0A2FECD1" w14:textId="77777777" w:rsidTr="006D2536">
        <w:trPr>
          <w:trHeight w:val="30"/>
        </w:trPr>
        <w:tc>
          <w:tcPr>
            <w:tcW w:w="1316" w:type="dxa"/>
            <w:hideMark/>
          </w:tcPr>
          <w:p w14:paraId="17FC348E" w14:textId="77777777" w:rsidR="00C1765C" w:rsidRPr="00820C89" w:rsidRDefault="00C1765C" w:rsidP="006D2536">
            <w:pPr>
              <w:spacing w:after="0"/>
            </w:pPr>
            <w:r w:rsidRPr="00820C89">
              <w:t>1.1</w:t>
            </w:r>
          </w:p>
        </w:tc>
        <w:tc>
          <w:tcPr>
            <w:tcW w:w="7048" w:type="dxa"/>
            <w:hideMark/>
          </w:tcPr>
          <w:p w14:paraId="4178E727" w14:textId="77777777" w:rsidR="00C1765C" w:rsidRPr="00820C89" w:rsidRDefault="00C1765C" w:rsidP="006D2536">
            <w:pPr>
              <w:spacing w:after="0"/>
              <w:rPr>
                <w:i/>
              </w:rPr>
            </w:pPr>
            <w:r w:rsidRPr="00820C89">
              <w:t xml:space="preserve">To what extent is the program design based on evidence? </w:t>
            </w:r>
            <w:r w:rsidRPr="00820C89">
              <w:br/>
            </w:r>
            <w:r w:rsidRPr="00820C89">
              <w:br/>
            </w:r>
            <w:r w:rsidRPr="00820C89">
              <w:rPr>
                <w:i/>
              </w:rPr>
              <w:t>This will consider the evidence that was used to inform the program design, including desktop research and consultative processes, focusing on the extent to which the program design reflects best practice in employment assistance programs and alignment with Indigenous Australian perspectives and values.</w:t>
            </w:r>
          </w:p>
          <w:p w14:paraId="5648AC84" w14:textId="77777777" w:rsidR="00C1765C" w:rsidRPr="00820C89" w:rsidRDefault="00C1765C" w:rsidP="006D2536">
            <w:pPr>
              <w:spacing w:after="0"/>
              <w:ind w:left="0"/>
              <w:rPr>
                <w:i/>
              </w:rPr>
            </w:pPr>
            <w:r w:rsidRPr="00820C89">
              <w:rPr>
                <w:i/>
              </w:rPr>
              <w:t xml:space="preserve">As the literature scan has found that best practice program design includes co-design principles and incorporation of Indigenous voice and input into program design (holistically and within a place-based implementation approach) – the extent to which program design included authentic collaboration with Indigenous people will be considered. </w:t>
            </w:r>
          </w:p>
          <w:p w14:paraId="3D0F2CA1" w14:textId="77777777" w:rsidR="00C1765C" w:rsidRPr="00820C89" w:rsidRDefault="00C1765C" w:rsidP="006D2536">
            <w:pPr>
              <w:spacing w:after="0"/>
              <w:ind w:left="0"/>
            </w:pPr>
            <w:r w:rsidRPr="00820C89">
              <w:rPr>
                <w:i/>
              </w:rPr>
              <w:t xml:space="preserve">This component of the evaluation also seeks to understand the extent to which the program design has changed over time to reflect changing policy contexts, participant and community experience and feedback on the programs, and contemporary research.  </w:t>
            </w:r>
          </w:p>
        </w:tc>
      </w:tr>
      <w:tr w:rsidR="00C1765C" w:rsidRPr="00820C89" w14:paraId="3795334E" w14:textId="77777777" w:rsidTr="006D2536">
        <w:trPr>
          <w:trHeight w:val="30"/>
        </w:trPr>
        <w:tc>
          <w:tcPr>
            <w:tcW w:w="1316" w:type="dxa"/>
            <w:hideMark/>
          </w:tcPr>
          <w:p w14:paraId="6B9CB69C" w14:textId="77777777" w:rsidR="00C1765C" w:rsidRPr="00820C89" w:rsidRDefault="00C1765C" w:rsidP="006D2536">
            <w:pPr>
              <w:spacing w:after="0"/>
            </w:pPr>
            <w:r w:rsidRPr="00820C89">
              <w:t>1.2</w:t>
            </w:r>
          </w:p>
        </w:tc>
        <w:tc>
          <w:tcPr>
            <w:tcW w:w="7048" w:type="dxa"/>
            <w:hideMark/>
          </w:tcPr>
          <w:p w14:paraId="761670B6" w14:textId="77777777" w:rsidR="00C1765C" w:rsidRPr="00820C89" w:rsidRDefault="00C1765C" w:rsidP="006D2536">
            <w:pPr>
              <w:spacing w:after="0"/>
            </w:pPr>
            <w:r w:rsidRPr="00820C89">
              <w:t>To what extent has the program been implemented by NIAA (/PM&amp;C) in line with its design parameters?</w:t>
            </w:r>
          </w:p>
          <w:p w14:paraId="55EEE1A3" w14:textId="77777777" w:rsidR="00C1765C" w:rsidRPr="00820C89" w:rsidRDefault="00C1765C" w:rsidP="006D2536">
            <w:pPr>
              <w:spacing w:after="0"/>
              <w:rPr>
                <w:i/>
              </w:rPr>
            </w:pPr>
            <w:r w:rsidRPr="00820C89">
              <w:rPr>
                <w:i/>
              </w:rPr>
              <w:t xml:space="preserve">This evaluation question seeks to understand the extent to which the program was implemented as originally intended, across various domains. Key lines of inquiry may include whether the program has run to budget, how providers have been selected to participate in the program, and how implementation differs across program type and location. </w:t>
            </w:r>
          </w:p>
          <w:p w14:paraId="48531D3B" w14:textId="77777777" w:rsidR="00C1765C" w:rsidRPr="00820C89" w:rsidRDefault="00C1765C" w:rsidP="006D2536">
            <w:pPr>
              <w:spacing w:after="0"/>
              <w:rPr>
                <w:i/>
              </w:rPr>
            </w:pPr>
            <w:r w:rsidRPr="00820C89">
              <w:rPr>
                <w:i/>
              </w:rPr>
              <w:t xml:space="preserve">It will also consider any challenges the NIAA, or IEP providers, has encountered in implementing the program – as well as any factors deemed critical to implementation success. </w:t>
            </w:r>
          </w:p>
        </w:tc>
      </w:tr>
      <w:tr w:rsidR="00C1765C" w:rsidRPr="00820C89" w14:paraId="7DBEE161" w14:textId="77777777" w:rsidTr="006D2536">
        <w:trPr>
          <w:trHeight w:val="30"/>
        </w:trPr>
        <w:tc>
          <w:tcPr>
            <w:tcW w:w="1316" w:type="dxa"/>
            <w:hideMark/>
          </w:tcPr>
          <w:p w14:paraId="71DE0D20" w14:textId="77777777" w:rsidR="00C1765C" w:rsidRPr="00820C89" w:rsidRDefault="00C1765C" w:rsidP="006D2536">
            <w:pPr>
              <w:spacing w:after="0"/>
            </w:pPr>
            <w:r w:rsidRPr="00820C89">
              <w:t>1.3</w:t>
            </w:r>
          </w:p>
        </w:tc>
        <w:tc>
          <w:tcPr>
            <w:tcW w:w="7048" w:type="dxa"/>
            <w:hideMark/>
          </w:tcPr>
          <w:p w14:paraId="6EAA8400" w14:textId="77777777" w:rsidR="00C1765C" w:rsidRPr="00820C89" w:rsidRDefault="00C1765C" w:rsidP="006D2536">
            <w:pPr>
              <w:spacing w:after="0"/>
            </w:pPr>
            <w:r w:rsidRPr="00820C89">
              <w:t>To what extent have the programs been delivered in a respectful, strengths-based and place-based way?</w:t>
            </w:r>
          </w:p>
          <w:p w14:paraId="1E96EC1D" w14:textId="77777777" w:rsidR="00C1765C" w:rsidRPr="00820C89" w:rsidRDefault="00C1765C" w:rsidP="006D2536">
            <w:pPr>
              <w:spacing w:after="0"/>
              <w:rPr>
                <w:i/>
              </w:rPr>
            </w:pPr>
            <w:r w:rsidRPr="00820C89">
              <w:rPr>
                <w:i/>
              </w:rPr>
              <w:t xml:space="preserve">This evaluation question is grounded in the understanding that different contexts will have differing needs, values and priorities. The analysis will focus on the perspectives of Indigenous Australian people and communities (including participants, employers, providers and general stakeholders) to determine the extent to which they perceive the programs to be respectful and strengths-based. </w:t>
            </w:r>
          </w:p>
          <w:p w14:paraId="1EECCE9B" w14:textId="77777777" w:rsidR="00C1765C" w:rsidRPr="00820C89" w:rsidRDefault="00C1765C" w:rsidP="006D2536">
            <w:pPr>
              <w:spacing w:after="0"/>
            </w:pPr>
            <w:r w:rsidRPr="00820C89">
              <w:rPr>
                <w:i/>
              </w:rPr>
              <w:t xml:space="preserve">This will have reference to best practice principles of program design and delivery, as defined by the literature scan. The analysis will also seek to understand the extent to which evaluation findings are transferable to other locations, providers or programs. </w:t>
            </w:r>
          </w:p>
        </w:tc>
      </w:tr>
      <w:tr w:rsidR="00C1765C" w:rsidRPr="00820C89" w14:paraId="0DC40D95" w14:textId="77777777" w:rsidTr="006D2536">
        <w:trPr>
          <w:trHeight w:val="30"/>
        </w:trPr>
        <w:tc>
          <w:tcPr>
            <w:tcW w:w="8364" w:type="dxa"/>
            <w:gridSpan w:val="2"/>
            <w:hideMark/>
          </w:tcPr>
          <w:p w14:paraId="1ED9349C" w14:textId="77777777" w:rsidR="00C1765C" w:rsidRPr="00820C89" w:rsidRDefault="00C1765C" w:rsidP="006D2536">
            <w:pPr>
              <w:spacing w:after="0"/>
            </w:pPr>
            <w:r w:rsidRPr="00820C89">
              <w:rPr>
                <w:b/>
                <w:bCs/>
              </w:rPr>
              <w:t>2. Program effectiveness and impact</w:t>
            </w:r>
          </w:p>
        </w:tc>
      </w:tr>
      <w:tr w:rsidR="00C1765C" w:rsidRPr="00820C89" w14:paraId="3817576D" w14:textId="77777777" w:rsidTr="006D2536">
        <w:trPr>
          <w:trHeight w:val="30"/>
        </w:trPr>
        <w:tc>
          <w:tcPr>
            <w:tcW w:w="1316" w:type="dxa"/>
            <w:hideMark/>
          </w:tcPr>
          <w:p w14:paraId="3549B67E" w14:textId="77777777" w:rsidR="00C1765C" w:rsidRPr="00820C89" w:rsidRDefault="00C1765C" w:rsidP="006D2536">
            <w:pPr>
              <w:spacing w:after="0"/>
            </w:pPr>
            <w:r w:rsidRPr="00820C89">
              <w:lastRenderedPageBreak/>
              <w:t xml:space="preserve">2.1 </w:t>
            </w:r>
          </w:p>
        </w:tc>
        <w:tc>
          <w:tcPr>
            <w:tcW w:w="7048" w:type="dxa"/>
            <w:hideMark/>
          </w:tcPr>
          <w:p w14:paraId="67EABD70" w14:textId="77777777" w:rsidR="00C1765C" w:rsidRPr="00820C89" w:rsidRDefault="00C1765C" w:rsidP="006D2536">
            <w:pPr>
              <w:spacing w:after="0"/>
            </w:pPr>
            <w:r w:rsidRPr="00820C89">
              <w:t xml:space="preserve">To what extent are the activities achieving their intended outcomes, in the short, medium and long term? </w:t>
            </w:r>
          </w:p>
          <w:p w14:paraId="33725E56" w14:textId="77777777" w:rsidR="00C1765C" w:rsidRPr="00820C89" w:rsidRDefault="00C1765C" w:rsidP="006D2536">
            <w:pPr>
              <w:spacing w:after="0"/>
              <w:rPr>
                <w:i/>
              </w:rPr>
            </w:pPr>
            <w:r w:rsidRPr="00820C89">
              <w:rPr>
                <w:i/>
              </w:rPr>
              <w:t xml:space="preserve">This evaluation question seeks to understand the effectiveness of the programs from a participant, employer and funder perspective. Key focus areas will include the extent to which participants are more likely to access supports, obtain and retain appropriate employment, and develop improved wellbeing, work readiness and job skills, and the extent to which employers are improving Indigenous employment practices. </w:t>
            </w:r>
          </w:p>
          <w:p w14:paraId="4599CB41" w14:textId="77777777" w:rsidR="00C1765C" w:rsidRPr="00820C89" w:rsidRDefault="00C1765C" w:rsidP="006D2536">
            <w:pPr>
              <w:spacing w:after="0"/>
            </w:pPr>
            <w:r w:rsidRPr="00820C89">
              <w:rPr>
                <w:i/>
              </w:rPr>
              <w:t xml:space="preserve">A key area of focus for this analysis will be the extent to which these outcomes are deemed enduring and sustainable. </w:t>
            </w:r>
          </w:p>
        </w:tc>
      </w:tr>
      <w:tr w:rsidR="00C1765C" w:rsidRPr="00820C89" w14:paraId="2F0D47D5" w14:textId="77777777" w:rsidTr="006D2536">
        <w:trPr>
          <w:trHeight w:val="30"/>
        </w:trPr>
        <w:tc>
          <w:tcPr>
            <w:tcW w:w="1316" w:type="dxa"/>
            <w:hideMark/>
          </w:tcPr>
          <w:p w14:paraId="7281D021" w14:textId="77777777" w:rsidR="00C1765C" w:rsidRPr="00820C89" w:rsidRDefault="00C1765C" w:rsidP="006D2536">
            <w:pPr>
              <w:spacing w:after="0"/>
            </w:pPr>
            <w:r w:rsidRPr="00820C89">
              <w:t>2.2</w:t>
            </w:r>
          </w:p>
        </w:tc>
        <w:tc>
          <w:tcPr>
            <w:tcW w:w="7048" w:type="dxa"/>
            <w:hideMark/>
          </w:tcPr>
          <w:p w14:paraId="791A7287" w14:textId="77777777" w:rsidR="00C1765C" w:rsidRPr="00820C89" w:rsidRDefault="00C1765C" w:rsidP="006D2536">
            <w:pPr>
              <w:spacing w:after="0"/>
            </w:pPr>
            <w:r w:rsidRPr="00820C89">
              <w:t>In what contexts has the program been more or less successful?</w:t>
            </w:r>
          </w:p>
          <w:p w14:paraId="06A89EA8" w14:textId="77777777" w:rsidR="00C1765C" w:rsidRPr="00820C89" w:rsidRDefault="00C1765C" w:rsidP="006D2536">
            <w:pPr>
              <w:spacing w:after="0"/>
              <w:rPr>
                <w:i/>
              </w:rPr>
            </w:pPr>
            <w:r w:rsidRPr="00820C89">
              <w:rPr>
                <w:i/>
              </w:rPr>
              <w:t xml:space="preserve">This evaluation question will seek to identify the factors (both internal and external) that may have impacted program effectiveness. Key lines of inquiry may include the extent to which outcomes varied across regions, industries or employment markets, programs and participant groups (such as gender, JSCI category of work readiness, school leaver or experienced professional, length and degree of program involvement). </w:t>
            </w:r>
          </w:p>
          <w:p w14:paraId="0DDB3F04" w14:textId="77777777" w:rsidR="00C1765C" w:rsidRPr="00820C89" w:rsidRDefault="00C1765C" w:rsidP="006D2536">
            <w:pPr>
              <w:spacing w:after="0"/>
            </w:pPr>
            <w:r w:rsidRPr="00820C89">
              <w:rPr>
                <w:i/>
              </w:rPr>
              <w:t xml:space="preserve">Program stakeholders, including employers, providers, participants, NIAA regional offices and others will have an opportunity to determine their key success factors, or challenges encountered. </w:t>
            </w:r>
          </w:p>
        </w:tc>
      </w:tr>
      <w:tr w:rsidR="00C1765C" w:rsidRPr="00820C89" w14:paraId="55E1D7DD" w14:textId="77777777" w:rsidTr="006D2536">
        <w:trPr>
          <w:trHeight w:val="30"/>
        </w:trPr>
        <w:tc>
          <w:tcPr>
            <w:tcW w:w="8364" w:type="dxa"/>
            <w:gridSpan w:val="2"/>
            <w:hideMark/>
          </w:tcPr>
          <w:p w14:paraId="2B8985E1" w14:textId="77777777" w:rsidR="00C1765C" w:rsidRPr="00820C89" w:rsidRDefault="00C1765C" w:rsidP="006D2536">
            <w:pPr>
              <w:spacing w:after="0"/>
            </w:pPr>
            <w:r w:rsidRPr="00820C89">
              <w:rPr>
                <w:b/>
                <w:bCs/>
              </w:rPr>
              <w:t>3. Policy implications and potential for future impact</w:t>
            </w:r>
          </w:p>
        </w:tc>
      </w:tr>
      <w:tr w:rsidR="00C1765C" w:rsidRPr="00820C89" w14:paraId="65580866" w14:textId="77777777" w:rsidTr="006D2536">
        <w:trPr>
          <w:trHeight w:val="30"/>
        </w:trPr>
        <w:tc>
          <w:tcPr>
            <w:tcW w:w="1316" w:type="dxa"/>
            <w:hideMark/>
          </w:tcPr>
          <w:p w14:paraId="54230BEE" w14:textId="77777777" w:rsidR="00C1765C" w:rsidRPr="00820C89" w:rsidRDefault="00C1765C" w:rsidP="006D2536">
            <w:pPr>
              <w:spacing w:after="0"/>
            </w:pPr>
            <w:r w:rsidRPr="00820C89">
              <w:t xml:space="preserve">3.1 </w:t>
            </w:r>
          </w:p>
        </w:tc>
        <w:tc>
          <w:tcPr>
            <w:tcW w:w="7048" w:type="dxa"/>
            <w:hideMark/>
          </w:tcPr>
          <w:p w14:paraId="5F8D90B6" w14:textId="77777777" w:rsidR="00C1765C" w:rsidRPr="00820C89" w:rsidRDefault="00C1765C" w:rsidP="006D2536">
            <w:pPr>
              <w:spacing w:after="0"/>
            </w:pPr>
            <w:r w:rsidRPr="00820C89">
              <w:t>What do program outcomes tell us about effective and ineffective investment?</w:t>
            </w:r>
          </w:p>
          <w:p w14:paraId="54F57B7F" w14:textId="77777777" w:rsidR="00C1765C" w:rsidRPr="00820C89" w:rsidRDefault="00C1765C" w:rsidP="006D2536">
            <w:pPr>
              <w:spacing w:after="0"/>
              <w:rPr>
                <w:i/>
              </w:rPr>
            </w:pPr>
            <w:r w:rsidRPr="00820C89">
              <w:rPr>
                <w:i/>
              </w:rPr>
              <w:t xml:space="preserve">This evaluation question will reflect on how the findings of the evaluation contribute to a strengthened understanding of best practices for supporting Indigenous Australians into sustainable employment, and practices that are ineffective or are indicative of poor performance. This will include an analysis of cost-effectiveness across various locations, programs and industries, and provide indications as to where investment may be optimised going forward. </w:t>
            </w:r>
          </w:p>
          <w:p w14:paraId="688F87C2" w14:textId="77777777" w:rsidR="00C1765C" w:rsidRPr="00820C89" w:rsidRDefault="00C1765C" w:rsidP="006D2536">
            <w:pPr>
              <w:spacing w:after="0"/>
            </w:pPr>
          </w:p>
        </w:tc>
      </w:tr>
      <w:tr w:rsidR="00C1765C" w:rsidRPr="00820C89" w14:paraId="53897ED4" w14:textId="77777777" w:rsidTr="006D2536">
        <w:trPr>
          <w:trHeight w:val="30"/>
        </w:trPr>
        <w:tc>
          <w:tcPr>
            <w:tcW w:w="1316" w:type="dxa"/>
            <w:hideMark/>
          </w:tcPr>
          <w:p w14:paraId="7D47129C" w14:textId="77777777" w:rsidR="00C1765C" w:rsidRPr="00820C89" w:rsidRDefault="00C1765C" w:rsidP="006D2536">
            <w:pPr>
              <w:spacing w:after="0"/>
            </w:pPr>
            <w:r w:rsidRPr="00820C89">
              <w:t xml:space="preserve">3.2 </w:t>
            </w:r>
          </w:p>
        </w:tc>
        <w:tc>
          <w:tcPr>
            <w:tcW w:w="7048" w:type="dxa"/>
            <w:hideMark/>
          </w:tcPr>
          <w:p w14:paraId="2AA1D78B" w14:textId="77777777" w:rsidR="00C1765C" w:rsidRPr="00820C89" w:rsidRDefault="00C1765C" w:rsidP="006D2536">
            <w:pPr>
              <w:spacing w:after="0"/>
            </w:pPr>
            <w:r w:rsidRPr="00820C89">
              <w:t>How can the value of each program be optimised within the broader IEP and other employment assistance programs?</w:t>
            </w:r>
          </w:p>
          <w:p w14:paraId="1DD6C67E" w14:textId="77777777" w:rsidR="00C1765C" w:rsidRPr="00820C89" w:rsidRDefault="00C1765C" w:rsidP="006D2536">
            <w:pPr>
              <w:spacing w:after="0"/>
            </w:pPr>
            <w:r w:rsidRPr="00820C89">
              <w:rPr>
                <w:i/>
              </w:rPr>
              <w:t xml:space="preserve">This evaluation question will require a holistic assessment of the evaluation findings to examine the extent to which programs (both IEP and more general employment initiatives) may overlap, and to identify potential opportunities to streamline and optimise the in-scope programs – supporting overarching efficiency of the IEP. This will include analysis of how the IEP interacts with other employment assistance programs (at the state/territory and Commonwealth level) and where the relative effectiveness of each program is strongest.  </w:t>
            </w:r>
          </w:p>
        </w:tc>
      </w:tr>
    </w:tbl>
    <w:p w14:paraId="5CD3678D" w14:textId="77777777" w:rsidR="00C1765C" w:rsidRPr="00820C89" w:rsidRDefault="00C1765C" w:rsidP="00715F70">
      <w:pPr>
        <w:pStyle w:val="Heading2"/>
        <w:numPr>
          <w:ilvl w:val="1"/>
          <w:numId w:val="12"/>
        </w:numPr>
        <w:tabs>
          <w:tab w:val="num" w:pos="1492"/>
        </w:tabs>
        <w:spacing w:after="60"/>
        <w:ind w:left="1492" w:hanging="360"/>
      </w:pPr>
      <w:bookmarkStart w:id="384" w:name="_Toc37099379"/>
      <w:bookmarkStart w:id="385" w:name="_Toc37177374"/>
      <w:bookmarkStart w:id="386" w:name="_Toc37217753"/>
      <w:bookmarkStart w:id="387" w:name="_Toc37402744"/>
      <w:bookmarkStart w:id="388" w:name="_Toc45206337"/>
      <w:bookmarkStart w:id="389" w:name="_Toc82694508"/>
      <w:bookmarkStart w:id="390" w:name="_Toc82710807"/>
      <w:bookmarkStart w:id="391" w:name="_Toc101343332"/>
      <w:r w:rsidRPr="00820C89">
        <w:t>Methods and analysis</w:t>
      </w:r>
      <w:bookmarkEnd w:id="384"/>
      <w:bookmarkEnd w:id="385"/>
      <w:bookmarkEnd w:id="386"/>
      <w:bookmarkEnd w:id="387"/>
      <w:bookmarkEnd w:id="388"/>
      <w:bookmarkEnd w:id="389"/>
      <w:bookmarkEnd w:id="390"/>
      <w:bookmarkEnd w:id="391"/>
    </w:p>
    <w:p w14:paraId="35387293" w14:textId="77777777" w:rsidR="00C1765C" w:rsidRPr="00820C89" w:rsidRDefault="00C1765C" w:rsidP="00C1765C">
      <w:r w:rsidRPr="00820C89">
        <w:t xml:space="preserve">This evaluation will take </w:t>
      </w:r>
      <w:r w:rsidRPr="00820C89">
        <w:rPr>
          <w:b/>
          <w:color w:val="86BC25" w:themeColor="accent1"/>
        </w:rPr>
        <w:t>a mixed-method approach</w:t>
      </w:r>
      <w:r w:rsidRPr="00820C89">
        <w:rPr>
          <w:color w:val="86BC25" w:themeColor="accent1"/>
        </w:rPr>
        <w:t xml:space="preserve"> </w:t>
      </w:r>
      <w:r w:rsidRPr="00820C89">
        <w:t xml:space="preserve">to addressing the evaluation questions, providing for both breadth and depth in data collected across various sources. For example, the analysis of system-wide program data is essential for developing a representative and statistically valid view of the impact of the programs in achieving measurable employment outcomes in different situations. Conversely, consultations will allow the evaluation to gain deep understanding of how the programs have been designed, implemented and experienced within particular contexts.  </w:t>
      </w:r>
    </w:p>
    <w:p w14:paraId="51904FE3" w14:textId="77777777" w:rsidR="00C1765C" w:rsidRPr="00820C89" w:rsidRDefault="00C1765C" w:rsidP="00C1765C">
      <w:r w:rsidRPr="00820C89">
        <w:t xml:space="preserve">At its simplest, the mixed methods approach refers to the fact that some evaluation questions will be primarily addressed using quantitative methods (for example the quasi-experimental assessment of program impact on employment outcomes), while others using qualitative (for example testing assumptions about different ways in which supports provided do or do not lead to </w:t>
      </w:r>
      <w:r w:rsidRPr="00820C89">
        <w:lastRenderedPageBreak/>
        <w:t xml:space="preserve">improved employment outcomes through a case study approach). However, it also refers to the process by which </w:t>
      </w:r>
      <w:r w:rsidRPr="00820C89">
        <w:rPr>
          <w:b/>
          <w:color w:val="86BC25" w:themeColor="accent1"/>
        </w:rPr>
        <w:t>findings from all methods will be continuously integrated</w:t>
      </w:r>
      <w:r w:rsidRPr="00820C89">
        <w:rPr>
          <w:color w:val="86BC25" w:themeColor="accent1"/>
        </w:rPr>
        <w:t xml:space="preserve"> </w:t>
      </w:r>
      <w:r w:rsidRPr="00820C89">
        <w:t xml:space="preserve">to inform and finalise lines of inquiry and prioritise findings. These processes are discussed in more detail throughout Section 3. </w:t>
      </w:r>
    </w:p>
    <w:p w14:paraId="2855932E" w14:textId="77777777" w:rsidR="00C1765C" w:rsidRPr="00820C89" w:rsidRDefault="00C1765C" w:rsidP="00C1765C">
      <w:r w:rsidRPr="00820C89">
        <w:t xml:space="preserve">Qualitative and quantitative findings will be </w:t>
      </w:r>
      <w:r w:rsidRPr="00820C89">
        <w:rPr>
          <w:b/>
          <w:color w:val="86BC25" w:themeColor="accent1"/>
        </w:rPr>
        <w:t>triangulated</w:t>
      </w:r>
      <w:r w:rsidRPr="00820C89">
        <w:t xml:space="preserve"> where possible, to evidence conclusions with a variety of data sources. To achieve this, triangulation will be used to add depth to the data collected. Triangulation involves enhancing data capture by using multiple data collection methods to understand the same events.</w:t>
      </w:r>
      <w:r w:rsidRPr="00820C89">
        <w:rPr>
          <w:rStyle w:val="FootnoteReference"/>
        </w:rPr>
        <w:footnoteReference w:id="324"/>
      </w:r>
      <w:r w:rsidRPr="00820C89">
        <w:t xml:space="preserve"> During this evaluation, case studies will be triangulated with representative empirical (provider survey data) and secondary data (program data) to support the development of balanced and meaningful evaluation insights. </w:t>
      </w:r>
    </w:p>
    <w:p w14:paraId="75FC0BC6" w14:textId="77777777" w:rsidR="00C1765C" w:rsidRPr="00820C89" w:rsidRDefault="00C1765C" w:rsidP="00C1765C">
      <w:r w:rsidRPr="00820C89">
        <w:t xml:space="preserve">Triangulation ensures results are robust and supported by a range (and hierarchy) of evidence. To do this, findings will be assessed according to their substantive significance. To determine the substantive significance of the findings, we will consider the extent to which findings: </w:t>
      </w:r>
    </w:p>
    <w:p w14:paraId="615C9062" w14:textId="77777777" w:rsidR="00C1765C" w:rsidRPr="00820C89" w:rsidRDefault="00C1765C" w:rsidP="00C1765C">
      <w:pPr>
        <w:pStyle w:val="ListBullet"/>
        <w:spacing w:before="170"/>
      </w:pPr>
      <w:r w:rsidRPr="00820C89">
        <w:t>are robust, coherent and consistent across the data sources,</w:t>
      </w:r>
    </w:p>
    <w:p w14:paraId="371BD758" w14:textId="77777777" w:rsidR="00C1765C" w:rsidRPr="00820C89" w:rsidRDefault="00C1765C" w:rsidP="00C1765C">
      <w:pPr>
        <w:pStyle w:val="ListBullet"/>
        <w:spacing w:before="170"/>
      </w:pPr>
      <w:r w:rsidRPr="00820C89">
        <w:t xml:space="preserve">increase and deepen understanding of the IEP and their effectiveness, </w:t>
      </w:r>
    </w:p>
    <w:p w14:paraId="42211958" w14:textId="77777777" w:rsidR="00C1765C" w:rsidRPr="00820C89" w:rsidRDefault="00C1765C" w:rsidP="00C1765C">
      <w:pPr>
        <w:pStyle w:val="ListBullet"/>
        <w:spacing w:before="170"/>
      </w:pPr>
      <w:r w:rsidRPr="00820C89">
        <w:t>are consistent with other knowledge, for instance the literature scan,</w:t>
      </w:r>
    </w:p>
    <w:p w14:paraId="0AD61EA9" w14:textId="77777777" w:rsidR="00C1765C" w:rsidRPr="00820C89" w:rsidRDefault="00C1765C" w:rsidP="00543B95">
      <w:pPr>
        <w:pStyle w:val="ListBullet"/>
        <w:spacing w:before="170" w:after="170"/>
      </w:pPr>
      <w:r w:rsidRPr="00820C89">
        <w:t xml:space="preserve">align with the evaluation principles, including the participatory approach (which means participant perspectives on the relative prioritisation of findings will be considered), and </w:t>
      </w:r>
    </w:p>
    <w:p w14:paraId="5362FD21" w14:textId="77777777" w:rsidR="00C1765C" w:rsidRPr="00820C89" w:rsidRDefault="00C1765C" w:rsidP="00543B95">
      <w:pPr>
        <w:pStyle w:val="ListBullet"/>
        <w:numPr>
          <w:ilvl w:val="0"/>
          <w:numId w:val="0"/>
        </w:numPr>
        <w:spacing w:after="170"/>
        <w:ind w:left="340"/>
      </w:pPr>
      <w:r w:rsidRPr="00820C89">
        <w:t>are useful to answer the evaluation questions.</w:t>
      </w:r>
    </w:p>
    <w:p w14:paraId="1795BC9F" w14:textId="77777777" w:rsidR="00C1765C" w:rsidRPr="00820C89" w:rsidRDefault="00C1765C" w:rsidP="00715F70">
      <w:pPr>
        <w:pStyle w:val="Heading3"/>
        <w:numPr>
          <w:ilvl w:val="2"/>
          <w:numId w:val="12"/>
        </w:numPr>
        <w:tabs>
          <w:tab w:val="num" w:pos="1492"/>
        </w:tabs>
        <w:ind w:left="993" w:hanging="360"/>
      </w:pPr>
      <w:bookmarkStart w:id="392" w:name="_Toc36569316"/>
      <w:bookmarkStart w:id="393" w:name="_Toc37217761"/>
      <w:bookmarkStart w:id="394" w:name="_Toc37099386"/>
      <w:bookmarkStart w:id="395" w:name="_Toc37177381"/>
      <w:bookmarkStart w:id="396" w:name="_Toc37402751"/>
      <w:bookmarkStart w:id="397" w:name="_Ref43470856"/>
      <w:bookmarkStart w:id="398" w:name="_Toc45206338"/>
      <w:r w:rsidRPr="00820C89">
        <w:t>Quantitative analysis</w:t>
      </w:r>
      <w:bookmarkEnd w:id="392"/>
      <w:bookmarkEnd w:id="393"/>
      <w:bookmarkEnd w:id="394"/>
      <w:bookmarkEnd w:id="395"/>
      <w:bookmarkEnd w:id="396"/>
      <w:bookmarkEnd w:id="397"/>
      <w:bookmarkEnd w:id="398"/>
    </w:p>
    <w:p w14:paraId="6671ED3C" w14:textId="77777777" w:rsidR="00C1765C" w:rsidRPr="00820C89" w:rsidRDefault="00C1765C" w:rsidP="00C1765C">
      <w:pPr>
        <w:rPr>
          <w:rFonts w:cs="Verdana"/>
          <w:bCs/>
          <w:color w:val="000000"/>
        </w:rPr>
      </w:pPr>
      <w:r w:rsidRPr="00820C89">
        <w:rPr>
          <w:rFonts w:cs="Verdana"/>
          <w:bCs/>
          <w:color w:val="000000"/>
        </w:rPr>
        <w:t xml:space="preserve">A combination of descriptive statistics and econometric analysis will be used to analyse the available data sources and generate insights that address the evaluation questions. </w:t>
      </w:r>
    </w:p>
    <w:p w14:paraId="3BA70FF5" w14:textId="77777777" w:rsidR="00C1765C" w:rsidRPr="00820C89" w:rsidRDefault="00C1765C" w:rsidP="00C1765C">
      <w:pPr>
        <w:rPr>
          <w:rFonts w:cs="Verdana"/>
          <w:bCs/>
          <w:color w:val="000000"/>
        </w:rPr>
      </w:pPr>
      <w:r w:rsidRPr="00820C89">
        <w:rPr>
          <w:rFonts w:cs="Verdana"/>
          <w:b/>
          <w:color w:val="86BC25" w:themeColor="accent1"/>
        </w:rPr>
        <w:t>Descriptive statistics</w:t>
      </w:r>
      <w:r w:rsidRPr="00820C89">
        <w:rPr>
          <w:rFonts w:cs="Verdana"/>
          <w:bCs/>
          <w:color w:val="86BC25" w:themeColor="accent1"/>
        </w:rPr>
        <w:t xml:space="preserve"> </w:t>
      </w:r>
      <w:r w:rsidRPr="00820C89">
        <w:rPr>
          <w:rFonts w:cs="Verdana"/>
          <w:bCs/>
          <w:color w:val="000000"/>
        </w:rPr>
        <w:t xml:space="preserve">will be used to analyse program outcomes in accordance with participant, provider and employer characteristics. They will also provide an initial overview of how successful participants, providers and employers have been at meeting program milestones, what participant attitudes are towards the program (to the extent that this information is available through the PPM), and how these variables may have changed over time. </w:t>
      </w:r>
    </w:p>
    <w:p w14:paraId="131BF8D5" w14:textId="77777777" w:rsidR="00C1765C" w:rsidRPr="00820C89" w:rsidRDefault="00C1765C" w:rsidP="00C1765C">
      <w:pPr>
        <w:rPr>
          <w:rFonts w:cs="Verdana"/>
          <w:bCs/>
          <w:color w:val="000000"/>
        </w:rPr>
      </w:pPr>
      <w:r w:rsidRPr="00820C89">
        <w:rPr>
          <w:rFonts w:cs="Verdana"/>
          <w:bCs/>
          <w:color w:val="000000"/>
        </w:rPr>
        <w:t xml:space="preserve">With respect to participants, this will include comparison of characteristics across the three programs. The characteristics of interest include: </w:t>
      </w:r>
    </w:p>
    <w:p w14:paraId="3325BA27" w14:textId="77777777" w:rsidR="00C1765C" w:rsidRPr="00820C89" w:rsidRDefault="00C1765C" w:rsidP="00715F70">
      <w:pPr>
        <w:pStyle w:val="ListParagraph"/>
        <w:numPr>
          <w:ilvl w:val="0"/>
          <w:numId w:val="121"/>
        </w:numPr>
        <w:spacing w:before="170"/>
        <w:rPr>
          <w:rFonts w:cs="Verdana"/>
          <w:bCs/>
          <w:color w:val="000000"/>
        </w:rPr>
      </w:pPr>
      <w:r w:rsidRPr="00820C89">
        <w:rPr>
          <w:rFonts w:cs="Verdana"/>
          <w:bCs/>
          <w:color w:val="000000"/>
        </w:rPr>
        <w:t>Sex</w:t>
      </w:r>
    </w:p>
    <w:p w14:paraId="49633B8A" w14:textId="77777777" w:rsidR="00C1765C" w:rsidRPr="00820C89" w:rsidRDefault="00C1765C" w:rsidP="00715F70">
      <w:pPr>
        <w:pStyle w:val="ListParagraph"/>
        <w:numPr>
          <w:ilvl w:val="0"/>
          <w:numId w:val="121"/>
        </w:numPr>
        <w:spacing w:before="170"/>
        <w:rPr>
          <w:rFonts w:cs="Verdana"/>
          <w:color w:val="000000"/>
        </w:rPr>
      </w:pPr>
      <w:r w:rsidRPr="00820C89">
        <w:rPr>
          <w:rFonts w:cs="Verdana"/>
          <w:color w:val="000000"/>
        </w:rPr>
        <w:t>Age</w:t>
      </w:r>
    </w:p>
    <w:p w14:paraId="7EF00102" w14:textId="77777777" w:rsidR="00C1765C" w:rsidRPr="00820C89" w:rsidRDefault="00C1765C" w:rsidP="00715F70">
      <w:pPr>
        <w:pStyle w:val="ListParagraph"/>
        <w:numPr>
          <w:ilvl w:val="0"/>
          <w:numId w:val="121"/>
        </w:numPr>
        <w:spacing w:before="170"/>
        <w:rPr>
          <w:rFonts w:cs="Verdana"/>
          <w:color w:val="000000"/>
        </w:rPr>
      </w:pPr>
      <w:r w:rsidRPr="00820C89">
        <w:rPr>
          <w:rFonts w:cs="Verdana"/>
          <w:color w:val="000000"/>
        </w:rPr>
        <w:t>Location</w:t>
      </w:r>
    </w:p>
    <w:p w14:paraId="5863AECC" w14:textId="77777777" w:rsidR="00C1765C" w:rsidRPr="00820C89" w:rsidRDefault="00C1765C" w:rsidP="00715F70">
      <w:pPr>
        <w:pStyle w:val="ListParagraph"/>
        <w:numPr>
          <w:ilvl w:val="0"/>
          <w:numId w:val="121"/>
        </w:numPr>
        <w:spacing w:before="170"/>
        <w:rPr>
          <w:rFonts w:cs="Verdana"/>
          <w:color w:val="000000"/>
        </w:rPr>
      </w:pPr>
      <w:r w:rsidRPr="00820C89">
        <w:rPr>
          <w:rFonts w:cs="Verdana"/>
          <w:color w:val="000000"/>
        </w:rPr>
        <w:t>Disability status</w:t>
      </w:r>
    </w:p>
    <w:p w14:paraId="0335B8BB" w14:textId="77777777" w:rsidR="00C1765C" w:rsidRPr="00820C89" w:rsidRDefault="00C1765C" w:rsidP="00715F70">
      <w:pPr>
        <w:pStyle w:val="ListParagraph"/>
        <w:numPr>
          <w:ilvl w:val="0"/>
          <w:numId w:val="121"/>
        </w:numPr>
        <w:spacing w:before="170"/>
        <w:rPr>
          <w:rFonts w:cs="Verdana"/>
          <w:color w:val="000000"/>
        </w:rPr>
      </w:pPr>
      <w:r w:rsidRPr="00820C89">
        <w:rPr>
          <w:rFonts w:cs="Verdana"/>
          <w:color w:val="000000"/>
        </w:rPr>
        <w:t>Program (VTEC, TAEG, EPI)</w:t>
      </w:r>
    </w:p>
    <w:p w14:paraId="3EFC91A2" w14:textId="77777777" w:rsidR="00C1765C" w:rsidRPr="00820C89" w:rsidRDefault="00C1765C" w:rsidP="00715F70">
      <w:pPr>
        <w:pStyle w:val="ListParagraph"/>
        <w:numPr>
          <w:ilvl w:val="0"/>
          <w:numId w:val="121"/>
        </w:numPr>
        <w:spacing w:before="170"/>
        <w:rPr>
          <w:rFonts w:cs="Verdana"/>
          <w:color w:val="000000"/>
        </w:rPr>
      </w:pPr>
      <w:r w:rsidRPr="00820C89">
        <w:rPr>
          <w:rFonts w:cs="Verdana"/>
          <w:color w:val="000000"/>
        </w:rPr>
        <w:t>Program start / exit date</w:t>
      </w:r>
    </w:p>
    <w:p w14:paraId="7A6BDA6D" w14:textId="77777777" w:rsidR="00C1765C" w:rsidRPr="00820C89" w:rsidRDefault="00C1765C" w:rsidP="00715F70">
      <w:pPr>
        <w:pStyle w:val="ListParagraph"/>
        <w:numPr>
          <w:ilvl w:val="0"/>
          <w:numId w:val="121"/>
        </w:numPr>
        <w:spacing w:before="170"/>
        <w:rPr>
          <w:rFonts w:cs="Verdana"/>
          <w:color w:val="000000"/>
        </w:rPr>
      </w:pPr>
      <w:r w:rsidRPr="00820C89">
        <w:rPr>
          <w:rFonts w:cs="Verdana"/>
          <w:color w:val="000000"/>
        </w:rPr>
        <w:t>Length of unemployment</w:t>
      </w:r>
    </w:p>
    <w:p w14:paraId="16A791FE" w14:textId="77777777" w:rsidR="00C1765C" w:rsidRPr="00820C89" w:rsidRDefault="00C1765C" w:rsidP="00715F70">
      <w:pPr>
        <w:pStyle w:val="ListParagraph"/>
        <w:numPr>
          <w:ilvl w:val="0"/>
          <w:numId w:val="121"/>
        </w:numPr>
        <w:spacing w:before="170"/>
        <w:rPr>
          <w:rFonts w:cs="Verdana"/>
          <w:color w:val="000000"/>
        </w:rPr>
      </w:pPr>
      <w:r w:rsidRPr="00820C89">
        <w:rPr>
          <w:rFonts w:cs="Verdana"/>
          <w:bCs/>
          <w:color w:val="000000"/>
        </w:rPr>
        <w:t>JSCI stream or score</w:t>
      </w:r>
    </w:p>
    <w:p w14:paraId="359883A2" w14:textId="77777777" w:rsidR="00C1765C" w:rsidRPr="00820C89" w:rsidRDefault="00C1765C" w:rsidP="00715F70">
      <w:pPr>
        <w:pStyle w:val="ListParagraph"/>
        <w:numPr>
          <w:ilvl w:val="0"/>
          <w:numId w:val="121"/>
        </w:numPr>
        <w:spacing w:before="170"/>
        <w:rPr>
          <w:rFonts w:cs="Verdana"/>
          <w:color w:val="000000"/>
        </w:rPr>
      </w:pPr>
      <w:r w:rsidRPr="00820C89">
        <w:rPr>
          <w:rFonts w:cs="Verdana"/>
          <w:color w:val="000000"/>
        </w:rPr>
        <w:t xml:space="preserve">Highest level of educational attainment </w:t>
      </w:r>
    </w:p>
    <w:p w14:paraId="36FEA6D5" w14:textId="77777777" w:rsidR="00C1765C" w:rsidRPr="00820C89" w:rsidRDefault="00C1765C" w:rsidP="00715F70">
      <w:pPr>
        <w:pStyle w:val="ListParagraph"/>
        <w:numPr>
          <w:ilvl w:val="0"/>
          <w:numId w:val="121"/>
        </w:numPr>
        <w:spacing w:before="170"/>
        <w:rPr>
          <w:rFonts w:cs="Verdana"/>
          <w:bCs/>
          <w:color w:val="000000"/>
        </w:rPr>
      </w:pPr>
      <w:r w:rsidRPr="00820C89">
        <w:rPr>
          <w:rFonts w:cs="Verdana"/>
          <w:color w:val="000000"/>
        </w:rPr>
        <w:t xml:space="preserve">Outcome milestones (4 week, </w:t>
      </w:r>
      <w:r w:rsidRPr="00820C89">
        <w:rPr>
          <w:rFonts w:cs="Verdana"/>
          <w:bCs/>
          <w:color w:val="000000"/>
        </w:rPr>
        <w:t>13 week, 26</w:t>
      </w:r>
      <w:r w:rsidRPr="00820C89">
        <w:rPr>
          <w:rFonts w:cs="Verdana"/>
          <w:color w:val="000000"/>
        </w:rPr>
        <w:t xml:space="preserve"> week, 52 week and 104 week as relevant to each program)</w:t>
      </w:r>
    </w:p>
    <w:p w14:paraId="62531012" w14:textId="77777777" w:rsidR="00C1765C" w:rsidRPr="00820C89" w:rsidRDefault="00C1765C" w:rsidP="00715F70">
      <w:pPr>
        <w:pStyle w:val="ListParagraph"/>
        <w:numPr>
          <w:ilvl w:val="0"/>
          <w:numId w:val="121"/>
        </w:numPr>
        <w:spacing w:before="170"/>
        <w:rPr>
          <w:rFonts w:cs="Verdana"/>
          <w:color w:val="000000"/>
        </w:rPr>
      </w:pPr>
      <w:r w:rsidRPr="00820C89">
        <w:rPr>
          <w:rFonts w:cs="Verdana"/>
          <w:bCs/>
          <w:color w:val="000000"/>
        </w:rPr>
        <w:t xml:space="preserve">Other employment program participation. </w:t>
      </w:r>
    </w:p>
    <w:p w14:paraId="279C6273" w14:textId="77777777" w:rsidR="00C1765C" w:rsidRPr="00820C89" w:rsidRDefault="00C1765C" w:rsidP="00C1765C">
      <w:pPr>
        <w:rPr>
          <w:rFonts w:cs="Verdana"/>
          <w:bCs/>
          <w:color w:val="000000"/>
        </w:rPr>
      </w:pPr>
      <w:r w:rsidRPr="00820C89">
        <w:rPr>
          <w:rFonts w:cs="Verdana"/>
          <w:bCs/>
          <w:color w:val="000000"/>
        </w:rPr>
        <w:t xml:space="preserve">Access to jobactive data will be required to prepare the basic descriptive statistics about program participants – we understand that the ESS tables readily accessed by NIAA do not include detailed participant characteristics. In addition, further information will be required about other employment programs that IEP participants may be participating in (such as jobactive or DES). </w:t>
      </w:r>
    </w:p>
    <w:p w14:paraId="35799C70" w14:textId="77777777" w:rsidR="00C1765C" w:rsidRPr="00820C89" w:rsidRDefault="00C1765C" w:rsidP="00C1765C">
      <w:pPr>
        <w:rPr>
          <w:rFonts w:cs="Verdana"/>
          <w:bCs/>
          <w:color w:val="000000"/>
        </w:rPr>
      </w:pPr>
      <w:r w:rsidRPr="00820C89">
        <w:rPr>
          <w:rFonts w:cs="Verdana"/>
          <w:b/>
          <w:color w:val="86BC25" w:themeColor="accent1"/>
        </w:rPr>
        <w:t>Econometric methods</w:t>
      </w:r>
      <w:r w:rsidRPr="00820C89">
        <w:rPr>
          <w:rFonts w:cs="Verdana"/>
          <w:bCs/>
          <w:color w:val="86BC25" w:themeColor="accent1"/>
        </w:rPr>
        <w:t xml:space="preserve"> </w:t>
      </w:r>
      <w:r w:rsidRPr="00820C89">
        <w:rPr>
          <w:rFonts w:cs="Verdana"/>
          <w:bCs/>
          <w:color w:val="000000"/>
        </w:rPr>
        <w:t xml:space="preserve">will be used to estimate the employment impacts that can be more directly attributed to the TAEG, VTEC and EPI programs, how these impacts vary across the three </w:t>
      </w:r>
      <w:r w:rsidRPr="00820C89">
        <w:rPr>
          <w:rFonts w:cs="Verdana"/>
          <w:bCs/>
          <w:color w:val="000000"/>
        </w:rPr>
        <w:lastRenderedPageBreak/>
        <w:t>programs, and how they compare with mainstream employment programs (all else equal).  This analysis will be central to understanding the medium and long-term</w:t>
      </w:r>
      <w:r w:rsidRPr="00820C89">
        <w:rPr>
          <w:rStyle w:val="FootnoteReference"/>
          <w:rFonts w:cs="Verdana"/>
          <w:bCs/>
          <w:color w:val="000000"/>
        </w:rPr>
        <w:footnoteReference w:id="325"/>
      </w:r>
      <w:r w:rsidRPr="00820C89">
        <w:rPr>
          <w:rFonts w:cs="Verdana"/>
          <w:bCs/>
          <w:color w:val="000000"/>
        </w:rPr>
        <w:t xml:space="preserve"> impact of the program, as described in the evaluation questions. </w:t>
      </w:r>
    </w:p>
    <w:p w14:paraId="1573332E" w14:textId="77777777" w:rsidR="00C1765C" w:rsidRPr="00820C89" w:rsidRDefault="00C1765C" w:rsidP="00C1765C">
      <w:pPr>
        <w:rPr>
          <w:rFonts w:cs="Verdana"/>
          <w:bCs/>
          <w:color w:val="000000"/>
        </w:rPr>
      </w:pPr>
      <w:r w:rsidRPr="00820C89">
        <w:rPr>
          <w:rFonts w:cs="Verdana"/>
          <w:bCs/>
          <w:color w:val="000000"/>
        </w:rPr>
        <w:t>The econometric methods will estimate the relationships that exists between program participation and employment outcomes. It is anticipated that the analysis will involve the following steps:</w:t>
      </w:r>
    </w:p>
    <w:p w14:paraId="7F7F31EA" w14:textId="77777777" w:rsidR="00C1765C" w:rsidRPr="00820C89" w:rsidRDefault="00C1765C" w:rsidP="00715F70">
      <w:pPr>
        <w:pStyle w:val="ListParagraph"/>
        <w:numPr>
          <w:ilvl w:val="0"/>
          <w:numId w:val="110"/>
        </w:numPr>
        <w:spacing w:before="170"/>
      </w:pPr>
      <w:r w:rsidRPr="00820C89">
        <w:rPr>
          <w:b/>
          <w:bCs/>
        </w:rPr>
        <w:t xml:space="preserve">Obtain detailed program data on IEP participants. </w:t>
      </w:r>
      <w:r w:rsidRPr="00820C89">
        <w:t>This would include information on individual characteristics (such as participant age, gender, disability status and geographic region) along with their employment and program outcomes. Some of this data is included in the ESS data available to NIAA; however additional job seeker information is required, and will be sought from DESE,</w:t>
      </w:r>
      <w:r w:rsidRPr="00820C89" w:rsidDel="00E42670">
        <w:t xml:space="preserve"> </w:t>
      </w:r>
      <w:r w:rsidRPr="00820C89">
        <w:t xml:space="preserve">DSS, and potentially DHS. </w:t>
      </w:r>
    </w:p>
    <w:p w14:paraId="4DAAE5C7" w14:textId="77777777" w:rsidR="00C1765C" w:rsidRPr="00820C89" w:rsidRDefault="00C1765C" w:rsidP="00715F70">
      <w:pPr>
        <w:pStyle w:val="ListParagraph"/>
        <w:numPr>
          <w:ilvl w:val="0"/>
          <w:numId w:val="110"/>
        </w:numPr>
        <w:spacing w:before="170"/>
      </w:pPr>
      <w:r w:rsidRPr="00820C89">
        <w:rPr>
          <w:b/>
          <w:bCs/>
        </w:rPr>
        <w:t>Identify a relevant counterfactual or ‘control group’.</w:t>
      </w:r>
      <w:r w:rsidRPr="00820C89">
        <w:t xml:space="preserve"> A comparison or ‘control’ dataset is required, with observations on individuals with broadly similar characteristics to those in IEPs but who participated in mainstream programs rather than an IEP’s. Preliminary research suggests that jobactive data supplemented by Disability Employment Services data would be the most appropriate. CDP data may provide another alternative, should jobactive data not be available.</w:t>
      </w:r>
    </w:p>
    <w:p w14:paraId="303DE23A" w14:textId="77777777" w:rsidR="00C1765C" w:rsidRPr="00820C89" w:rsidRDefault="00C1765C" w:rsidP="00715F70">
      <w:pPr>
        <w:pStyle w:val="ListParagraph"/>
        <w:numPr>
          <w:ilvl w:val="0"/>
          <w:numId w:val="110"/>
        </w:numPr>
        <w:spacing w:before="170"/>
      </w:pPr>
      <w:r w:rsidRPr="00820C89">
        <w:rPr>
          <w:b/>
          <w:bCs/>
        </w:rPr>
        <w:t>Create a conditional probability model.</w:t>
      </w:r>
      <w:r w:rsidRPr="00820C89">
        <w:t xml:space="preserve"> The model will give the likelihoods that IEP and control group participants gain a positive employment outcome (however that is defined), taking into account the individuals’ characteristics and circumstances, as described by the variables in the available data.</w:t>
      </w:r>
    </w:p>
    <w:p w14:paraId="511CAA3B" w14:textId="77777777" w:rsidR="00C1765C" w:rsidRPr="00820C89" w:rsidRDefault="00C1765C" w:rsidP="00715F70">
      <w:pPr>
        <w:pStyle w:val="ListParagraph"/>
        <w:numPr>
          <w:ilvl w:val="0"/>
          <w:numId w:val="110"/>
        </w:numPr>
        <w:spacing w:before="170"/>
      </w:pPr>
      <w:r w:rsidRPr="00820C89">
        <w:rPr>
          <w:b/>
          <w:bCs/>
        </w:rPr>
        <w:t>Determine the employment impacts that can be attributed to IEP participation</w:t>
      </w:r>
      <w:r w:rsidRPr="00820C89">
        <w:rPr>
          <w:b/>
          <w:bCs/>
          <w:color w:val="86BC25" w:themeColor="accent1"/>
        </w:rPr>
        <w:t>.</w:t>
      </w:r>
      <w:r w:rsidRPr="00820C89">
        <w:rPr>
          <w:color w:val="86BC25" w:themeColor="accent1"/>
        </w:rPr>
        <w:t xml:space="preserve"> </w:t>
      </w:r>
      <w:r w:rsidRPr="00820C89">
        <w:t>This will consider both the statistical significance and the magnitude of this impact for each program, as compared to each other and to mainstream program participation.</w:t>
      </w:r>
    </w:p>
    <w:p w14:paraId="53BB6722" w14:textId="77777777" w:rsidR="00C1765C" w:rsidRPr="00820C89" w:rsidRDefault="00C1765C" w:rsidP="00C1765C">
      <w:r w:rsidRPr="00820C89">
        <w:t xml:space="preserve">A logistic regression will most likely be used for the basis of the conditional probability model. This is a commonly used form of regression model, where a binary dependent variable (e.g., did the participant achieve an outcome or not) is modelled as a function of several explanatory variables. </w:t>
      </w:r>
    </w:p>
    <w:p w14:paraId="57706B0D" w14:textId="77777777" w:rsidR="00C1765C" w:rsidRPr="00820C89" w:rsidRDefault="00C1765C" w:rsidP="00C1765C">
      <w:r w:rsidRPr="00820C89">
        <w:t>More specifically, the logit model will be used to examine the likelihood that an individual is in employment a certain number of months after completing the program, as a function of a variables indicating whether or not they participated in the TAEG, VTEC or EPI programs plus variables giving their personal characteristics (i.e., their sex, age, disability status, etc.). The parameters on the program variables give the estimated effects.  A positive coefficient is associated with a higher outcome rate for that program.</w:t>
      </w:r>
    </w:p>
    <w:p w14:paraId="0EC7BA8D" w14:textId="77777777" w:rsidR="00C1765C" w:rsidRPr="00820C89" w:rsidRDefault="00C1765C" w:rsidP="00C1765C">
      <w:r w:rsidRPr="00820C89">
        <w:t xml:space="preserve">Depending on how the characteristics of participants differ across the IEP programs, the analysis will involve either a single model encompassing all three programs, or three separate models, one per program.  In the latter, three separate control groups may also be identified. </w:t>
      </w:r>
    </w:p>
    <w:p w14:paraId="1F4C6B1F" w14:textId="77777777" w:rsidR="00C1765C" w:rsidRPr="00820C89" w:rsidRDefault="00C1765C" w:rsidP="00C1765C">
      <w:r w:rsidRPr="00820C89">
        <w:t xml:space="preserve">Should the data be available, a further approach is to estimate the rate at which IEP participants re-appear in the jobactive data in the years following participation, relative to the jobactive histories of participants in mainstream programs. </w:t>
      </w:r>
    </w:p>
    <w:p w14:paraId="51B64B11" w14:textId="77777777" w:rsidR="00C1765C" w:rsidRPr="00820C89" w:rsidRDefault="00C1765C" w:rsidP="00715F70">
      <w:pPr>
        <w:pStyle w:val="Heading3"/>
        <w:numPr>
          <w:ilvl w:val="2"/>
          <w:numId w:val="12"/>
        </w:numPr>
        <w:tabs>
          <w:tab w:val="num" w:pos="1492"/>
        </w:tabs>
        <w:ind w:left="993" w:hanging="360"/>
      </w:pPr>
      <w:bookmarkStart w:id="399" w:name="_Toc36569317"/>
      <w:bookmarkStart w:id="400" w:name="_Toc37099387"/>
      <w:bookmarkStart w:id="401" w:name="_Toc37177382"/>
      <w:bookmarkStart w:id="402" w:name="_Toc37217762"/>
      <w:bookmarkStart w:id="403" w:name="_Toc37402752"/>
      <w:bookmarkStart w:id="404" w:name="_Toc45206339"/>
      <w:r w:rsidRPr="00820C89">
        <w:t>Qualitative analysis</w:t>
      </w:r>
      <w:bookmarkEnd w:id="399"/>
      <w:bookmarkEnd w:id="400"/>
      <w:bookmarkEnd w:id="401"/>
      <w:bookmarkEnd w:id="402"/>
      <w:bookmarkEnd w:id="403"/>
      <w:bookmarkEnd w:id="404"/>
      <w:r w:rsidRPr="00820C89">
        <w:t xml:space="preserve"> </w:t>
      </w:r>
    </w:p>
    <w:p w14:paraId="596ABDF7" w14:textId="77777777" w:rsidR="00C1765C" w:rsidRPr="00820C89" w:rsidRDefault="00C1765C" w:rsidP="00C1765C">
      <w:r w:rsidRPr="00820C89">
        <w:t xml:space="preserve">A number of the data collection tools will generate qualitative data. This will be used to develop understanding and insights into the program implementation and effectiveness, and resulting policy implications. </w:t>
      </w:r>
    </w:p>
    <w:p w14:paraId="6F06910F" w14:textId="77777777" w:rsidR="00C1765C" w:rsidRPr="00820C89" w:rsidRDefault="00C1765C" w:rsidP="00C1765C">
      <w:r w:rsidRPr="00820C89">
        <w:t xml:space="preserve">A feature of the qualitative approach is the use of inductive reasoning – where analysis of the data can generate new understandings and theories that have not been anticipated. This is particularly important to ensure mainstream perspectives and frames of knowledge applied to program management and evaluation do not limit the scope for authentic Indigenous voices to be heard – in line with the participatory evaluation approach. </w:t>
      </w:r>
    </w:p>
    <w:p w14:paraId="69F7CE9A" w14:textId="77777777" w:rsidR="00C1765C" w:rsidRPr="00820C89" w:rsidRDefault="00C1765C" w:rsidP="00C1765C">
      <w:r w:rsidRPr="00820C89">
        <w:t xml:space="preserve">In other words, the data analysis methods must be designed in such a way that authentic Indigenous perspectives can emerge and inform findings. To support this approach, the data </w:t>
      </w:r>
      <w:r w:rsidRPr="00820C89">
        <w:lastRenderedPageBreak/>
        <w:t xml:space="preserve">collection tools have been designed to enable participant led observations on their experience of the programs, with a focus on open questions. Chapter 3 provides further detail on the strategies that will be employed to ensure cultural safety and support the openness and authenticity of consultations. </w:t>
      </w:r>
    </w:p>
    <w:p w14:paraId="62BDE859" w14:textId="77777777" w:rsidR="00C1765C" w:rsidRPr="00820C89" w:rsidRDefault="00C1765C" w:rsidP="00C1765C">
      <w:r w:rsidRPr="00820C89">
        <w:t xml:space="preserve">A number of analytic techniques will be used to analyse the qualitative data collected. </w:t>
      </w:r>
    </w:p>
    <w:p w14:paraId="2A878895" w14:textId="77777777" w:rsidR="00C1765C" w:rsidRPr="00820C89" w:rsidRDefault="00C1765C" w:rsidP="00715F70">
      <w:pPr>
        <w:pStyle w:val="ListParagraph"/>
        <w:numPr>
          <w:ilvl w:val="0"/>
          <w:numId w:val="110"/>
        </w:numPr>
        <w:spacing w:before="60" w:after="60"/>
        <w:contextualSpacing w:val="0"/>
      </w:pPr>
      <w:r w:rsidRPr="00820C89">
        <w:rPr>
          <w:b/>
        </w:rPr>
        <w:t>Case studies</w:t>
      </w:r>
      <w:r w:rsidRPr="00820C89">
        <w:t xml:space="preserve"> – Case studies are useful to support realist understandings of questions such as how and why particular interventions do or don’t work, in different situations. Place-based case studies will be developed, describing the variation in context for delivery of the IEPs, and the variation in program implementation and outcomes. </w:t>
      </w:r>
    </w:p>
    <w:p w14:paraId="2C8F8556" w14:textId="77777777" w:rsidR="00C1765C" w:rsidRPr="00820C89" w:rsidRDefault="00C1765C" w:rsidP="00715F70">
      <w:pPr>
        <w:pStyle w:val="ListParagraph"/>
        <w:numPr>
          <w:ilvl w:val="0"/>
          <w:numId w:val="110"/>
        </w:numPr>
        <w:spacing w:before="60" w:after="60"/>
        <w:contextualSpacing w:val="0"/>
      </w:pPr>
      <w:r w:rsidRPr="00820C89">
        <w:rPr>
          <w:b/>
        </w:rPr>
        <w:t>Thematic analysis</w:t>
      </w:r>
      <w:r w:rsidRPr="00820C89">
        <w:t xml:space="preserve"> – a structured approach of review, reflect and refine will be used, and NVivo software will support this. </w:t>
      </w:r>
    </w:p>
    <w:p w14:paraId="18FAF97B" w14:textId="77777777" w:rsidR="00C1765C" w:rsidRPr="00820C89" w:rsidRDefault="00C1765C" w:rsidP="00715F70">
      <w:pPr>
        <w:pStyle w:val="ListParagraph"/>
        <w:numPr>
          <w:ilvl w:val="1"/>
          <w:numId w:val="110"/>
        </w:numPr>
        <w:spacing w:before="60" w:after="60"/>
        <w:ind w:left="714" w:hanging="357"/>
        <w:contextualSpacing w:val="0"/>
      </w:pPr>
      <w:r w:rsidRPr="00820C89">
        <w:t xml:space="preserve">Review would involve coding topics and issues discussed or raised. This in turn allows consolidation into themes which can begin to be drawn together across the source data. </w:t>
      </w:r>
    </w:p>
    <w:p w14:paraId="6F4190DD" w14:textId="77777777" w:rsidR="00C1765C" w:rsidRPr="00820C89" w:rsidRDefault="00C1765C" w:rsidP="00715F70">
      <w:pPr>
        <w:pStyle w:val="ListParagraph"/>
        <w:numPr>
          <w:ilvl w:val="1"/>
          <w:numId w:val="110"/>
        </w:numPr>
        <w:spacing w:before="60" w:after="60"/>
        <w:ind w:left="714" w:hanging="357"/>
        <w:contextualSpacing w:val="0"/>
      </w:pPr>
      <w:r w:rsidRPr="00820C89">
        <w:t>Reflection involves ongoing consideration of the initial thematic analysis outlined above, combined with discussion among the evaluation team of the qualitative information they have encountered.</w:t>
      </w:r>
    </w:p>
    <w:p w14:paraId="415F5C6E" w14:textId="77777777" w:rsidR="00C1765C" w:rsidRPr="00820C89" w:rsidRDefault="00C1765C" w:rsidP="00715F70">
      <w:pPr>
        <w:pStyle w:val="ListParagraph"/>
        <w:numPr>
          <w:ilvl w:val="1"/>
          <w:numId w:val="110"/>
        </w:numPr>
        <w:spacing w:before="60" w:after="60"/>
        <w:ind w:left="714" w:hanging="357"/>
        <w:contextualSpacing w:val="0"/>
      </w:pPr>
      <w:r w:rsidRPr="00820C89">
        <w:t xml:space="preserve">Refinement is the ongoing process of describing themes as clearly and concisely as possible. This leads to the consideration of the implications of these qualitative themes in the context of the evaluation and other data analysis undertaken. </w:t>
      </w:r>
    </w:p>
    <w:p w14:paraId="0269C267" w14:textId="77777777" w:rsidR="00C1765C" w:rsidRPr="00820C89" w:rsidRDefault="00C1765C" w:rsidP="00715F70">
      <w:pPr>
        <w:pStyle w:val="ListParagraph"/>
        <w:numPr>
          <w:ilvl w:val="1"/>
          <w:numId w:val="110"/>
        </w:numPr>
        <w:spacing w:before="60" w:after="60"/>
        <w:ind w:left="714" w:hanging="357"/>
        <w:contextualSpacing w:val="0"/>
      </w:pPr>
      <w:r w:rsidRPr="00820C89">
        <w:t xml:space="preserve">Coding themes will align with context, mechanisms and outcomes defined by the program logics. This will enable the qualitative data to be used to inform judgements on how programs are taking effect in different contexts. </w:t>
      </w:r>
    </w:p>
    <w:p w14:paraId="2E53A61C" w14:textId="77777777" w:rsidR="00C1765C" w:rsidRPr="00820C89" w:rsidRDefault="00C1765C" w:rsidP="00715F70">
      <w:pPr>
        <w:pStyle w:val="ListParagraph"/>
        <w:numPr>
          <w:ilvl w:val="0"/>
          <w:numId w:val="110"/>
        </w:numPr>
        <w:spacing w:before="60" w:after="60"/>
        <w:contextualSpacing w:val="0"/>
      </w:pPr>
      <w:r w:rsidRPr="00820C89">
        <w:t xml:space="preserve">Indigenous leadership and perspectives will be essential to the development of case studies, and the data coding. For example, this will be achieved in relation to case studies by having Gaimaragal Group facilitators leading all regional consultations, and involved in developing cases studies. Indigenous evaluation team members (Professor Deen Sanders and Susan Moylan-Coombs) will be directly involved in coding topics and issues into themes, and prioritising these themes.  </w:t>
      </w:r>
    </w:p>
    <w:p w14:paraId="5A185EF5" w14:textId="77777777" w:rsidR="00C1765C" w:rsidRPr="00820C89" w:rsidRDefault="00C1765C" w:rsidP="00715F70">
      <w:pPr>
        <w:pStyle w:val="ListParagraph"/>
        <w:numPr>
          <w:ilvl w:val="0"/>
          <w:numId w:val="110"/>
        </w:numPr>
        <w:spacing w:before="60" w:after="60"/>
        <w:contextualSpacing w:val="0"/>
      </w:pPr>
      <w:r w:rsidRPr="00820C89">
        <w:t xml:space="preserve">Inductive reasoning (as described above) based on qualitative interview data and case study analysis also provides a method for testing the assumptions underpinning the theory of change, and understanding contextual factors that may be influencing program impacts. </w:t>
      </w:r>
    </w:p>
    <w:p w14:paraId="73FFC53A" w14:textId="77777777" w:rsidR="00C1765C" w:rsidRPr="00820C89" w:rsidRDefault="00C1765C" w:rsidP="00715F70">
      <w:pPr>
        <w:pStyle w:val="Heading2"/>
        <w:numPr>
          <w:ilvl w:val="1"/>
          <w:numId w:val="69"/>
        </w:numPr>
        <w:spacing w:after="60"/>
        <w:ind w:left="1440" w:hanging="360"/>
      </w:pPr>
      <w:bookmarkStart w:id="405" w:name="_Toc37099380"/>
      <w:bookmarkStart w:id="406" w:name="_Toc37177375"/>
      <w:bookmarkStart w:id="407" w:name="_Toc45206340"/>
      <w:bookmarkStart w:id="408" w:name="_Toc82694509"/>
      <w:bookmarkStart w:id="409" w:name="_Toc82710808"/>
      <w:bookmarkStart w:id="410" w:name="_Toc101343333"/>
      <w:r w:rsidRPr="00820C89">
        <w:t xml:space="preserve">Data </w:t>
      </w:r>
      <w:bookmarkEnd w:id="405"/>
      <w:bookmarkEnd w:id="406"/>
      <w:r w:rsidRPr="00820C89">
        <w:t>sources</w:t>
      </w:r>
      <w:bookmarkEnd w:id="407"/>
      <w:bookmarkEnd w:id="408"/>
      <w:bookmarkEnd w:id="409"/>
      <w:bookmarkEnd w:id="410"/>
    </w:p>
    <w:p w14:paraId="363E3550" w14:textId="77777777" w:rsidR="00C1765C" w:rsidRPr="00820C89" w:rsidRDefault="00C1765C" w:rsidP="00C1765C">
      <w:r w:rsidRPr="00820C89">
        <w:t xml:space="preserve">This section summarises the data sources included in the analytical approach to the evaluation. The stakeholder engagement components, why they provide critical participatory approach elements, and how this will be achieved, are discussed in detail in Chapter 3. </w:t>
      </w:r>
    </w:p>
    <w:p w14:paraId="0B8FFFA1" w14:textId="77777777" w:rsidR="00C1765C" w:rsidRPr="00820C89" w:rsidRDefault="00C1765C" w:rsidP="00715F70">
      <w:pPr>
        <w:pStyle w:val="CaptionTable"/>
        <w:numPr>
          <w:ilvl w:val="6"/>
          <w:numId w:val="12"/>
        </w:numPr>
        <w:ind w:left="0"/>
      </w:pPr>
      <w:r w:rsidRPr="00820C89">
        <w:t xml:space="preserve"> Summary of data sources</w:t>
      </w:r>
    </w:p>
    <w:tbl>
      <w:tblPr>
        <w:tblStyle w:val="Deloittetable"/>
        <w:tblW w:w="0" w:type="auto"/>
        <w:tblLook w:val="04A0" w:firstRow="1" w:lastRow="0" w:firstColumn="1" w:lastColumn="0" w:noHBand="0" w:noVBand="1"/>
      </w:tblPr>
      <w:tblGrid>
        <w:gridCol w:w="2392"/>
        <w:gridCol w:w="6528"/>
        <w:gridCol w:w="106"/>
      </w:tblGrid>
      <w:tr w:rsidR="00C1765C" w:rsidRPr="00820C89" w14:paraId="7D79A96A" w14:textId="77777777" w:rsidTr="00087C85">
        <w:trPr>
          <w:gridAfter w:val="1"/>
          <w:cnfStyle w:val="100000000000" w:firstRow="1" w:lastRow="0" w:firstColumn="0" w:lastColumn="0" w:oddVBand="0" w:evenVBand="0" w:oddHBand="0" w:evenHBand="0" w:firstRowFirstColumn="0" w:firstRowLastColumn="0" w:lastRowFirstColumn="0" w:lastRowLastColumn="0"/>
          <w:wAfter w:w="106" w:type="dxa"/>
          <w:tblHeader/>
        </w:trPr>
        <w:tc>
          <w:tcPr>
            <w:tcW w:w="2392" w:type="dxa"/>
          </w:tcPr>
          <w:p w14:paraId="2E4E747E" w14:textId="77777777" w:rsidR="00C1765C" w:rsidRPr="00820C89" w:rsidRDefault="00C1765C" w:rsidP="006D2536">
            <w:pPr>
              <w:rPr>
                <w:b/>
              </w:rPr>
            </w:pPr>
            <w:r w:rsidRPr="00820C89">
              <w:rPr>
                <w:b/>
              </w:rPr>
              <w:t>Data source</w:t>
            </w:r>
          </w:p>
        </w:tc>
        <w:tc>
          <w:tcPr>
            <w:tcW w:w="6528" w:type="dxa"/>
          </w:tcPr>
          <w:p w14:paraId="12D7D7AC" w14:textId="77777777" w:rsidR="00C1765C" w:rsidRPr="00820C89" w:rsidRDefault="00C1765C" w:rsidP="006D2536">
            <w:pPr>
              <w:rPr>
                <w:b/>
              </w:rPr>
            </w:pPr>
            <w:r w:rsidRPr="00820C89">
              <w:rPr>
                <w:b/>
              </w:rPr>
              <w:t>Description</w:t>
            </w:r>
          </w:p>
        </w:tc>
      </w:tr>
      <w:tr w:rsidR="00C1765C" w:rsidRPr="00820C89" w14:paraId="1913BBA2" w14:textId="77777777" w:rsidTr="006D2536">
        <w:tc>
          <w:tcPr>
            <w:tcW w:w="2392" w:type="dxa"/>
          </w:tcPr>
          <w:p w14:paraId="3F652FBC" w14:textId="77777777" w:rsidR="00C1765C" w:rsidRPr="00820C89" w:rsidRDefault="00C1765C" w:rsidP="006D2536">
            <w:r w:rsidRPr="00820C89">
              <w:t>Literature scan and program documentation</w:t>
            </w:r>
          </w:p>
        </w:tc>
        <w:tc>
          <w:tcPr>
            <w:tcW w:w="6634" w:type="dxa"/>
            <w:gridSpan w:val="2"/>
          </w:tcPr>
          <w:p w14:paraId="27E50C40" w14:textId="77777777" w:rsidR="00C1765C" w:rsidRPr="00820C89" w:rsidRDefault="00C1765C" w:rsidP="006D2536">
            <w:r w:rsidRPr="00820C89">
              <w:t xml:space="preserve">A literature scan will inform an understanding of best practice program design and contextual factors influencing the impact of the IEPs. Program and policy documentation will be sought from NIAA and analysed with a view to understanding the processes by which policies and implementation strategies were developed. Review of available literature will be ongoing through the course of the evaluation. </w:t>
            </w:r>
          </w:p>
        </w:tc>
      </w:tr>
      <w:tr w:rsidR="00C1765C" w:rsidRPr="00820C89" w14:paraId="51FC00FF" w14:textId="77777777" w:rsidTr="006D2536">
        <w:tc>
          <w:tcPr>
            <w:tcW w:w="2392" w:type="dxa"/>
          </w:tcPr>
          <w:p w14:paraId="2511FB2A" w14:textId="77777777" w:rsidR="00C1765C" w:rsidRPr="00820C89" w:rsidRDefault="00C1765C" w:rsidP="006D2536">
            <w:r w:rsidRPr="00820C89">
              <w:t>Program data</w:t>
            </w:r>
          </w:p>
        </w:tc>
        <w:tc>
          <w:tcPr>
            <w:tcW w:w="6634" w:type="dxa"/>
            <w:gridSpan w:val="2"/>
          </w:tcPr>
          <w:p w14:paraId="3DDD2E69" w14:textId="77777777" w:rsidR="00C1765C" w:rsidRPr="00820C89" w:rsidRDefault="00C1765C" w:rsidP="006D2536">
            <w:r w:rsidRPr="00820C89">
              <w:t>The program datasets that will be drawn on include:</w:t>
            </w:r>
          </w:p>
          <w:p w14:paraId="694A35CD" w14:textId="77777777" w:rsidR="00C1765C" w:rsidRPr="00820C89" w:rsidRDefault="00C1765C" w:rsidP="00715F70">
            <w:pPr>
              <w:pStyle w:val="ListParagraph"/>
              <w:numPr>
                <w:ilvl w:val="0"/>
                <w:numId w:val="142"/>
              </w:numPr>
              <w:spacing w:before="170"/>
            </w:pPr>
            <w:r w:rsidRPr="00820C89">
              <w:t>ESS data related to job seekers, EPI, VTEC and TAEG</w:t>
            </w:r>
          </w:p>
          <w:p w14:paraId="5EFEFA7F" w14:textId="77777777" w:rsidR="00C1765C" w:rsidRPr="00820C89" w:rsidRDefault="00C1765C" w:rsidP="00715F70">
            <w:pPr>
              <w:pStyle w:val="ListParagraph"/>
              <w:numPr>
                <w:ilvl w:val="0"/>
                <w:numId w:val="142"/>
              </w:numPr>
              <w:spacing w:before="170"/>
            </w:pPr>
            <w:r w:rsidRPr="00820C89">
              <w:t>Provider and employer reporting data</w:t>
            </w:r>
          </w:p>
          <w:p w14:paraId="76DCD218" w14:textId="77777777" w:rsidR="00C1765C" w:rsidRPr="00820C89" w:rsidRDefault="00C1765C" w:rsidP="00715F70">
            <w:pPr>
              <w:pStyle w:val="ListParagraph"/>
              <w:numPr>
                <w:ilvl w:val="0"/>
                <w:numId w:val="142"/>
              </w:numPr>
              <w:spacing w:before="170"/>
            </w:pPr>
            <w:r w:rsidRPr="00820C89">
              <w:lastRenderedPageBreak/>
              <w:t xml:space="preserve">Post-Program Monitoring (PPM) survey (noting that there are significant limitations of this dataset, including incomplete and unreliable data). </w:t>
            </w:r>
          </w:p>
          <w:p w14:paraId="1074DB82" w14:textId="77777777" w:rsidR="00C1765C" w:rsidRPr="00820C89" w:rsidRDefault="00C1765C" w:rsidP="00715F70">
            <w:pPr>
              <w:pStyle w:val="ListParagraph"/>
              <w:numPr>
                <w:ilvl w:val="0"/>
                <w:numId w:val="142"/>
              </w:numPr>
              <w:spacing w:before="170"/>
            </w:pPr>
            <w:r w:rsidRPr="00820C89">
              <w:t>Broader employment data – such as jobactive and Disability Employment Services (DES) data</w:t>
            </w:r>
          </w:p>
          <w:p w14:paraId="6E15B635" w14:textId="77777777" w:rsidR="00C1765C" w:rsidRPr="00820C89" w:rsidRDefault="00C1765C" w:rsidP="006D2536">
            <w:r w:rsidRPr="00820C89">
              <w:t xml:space="preserve">Requests for these datasets will be submitted to of Education, Skills and Employment (DESE) and the Department of Social Services (DSS). Deloitte Access Economics will liaise with NIAA in preparing and advancing these requests.   </w:t>
            </w:r>
          </w:p>
        </w:tc>
      </w:tr>
      <w:tr w:rsidR="00C1765C" w:rsidRPr="00820C89" w14:paraId="0DC24E11" w14:textId="77777777" w:rsidTr="006D2536">
        <w:tc>
          <w:tcPr>
            <w:tcW w:w="2392" w:type="dxa"/>
          </w:tcPr>
          <w:p w14:paraId="4BBF0649" w14:textId="77777777" w:rsidR="00C1765C" w:rsidRPr="00820C89" w:rsidRDefault="00C1765C" w:rsidP="006D2536">
            <w:r w:rsidRPr="00820C89">
              <w:lastRenderedPageBreak/>
              <w:t>VTEC and TAEG provider survey</w:t>
            </w:r>
          </w:p>
        </w:tc>
        <w:tc>
          <w:tcPr>
            <w:tcW w:w="6634" w:type="dxa"/>
            <w:gridSpan w:val="2"/>
          </w:tcPr>
          <w:p w14:paraId="7A60FB94" w14:textId="77777777" w:rsidR="00C1765C" w:rsidRPr="00820C89" w:rsidRDefault="00C1765C" w:rsidP="006D2536">
            <w:r w:rsidRPr="00820C89">
              <w:t xml:space="preserve">The provider survey, discussed in further detail in Chapter 3, aims to gain a breadth of insights into the design, implementation and impact evaluation questions, across a large sample of providers and using survey questions that allow for comparative analysis.  The survey will contain both qualitative and quantitative questions and will contribute to both the breadth and depth of understanding. </w:t>
            </w:r>
          </w:p>
          <w:p w14:paraId="75A04D88" w14:textId="77777777" w:rsidR="00C1765C" w:rsidRPr="00820C89" w:rsidRDefault="00C1765C" w:rsidP="006D2536">
            <w:r w:rsidRPr="00820C89">
              <w:t xml:space="preserve">There are substantial gaps in the ESS program data relating to the precise nature of activities undertaken by providers. The provider survey will be critical to generating information to facilitate understanding of the link between provider activity and employment outcomes, as well as other participant outcomes. </w:t>
            </w:r>
          </w:p>
          <w:p w14:paraId="21CB427C" w14:textId="77777777" w:rsidR="00C1765C" w:rsidRPr="00820C89" w:rsidRDefault="00C1765C" w:rsidP="006D2536">
            <w:r w:rsidRPr="00820C89">
              <w:t>It is intended that the provider surveys be administered over July and August 2020.</w:t>
            </w:r>
          </w:p>
        </w:tc>
      </w:tr>
      <w:tr w:rsidR="00C1765C" w:rsidRPr="00820C89" w14:paraId="3102ADDB" w14:textId="77777777" w:rsidTr="006D2536">
        <w:tc>
          <w:tcPr>
            <w:tcW w:w="2392" w:type="dxa"/>
          </w:tcPr>
          <w:p w14:paraId="72398C6F" w14:textId="77777777" w:rsidR="00C1765C" w:rsidRPr="00820C89" w:rsidRDefault="00C1765C" w:rsidP="006D2536">
            <w:r w:rsidRPr="00820C89">
              <w:t>Consultations</w:t>
            </w:r>
          </w:p>
        </w:tc>
        <w:tc>
          <w:tcPr>
            <w:tcW w:w="6634" w:type="dxa"/>
            <w:gridSpan w:val="2"/>
          </w:tcPr>
          <w:p w14:paraId="24CD6940" w14:textId="77777777" w:rsidR="00C1765C" w:rsidRPr="00820C89" w:rsidRDefault="00C1765C" w:rsidP="006D2536">
            <w:pPr>
              <w:spacing w:after="160" w:line="259" w:lineRule="auto"/>
              <w:rPr>
                <w:rFonts w:cstheme="minorHAnsi"/>
                <w:lang w:val="en-US"/>
              </w:rPr>
            </w:pPr>
            <w:r w:rsidRPr="00820C89">
              <w:rPr>
                <w:rFonts w:cstheme="minorHAnsi"/>
                <w:lang w:val="en-US"/>
              </w:rPr>
              <w:t xml:space="preserve">Three rounds of consultation will be undertaken: </w:t>
            </w:r>
          </w:p>
          <w:p w14:paraId="774B7784" w14:textId="77777777" w:rsidR="00C1765C" w:rsidRPr="00820C89" w:rsidRDefault="00C1765C" w:rsidP="00C1765C">
            <w:pPr>
              <w:pStyle w:val="ListBullet"/>
              <w:spacing w:before="170"/>
            </w:pPr>
            <w:r w:rsidRPr="00820C89">
              <w:rPr>
                <w:b/>
              </w:rPr>
              <w:t>Initial consultations</w:t>
            </w:r>
            <w:r w:rsidRPr="00820C89">
              <w:t xml:space="preserve"> – to understand regional and community context, the program design process, and to test the proposed approach for regional consultations. </w:t>
            </w:r>
          </w:p>
          <w:p w14:paraId="2534F6CB" w14:textId="77777777" w:rsidR="00C1765C" w:rsidRPr="00820C89" w:rsidRDefault="00C1765C" w:rsidP="00C1765C">
            <w:pPr>
              <w:pStyle w:val="ListBullet"/>
              <w:spacing w:before="170"/>
            </w:pPr>
            <w:r w:rsidRPr="00820C89">
              <w:rPr>
                <w:b/>
              </w:rPr>
              <w:t xml:space="preserve">Regional consultations </w:t>
            </w:r>
            <w:r w:rsidRPr="00820C89">
              <w:t xml:space="preserve">– to gain an in-depth understanding of experiences and perspectives of stakeholders within communities, sampled from each of the NIAA regions.  </w:t>
            </w:r>
          </w:p>
          <w:p w14:paraId="7BEC9CB0" w14:textId="77777777" w:rsidR="00C1765C" w:rsidRPr="00820C89" w:rsidRDefault="00C1765C" w:rsidP="00C1765C">
            <w:pPr>
              <w:pStyle w:val="ListBullet"/>
              <w:spacing w:before="170"/>
            </w:pPr>
            <w:r w:rsidRPr="00820C89">
              <w:rPr>
                <w:b/>
              </w:rPr>
              <w:t xml:space="preserve">Final program and policy consultations </w:t>
            </w:r>
            <w:r w:rsidRPr="00820C89">
              <w:t>– will provide an opportunity to test emerging findings and themes with NIAA and other policy staff before these are reported on in the final report.</w:t>
            </w:r>
          </w:p>
          <w:p w14:paraId="3F440F10" w14:textId="77777777" w:rsidR="00C1765C" w:rsidRPr="00820C89" w:rsidRDefault="00C1765C" w:rsidP="006D2536">
            <w:pPr>
              <w:autoSpaceDE w:val="0"/>
              <w:autoSpaceDN w:val="0"/>
              <w:spacing w:after="0" w:line="240" w:lineRule="auto"/>
              <w:rPr>
                <w:rFonts w:cstheme="minorHAnsi"/>
                <w:lang w:val="en-US"/>
              </w:rPr>
            </w:pPr>
            <w:r w:rsidRPr="00820C89">
              <w:rPr>
                <w:rFonts w:ascii="Segoe UI" w:hAnsi="Segoe UI" w:cs="Segoe UI"/>
                <w:color w:val="6E6E73"/>
                <w:sz w:val="16"/>
                <w:szCs w:val="16"/>
              </w:rPr>
              <w:t> </w:t>
            </w:r>
            <w:r w:rsidRPr="00820C89">
              <w:rPr>
                <w:rFonts w:cstheme="minorHAnsi"/>
                <w:lang w:val="en-US"/>
              </w:rPr>
              <w:t xml:space="preserve">The purpose and method for each is outlined in Section 3. </w:t>
            </w:r>
          </w:p>
        </w:tc>
      </w:tr>
    </w:tbl>
    <w:p w14:paraId="4ED48A9E" w14:textId="77777777" w:rsidR="00C1765C" w:rsidRPr="00820C89" w:rsidRDefault="00C1765C" w:rsidP="00715F70">
      <w:pPr>
        <w:pStyle w:val="Heading2"/>
        <w:numPr>
          <w:ilvl w:val="1"/>
          <w:numId w:val="12"/>
        </w:numPr>
        <w:tabs>
          <w:tab w:val="num" w:pos="1492"/>
        </w:tabs>
        <w:spacing w:after="60"/>
        <w:ind w:left="1492" w:hanging="360"/>
      </w:pPr>
      <w:bookmarkStart w:id="411" w:name="_Toc45206341"/>
      <w:bookmarkStart w:id="412" w:name="_Toc82694510"/>
      <w:bookmarkStart w:id="413" w:name="_Toc82710809"/>
      <w:bookmarkStart w:id="414" w:name="_Toc101343334"/>
      <w:r w:rsidRPr="00820C89">
        <w:t>Mapping of evaluation questions, data and indicators</w:t>
      </w:r>
      <w:bookmarkEnd w:id="411"/>
      <w:bookmarkEnd w:id="412"/>
      <w:bookmarkEnd w:id="413"/>
      <w:bookmarkEnd w:id="414"/>
    </w:p>
    <w:p w14:paraId="4AD6A3FE" w14:textId="77777777" w:rsidR="00C1765C" w:rsidRPr="00820C89" w:rsidRDefault="00C1765C" w:rsidP="00C1765C">
      <w:r w:rsidRPr="00820C89">
        <w:t xml:space="preserve">As outlined, a range of methods will be used to collect data related to evaluation questions under each domain. </w:t>
      </w:r>
      <w:r w:rsidRPr="00820C89">
        <w:rPr>
          <w:b/>
          <w:bCs/>
        </w:rPr>
        <w:t>Table 2.2</w:t>
      </w:r>
      <w:r w:rsidRPr="00820C89">
        <w:t xml:space="preserve"> sets out the evaluation questions, the main data sources that will be used, and examples of the indicators and analytical approach to each question. This table </w:t>
      </w:r>
      <w:r w:rsidRPr="00820C89">
        <w:rPr>
          <w:b/>
        </w:rPr>
        <w:t xml:space="preserve">is not exhaustive, </w:t>
      </w:r>
      <w:r w:rsidRPr="00820C89">
        <w:t>but provides examples of how the evaluation framework will inform analysis and reporting.</w:t>
      </w:r>
    </w:p>
    <w:p w14:paraId="275E23E3" w14:textId="77777777" w:rsidR="00C1765C" w:rsidRPr="00820C89" w:rsidRDefault="00C1765C" w:rsidP="00C1765C">
      <w:r w:rsidRPr="00820C89">
        <w:t xml:space="preserve">A detailed data matrix mapping indicators or measures and data sources to the evaluation objectives, questions and sub-questions – with links to the program logics – is provided at </w:t>
      </w:r>
      <w:r w:rsidRPr="00820C89">
        <w:rPr>
          <w:b/>
        </w:rPr>
        <w:t>Appendix B</w:t>
      </w:r>
      <w:r w:rsidRPr="00820C89">
        <w:t xml:space="preserve">. This document will be used and revisited throughout the evaluation.   </w:t>
      </w:r>
    </w:p>
    <w:p w14:paraId="6193826C" w14:textId="77777777" w:rsidR="00C1765C" w:rsidRPr="00820C89" w:rsidRDefault="00C1765C" w:rsidP="00C1765C">
      <w:pPr>
        <w:sectPr w:rsidR="00C1765C" w:rsidRPr="00820C89" w:rsidSect="00795649">
          <w:pgSz w:w="11906" w:h="16838" w:code="9"/>
          <w:pgMar w:top="1440" w:right="1440" w:bottom="1440" w:left="1440" w:header="680" w:footer="425" w:gutter="0"/>
          <w:cols w:space="284"/>
          <w:docGrid w:linePitch="360"/>
        </w:sectPr>
      </w:pPr>
    </w:p>
    <w:p w14:paraId="72FF4398" w14:textId="77777777" w:rsidR="00C1765C" w:rsidRPr="00820C89" w:rsidRDefault="00C1765C" w:rsidP="00715F70">
      <w:pPr>
        <w:pStyle w:val="CaptionTable"/>
        <w:numPr>
          <w:ilvl w:val="6"/>
          <w:numId w:val="12"/>
        </w:numPr>
        <w:ind w:left="1417" w:hanging="1417"/>
        <w:rPr>
          <w:lang w:eastAsia="en-AU"/>
        </w:rPr>
      </w:pPr>
      <w:r w:rsidRPr="00820C89">
        <w:rPr>
          <w:lang w:eastAsia="en-AU"/>
        </w:rPr>
        <w:lastRenderedPageBreak/>
        <w:t>: Evaluation questions, data sources, example indicators and analytical approach</w:t>
      </w:r>
    </w:p>
    <w:tbl>
      <w:tblPr>
        <w:tblStyle w:val="Deloittetable"/>
        <w:tblW w:w="14175" w:type="dxa"/>
        <w:tblLook w:val="04A0" w:firstRow="1" w:lastRow="0" w:firstColumn="1" w:lastColumn="0" w:noHBand="0" w:noVBand="1"/>
      </w:tblPr>
      <w:tblGrid>
        <w:gridCol w:w="2977"/>
        <w:gridCol w:w="3260"/>
        <w:gridCol w:w="7938"/>
      </w:tblGrid>
      <w:tr w:rsidR="00C1765C" w:rsidRPr="00820C89" w14:paraId="074303B0" w14:textId="77777777" w:rsidTr="00087C85">
        <w:trPr>
          <w:cnfStyle w:val="100000000000" w:firstRow="1" w:lastRow="0" w:firstColumn="0" w:lastColumn="0" w:oddVBand="0" w:evenVBand="0" w:oddHBand="0" w:evenHBand="0" w:firstRowFirstColumn="0" w:firstRowLastColumn="0" w:lastRowFirstColumn="0" w:lastRowLastColumn="0"/>
          <w:tblHeader/>
        </w:trPr>
        <w:tc>
          <w:tcPr>
            <w:tcW w:w="2977" w:type="dxa"/>
          </w:tcPr>
          <w:p w14:paraId="45D120AB" w14:textId="77777777" w:rsidR="00C1765C" w:rsidRPr="00820C89" w:rsidRDefault="00C1765C" w:rsidP="006D2536">
            <w:pPr>
              <w:rPr>
                <w:rFonts w:cs="Verdana"/>
                <w:bCs/>
                <w:color w:val="000000"/>
              </w:rPr>
            </w:pPr>
            <w:r w:rsidRPr="00820C89">
              <w:rPr>
                <w:rFonts w:cs="Verdana"/>
                <w:bCs/>
                <w:color w:val="000000"/>
              </w:rPr>
              <w:t xml:space="preserve">Evaluation question </w:t>
            </w:r>
          </w:p>
        </w:tc>
        <w:tc>
          <w:tcPr>
            <w:tcW w:w="3260" w:type="dxa"/>
          </w:tcPr>
          <w:p w14:paraId="02DF231B" w14:textId="77777777" w:rsidR="00C1765C" w:rsidRPr="00820C89" w:rsidRDefault="00C1765C" w:rsidP="006D2536">
            <w:pPr>
              <w:rPr>
                <w:rFonts w:cs="Verdana"/>
                <w:bCs/>
                <w:color w:val="000000"/>
              </w:rPr>
            </w:pPr>
            <w:r w:rsidRPr="00820C89">
              <w:rPr>
                <w:rFonts w:cs="Verdana"/>
                <w:bCs/>
                <w:color w:val="000000"/>
              </w:rPr>
              <w:t>Data sources</w:t>
            </w:r>
          </w:p>
        </w:tc>
        <w:tc>
          <w:tcPr>
            <w:tcW w:w="7938" w:type="dxa"/>
          </w:tcPr>
          <w:p w14:paraId="45527443" w14:textId="77777777" w:rsidR="00C1765C" w:rsidRPr="00820C89" w:rsidRDefault="00C1765C" w:rsidP="006D2536">
            <w:pPr>
              <w:rPr>
                <w:rFonts w:cs="Verdana"/>
                <w:bCs/>
                <w:color w:val="000000"/>
              </w:rPr>
            </w:pPr>
            <w:r w:rsidRPr="00820C89">
              <w:rPr>
                <w:rFonts w:cs="Verdana"/>
                <w:bCs/>
                <w:color w:val="000000"/>
              </w:rPr>
              <w:t xml:space="preserve">Example indicators and analytic approach </w:t>
            </w:r>
          </w:p>
        </w:tc>
      </w:tr>
      <w:tr w:rsidR="00C1765C" w:rsidRPr="00820C89" w14:paraId="31C395D9" w14:textId="77777777" w:rsidTr="006D2536">
        <w:trPr>
          <w:trHeight w:val="332"/>
        </w:trPr>
        <w:tc>
          <w:tcPr>
            <w:tcW w:w="14175" w:type="dxa"/>
            <w:gridSpan w:val="3"/>
          </w:tcPr>
          <w:p w14:paraId="30F13D26" w14:textId="77777777" w:rsidR="00C1765C" w:rsidRPr="00820C89" w:rsidRDefault="00C1765C" w:rsidP="006D2536">
            <w:pPr>
              <w:ind w:left="0"/>
              <w:rPr>
                <w:rFonts w:cs="Verdana"/>
                <w:bCs/>
                <w:color w:val="000000"/>
              </w:rPr>
            </w:pPr>
            <w:r w:rsidRPr="00820C89">
              <w:rPr>
                <w:rFonts w:cs="Verdana"/>
                <w:b/>
                <w:bCs/>
                <w:color w:val="000000"/>
              </w:rPr>
              <w:t>1. Appropriateness of program design and implementation</w:t>
            </w:r>
          </w:p>
        </w:tc>
      </w:tr>
      <w:tr w:rsidR="00C1765C" w:rsidRPr="00820C89" w14:paraId="17E539DA" w14:textId="77777777" w:rsidTr="006D2536">
        <w:tc>
          <w:tcPr>
            <w:tcW w:w="2977" w:type="dxa"/>
          </w:tcPr>
          <w:p w14:paraId="375884C4" w14:textId="77777777" w:rsidR="00C1765C" w:rsidRPr="00820C89" w:rsidRDefault="00C1765C" w:rsidP="006D2536">
            <w:pPr>
              <w:rPr>
                <w:rFonts w:cs="Verdana"/>
                <w:bCs/>
                <w:color w:val="000000"/>
              </w:rPr>
            </w:pPr>
            <w:r w:rsidRPr="00820C89">
              <w:rPr>
                <w:rFonts w:cs="Verdana"/>
                <w:bCs/>
                <w:color w:val="000000"/>
              </w:rPr>
              <w:t xml:space="preserve">To what extent is the program design based on evidence? </w:t>
            </w:r>
          </w:p>
        </w:tc>
        <w:tc>
          <w:tcPr>
            <w:tcW w:w="3260" w:type="dxa"/>
          </w:tcPr>
          <w:p w14:paraId="59EA325C" w14:textId="77777777" w:rsidR="00C1765C" w:rsidRPr="00820C89" w:rsidRDefault="00C1765C" w:rsidP="00715F70">
            <w:pPr>
              <w:pStyle w:val="ListParagraph"/>
              <w:numPr>
                <w:ilvl w:val="0"/>
                <w:numId w:val="115"/>
              </w:numPr>
              <w:spacing w:before="170"/>
              <w:ind w:left="275" w:hanging="275"/>
              <w:rPr>
                <w:rFonts w:cs="Verdana"/>
                <w:bCs/>
                <w:color w:val="000000"/>
              </w:rPr>
            </w:pPr>
            <w:r w:rsidRPr="00820C89">
              <w:rPr>
                <w:rFonts w:cs="Verdana"/>
                <w:bCs/>
                <w:color w:val="000000"/>
              </w:rPr>
              <w:t>Initial consultations</w:t>
            </w:r>
          </w:p>
          <w:p w14:paraId="089AE77D" w14:textId="77777777" w:rsidR="00C1765C" w:rsidRPr="00820C89" w:rsidRDefault="00C1765C" w:rsidP="00715F70">
            <w:pPr>
              <w:pStyle w:val="ListParagraph"/>
              <w:numPr>
                <w:ilvl w:val="0"/>
                <w:numId w:val="115"/>
              </w:numPr>
              <w:spacing w:before="170"/>
              <w:ind w:left="275" w:hanging="275"/>
              <w:rPr>
                <w:rFonts w:cs="Verdana"/>
                <w:bCs/>
                <w:color w:val="000000"/>
              </w:rPr>
            </w:pPr>
            <w:r w:rsidRPr="00820C89">
              <w:rPr>
                <w:rFonts w:cs="Verdana"/>
                <w:bCs/>
                <w:color w:val="000000"/>
              </w:rPr>
              <w:t>Regional consultations</w:t>
            </w:r>
          </w:p>
          <w:p w14:paraId="39AF67C0" w14:textId="77777777" w:rsidR="00C1765C" w:rsidRPr="00820C89" w:rsidRDefault="00C1765C" w:rsidP="00715F70">
            <w:pPr>
              <w:pStyle w:val="ListParagraph"/>
              <w:numPr>
                <w:ilvl w:val="0"/>
                <w:numId w:val="115"/>
              </w:numPr>
              <w:spacing w:before="170"/>
              <w:ind w:left="275" w:hanging="275"/>
              <w:rPr>
                <w:rFonts w:cs="Verdana"/>
                <w:bCs/>
                <w:color w:val="000000"/>
              </w:rPr>
            </w:pPr>
            <w:r w:rsidRPr="00820C89">
              <w:rPr>
                <w:rFonts w:cs="Verdana"/>
                <w:bCs/>
                <w:color w:val="000000"/>
              </w:rPr>
              <w:t xml:space="preserve">Literature scan </w:t>
            </w:r>
          </w:p>
          <w:p w14:paraId="192BF337" w14:textId="77777777" w:rsidR="00C1765C" w:rsidRPr="00820C89" w:rsidRDefault="00C1765C" w:rsidP="00715F70">
            <w:pPr>
              <w:pStyle w:val="ListParagraph"/>
              <w:numPr>
                <w:ilvl w:val="0"/>
                <w:numId w:val="115"/>
              </w:numPr>
              <w:spacing w:before="170"/>
              <w:ind w:left="275" w:hanging="275"/>
              <w:rPr>
                <w:rFonts w:cs="Verdana"/>
                <w:bCs/>
                <w:color w:val="000000"/>
              </w:rPr>
            </w:pPr>
            <w:r w:rsidRPr="00820C89">
              <w:rPr>
                <w:rFonts w:cs="Verdana"/>
                <w:bCs/>
                <w:color w:val="000000"/>
              </w:rPr>
              <w:t>Program documentation</w:t>
            </w:r>
          </w:p>
        </w:tc>
        <w:tc>
          <w:tcPr>
            <w:tcW w:w="7938" w:type="dxa"/>
          </w:tcPr>
          <w:p w14:paraId="461E3CE0" w14:textId="77777777" w:rsidR="00C1765C" w:rsidRPr="00820C89" w:rsidRDefault="00C1765C" w:rsidP="00715F70">
            <w:pPr>
              <w:pStyle w:val="ListParagraph"/>
              <w:numPr>
                <w:ilvl w:val="0"/>
                <w:numId w:val="115"/>
              </w:numPr>
              <w:spacing w:before="170"/>
              <w:ind w:left="232" w:hanging="232"/>
              <w:rPr>
                <w:rFonts w:cs="Verdana"/>
                <w:bCs/>
                <w:color w:val="000000"/>
              </w:rPr>
            </w:pPr>
            <w:r w:rsidRPr="00820C89">
              <w:rPr>
                <w:rFonts w:cs="Verdana"/>
                <w:bCs/>
                <w:color w:val="000000"/>
              </w:rPr>
              <w:t>Number and length of stakeholder engagement activities undertaken with Indigenous people (initial consultations)</w:t>
            </w:r>
          </w:p>
          <w:p w14:paraId="11124A8C" w14:textId="77777777" w:rsidR="00C1765C" w:rsidRPr="00820C89" w:rsidRDefault="00C1765C" w:rsidP="00715F70">
            <w:pPr>
              <w:pStyle w:val="ListParagraph"/>
              <w:numPr>
                <w:ilvl w:val="0"/>
                <w:numId w:val="115"/>
              </w:numPr>
              <w:spacing w:before="170"/>
              <w:ind w:left="232" w:hanging="232"/>
              <w:rPr>
                <w:rFonts w:cs="Verdana"/>
                <w:bCs/>
                <w:color w:val="000000"/>
              </w:rPr>
            </w:pPr>
            <w:r w:rsidRPr="00820C89">
              <w:rPr>
                <w:rFonts w:cs="Verdana"/>
                <w:bCs/>
                <w:color w:val="000000"/>
              </w:rPr>
              <w:t>Quality of engagement as reported by consulted stakeholders (initial consultations, regional consultations)</w:t>
            </w:r>
          </w:p>
          <w:p w14:paraId="05C2A94A" w14:textId="77777777" w:rsidR="00C1765C" w:rsidRPr="00820C89" w:rsidRDefault="00C1765C" w:rsidP="00715F70">
            <w:pPr>
              <w:pStyle w:val="ListParagraph"/>
              <w:numPr>
                <w:ilvl w:val="0"/>
                <w:numId w:val="115"/>
              </w:numPr>
              <w:spacing w:before="170"/>
              <w:ind w:left="232" w:hanging="232"/>
              <w:rPr>
                <w:rFonts w:cs="Verdana"/>
                <w:bCs/>
                <w:color w:val="000000"/>
              </w:rPr>
            </w:pPr>
            <w:r w:rsidRPr="00820C89">
              <w:rPr>
                <w:rFonts w:cs="Verdana"/>
                <w:bCs/>
                <w:color w:val="000000"/>
              </w:rPr>
              <w:t>Comparison of evidence base used for program design and best practice literature scan findings (literature scan, consultations, program documentation)</w:t>
            </w:r>
          </w:p>
        </w:tc>
      </w:tr>
      <w:tr w:rsidR="00C1765C" w:rsidRPr="00820C89" w14:paraId="69506E22" w14:textId="77777777" w:rsidTr="006D2536">
        <w:tc>
          <w:tcPr>
            <w:tcW w:w="2977" w:type="dxa"/>
          </w:tcPr>
          <w:p w14:paraId="4FE91BFD" w14:textId="77777777" w:rsidR="00C1765C" w:rsidRPr="00820C89" w:rsidRDefault="00C1765C" w:rsidP="006D2536">
            <w:pPr>
              <w:rPr>
                <w:rFonts w:cs="Verdana"/>
                <w:bCs/>
                <w:color w:val="000000"/>
              </w:rPr>
            </w:pPr>
            <w:r w:rsidRPr="00820C89">
              <w:t>To what extent has the program been implemented by NIAA (/PM&amp;C) in line with its design parameters?</w:t>
            </w:r>
          </w:p>
        </w:tc>
        <w:tc>
          <w:tcPr>
            <w:tcW w:w="3260" w:type="dxa"/>
          </w:tcPr>
          <w:p w14:paraId="3CE390CD" w14:textId="77777777" w:rsidR="00C1765C" w:rsidRPr="00820C89" w:rsidRDefault="00C1765C" w:rsidP="00715F70">
            <w:pPr>
              <w:pStyle w:val="ListParagraph"/>
              <w:numPr>
                <w:ilvl w:val="0"/>
                <w:numId w:val="114"/>
              </w:numPr>
              <w:spacing w:before="170"/>
              <w:ind w:left="275" w:hanging="275"/>
              <w:rPr>
                <w:rFonts w:cs="Verdana"/>
                <w:bCs/>
                <w:color w:val="000000"/>
              </w:rPr>
            </w:pPr>
            <w:r w:rsidRPr="00820C89">
              <w:rPr>
                <w:rFonts w:cs="Verdana"/>
                <w:bCs/>
                <w:color w:val="000000"/>
              </w:rPr>
              <w:t>Provider survey</w:t>
            </w:r>
          </w:p>
          <w:p w14:paraId="0136E4CA" w14:textId="77777777" w:rsidR="00C1765C" w:rsidRPr="00820C89" w:rsidRDefault="00C1765C" w:rsidP="00715F70">
            <w:pPr>
              <w:pStyle w:val="ListParagraph"/>
              <w:numPr>
                <w:ilvl w:val="0"/>
                <w:numId w:val="114"/>
              </w:numPr>
              <w:spacing w:before="170"/>
              <w:ind w:left="275" w:hanging="275"/>
              <w:rPr>
                <w:rFonts w:cs="Verdana"/>
                <w:bCs/>
                <w:color w:val="000000"/>
              </w:rPr>
            </w:pPr>
            <w:r w:rsidRPr="00820C89">
              <w:rPr>
                <w:rFonts w:cs="Verdana"/>
                <w:bCs/>
                <w:color w:val="000000"/>
              </w:rPr>
              <w:t>Initial consultations</w:t>
            </w:r>
          </w:p>
          <w:p w14:paraId="31F3C478" w14:textId="77777777" w:rsidR="00C1765C" w:rsidRPr="00820C89" w:rsidRDefault="00C1765C" w:rsidP="00715F70">
            <w:pPr>
              <w:pStyle w:val="ListParagraph"/>
              <w:numPr>
                <w:ilvl w:val="0"/>
                <w:numId w:val="114"/>
              </w:numPr>
              <w:spacing w:before="170"/>
              <w:ind w:left="275" w:hanging="275"/>
              <w:rPr>
                <w:rFonts w:cs="Verdana"/>
                <w:bCs/>
                <w:color w:val="000000"/>
              </w:rPr>
            </w:pPr>
            <w:r w:rsidRPr="00820C89">
              <w:rPr>
                <w:rFonts w:cs="Verdana"/>
                <w:bCs/>
                <w:color w:val="000000"/>
              </w:rPr>
              <w:t xml:space="preserve">Regional consultations </w:t>
            </w:r>
          </w:p>
          <w:p w14:paraId="6FC4F414" w14:textId="77777777" w:rsidR="00C1765C" w:rsidRPr="00820C89" w:rsidRDefault="00C1765C" w:rsidP="00715F70">
            <w:pPr>
              <w:pStyle w:val="ListParagraph"/>
              <w:numPr>
                <w:ilvl w:val="0"/>
                <w:numId w:val="114"/>
              </w:numPr>
              <w:spacing w:before="170"/>
              <w:ind w:left="275" w:hanging="275"/>
              <w:rPr>
                <w:rFonts w:cs="Verdana"/>
                <w:bCs/>
                <w:color w:val="000000"/>
              </w:rPr>
            </w:pPr>
            <w:r w:rsidRPr="00820C89">
              <w:rPr>
                <w:rFonts w:cs="Verdana"/>
                <w:bCs/>
                <w:color w:val="000000"/>
              </w:rPr>
              <w:t xml:space="preserve">Program documentation  </w:t>
            </w:r>
          </w:p>
          <w:p w14:paraId="71D4895A" w14:textId="77777777" w:rsidR="00C1765C" w:rsidRPr="00820C89" w:rsidRDefault="00C1765C" w:rsidP="00715F70">
            <w:pPr>
              <w:pStyle w:val="ListParagraph"/>
              <w:numPr>
                <w:ilvl w:val="0"/>
                <w:numId w:val="114"/>
              </w:numPr>
              <w:spacing w:before="170"/>
              <w:ind w:left="275" w:hanging="275"/>
              <w:rPr>
                <w:rFonts w:cs="Verdana"/>
                <w:bCs/>
                <w:color w:val="000000"/>
              </w:rPr>
            </w:pPr>
            <w:r w:rsidRPr="00820C89">
              <w:rPr>
                <w:rFonts w:cs="Verdana"/>
                <w:bCs/>
                <w:color w:val="000000"/>
              </w:rPr>
              <w:t xml:space="preserve">Program data  </w:t>
            </w:r>
          </w:p>
        </w:tc>
        <w:tc>
          <w:tcPr>
            <w:tcW w:w="7938" w:type="dxa"/>
          </w:tcPr>
          <w:p w14:paraId="01A64174" w14:textId="77777777" w:rsidR="00C1765C" w:rsidRPr="00820C89" w:rsidRDefault="00C1765C" w:rsidP="00715F70">
            <w:pPr>
              <w:pStyle w:val="ListParagraph"/>
              <w:numPr>
                <w:ilvl w:val="0"/>
                <w:numId w:val="114"/>
              </w:numPr>
              <w:spacing w:before="170"/>
              <w:ind w:left="232" w:hanging="232"/>
              <w:rPr>
                <w:rFonts w:cs="Verdana"/>
                <w:bCs/>
                <w:color w:val="000000"/>
              </w:rPr>
            </w:pPr>
            <w:r w:rsidRPr="00820C89">
              <w:rPr>
                <w:rFonts w:cs="Verdana"/>
                <w:bCs/>
                <w:color w:val="000000"/>
              </w:rPr>
              <w:t xml:space="preserve">Summary of different areas of provider activity </w:t>
            </w:r>
          </w:p>
          <w:p w14:paraId="6229A713" w14:textId="77777777" w:rsidR="00C1765C" w:rsidRPr="00820C89" w:rsidRDefault="00C1765C" w:rsidP="00715F70">
            <w:pPr>
              <w:pStyle w:val="ListParagraph"/>
              <w:numPr>
                <w:ilvl w:val="0"/>
                <w:numId w:val="114"/>
              </w:numPr>
              <w:spacing w:before="170"/>
              <w:ind w:left="232" w:hanging="232"/>
              <w:rPr>
                <w:rFonts w:cs="Verdana"/>
                <w:bCs/>
                <w:color w:val="000000"/>
              </w:rPr>
            </w:pPr>
            <w:r w:rsidRPr="00820C89">
              <w:rPr>
                <w:rFonts w:cs="Verdana"/>
                <w:bCs/>
                <w:color w:val="000000"/>
              </w:rPr>
              <w:t xml:space="preserve">Summary of intended program design parameters </w:t>
            </w:r>
          </w:p>
          <w:p w14:paraId="72FB7CFC" w14:textId="77777777" w:rsidR="00C1765C" w:rsidRPr="00820C89" w:rsidRDefault="00C1765C" w:rsidP="00715F70">
            <w:pPr>
              <w:pStyle w:val="ListParagraph"/>
              <w:numPr>
                <w:ilvl w:val="0"/>
                <w:numId w:val="114"/>
              </w:numPr>
              <w:spacing w:before="170"/>
              <w:ind w:left="232" w:hanging="232"/>
              <w:rPr>
                <w:rFonts w:cs="Verdana"/>
                <w:bCs/>
                <w:color w:val="000000"/>
              </w:rPr>
            </w:pPr>
            <w:r w:rsidRPr="00820C89">
              <w:rPr>
                <w:rFonts w:cs="Verdana"/>
                <w:bCs/>
                <w:color w:val="000000"/>
              </w:rPr>
              <w:t xml:space="preserve">Participant characteristics and participation in program activities </w:t>
            </w:r>
          </w:p>
          <w:p w14:paraId="34F6C93B" w14:textId="77777777" w:rsidR="00C1765C" w:rsidRPr="00820C89" w:rsidRDefault="00C1765C" w:rsidP="00715F70">
            <w:pPr>
              <w:pStyle w:val="ListParagraph"/>
              <w:numPr>
                <w:ilvl w:val="0"/>
                <w:numId w:val="114"/>
              </w:numPr>
              <w:spacing w:before="170"/>
              <w:ind w:left="232" w:hanging="232"/>
              <w:rPr>
                <w:rFonts w:cs="Verdana"/>
                <w:bCs/>
                <w:color w:val="000000"/>
              </w:rPr>
            </w:pPr>
            <w:r w:rsidRPr="00820C89">
              <w:rPr>
                <w:rFonts w:cs="Verdana"/>
                <w:bCs/>
                <w:color w:val="000000"/>
              </w:rPr>
              <w:t>Funding allocated and funding spent</w:t>
            </w:r>
          </w:p>
          <w:p w14:paraId="7A92B5AC" w14:textId="77777777" w:rsidR="00C1765C" w:rsidRPr="00820C89" w:rsidRDefault="00C1765C" w:rsidP="00715F70">
            <w:pPr>
              <w:pStyle w:val="ListParagraph"/>
              <w:numPr>
                <w:ilvl w:val="0"/>
                <w:numId w:val="114"/>
              </w:numPr>
              <w:spacing w:before="170"/>
              <w:ind w:left="232" w:hanging="232"/>
              <w:rPr>
                <w:rFonts w:cs="Verdana"/>
                <w:bCs/>
                <w:color w:val="000000"/>
              </w:rPr>
            </w:pPr>
            <w:r w:rsidRPr="00820C89">
              <w:rPr>
                <w:rFonts w:cs="Verdana"/>
                <w:bCs/>
                <w:color w:val="000000"/>
              </w:rPr>
              <w:t>Nature of the process for selection of providers, compared to best practice literature scan findings</w:t>
            </w:r>
          </w:p>
        </w:tc>
      </w:tr>
      <w:tr w:rsidR="00C1765C" w:rsidRPr="00820C89" w14:paraId="512A9E57" w14:textId="77777777" w:rsidTr="006D2536">
        <w:tc>
          <w:tcPr>
            <w:tcW w:w="2977" w:type="dxa"/>
          </w:tcPr>
          <w:p w14:paraId="4D9E08DC" w14:textId="77777777" w:rsidR="00C1765C" w:rsidRPr="00820C89" w:rsidRDefault="00C1765C" w:rsidP="006D2536">
            <w:r w:rsidRPr="00820C89">
              <w:t xml:space="preserve">To what extent have the programs been delivered in a respectful, strengths-based and place-based way?  </w:t>
            </w:r>
          </w:p>
        </w:tc>
        <w:tc>
          <w:tcPr>
            <w:tcW w:w="3260" w:type="dxa"/>
          </w:tcPr>
          <w:p w14:paraId="42C6B916" w14:textId="77777777" w:rsidR="00C1765C" w:rsidRPr="00820C89" w:rsidRDefault="00C1765C" w:rsidP="00715F70">
            <w:pPr>
              <w:pStyle w:val="ListParagraph"/>
              <w:numPr>
                <w:ilvl w:val="0"/>
                <w:numId w:val="114"/>
              </w:numPr>
              <w:spacing w:before="170"/>
              <w:ind w:left="275" w:hanging="275"/>
              <w:rPr>
                <w:rFonts w:cs="Verdana"/>
                <w:bCs/>
                <w:color w:val="000000"/>
              </w:rPr>
            </w:pPr>
            <w:r w:rsidRPr="00820C89">
              <w:rPr>
                <w:rFonts w:cs="Verdana"/>
                <w:bCs/>
                <w:color w:val="000000"/>
              </w:rPr>
              <w:t>Provider survey</w:t>
            </w:r>
          </w:p>
          <w:p w14:paraId="5CB760AD" w14:textId="77777777" w:rsidR="00C1765C" w:rsidRPr="00820C89" w:rsidRDefault="00C1765C" w:rsidP="00715F70">
            <w:pPr>
              <w:pStyle w:val="ListParagraph"/>
              <w:numPr>
                <w:ilvl w:val="0"/>
                <w:numId w:val="114"/>
              </w:numPr>
              <w:spacing w:before="170"/>
              <w:ind w:left="275" w:hanging="275"/>
              <w:rPr>
                <w:rFonts w:cs="Verdana"/>
                <w:bCs/>
                <w:color w:val="000000"/>
              </w:rPr>
            </w:pPr>
            <w:r w:rsidRPr="00820C89">
              <w:rPr>
                <w:rFonts w:cs="Verdana"/>
                <w:bCs/>
                <w:color w:val="000000"/>
              </w:rPr>
              <w:t xml:space="preserve">Initial stakeholder consultations </w:t>
            </w:r>
          </w:p>
          <w:p w14:paraId="0204A4F8" w14:textId="77777777" w:rsidR="00C1765C" w:rsidRPr="00820C89" w:rsidRDefault="00C1765C" w:rsidP="00715F70">
            <w:pPr>
              <w:pStyle w:val="ListParagraph"/>
              <w:numPr>
                <w:ilvl w:val="0"/>
                <w:numId w:val="114"/>
              </w:numPr>
              <w:spacing w:before="170"/>
              <w:ind w:left="275" w:hanging="275"/>
              <w:rPr>
                <w:rFonts w:cs="Verdana"/>
                <w:bCs/>
                <w:color w:val="000000"/>
              </w:rPr>
            </w:pPr>
            <w:r w:rsidRPr="00820C89">
              <w:rPr>
                <w:rFonts w:cs="Verdana"/>
                <w:bCs/>
                <w:color w:val="000000"/>
              </w:rPr>
              <w:t xml:space="preserve">Regional consultations </w:t>
            </w:r>
          </w:p>
        </w:tc>
        <w:tc>
          <w:tcPr>
            <w:tcW w:w="7938" w:type="dxa"/>
          </w:tcPr>
          <w:p w14:paraId="07396296" w14:textId="77777777" w:rsidR="00C1765C" w:rsidRPr="00820C89" w:rsidRDefault="00C1765C" w:rsidP="00715F70">
            <w:pPr>
              <w:pStyle w:val="ListParagraph"/>
              <w:numPr>
                <w:ilvl w:val="0"/>
                <w:numId w:val="114"/>
              </w:numPr>
              <w:spacing w:before="170"/>
              <w:ind w:left="232" w:hanging="232"/>
              <w:rPr>
                <w:rFonts w:cs="Verdana"/>
                <w:bCs/>
                <w:color w:val="000000"/>
              </w:rPr>
            </w:pPr>
            <w:r w:rsidRPr="00820C89">
              <w:rPr>
                <w:rFonts w:cs="Verdana"/>
                <w:bCs/>
                <w:color w:val="000000"/>
              </w:rPr>
              <w:t>Participant perspectives on program delivery including participant journey case studies</w:t>
            </w:r>
          </w:p>
          <w:p w14:paraId="3F87D994" w14:textId="77777777" w:rsidR="00C1765C" w:rsidRPr="00820C89" w:rsidRDefault="00C1765C" w:rsidP="00715F70">
            <w:pPr>
              <w:pStyle w:val="ListParagraph"/>
              <w:numPr>
                <w:ilvl w:val="0"/>
                <w:numId w:val="114"/>
              </w:numPr>
              <w:spacing w:before="170"/>
              <w:ind w:left="232" w:hanging="232"/>
              <w:rPr>
                <w:rFonts w:cs="Verdana"/>
                <w:bCs/>
                <w:color w:val="000000"/>
              </w:rPr>
            </w:pPr>
            <w:r w:rsidRPr="00820C89">
              <w:rPr>
                <w:rFonts w:cs="Verdana"/>
                <w:bCs/>
                <w:color w:val="000000"/>
              </w:rPr>
              <w:t xml:space="preserve">Indigenous Australian expert group perspectives on program delivery </w:t>
            </w:r>
          </w:p>
          <w:p w14:paraId="59B2DF5E" w14:textId="77777777" w:rsidR="00C1765C" w:rsidRPr="00820C89" w:rsidRDefault="00C1765C" w:rsidP="00715F70">
            <w:pPr>
              <w:pStyle w:val="ListParagraph"/>
              <w:numPr>
                <w:ilvl w:val="0"/>
                <w:numId w:val="114"/>
              </w:numPr>
              <w:spacing w:before="170"/>
              <w:ind w:left="232" w:hanging="232"/>
              <w:rPr>
                <w:rFonts w:cs="Verdana"/>
                <w:bCs/>
                <w:color w:val="000000"/>
              </w:rPr>
            </w:pPr>
            <w:r w:rsidRPr="00820C89">
              <w:rPr>
                <w:rFonts w:cs="Verdana"/>
                <w:bCs/>
                <w:color w:val="000000"/>
              </w:rPr>
              <w:t xml:space="preserve">Summary of key features of program delivery </w:t>
            </w:r>
          </w:p>
          <w:p w14:paraId="3E2FF72F" w14:textId="77777777" w:rsidR="00C1765C" w:rsidRPr="00820C89" w:rsidRDefault="00C1765C" w:rsidP="00715F70">
            <w:pPr>
              <w:pStyle w:val="ListParagraph"/>
              <w:numPr>
                <w:ilvl w:val="0"/>
                <w:numId w:val="114"/>
              </w:numPr>
              <w:spacing w:before="170"/>
              <w:ind w:left="232" w:hanging="232"/>
              <w:rPr>
                <w:rFonts w:cs="Verdana"/>
                <w:bCs/>
                <w:color w:val="000000"/>
              </w:rPr>
            </w:pPr>
            <w:r w:rsidRPr="00820C89">
              <w:rPr>
                <w:rFonts w:cs="Verdana"/>
                <w:bCs/>
                <w:color w:val="000000"/>
              </w:rPr>
              <w:t xml:space="preserve">Context for and factors effecting delivery of the program - case studies that establish an ecosystem of perspectives </w:t>
            </w:r>
          </w:p>
        </w:tc>
      </w:tr>
      <w:tr w:rsidR="00C1765C" w:rsidRPr="00820C89" w14:paraId="5E2B2DE5" w14:textId="77777777" w:rsidTr="006D2536">
        <w:tc>
          <w:tcPr>
            <w:tcW w:w="14175" w:type="dxa"/>
            <w:gridSpan w:val="3"/>
          </w:tcPr>
          <w:p w14:paraId="6B094865" w14:textId="77777777" w:rsidR="00C1765C" w:rsidRPr="00820C89" w:rsidRDefault="00C1765C" w:rsidP="006D2536">
            <w:pPr>
              <w:rPr>
                <w:rFonts w:cs="Verdana"/>
                <w:bCs/>
                <w:color w:val="000000"/>
              </w:rPr>
            </w:pPr>
            <w:r w:rsidRPr="00820C89">
              <w:rPr>
                <w:b/>
              </w:rPr>
              <w:t>2. Program effectiveness and impact</w:t>
            </w:r>
          </w:p>
        </w:tc>
      </w:tr>
      <w:tr w:rsidR="00C1765C" w:rsidRPr="00820C89" w14:paraId="18BC47B3" w14:textId="77777777" w:rsidTr="006D2536">
        <w:tc>
          <w:tcPr>
            <w:tcW w:w="2977" w:type="dxa"/>
          </w:tcPr>
          <w:p w14:paraId="398C96EA" w14:textId="77777777" w:rsidR="00C1765C" w:rsidRPr="00820C89" w:rsidRDefault="00C1765C" w:rsidP="006D2536">
            <w:pPr>
              <w:rPr>
                <w:rFonts w:cs="Verdana"/>
                <w:bCs/>
                <w:color w:val="000000"/>
              </w:rPr>
            </w:pPr>
            <w:r w:rsidRPr="00820C89">
              <w:t>To what extent are the activities achieving their intended outcomes, in the short, medium and long term?</w:t>
            </w:r>
          </w:p>
        </w:tc>
        <w:tc>
          <w:tcPr>
            <w:tcW w:w="3260" w:type="dxa"/>
          </w:tcPr>
          <w:p w14:paraId="618657FC"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ESS data</w:t>
            </w:r>
          </w:p>
          <w:p w14:paraId="79EA5B99"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Jobactive data </w:t>
            </w:r>
          </w:p>
          <w:p w14:paraId="2EC902DB"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DES data</w:t>
            </w:r>
          </w:p>
          <w:p w14:paraId="707F5237"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Post-Program Monitoring (PPM) survey</w:t>
            </w:r>
          </w:p>
          <w:p w14:paraId="5F81ECD5"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Provider survey</w:t>
            </w:r>
          </w:p>
          <w:p w14:paraId="1667941A"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lastRenderedPageBreak/>
              <w:t>Regional consultations</w:t>
            </w:r>
          </w:p>
        </w:tc>
        <w:tc>
          <w:tcPr>
            <w:tcW w:w="7938" w:type="dxa"/>
          </w:tcPr>
          <w:p w14:paraId="1EA9726E"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lastRenderedPageBreak/>
              <w:t xml:space="preserve">Share of participants who complete the program i.e. meet certain milestones </w:t>
            </w:r>
          </w:p>
          <w:p w14:paraId="6597964A"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Time-series of program completion rates  </w:t>
            </w:r>
          </w:p>
          <w:p w14:paraId="036D74CC"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Share of participants who are employed a period of time after completing the program </w:t>
            </w:r>
          </w:p>
          <w:p w14:paraId="19265668"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Time-series of employment outcomes </w:t>
            </w:r>
          </w:p>
          <w:p w14:paraId="6ECD9245"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Share of providers who report that the short, medium and long-term outcomes have been met </w:t>
            </w:r>
          </w:p>
          <w:p w14:paraId="5F714DA3"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lastRenderedPageBreak/>
              <w:t>Participant and employer perspectives on outcomes</w:t>
            </w:r>
          </w:p>
        </w:tc>
      </w:tr>
      <w:tr w:rsidR="00C1765C" w:rsidRPr="00820C89" w14:paraId="6A852EDF" w14:textId="77777777" w:rsidTr="006D2536">
        <w:tc>
          <w:tcPr>
            <w:tcW w:w="2977" w:type="dxa"/>
          </w:tcPr>
          <w:p w14:paraId="0A175D92" w14:textId="77777777" w:rsidR="00C1765C" w:rsidRPr="00820C89" w:rsidRDefault="00C1765C" w:rsidP="006D2536">
            <w:pPr>
              <w:rPr>
                <w:rFonts w:cs="Verdana"/>
                <w:bCs/>
                <w:color w:val="000000"/>
              </w:rPr>
            </w:pPr>
            <w:r w:rsidRPr="00820C89">
              <w:lastRenderedPageBreak/>
              <w:t>In what contexts has the program been more or less successful?</w:t>
            </w:r>
          </w:p>
        </w:tc>
        <w:tc>
          <w:tcPr>
            <w:tcW w:w="3260" w:type="dxa"/>
          </w:tcPr>
          <w:p w14:paraId="3D6D5EB7"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ESS data</w:t>
            </w:r>
          </w:p>
          <w:p w14:paraId="27D7608F"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Jobactive data</w:t>
            </w:r>
          </w:p>
          <w:p w14:paraId="0CA00BC5"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DES data</w:t>
            </w:r>
          </w:p>
          <w:p w14:paraId="72F0326B"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Post-Program Monitoring (PPM) survey</w:t>
            </w:r>
          </w:p>
          <w:p w14:paraId="03CB395F"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Provider survey</w:t>
            </w:r>
          </w:p>
          <w:p w14:paraId="2664A6CA"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Regional consultations</w:t>
            </w:r>
          </w:p>
        </w:tc>
        <w:tc>
          <w:tcPr>
            <w:tcW w:w="7938" w:type="dxa"/>
          </w:tcPr>
          <w:p w14:paraId="7E5F4C7A"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Comparison of program completion rates and employment outcomes for metro, regional and remote providers </w:t>
            </w:r>
          </w:p>
          <w:p w14:paraId="2905CDE5"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Comparison of program completion rates and employment outcomes for different provider sizes </w:t>
            </w:r>
          </w:p>
          <w:p w14:paraId="5EB8A17B"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Comparison of provider reported outcomes by level of remoteness, size and Indigenous ownership status </w:t>
            </w:r>
          </w:p>
          <w:p w14:paraId="6C17DCF9"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Factors that influence achievement of outcomes - case studies and participant journey analysis</w:t>
            </w:r>
          </w:p>
        </w:tc>
      </w:tr>
      <w:tr w:rsidR="00C1765C" w:rsidRPr="00820C89" w14:paraId="22B7B68E" w14:textId="77777777" w:rsidTr="006D2536">
        <w:tc>
          <w:tcPr>
            <w:tcW w:w="14175" w:type="dxa"/>
            <w:gridSpan w:val="3"/>
          </w:tcPr>
          <w:p w14:paraId="126408F1" w14:textId="77777777" w:rsidR="00C1765C" w:rsidRPr="00820C89" w:rsidRDefault="00C1765C" w:rsidP="006D2536">
            <w:pPr>
              <w:ind w:left="0"/>
            </w:pPr>
            <w:r w:rsidRPr="00820C89">
              <w:rPr>
                <w:b/>
              </w:rPr>
              <w:t xml:space="preserve">3. Policy implications and potential for future impact </w:t>
            </w:r>
          </w:p>
        </w:tc>
      </w:tr>
      <w:tr w:rsidR="00C1765C" w:rsidRPr="00820C89" w14:paraId="19AB6B5B" w14:textId="77777777" w:rsidTr="006D2536">
        <w:tc>
          <w:tcPr>
            <w:tcW w:w="2977" w:type="dxa"/>
          </w:tcPr>
          <w:p w14:paraId="7CE3377B" w14:textId="77777777" w:rsidR="00C1765C" w:rsidRPr="00820C89" w:rsidRDefault="00C1765C" w:rsidP="006D2536">
            <w:r w:rsidRPr="00820C89">
              <w:t>What do program outcomes tell us about effective and ineffective investment?</w:t>
            </w:r>
          </w:p>
        </w:tc>
        <w:tc>
          <w:tcPr>
            <w:tcW w:w="3260" w:type="dxa"/>
          </w:tcPr>
          <w:p w14:paraId="33D457FB"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Findings from the first two domains</w:t>
            </w:r>
          </w:p>
          <w:p w14:paraId="743FFA0B"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ESS Data</w:t>
            </w:r>
          </w:p>
          <w:p w14:paraId="55686B3C"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Provider reporting/ financial documents</w:t>
            </w:r>
          </w:p>
          <w:p w14:paraId="21E6C4B9" w14:textId="77777777" w:rsidR="00C1765C" w:rsidRPr="00820C89" w:rsidRDefault="00C1765C" w:rsidP="006D2536">
            <w:pPr>
              <w:rPr>
                <w:rFonts w:cs="Verdana"/>
                <w:bCs/>
                <w:color w:val="000000"/>
              </w:rPr>
            </w:pPr>
          </w:p>
        </w:tc>
        <w:tc>
          <w:tcPr>
            <w:tcW w:w="7938" w:type="dxa"/>
          </w:tcPr>
          <w:p w14:paraId="2D15C493"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Cost per positive employment outcome </w:t>
            </w:r>
          </w:p>
          <w:p w14:paraId="37230D4D"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Sustainability of program outcomes, features of activities related to sustainable program outcomes </w:t>
            </w:r>
          </w:p>
          <w:p w14:paraId="56C20AE7"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Comparison of participant characteristics of each program </w:t>
            </w:r>
          </w:p>
          <w:p w14:paraId="6D292824"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Comparison of participant reported outcomes by program </w:t>
            </w:r>
          </w:p>
          <w:p w14:paraId="5EF5E051"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The extent to which program outcomes can be attributed to program participation, for each program and compared to mainstream programs (econometric analysis)</w:t>
            </w:r>
          </w:p>
        </w:tc>
      </w:tr>
      <w:tr w:rsidR="00C1765C" w:rsidRPr="00820C89" w14:paraId="09ABBFE3" w14:textId="77777777" w:rsidTr="006D2536">
        <w:tc>
          <w:tcPr>
            <w:tcW w:w="2977" w:type="dxa"/>
          </w:tcPr>
          <w:p w14:paraId="6042330F" w14:textId="77777777" w:rsidR="00C1765C" w:rsidRPr="00820C89" w:rsidRDefault="00C1765C" w:rsidP="006D2536">
            <w:pPr>
              <w:spacing w:after="0"/>
            </w:pPr>
            <w:r w:rsidRPr="00820C89">
              <w:t>How can the value of each program be optimised within the broader IEP and other employment assistance programs?</w:t>
            </w:r>
          </w:p>
          <w:p w14:paraId="66ADBEB5" w14:textId="77777777" w:rsidR="00C1765C" w:rsidRPr="00820C89" w:rsidRDefault="00C1765C" w:rsidP="006D2536"/>
        </w:tc>
        <w:tc>
          <w:tcPr>
            <w:tcW w:w="3260" w:type="dxa"/>
          </w:tcPr>
          <w:p w14:paraId="327A140D"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Findings from the first two domains</w:t>
            </w:r>
          </w:p>
          <w:p w14:paraId="105FF896"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 xml:space="preserve">Initial stakeholder consultations </w:t>
            </w:r>
          </w:p>
          <w:p w14:paraId="4CD05F5E"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Program area consultations (including CDP and jobactive)</w:t>
            </w:r>
          </w:p>
          <w:p w14:paraId="70E780EC"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Provider survey</w:t>
            </w:r>
          </w:p>
          <w:p w14:paraId="7C49CD86"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Regional consultations</w:t>
            </w:r>
          </w:p>
        </w:tc>
        <w:tc>
          <w:tcPr>
            <w:tcW w:w="7938" w:type="dxa"/>
          </w:tcPr>
          <w:p w14:paraId="365E8E2F"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Provider observations on overlap or comparative advantage with alternative employment assistance programs</w:t>
            </w:r>
          </w:p>
          <w:p w14:paraId="64816854"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Participant observations on overlap or comparative advantage with alternative employment assistance programs</w:t>
            </w:r>
          </w:p>
          <w:p w14:paraId="538C54C0"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NIAA regional network observations on overlap or comparative advantage with alternative employment assistance programs</w:t>
            </w:r>
          </w:p>
          <w:p w14:paraId="499C3BB7"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Comparison of outcomes and costs across programs</w:t>
            </w:r>
          </w:p>
        </w:tc>
      </w:tr>
    </w:tbl>
    <w:p w14:paraId="1CED2A3A" w14:textId="77777777" w:rsidR="00C1765C" w:rsidRPr="00820C89" w:rsidRDefault="00C1765C" w:rsidP="00C1765C">
      <w:pPr>
        <w:sectPr w:rsidR="00C1765C" w:rsidRPr="00820C89" w:rsidSect="00E04D4E">
          <w:pgSz w:w="16838" w:h="11906" w:orient="landscape" w:code="9"/>
          <w:pgMar w:top="1440" w:right="1440" w:bottom="1440" w:left="1440" w:header="680" w:footer="425" w:gutter="0"/>
          <w:cols w:space="284"/>
          <w:docGrid w:linePitch="360"/>
        </w:sectPr>
      </w:pPr>
    </w:p>
    <w:p w14:paraId="5179C6D7" w14:textId="77777777" w:rsidR="00C1765C" w:rsidRPr="00820C89" w:rsidRDefault="00C1765C" w:rsidP="00C1765C">
      <w:pPr>
        <w:pStyle w:val="Heading1"/>
        <w:tabs>
          <w:tab w:val="num" w:pos="1492"/>
        </w:tabs>
        <w:ind w:left="1492" w:hanging="360"/>
      </w:pPr>
      <w:bookmarkStart w:id="415" w:name="_Toc45206342"/>
      <w:bookmarkStart w:id="416" w:name="_Toc82694511"/>
      <w:bookmarkStart w:id="417" w:name="_Toc82710810"/>
      <w:bookmarkStart w:id="418" w:name="_Toc101343335"/>
      <w:bookmarkStart w:id="419" w:name="_Toc37099388"/>
      <w:bookmarkStart w:id="420" w:name="_Toc37177383"/>
      <w:bookmarkStart w:id="421" w:name="_Ref43455305"/>
      <w:r w:rsidRPr="00820C89">
        <w:lastRenderedPageBreak/>
        <w:t>Stakeholder Engagement Strategy</w:t>
      </w:r>
      <w:bookmarkEnd w:id="415"/>
      <w:bookmarkEnd w:id="416"/>
      <w:bookmarkEnd w:id="417"/>
      <w:bookmarkEnd w:id="418"/>
      <w:r w:rsidRPr="00820C89">
        <w:t xml:space="preserve"> </w:t>
      </w:r>
      <w:bookmarkEnd w:id="419"/>
      <w:bookmarkEnd w:id="420"/>
    </w:p>
    <w:p w14:paraId="47CE02CB" w14:textId="77777777" w:rsidR="00C1765C" w:rsidRPr="00820C89" w:rsidRDefault="00C1765C" w:rsidP="00C1765C">
      <w:bookmarkStart w:id="422" w:name="_Toc37099389"/>
      <w:bookmarkStart w:id="423" w:name="_Toc37177384"/>
      <w:bookmarkEnd w:id="421"/>
      <w:r w:rsidRPr="00820C89">
        <w:t xml:space="preserve">As well as providing primary qualitative data with which to investigate the evaluation questions, the approach to stakeholder engagement contains important participatory elements of the evaluation design.  </w:t>
      </w:r>
    </w:p>
    <w:p w14:paraId="454DF3AC" w14:textId="77777777" w:rsidR="00C1765C" w:rsidRPr="00820C89" w:rsidRDefault="00C1765C" w:rsidP="00715F70">
      <w:pPr>
        <w:pStyle w:val="Heading2"/>
        <w:numPr>
          <w:ilvl w:val="1"/>
          <w:numId w:val="12"/>
        </w:numPr>
        <w:tabs>
          <w:tab w:val="num" w:pos="1492"/>
        </w:tabs>
        <w:spacing w:after="60"/>
        <w:ind w:left="1492" w:hanging="360"/>
      </w:pPr>
      <w:bookmarkStart w:id="424" w:name="_Toc45206343"/>
      <w:bookmarkStart w:id="425" w:name="_Toc82694512"/>
      <w:bookmarkStart w:id="426" w:name="_Toc82710811"/>
      <w:bookmarkStart w:id="427" w:name="_Toc101343336"/>
      <w:r w:rsidRPr="00820C89">
        <w:t>Objectives of stakeholder engagement</w:t>
      </w:r>
      <w:bookmarkEnd w:id="422"/>
      <w:bookmarkEnd w:id="423"/>
      <w:bookmarkEnd w:id="424"/>
      <w:bookmarkEnd w:id="425"/>
      <w:bookmarkEnd w:id="426"/>
      <w:bookmarkEnd w:id="427"/>
    </w:p>
    <w:p w14:paraId="5A89E3BA" w14:textId="77777777" w:rsidR="00C1765C" w:rsidRPr="00820C89" w:rsidRDefault="00C1765C" w:rsidP="00C1765C">
      <w:r w:rsidRPr="00820C89">
        <w:t>Stakeholder consultation is a critical primary data source for this evaluation, which has been designed to:</w:t>
      </w:r>
    </w:p>
    <w:p w14:paraId="76F23307" w14:textId="77777777" w:rsidR="00C1765C" w:rsidRPr="00820C89" w:rsidRDefault="00C1765C" w:rsidP="00715F70">
      <w:pPr>
        <w:pStyle w:val="ListParagraph"/>
        <w:numPr>
          <w:ilvl w:val="0"/>
          <w:numId w:val="144"/>
        </w:numPr>
        <w:spacing w:before="60" w:after="60"/>
        <w:ind w:left="357" w:hanging="357"/>
        <w:contextualSpacing w:val="0"/>
        <w:rPr>
          <w:b/>
        </w:rPr>
      </w:pPr>
      <w:r w:rsidRPr="00820C89">
        <w:rPr>
          <w:b/>
        </w:rPr>
        <w:t>Understand the breadth of experiences and activities</w:t>
      </w:r>
      <w:r w:rsidRPr="00820C89">
        <w:t xml:space="preserve"> using large-scale surveys distributed to all providers. </w:t>
      </w:r>
    </w:p>
    <w:p w14:paraId="449C994A" w14:textId="77777777" w:rsidR="00C1765C" w:rsidRPr="00820C89" w:rsidRDefault="00C1765C" w:rsidP="00715F70">
      <w:pPr>
        <w:pStyle w:val="ListParagraph"/>
        <w:numPr>
          <w:ilvl w:val="0"/>
          <w:numId w:val="144"/>
        </w:numPr>
        <w:spacing w:before="60" w:after="60"/>
        <w:ind w:left="357" w:hanging="357"/>
        <w:contextualSpacing w:val="0"/>
        <w:rPr>
          <w:b/>
        </w:rPr>
      </w:pPr>
      <w:r w:rsidRPr="00820C89">
        <w:rPr>
          <w:b/>
        </w:rPr>
        <w:t>Understand the depth of experiences</w:t>
      </w:r>
      <w:r w:rsidRPr="00820C89">
        <w:t xml:space="preserve"> through “deep-dive” regional consultations with individuals who engage with the programs across different contexts - selected via a purposive sampling approach. </w:t>
      </w:r>
    </w:p>
    <w:p w14:paraId="46B18E90" w14:textId="77777777" w:rsidR="00C1765C" w:rsidRPr="00820C89" w:rsidRDefault="00C1765C" w:rsidP="00715F70">
      <w:pPr>
        <w:pStyle w:val="ListParagraph"/>
        <w:numPr>
          <w:ilvl w:val="0"/>
          <w:numId w:val="144"/>
        </w:numPr>
        <w:spacing w:before="60" w:after="60"/>
        <w:ind w:left="357" w:hanging="357"/>
        <w:contextualSpacing w:val="0"/>
        <w:rPr>
          <w:b/>
        </w:rPr>
      </w:pPr>
      <w:r w:rsidRPr="00820C89">
        <w:rPr>
          <w:b/>
        </w:rPr>
        <w:t>Generate robust findings</w:t>
      </w:r>
      <w:r w:rsidRPr="00820C89">
        <w:t xml:space="preserve"> by establishing multiple streams of stakeholder engagement - enabling the triangulation of consultation data. </w:t>
      </w:r>
    </w:p>
    <w:p w14:paraId="24B70C9F" w14:textId="77777777" w:rsidR="00C1765C" w:rsidRPr="00820C89" w:rsidRDefault="00C1765C" w:rsidP="00715F70">
      <w:pPr>
        <w:pStyle w:val="ListParagraph"/>
        <w:numPr>
          <w:ilvl w:val="0"/>
          <w:numId w:val="144"/>
        </w:numPr>
        <w:spacing w:before="60" w:after="60"/>
        <w:ind w:left="357" w:hanging="357"/>
        <w:contextualSpacing w:val="0"/>
      </w:pPr>
      <w:r w:rsidRPr="00820C89">
        <w:rPr>
          <w:b/>
        </w:rPr>
        <w:t xml:space="preserve">Reflect community voice </w:t>
      </w:r>
      <w:r w:rsidRPr="00820C89">
        <w:t xml:space="preserve">by incorporating participatory practices with Indigenous Australians that seek to draw out genuine insights and perspectives. </w:t>
      </w:r>
    </w:p>
    <w:p w14:paraId="1D6BEF3A" w14:textId="77777777" w:rsidR="00C1765C" w:rsidRPr="00820C89" w:rsidRDefault="00C1765C" w:rsidP="00C1765C">
      <w:r w:rsidRPr="00820C89">
        <w:t>This stakeholder consultation approach has been designed in alignment with the IAS evaluation framework - detailed in Section 2.2.</w:t>
      </w:r>
    </w:p>
    <w:p w14:paraId="50C55824" w14:textId="77777777" w:rsidR="00C1765C" w:rsidRPr="00820C89" w:rsidRDefault="00C1765C" w:rsidP="00715F70">
      <w:pPr>
        <w:pStyle w:val="Heading2"/>
        <w:numPr>
          <w:ilvl w:val="1"/>
          <w:numId w:val="12"/>
        </w:numPr>
        <w:tabs>
          <w:tab w:val="num" w:pos="1492"/>
        </w:tabs>
        <w:spacing w:after="60"/>
        <w:ind w:left="1492" w:hanging="360"/>
      </w:pPr>
      <w:bookmarkStart w:id="428" w:name="_Toc45206344"/>
      <w:bookmarkStart w:id="429" w:name="_Toc82694513"/>
      <w:bookmarkStart w:id="430" w:name="_Toc82710812"/>
      <w:bookmarkStart w:id="431" w:name="_Toc101343337"/>
      <w:bookmarkStart w:id="432" w:name="_Toc37099390"/>
      <w:bookmarkStart w:id="433" w:name="_Toc37177385"/>
      <w:r w:rsidRPr="00820C89">
        <w:t>Stakeholder groups</w:t>
      </w:r>
      <w:bookmarkEnd w:id="428"/>
      <w:bookmarkEnd w:id="429"/>
      <w:bookmarkEnd w:id="430"/>
      <w:bookmarkEnd w:id="431"/>
    </w:p>
    <w:p w14:paraId="3DD32F46" w14:textId="77777777" w:rsidR="00C1765C" w:rsidRPr="00820C89" w:rsidRDefault="00C1765C" w:rsidP="00C1765C">
      <w:r w:rsidRPr="00820C89">
        <w:t xml:space="preserve">In order to obtain a wide range of perspectives on the evaluation questions, and to iteratively inform data collection and analysis with Indigenous perspectives and knowledge, the following groups will be included in the evaluation. </w:t>
      </w:r>
    </w:p>
    <w:tbl>
      <w:tblPr>
        <w:tblStyle w:val="Deloittetable"/>
        <w:tblW w:w="0" w:type="auto"/>
        <w:tblLook w:val="04A0" w:firstRow="1" w:lastRow="0" w:firstColumn="1" w:lastColumn="0" w:noHBand="0" w:noVBand="1"/>
      </w:tblPr>
      <w:tblGrid>
        <w:gridCol w:w="2268"/>
        <w:gridCol w:w="3261"/>
        <w:gridCol w:w="3497"/>
      </w:tblGrid>
      <w:tr w:rsidR="00C1765C" w:rsidRPr="00820C89" w14:paraId="4BA6E211" w14:textId="77777777" w:rsidTr="00087C85">
        <w:trPr>
          <w:cnfStyle w:val="100000000000" w:firstRow="1" w:lastRow="0" w:firstColumn="0" w:lastColumn="0" w:oddVBand="0" w:evenVBand="0" w:oddHBand="0" w:evenHBand="0" w:firstRowFirstColumn="0" w:firstRowLastColumn="0" w:lastRowFirstColumn="0" w:lastRowLastColumn="0"/>
          <w:tblHeader/>
        </w:trPr>
        <w:tc>
          <w:tcPr>
            <w:tcW w:w="2268" w:type="dxa"/>
          </w:tcPr>
          <w:p w14:paraId="69C9743B" w14:textId="77777777" w:rsidR="00C1765C" w:rsidRPr="00820C89" w:rsidRDefault="00C1765C" w:rsidP="006D2536">
            <w:pPr>
              <w:rPr>
                <w:b/>
              </w:rPr>
            </w:pPr>
            <w:r w:rsidRPr="00820C89">
              <w:rPr>
                <w:b/>
              </w:rPr>
              <w:t>Stakeholder group</w:t>
            </w:r>
          </w:p>
        </w:tc>
        <w:tc>
          <w:tcPr>
            <w:tcW w:w="3261" w:type="dxa"/>
          </w:tcPr>
          <w:p w14:paraId="707CF989" w14:textId="77777777" w:rsidR="00C1765C" w:rsidRPr="00820C89" w:rsidRDefault="00C1765C" w:rsidP="006D2536">
            <w:pPr>
              <w:rPr>
                <w:b/>
              </w:rPr>
            </w:pPr>
            <w:r w:rsidRPr="00820C89">
              <w:rPr>
                <w:b/>
              </w:rPr>
              <w:t>Description</w:t>
            </w:r>
          </w:p>
        </w:tc>
        <w:tc>
          <w:tcPr>
            <w:tcW w:w="3497" w:type="dxa"/>
          </w:tcPr>
          <w:p w14:paraId="057DF183" w14:textId="77777777" w:rsidR="00C1765C" w:rsidRPr="00820C89" w:rsidRDefault="00C1765C" w:rsidP="006D2536">
            <w:pPr>
              <w:rPr>
                <w:b/>
              </w:rPr>
            </w:pPr>
            <w:r w:rsidRPr="00820C89">
              <w:rPr>
                <w:b/>
              </w:rPr>
              <w:t>Reason for inclusion</w:t>
            </w:r>
          </w:p>
        </w:tc>
      </w:tr>
      <w:tr w:rsidR="00C1765C" w:rsidRPr="00820C89" w14:paraId="6B27B593" w14:textId="77777777" w:rsidTr="006D2536">
        <w:tc>
          <w:tcPr>
            <w:tcW w:w="2268" w:type="dxa"/>
          </w:tcPr>
          <w:p w14:paraId="5C3B77D9" w14:textId="77777777" w:rsidR="00C1765C" w:rsidRPr="00820C89" w:rsidRDefault="00C1765C" w:rsidP="006D2536">
            <w:r w:rsidRPr="00820C89">
              <w:t>Commonwealth Government</w:t>
            </w:r>
          </w:p>
        </w:tc>
        <w:tc>
          <w:tcPr>
            <w:tcW w:w="3261" w:type="dxa"/>
          </w:tcPr>
          <w:p w14:paraId="70719938" w14:textId="77777777" w:rsidR="00C1765C" w:rsidRPr="00820C89" w:rsidRDefault="00C1765C" w:rsidP="006D2536">
            <w:r w:rsidRPr="00820C89">
              <w:t>Primarily NIAA policy and program staff, in both the central and regional offices.</w:t>
            </w:r>
          </w:p>
        </w:tc>
        <w:tc>
          <w:tcPr>
            <w:tcW w:w="3497" w:type="dxa"/>
          </w:tcPr>
          <w:p w14:paraId="510FEDEE" w14:textId="77777777" w:rsidR="00C1765C" w:rsidRPr="00820C89" w:rsidRDefault="00C1765C" w:rsidP="006D2536">
            <w:r w:rsidRPr="00820C89">
              <w:t xml:space="preserve">NIAA staff are critical to gather information and insight about policy and program development and delivery, and to plan and undertake data collection activities. </w:t>
            </w:r>
          </w:p>
        </w:tc>
      </w:tr>
      <w:tr w:rsidR="00C1765C" w:rsidRPr="00820C89" w14:paraId="5435FCC4" w14:textId="77777777" w:rsidTr="006D2536">
        <w:tc>
          <w:tcPr>
            <w:tcW w:w="2268" w:type="dxa"/>
            <w:vAlign w:val="center"/>
          </w:tcPr>
          <w:p w14:paraId="6D6DBABE" w14:textId="77777777" w:rsidR="00C1765C" w:rsidRPr="00820C89" w:rsidRDefault="00C1765C" w:rsidP="006D2536">
            <w:r w:rsidRPr="00820C89">
              <w:t>State and territory government</w:t>
            </w:r>
          </w:p>
        </w:tc>
        <w:tc>
          <w:tcPr>
            <w:tcW w:w="3261" w:type="dxa"/>
          </w:tcPr>
          <w:p w14:paraId="25A1EC0F" w14:textId="77777777" w:rsidR="00C1765C" w:rsidRPr="00820C89" w:rsidRDefault="00C1765C" w:rsidP="006D2536">
            <w:r w:rsidRPr="00820C89">
              <w:t>Representatives from state and territory government agencies with responsibility for Indigenous services and programs and/or employment services.</w:t>
            </w:r>
          </w:p>
        </w:tc>
        <w:tc>
          <w:tcPr>
            <w:tcW w:w="3497" w:type="dxa"/>
          </w:tcPr>
          <w:p w14:paraId="4FE9B79E" w14:textId="77777777" w:rsidR="00C1765C" w:rsidRPr="00820C89" w:rsidRDefault="00C1765C" w:rsidP="006D2536">
            <w:r w:rsidRPr="00820C89">
              <w:rPr>
                <w:rFonts w:cs="Arial"/>
                <w:color w:val="000000" w:themeColor="text1"/>
                <w:kern w:val="24"/>
                <w:szCs w:val="17"/>
              </w:rPr>
              <w:t>To understand regional context, and how implementation and outcomes differ across geographies and in conjunction with each state and territory government – including state-based Indigenous advancement strategies</w:t>
            </w:r>
          </w:p>
        </w:tc>
      </w:tr>
      <w:tr w:rsidR="00C1765C" w:rsidRPr="00820C89" w14:paraId="55954390" w14:textId="77777777" w:rsidTr="006D2536">
        <w:tc>
          <w:tcPr>
            <w:tcW w:w="2268" w:type="dxa"/>
            <w:vAlign w:val="center"/>
          </w:tcPr>
          <w:p w14:paraId="362ED946" w14:textId="77777777" w:rsidR="00C1765C" w:rsidRPr="00820C89" w:rsidRDefault="00C1765C" w:rsidP="006D2536">
            <w:r w:rsidRPr="00820C89">
              <w:t xml:space="preserve">Indigenous representatives </w:t>
            </w:r>
          </w:p>
        </w:tc>
        <w:tc>
          <w:tcPr>
            <w:tcW w:w="3261" w:type="dxa"/>
          </w:tcPr>
          <w:p w14:paraId="3E5225C0" w14:textId="77777777" w:rsidR="00C1765C" w:rsidRPr="00820C89" w:rsidRDefault="00C1765C" w:rsidP="006D2536">
            <w:r w:rsidRPr="00820C89">
              <w:rPr>
                <w:rFonts w:cs="Arial"/>
                <w:color w:val="000000" w:themeColor="text1"/>
                <w:kern w:val="24"/>
                <w:szCs w:val="17"/>
              </w:rPr>
              <w:t>Academics, advisory councils and peak bodies with knowledge and interest to participate in the evaluation.</w:t>
            </w:r>
          </w:p>
        </w:tc>
        <w:tc>
          <w:tcPr>
            <w:tcW w:w="3497" w:type="dxa"/>
          </w:tcPr>
          <w:p w14:paraId="707F0FFD" w14:textId="77777777" w:rsidR="00C1765C" w:rsidRPr="00820C89" w:rsidRDefault="00C1765C" w:rsidP="006D2536">
            <w:r w:rsidRPr="00820C89">
              <w:t xml:space="preserve">These discussions will specifically investigate the </w:t>
            </w:r>
            <w:r w:rsidRPr="00820C89">
              <w:rPr>
                <w:rFonts w:cs="Arial"/>
                <w:color w:val="000000" w:themeColor="text1"/>
                <w:kern w:val="24"/>
                <w:szCs w:val="17"/>
              </w:rPr>
              <w:t xml:space="preserve">extent to which programs were designed, implemented and evaluated in collaboration with </w:t>
            </w:r>
            <w:r w:rsidRPr="00820C89">
              <w:rPr>
                <w:rFonts w:cs="Arial"/>
                <w:color w:val="000000" w:themeColor="text1"/>
                <w:kern w:val="24"/>
                <w:szCs w:val="17"/>
              </w:rPr>
              <w:lastRenderedPageBreak/>
              <w:t>Aboriginal and Torres Strait Islander peoples.</w:t>
            </w:r>
            <w:r w:rsidRPr="00820C89">
              <w:t xml:space="preserve"> </w:t>
            </w:r>
          </w:p>
        </w:tc>
      </w:tr>
      <w:tr w:rsidR="00C1765C" w:rsidRPr="00820C89" w14:paraId="3435BE07" w14:textId="77777777" w:rsidTr="006D2536">
        <w:tc>
          <w:tcPr>
            <w:tcW w:w="2268" w:type="dxa"/>
            <w:vAlign w:val="center"/>
          </w:tcPr>
          <w:p w14:paraId="5A4DBF75" w14:textId="77777777" w:rsidR="00C1765C" w:rsidRPr="00820C89" w:rsidRDefault="00C1765C" w:rsidP="006D2536">
            <w:r w:rsidRPr="00820C89">
              <w:rPr>
                <w:rFonts w:cs="Arial"/>
                <w:bCs/>
                <w:color w:val="000000" w:themeColor="text1"/>
                <w:kern w:val="24"/>
                <w:szCs w:val="17"/>
              </w:rPr>
              <w:lastRenderedPageBreak/>
              <w:t>Providers</w:t>
            </w:r>
          </w:p>
        </w:tc>
        <w:tc>
          <w:tcPr>
            <w:tcW w:w="3261" w:type="dxa"/>
          </w:tcPr>
          <w:p w14:paraId="73B6C4AA" w14:textId="77777777" w:rsidR="00C1765C" w:rsidRPr="00820C89" w:rsidRDefault="00C1765C" w:rsidP="006D2536">
            <w:r w:rsidRPr="00820C89">
              <w:t xml:space="preserve">VTEC and TAEG providers, funded by the NIAA to deliver the programs. </w:t>
            </w:r>
          </w:p>
        </w:tc>
        <w:tc>
          <w:tcPr>
            <w:tcW w:w="3497" w:type="dxa"/>
          </w:tcPr>
          <w:p w14:paraId="45A3B3CE" w14:textId="77777777" w:rsidR="00C1765C" w:rsidRPr="00820C89" w:rsidRDefault="00C1765C" w:rsidP="006D2536">
            <w:r w:rsidRPr="00820C89">
              <w:t xml:space="preserve">Providers are the interface between the program and participants and as such are critical to understanding the program impact, and the mechanisms by which outcomes are achieved or not. </w:t>
            </w:r>
          </w:p>
        </w:tc>
      </w:tr>
      <w:tr w:rsidR="00C1765C" w:rsidRPr="00820C89" w14:paraId="27B373F7" w14:textId="77777777" w:rsidTr="006D2536">
        <w:tc>
          <w:tcPr>
            <w:tcW w:w="2268" w:type="dxa"/>
            <w:vAlign w:val="center"/>
          </w:tcPr>
          <w:p w14:paraId="0CC7E45E" w14:textId="77777777" w:rsidR="00C1765C" w:rsidRPr="00820C89" w:rsidRDefault="00C1765C" w:rsidP="006D2536">
            <w:r w:rsidRPr="00820C89">
              <w:rPr>
                <w:rFonts w:cs="Arial"/>
                <w:color w:val="000000" w:themeColor="text1"/>
                <w:kern w:val="24"/>
                <w:szCs w:val="17"/>
              </w:rPr>
              <w:t>Employers (including EPI Partners)</w:t>
            </w:r>
          </w:p>
        </w:tc>
        <w:tc>
          <w:tcPr>
            <w:tcW w:w="3261" w:type="dxa"/>
          </w:tcPr>
          <w:p w14:paraId="6B90AB1C" w14:textId="77777777" w:rsidR="00C1765C" w:rsidRPr="00820C89" w:rsidRDefault="00C1765C" w:rsidP="006D2536">
            <w:r w:rsidRPr="00820C89">
              <w:t xml:space="preserve">Employers who attract EPI funding, and others who have relationships with VTEC and TAEG providers. </w:t>
            </w:r>
          </w:p>
          <w:p w14:paraId="28013D85" w14:textId="77777777" w:rsidR="00C1765C" w:rsidRPr="00820C89" w:rsidRDefault="00C1765C" w:rsidP="006D2536">
            <w:r w:rsidRPr="00820C89">
              <w:t>Employers who do not have a relationship with this programs will also be consulted to provide a point of comparison.</w:t>
            </w:r>
          </w:p>
        </w:tc>
        <w:tc>
          <w:tcPr>
            <w:tcW w:w="3497" w:type="dxa"/>
          </w:tcPr>
          <w:p w14:paraId="52A1E3F8" w14:textId="77777777" w:rsidR="00C1765C" w:rsidRPr="00820C89" w:rsidRDefault="00C1765C" w:rsidP="006D2536">
            <w:r w:rsidRPr="00820C89">
              <w:t>Sustainable employment is the ultimate goal of these programs. The perspective of employers is critical to understand the mechanisms by which this is achieved or not.</w:t>
            </w:r>
          </w:p>
        </w:tc>
      </w:tr>
      <w:tr w:rsidR="00C1765C" w:rsidRPr="00820C89" w14:paraId="15439781" w14:textId="77777777" w:rsidTr="006D2536">
        <w:tc>
          <w:tcPr>
            <w:tcW w:w="2268" w:type="dxa"/>
            <w:vAlign w:val="center"/>
          </w:tcPr>
          <w:p w14:paraId="2A74A086" w14:textId="77777777" w:rsidR="00C1765C" w:rsidRPr="00820C89" w:rsidRDefault="00C1765C" w:rsidP="006D2536">
            <w:r w:rsidRPr="00820C89">
              <w:rPr>
                <w:rFonts w:cs="Arial"/>
                <w:color w:val="000000" w:themeColor="text1"/>
                <w:kern w:val="24"/>
                <w:szCs w:val="17"/>
              </w:rPr>
              <w:t>Participants/ employees</w:t>
            </w:r>
          </w:p>
        </w:tc>
        <w:tc>
          <w:tcPr>
            <w:tcW w:w="3261" w:type="dxa"/>
          </w:tcPr>
          <w:p w14:paraId="573F0DB2" w14:textId="77777777" w:rsidR="00C1765C" w:rsidRPr="00820C89" w:rsidRDefault="00C1765C" w:rsidP="006D2536">
            <w:r w:rsidRPr="00820C89">
              <w:t xml:space="preserve">Indigenous people who are participating or have participated in one of the IEPS. </w:t>
            </w:r>
          </w:p>
        </w:tc>
        <w:tc>
          <w:tcPr>
            <w:tcW w:w="3497" w:type="dxa"/>
          </w:tcPr>
          <w:p w14:paraId="28FD376A" w14:textId="77777777" w:rsidR="00C1765C" w:rsidRPr="00820C89" w:rsidRDefault="00C1765C" w:rsidP="006D2536">
            <w:r w:rsidRPr="00820C89">
              <w:t xml:space="preserve">Understanding the experience and perspectives of participants is critical to understanding the program impact, and the mechanisms by which outcomes are achieved or not. </w:t>
            </w:r>
          </w:p>
        </w:tc>
      </w:tr>
      <w:tr w:rsidR="00C1765C" w:rsidRPr="00820C89" w14:paraId="401F547B" w14:textId="77777777" w:rsidTr="006D2536">
        <w:tc>
          <w:tcPr>
            <w:tcW w:w="2268" w:type="dxa"/>
            <w:vAlign w:val="center"/>
          </w:tcPr>
          <w:p w14:paraId="5D17F9F7" w14:textId="77777777" w:rsidR="00C1765C" w:rsidRPr="00820C89" w:rsidRDefault="00C1765C" w:rsidP="006D2536">
            <w:pPr>
              <w:rPr>
                <w:rFonts w:cs="Arial"/>
                <w:color w:val="000000" w:themeColor="text1"/>
                <w:kern w:val="24"/>
                <w:szCs w:val="17"/>
              </w:rPr>
            </w:pPr>
            <w:r w:rsidRPr="00820C89">
              <w:rPr>
                <w:rFonts w:cs="Arial"/>
                <w:color w:val="000000" w:themeColor="text1"/>
                <w:kern w:val="24"/>
                <w:szCs w:val="17"/>
              </w:rPr>
              <w:t>Other stakeholders in communities</w:t>
            </w:r>
          </w:p>
        </w:tc>
        <w:tc>
          <w:tcPr>
            <w:tcW w:w="3261" w:type="dxa"/>
          </w:tcPr>
          <w:p w14:paraId="7BDD6B38" w14:textId="77777777" w:rsidR="00C1765C" w:rsidRPr="00820C89" w:rsidRDefault="00C1765C" w:rsidP="006D2536">
            <w:r w:rsidRPr="00820C89">
              <w:t xml:space="preserve">This will include other interested or relevant parties identified through the course of the review. They could be Elders, local community groups, potential employers or training providers.  </w:t>
            </w:r>
          </w:p>
        </w:tc>
        <w:tc>
          <w:tcPr>
            <w:tcW w:w="3497" w:type="dxa"/>
          </w:tcPr>
          <w:p w14:paraId="78673229" w14:textId="77777777" w:rsidR="00C1765C" w:rsidRPr="00820C89" w:rsidRDefault="00C1765C" w:rsidP="006D2536">
            <w:r w:rsidRPr="00820C89">
              <w:t>Other stakeholders will be included for a number of reasons and this will vary by location.</w:t>
            </w:r>
          </w:p>
          <w:p w14:paraId="29FC419D" w14:textId="77777777" w:rsidR="00C1765C" w:rsidRPr="00820C89" w:rsidRDefault="00C1765C" w:rsidP="006D2536">
            <w:r w:rsidRPr="00820C89">
              <w:t xml:space="preserve">Reasons for engaging with other stakeholders in communities may include: </w:t>
            </w:r>
          </w:p>
          <w:p w14:paraId="4D6DDB1B" w14:textId="77777777" w:rsidR="00C1765C" w:rsidRPr="00820C89" w:rsidRDefault="00C1765C" w:rsidP="00715F70">
            <w:pPr>
              <w:pStyle w:val="ListParagraph"/>
              <w:numPr>
                <w:ilvl w:val="0"/>
                <w:numId w:val="181"/>
              </w:numPr>
              <w:spacing w:before="170"/>
            </w:pPr>
            <w:r w:rsidRPr="00820C89">
              <w:t xml:space="preserve">So that they can support discussion with and/ or accurate representation of the experiences of participants and their communities. </w:t>
            </w:r>
          </w:p>
          <w:p w14:paraId="0A7B880F" w14:textId="77777777" w:rsidR="00C1765C" w:rsidRPr="00820C89" w:rsidRDefault="00C1765C" w:rsidP="00715F70">
            <w:pPr>
              <w:pStyle w:val="ListParagraph"/>
              <w:numPr>
                <w:ilvl w:val="0"/>
                <w:numId w:val="181"/>
              </w:numPr>
              <w:spacing w:before="170"/>
            </w:pPr>
            <w:r w:rsidRPr="00820C89">
              <w:t xml:space="preserve">To gain greater understanding of contextual issues in the location or community. </w:t>
            </w:r>
          </w:p>
        </w:tc>
      </w:tr>
    </w:tbl>
    <w:p w14:paraId="0CF8D2E5" w14:textId="77777777" w:rsidR="00C1765C" w:rsidRPr="00820C89" w:rsidRDefault="00C1765C" w:rsidP="00715F70">
      <w:pPr>
        <w:pStyle w:val="Heading2"/>
        <w:numPr>
          <w:ilvl w:val="1"/>
          <w:numId w:val="12"/>
        </w:numPr>
        <w:tabs>
          <w:tab w:val="num" w:pos="1492"/>
        </w:tabs>
        <w:spacing w:after="60"/>
        <w:ind w:left="1492" w:hanging="360"/>
      </w:pPr>
      <w:bookmarkStart w:id="434" w:name="_Toc45206345"/>
      <w:bookmarkStart w:id="435" w:name="_Toc82694514"/>
      <w:bookmarkStart w:id="436" w:name="_Toc82710813"/>
      <w:bookmarkStart w:id="437" w:name="_Toc101343338"/>
      <w:r w:rsidRPr="00820C89">
        <w:t>Types of stakeholder engagement</w:t>
      </w:r>
      <w:bookmarkStart w:id="438" w:name="_Ref37164596"/>
      <w:bookmarkStart w:id="439" w:name="_Ref37164587"/>
      <w:bookmarkEnd w:id="432"/>
      <w:bookmarkEnd w:id="433"/>
      <w:bookmarkEnd w:id="434"/>
      <w:bookmarkEnd w:id="435"/>
      <w:bookmarkEnd w:id="436"/>
      <w:bookmarkEnd w:id="437"/>
    </w:p>
    <w:p w14:paraId="40BF575C" w14:textId="1F5FF8B8" w:rsidR="00C1765C" w:rsidRPr="00820C89" w:rsidRDefault="00C1765C" w:rsidP="00C1765C">
      <w:r w:rsidRPr="00820C89">
        <w:t xml:space="preserve">The proposed stakeholder engagement process is extensive, bringing together stakeholders from various regions. </w:t>
      </w:r>
      <w:r w:rsidRPr="00820C89">
        <w:rPr>
          <w:szCs w:val="17"/>
        </w:rPr>
        <w:t xml:space="preserve">Table </w:t>
      </w:r>
      <w:r w:rsidRPr="00820C89">
        <w:rPr>
          <w:szCs w:val="17"/>
        </w:rPr>
        <w:fldChar w:fldCharType="begin"/>
      </w:r>
      <w:r w:rsidRPr="00820C89">
        <w:rPr>
          <w:szCs w:val="17"/>
        </w:rPr>
        <w:instrText xml:space="preserve"> STYLEREF 1 \s </w:instrText>
      </w:r>
      <w:r w:rsidRPr="00820C89">
        <w:rPr>
          <w:szCs w:val="17"/>
        </w:rPr>
        <w:fldChar w:fldCharType="separate"/>
      </w:r>
      <w:r w:rsidR="008565C8">
        <w:rPr>
          <w:noProof/>
          <w:szCs w:val="17"/>
        </w:rPr>
        <w:t>3</w:t>
      </w:r>
      <w:r w:rsidRPr="00820C89">
        <w:rPr>
          <w:szCs w:val="17"/>
        </w:rPr>
        <w:fldChar w:fldCharType="end"/>
      </w:r>
      <w:r w:rsidRPr="00820C89">
        <w:rPr>
          <w:szCs w:val="17"/>
        </w:rPr>
        <w:t>.</w:t>
      </w:r>
      <w:r w:rsidRPr="00820C89">
        <w:rPr>
          <w:szCs w:val="17"/>
        </w:rPr>
        <w:fldChar w:fldCharType="begin"/>
      </w:r>
      <w:r w:rsidRPr="00820C89">
        <w:rPr>
          <w:szCs w:val="17"/>
        </w:rPr>
        <w:instrText xml:space="preserve"> SEQ Table \* ARABIC \s 1 </w:instrText>
      </w:r>
      <w:r w:rsidRPr="00820C89">
        <w:rPr>
          <w:szCs w:val="17"/>
        </w:rPr>
        <w:fldChar w:fldCharType="separate"/>
      </w:r>
      <w:r w:rsidR="008565C8">
        <w:rPr>
          <w:noProof/>
          <w:szCs w:val="17"/>
        </w:rPr>
        <w:t>1</w:t>
      </w:r>
      <w:r w:rsidRPr="00820C89">
        <w:rPr>
          <w:szCs w:val="17"/>
        </w:rPr>
        <w:fldChar w:fldCharType="end"/>
      </w:r>
      <w:r w:rsidRPr="00820C89">
        <w:rPr>
          <w:szCs w:val="17"/>
        </w:rPr>
        <w:t xml:space="preserve"> below provides an overview of the stakeholder engagement activities, categorised by the stakeholder group.  </w:t>
      </w:r>
    </w:p>
    <w:bookmarkEnd w:id="438"/>
    <w:bookmarkEnd w:id="439"/>
    <w:p w14:paraId="078738CB" w14:textId="77777777" w:rsidR="00C1765C" w:rsidRPr="00820C89" w:rsidRDefault="00C1765C" w:rsidP="00C1765C">
      <w:pPr>
        <w:autoSpaceDE w:val="0"/>
        <w:autoSpaceDN w:val="0"/>
        <w:spacing w:after="0" w:line="240" w:lineRule="auto"/>
      </w:pPr>
      <w:r w:rsidRPr="00820C89">
        <w:rPr>
          <w:sz w:val="20"/>
          <w:szCs w:val="20"/>
        </w:rPr>
        <w:t> </w:t>
      </w:r>
    </w:p>
    <w:p w14:paraId="699A8B73" w14:textId="77777777" w:rsidR="00C1765C" w:rsidRPr="00820C89" w:rsidRDefault="00C1765C" w:rsidP="00C1765C">
      <w:pPr>
        <w:ind w:left="360"/>
        <w:sectPr w:rsidR="00C1765C" w:rsidRPr="00820C89" w:rsidSect="00E04D4E">
          <w:pgSz w:w="11906" w:h="16838" w:code="9"/>
          <w:pgMar w:top="1440" w:right="1440" w:bottom="1440" w:left="1440" w:header="680" w:footer="425" w:gutter="0"/>
          <w:cols w:space="284"/>
          <w:docGrid w:linePitch="360"/>
        </w:sectPr>
      </w:pPr>
    </w:p>
    <w:p w14:paraId="68E4B475" w14:textId="77777777" w:rsidR="00C1765C" w:rsidRPr="00820C89" w:rsidRDefault="00C1765C" w:rsidP="00715F70">
      <w:pPr>
        <w:pStyle w:val="CaptionTable"/>
        <w:numPr>
          <w:ilvl w:val="6"/>
          <w:numId w:val="12"/>
        </w:numPr>
        <w:ind w:left="1417" w:hanging="1417"/>
      </w:pPr>
      <w:r w:rsidRPr="00820C89">
        <w:lastRenderedPageBreak/>
        <w:t xml:space="preserve">: Summary of stakeholder engagement activities </w:t>
      </w:r>
    </w:p>
    <w:tbl>
      <w:tblPr>
        <w:tblStyle w:val="Deloittetable"/>
        <w:tblW w:w="14808" w:type="dxa"/>
        <w:tblCellMar>
          <w:top w:w="0" w:type="dxa"/>
          <w:bottom w:w="0" w:type="dxa"/>
        </w:tblCellMar>
        <w:tblLook w:val="04A0" w:firstRow="1" w:lastRow="0" w:firstColumn="1" w:lastColumn="0" w:noHBand="0" w:noVBand="1"/>
      </w:tblPr>
      <w:tblGrid>
        <w:gridCol w:w="1442"/>
        <w:gridCol w:w="3236"/>
        <w:gridCol w:w="3969"/>
        <w:gridCol w:w="6161"/>
      </w:tblGrid>
      <w:tr w:rsidR="00C1765C" w:rsidRPr="00820C89" w14:paraId="29498663" w14:textId="77777777" w:rsidTr="00087C85">
        <w:trPr>
          <w:cnfStyle w:val="100000000000" w:firstRow="1" w:lastRow="0" w:firstColumn="0" w:lastColumn="0" w:oddVBand="0" w:evenVBand="0" w:oddHBand="0" w:evenHBand="0" w:firstRowFirstColumn="0" w:firstRowLastColumn="0" w:lastRowFirstColumn="0" w:lastRowLastColumn="0"/>
          <w:trHeight w:val="388"/>
          <w:tblHeader/>
        </w:trPr>
        <w:tc>
          <w:tcPr>
            <w:tcW w:w="1442" w:type="dxa"/>
          </w:tcPr>
          <w:p w14:paraId="28EBEC1C" w14:textId="77777777" w:rsidR="00C1765C" w:rsidRPr="00820C89" w:rsidRDefault="00C1765C" w:rsidP="006D2536">
            <w:pPr>
              <w:spacing w:after="0"/>
              <w:rPr>
                <w:b/>
                <w:bCs/>
              </w:rPr>
            </w:pPr>
            <w:r w:rsidRPr="00820C89">
              <w:rPr>
                <w:b/>
                <w:bCs/>
              </w:rPr>
              <w:t>Stakeholder group</w:t>
            </w:r>
          </w:p>
        </w:tc>
        <w:tc>
          <w:tcPr>
            <w:tcW w:w="3236" w:type="dxa"/>
          </w:tcPr>
          <w:p w14:paraId="7DCDAE75" w14:textId="77777777" w:rsidR="00C1765C" w:rsidRPr="00820C89" w:rsidRDefault="00C1765C" w:rsidP="006D2536">
            <w:pPr>
              <w:spacing w:after="0"/>
              <w:rPr>
                <w:b/>
                <w:bCs/>
              </w:rPr>
            </w:pPr>
            <w:r w:rsidRPr="00820C89">
              <w:rPr>
                <w:b/>
                <w:bCs/>
              </w:rPr>
              <w:t>Purpose</w:t>
            </w:r>
          </w:p>
        </w:tc>
        <w:tc>
          <w:tcPr>
            <w:tcW w:w="3969" w:type="dxa"/>
          </w:tcPr>
          <w:p w14:paraId="56AAB8DC" w14:textId="77777777" w:rsidR="00C1765C" w:rsidRPr="00820C89" w:rsidRDefault="00C1765C" w:rsidP="006D2536">
            <w:pPr>
              <w:spacing w:after="0"/>
              <w:rPr>
                <w:b/>
                <w:bCs/>
              </w:rPr>
            </w:pPr>
            <w:r w:rsidRPr="00820C89">
              <w:rPr>
                <w:b/>
                <w:bCs/>
              </w:rPr>
              <w:t>Design</w:t>
            </w:r>
          </w:p>
        </w:tc>
        <w:tc>
          <w:tcPr>
            <w:tcW w:w="6161" w:type="dxa"/>
          </w:tcPr>
          <w:p w14:paraId="6E82C196" w14:textId="77777777" w:rsidR="00C1765C" w:rsidRPr="00820C89" w:rsidRDefault="00C1765C" w:rsidP="006D2536">
            <w:pPr>
              <w:spacing w:after="0"/>
              <w:rPr>
                <w:b/>
                <w:bCs/>
              </w:rPr>
            </w:pPr>
            <w:r w:rsidRPr="00820C89">
              <w:rPr>
                <w:b/>
                <w:bCs/>
              </w:rPr>
              <w:t>Quantity and frequency (month)</w:t>
            </w:r>
          </w:p>
        </w:tc>
      </w:tr>
      <w:tr w:rsidR="00C1765C" w:rsidRPr="00820C89" w14:paraId="12A763A5" w14:textId="77777777" w:rsidTr="006D2536">
        <w:trPr>
          <w:trHeight w:val="1310"/>
        </w:trPr>
        <w:tc>
          <w:tcPr>
            <w:tcW w:w="1442" w:type="dxa"/>
            <w:vMerge w:val="restart"/>
            <w:vAlign w:val="center"/>
          </w:tcPr>
          <w:p w14:paraId="04B55737" w14:textId="77777777" w:rsidR="00C1765C" w:rsidRPr="00820C89" w:rsidRDefault="00C1765C" w:rsidP="006D2536">
            <w:pPr>
              <w:spacing w:after="0"/>
              <w:rPr>
                <w:b/>
                <w:bCs/>
              </w:rPr>
            </w:pPr>
          </w:p>
          <w:p w14:paraId="3BDF84E4" w14:textId="77777777" w:rsidR="00C1765C" w:rsidRPr="00820C89" w:rsidRDefault="00C1765C" w:rsidP="006D2536">
            <w:pPr>
              <w:spacing w:after="0"/>
            </w:pPr>
            <w:r w:rsidRPr="00820C89">
              <w:t xml:space="preserve">Commonwealth government </w:t>
            </w:r>
          </w:p>
          <w:p w14:paraId="08F9E33E" w14:textId="77777777" w:rsidR="00C1765C" w:rsidRPr="00820C89" w:rsidRDefault="00C1765C" w:rsidP="006D2536">
            <w:pPr>
              <w:spacing w:after="0"/>
              <w:rPr>
                <w:b/>
                <w:bCs/>
              </w:rPr>
            </w:pPr>
          </w:p>
        </w:tc>
        <w:tc>
          <w:tcPr>
            <w:tcW w:w="3236" w:type="dxa"/>
          </w:tcPr>
          <w:p w14:paraId="758F6EC7" w14:textId="77777777" w:rsidR="00C1765C" w:rsidRPr="00820C89" w:rsidRDefault="00C1765C" w:rsidP="006D2536">
            <w:pPr>
              <w:spacing w:after="0"/>
              <w:rPr>
                <w:bCs/>
              </w:rPr>
            </w:pPr>
            <w:r w:rsidRPr="00820C89">
              <w:rPr>
                <w:bCs/>
              </w:rPr>
              <w:t xml:space="preserve">To </w:t>
            </w:r>
            <w:r w:rsidRPr="00820C89">
              <w:rPr>
                <w:rFonts w:cs="Arial"/>
                <w:b/>
                <w:color w:val="000000" w:themeColor="text1"/>
                <w:kern w:val="24"/>
                <w:szCs w:val="17"/>
              </w:rPr>
              <w:t>guide the regional consultation approach</w:t>
            </w:r>
            <w:r w:rsidRPr="00820C89">
              <w:rPr>
                <w:rFonts w:cs="Arial"/>
                <w:bCs/>
                <w:color w:val="000000" w:themeColor="text1"/>
                <w:kern w:val="24"/>
                <w:szCs w:val="17"/>
              </w:rPr>
              <w:t xml:space="preserve"> (including testing of focus group participants and piloting strategies) and give an </w:t>
            </w:r>
            <w:r w:rsidRPr="00820C89">
              <w:rPr>
                <w:rFonts w:cs="Arial"/>
                <w:b/>
                <w:color w:val="000000" w:themeColor="text1"/>
                <w:kern w:val="24"/>
                <w:szCs w:val="17"/>
              </w:rPr>
              <w:t>understanding of regional community contexts.</w:t>
            </w:r>
          </w:p>
        </w:tc>
        <w:tc>
          <w:tcPr>
            <w:tcW w:w="3969" w:type="dxa"/>
          </w:tcPr>
          <w:p w14:paraId="1A99BD69" w14:textId="77777777" w:rsidR="00C1765C" w:rsidRPr="00820C89" w:rsidRDefault="00C1765C" w:rsidP="006D2536">
            <w:pPr>
              <w:spacing w:after="0"/>
              <w:rPr>
                <w:b/>
                <w:bCs/>
              </w:rPr>
            </w:pPr>
            <w:r w:rsidRPr="00820C89">
              <w:rPr>
                <w:rFonts w:cs="Arial"/>
                <w:b/>
                <w:color w:val="000000" w:themeColor="text1"/>
                <w:kern w:val="24"/>
                <w:szCs w:val="17"/>
              </w:rPr>
              <w:t>Semi-structured interviews (teleconference)</w:t>
            </w:r>
            <w:r w:rsidRPr="00820C89">
              <w:rPr>
                <w:rFonts w:cs="Arial"/>
                <w:color w:val="000000" w:themeColor="text1"/>
                <w:kern w:val="24"/>
                <w:szCs w:val="17"/>
              </w:rPr>
              <w:t xml:space="preserve"> with each NIAA regional network office. </w:t>
            </w:r>
          </w:p>
        </w:tc>
        <w:tc>
          <w:tcPr>
            <w:tcW w:w="6161" w:type="dxa"/>
          </w:tcPr>
          <w:p w14:paraId="17041507" w14:textId="77777777" w:rsidR="00C1765C" w:rsidRPr="00820C89" w:rsidRDefault="00C1765C" w:rsidP="00715F70">
            <w:pPr>
              <w:pStyle w:val="ListParagraph"/>
              <w:numPr>
                <w:ilvl w:val="0"/>
                <w:numId w:val="161"/>
              </w:numPr>
              <w:spacing w:after="0"/>
              <w:ind w:left="286" w:hanging="284"/>
              <w:rPr>
                <w:b/>
                <w:bCs/>
              </w:rPr>
            </w:pPr>
            <w:r w:rsidRPr="00820C89">
              <w:rPr>
                <w:rFonts w:cs="Arial"/>
                <w:bCs/>
                <w:color w:val="000000" w:themeColor="text1"/>
                <w:kern w:val="24"/>
                <w:szCs w:val="17"/>
              </w:rPr>
              <w:t xml:space="preserve">One 60 minute consultation with each NIAA regional network office in April (twelve in total). </w:t>
            </w:r>
          </w:p>
        </w:tc>
      </w:tr>
      <w:tr w:rsidR="00C1765C" w:rsidRPr="00820C89" w14:paraId="346ED724" w14:textId="77777777" w:rsidTr="006D2536">
        <w:trPr>
          <w:trHeight w:val="1129"/>
        </w:trPr>
        <w:tc>
          <w:tcPr>
            <w:tcW w:w="1442" w:type="dxa"/>
            <w:vMerge/>
          </w:tcPr>
          <w:p w14:paraId="3AA669F6" w14:textId="77777777" w:rsidR="00C1765C" w:rsidRPr="00820C89" w:rsidRDefault="00C1765C" w:rsidP="006D2536">
            <w:pPr>
              <w:spacing w:after="0"/>
            </w:pPr>
          </w:p>
        </w:tc>
        <w:tc>
          <w:tcPr>
            <w:tcW w:w="3236" w:type="dxa"/>
          </w:tcPr>
          <w:p w14:paraId="1D3BE4FA" w14:textId="77777777" w:rsidR="00C1765C" w:rsidRPr="00820C89" w:rsidRDefault="00C1765C" w:rsidP="006D2536">
            <w:pPr>
              <w:spacing w:after="0"/>
              <w:rPr>
                <w:rFonts w:cs="Arial"/>
                <w:bCs/>
                <w:color w:val="000000" w:themeColor="text1"/>
                <w:kern w:val="24"/>
                <w:szCs w:val="17"/>
              </w:rPr>
            </w:pPr>
            <w:r w:rsidRPr="00820C89">
              <w:rPr>
                <w:rFonts w:cs="Arial"/>
                <w:bCs/>
                <w:color w:val="000000" w:themeColor="text1"/>
                <w:kern w:val="24"/>
                <w:szCs w:val="17"/>
              </w:rPr>
              <w:t xml:space="preserve">To gain an </w:t>
            </w:r>
            <w:r w:rsidRPr="00820C89">
              <w:rPr>
                <w:rFonts w:cs="Arial"/>
                <w:b/>
                <w:color w:val="000000" w:themeColor="text1"/>
                <w:kern w:val="24"/>
                <w:szCs w:val="17"/>
              </w:rPr>
              <w:t>understanding of the evidence base</w:t>
            </w:r>
            <w:r w:rsidRPr="00820C89">
              <w:rPr>
                <w:rFonts w:cs="Arial"/>
                <w:bCs/>
                <w:color w:val="000000" w:themeColor="text1"/>
                <w:kern w:val="24"/>
                <w:szCs w:val="17"/>
              </w:rPr>
              <w:t xml:space="preserve"> and </w:t>
            </w:r>
            <w:r w:rsidRPr="00820C89">
              <w:rPr>
                <w:rFonts w:cs="Arial"/>
                <w:b/>
                <w:color w:val="000000" w:themeColor="text1"/>
                <w:kern w:val="24"/>
                <w:szCs w:val="17"/>
              </w:rPr>
              <w:t>research activities</w:t>
            </w:r>
            <w:r w:rsidRPr="00820C89">
              <w:rPr>
                <w:rFonts w:cs="Arial"/>
                <w:bCs/>
                <w:color w:val="000000" w:themeColor="text1"/>
                <w:kern w:val="24"/>
                <w:szCs w:val="17"/>
              </w:rPr>
              <w:t xml:space="preserve"> that informed the design of in-scope programs. </w:t>
            </w:r>
          </w:p>
        </w:tc>
        <w:tc>
          <w:tcPr>
            <w:tcW w:w="3969" w:type="dxa"/>
            <w:shd w:val="clear" w:color="auto" w:fill="auto"/>
          </w:tcPr>
          <w:p w14:paraId="1DCBFFCC" w14:textId="77777777" w:rsidR="00C1765C" w:rsidRPr="00820C89" w:rsidRDefault="00C1765C" w:rsidP="006D2536">
            <w:pPr>
              <w:pStyle w:val="NormalWeb"/>
              <w:spacing w:after="0"/>
              <w:rPr>
                <w:rFonts w:ascii="Verdana" w:hAnsi="Verdana" w:cs="Arial"/>
                <w:color w:val="000000" w:themeColor="text1"/>
                <w:kern w:val="24"/>
                <w:sz w:val="17"/>
                <w:szCs w:val="17"/>
              </w:rPr>
            </w:pPr>
            <w:r w:rsidRPr="00820C89">
              <w:rPr>
                <w:rFonts w:ascii="Verdana" w:hAnsi="Verdana" w:cs="Arial"/>
                <w:b/>
                <w:color w:val="000000" w:themeColor="text1"/>
                <w:kern w:val="24"/>
                <w:sz w:val="17"/>
                <w:szCs w:val="17"/>
              </w:rPr>
              <w:t>Semi-structured interviews (teleconference)</w:t>
            </w:r>
            <w:r w:rsidRPr="00820C89">
              <w:rPr>
                <w:rFonts w:ascii="Verdana" w:hAnsi="Verdana" w:cs="Arial"/>
                <w:color w:val="000000" w:themeColor="text1"/>
                <w:kern w:val="24"/>
                <w:sz w:val="17"/>
                <w:szCs w:val="17"/>
              </w:rPr>
              <w:t xml:space="preserve"> with relevant DESE and NIAA program and policy officers. </w:t>
            </w:r>
          </w:p>
          <w:p w14:paraId="3620F8B2" w14:textId="77777777" w:rsidR="00C1765C" w:rsidRPr="00820C89" w:rsidRDefault="00C1765C" w:rsidP="006D2536">
            <w:pPr>
              <w:pStyle w:val="NormalWeb"/>
              <w:spacing w:after="0"/>
              <w:rPr>
                <w:rFonts w:ascii="Verdana" w:hAnsi="Verdana" w:cs="Arial"/>
                <w:b/>
                <w:color w:val="000000" w:themeColor="text1"/>
                <w:kern w:val="24"/>
                <w:sz w:val="17"/>
                <w:szCs w:val="17"/>
              </w:rPr>
            </w:pPr>
          </w:p>
        </w:tc>
        <w:tc>
          <w:tcPr>
            <w:tcW w:w="6161" w:type="dxa"/>
          </w:tcPr>
          <w:p w14:paraId="29F1985C" w14:textId="77777777" w:rsidR="00C1765C" w:rsidRPr="00820C89" w:rsidRDefault="00C1765C" w:rsidP="00715F70">
            <w:pPr>
              <w:pStyle w:val="ListParagraph"/>
              <w:numPr>
                <w:ilvl w:val="0"/>
                <w:numId w:val="117"/>
              </w:numPr>
              <w:spacing w:after="0" w:line="240" w:lineRule="auto"/>
              <w:ind w:left="278" w:hanging="283"/>
              <w:rPr>
                <w:rFonts w:cs="Arial"/>
                <w:bCs/>
                <w:color w:val="000000" w:themeColor="text1"/>
                <w:kern w:val="24"/>
                <w:szCs w:val="17"/>
              </w:rPr>
            </w:pPr>
            <w:r w:rsidRPr="00820C89">
              <w:rPr>
                <w:rFonts w:cs="Arial"/>
                <w:bCs/>
                <w:color w:val="000000" w:themeColor="text1"/>
                <w:kern w:val="24"/>
                <w:szCs w:val="17"/>
              </w:rPr>
              <w:t xml:space="preserve">Up to five 60-90 minute consultations in April. </w:t>
            </w:r>
          </w:p>
        </w:tc>
      </w:tr>
      <w:tr w:rsidR="00C1765C" w:rsidRPr="00820C89" w14:paraId="4D93C62D" w14:textId="77777777" w:rsidTr="006D2536">
        <w:trPr>
          <w:trHeight w:val="1826"/>
        </w:trPr>
        <w:tc>
          <w:tcPr>
            <w:tcW w:w="1442" w:type="dxa"/>
            <w:vMerge/>
          </w:tcPr>
          <w:p w14:paraId="1B405221" w14:textId="77777777" w:rsidR="00C1765C" w:rsidRPr="00820C89" w:rsidRDefault="00C1765C" w:rsidP="006D2536">
            <w:pPr>
              <w:spacing w:after="0"/>
            </w:pPr>
          </w:p>
        </w:tc>
        <w:tc>
          <w:tcPr>
            <w:tcW w:w="3236" w:type="dxa"/>
          </w:tcPr>
          <w:p w14:paraId="0D9B6B7F" w14:textId="77777777" w:rsidR="00C1765C" w:rsidRPr="00820C89" w:rsidRDefault="00C1765C" w:rsidP="006D2536">
            <w:pPr>
              <w:spacing w:after="0"/>
              <w:ind w:left="0"/>
              <w:rPr>
                <w:rFonts w:cs="Arial"/>
                <w:color w:val="000000" w:themeColor="text1"/>
                <w:kern w:val="24"/>
                <w:szCs w:val="17"/>
              </w:rPr>
            </w:pPr>
            <w:r w:rsidRPr="00820C89">
              <w:rPr>
                <w:rFonts w:cs="Arial"/>
                <w:color w:val="000000" w:themeColor="text1"/>
                <w:kern w:val="24"/>
                <w:szCs w:val="17"/>
              </w:rPr>
              <w:t xml:space="preserve">To gain an understanding of the </w:t>
            </w:r>
            <w:r w:rsidRPr="00820C89">
              <w:rPr>
                <w:rFonts w:cs="Arial"/>
                <w:b/>
                <w:bCs/>
                <w:color w:val="000000" w:themeColor="text1"/>
                <w:kern w:val="24"/>
                <w:szCs w:val="17"/>
              </w:rPr>
              <w:t>objectives, operations and implementation of the in-scope programs</w:t>
            </w:r>
            <w:r w:rsidRPr="00820C89">
              <w:rPr>
                <w:rFonts w:cs="Arial"/>
                <w:color w:val="000000" w:themeColor="text1"/>
                <w:kern w:val="24"/>
                <w:szCs w:val="17"/>
              </w:rPr>
              <w:t>. This would also include an observation of how program implementation and outcomes differ across regions.</w:t>
            </w:r>
            <w:r w:rsidRPr="00820C89">
              <w:rPr>
                <w:rFonts w:cs="Arial"/>
                <w:bCs/>
                <w:color w:val="000000" w:themeColor="text1"/>
                <w:kern w:val="24"/>
                <w:szCs w:val="17"/>
              </w:rPr>
              <w:t xml:space="preserve"> </w:t>
            </w:r>
          </w:p>
        </w:tc>
        <w:tc>
          <w:tcPr>
            <w:tcW w:w="3969" w:type="dxa"/>
            <w:shd w:val="clear" w:color="auto" w:fill="auto"/>
          </w:tcPr>
          <w:p w14:paraId="1E77A0C2" w14:textId="77777777" w:rsidR="00C1765C" w:rsidRPr="00820C89" w:rsidRDefault="00C1765C" w:rsidP="006D2536">
            <w:pPr>
              <w:pStyle w:val="NormalWeb"/>
              <w:spacing w:after="0"/>
              <w:ind w:left="0"/>
              <w:rPr>
                <w:rFonts w:ascii="Verdana" w:hAnsi="Verdana" w:cs="Arial"/>
                <w:color w:val="000000" w:themeColor="text1"/>
                <w:kern w:val="24"/>
                <w:sz w:val="17"/>
                <w:szCs w:val="17"/>
              </w:rPr>
            </w:pPr>
            <w:r w:rsidRPr="00820C89">
              <w:rPr>
                <w:rFonts w:ascii="Verdana" w:hAnsi="Verdana" w:cs="Arial"/>
                <w:b/>
                <w:color w:val="000000" w:themeColor="text1"/>
                <w:kern w:val="24"/>
                <w:sz w:val="17"/>
                <w:szCs w:val="17"/>
              </w:rPr>
              <w:t xml:space="preserve">Semi-structured interviews </w:t>
            </w:r>
            <w:r w:rsidRPr="00820C89">
              <w:rPr>
                <w:rFonts w:ascii="Verdana" w:hAnsi="Verdana" w:cs="Arial"/>
                <w:color w:val="000000" w:themeColor="text1"/>
                <w:kern w:val="24"/>
                <w:sz w:val="17"/>
                <w:szCs w:val="17"/>
              </w:rPr>
              <w:t>with NIAA regional network office</w:t>
            </w:r>
            <w:r w:rsidRPr="00820C89">
              <w:rPr>
                <w:rFonts w:ascii="Verdana" w:hAnsi="Verdana" w:cs="Arial"/>
                <w:bCs/>
                <w:color w:val="000000" w:themeColor="text1"/>
                <w:kern w:val="24"/>
                <w:sz w:val="17"/>
                <w:szCs w:val="17"/>
              </w:rPr>
              <w:t xml:space="preserve">. </w:t>
            </w:r>
            <w:r w:rsidRPr="00820C89">
              <w:rPr>
                <w:rFonts w:ascii="Verdana" w:hAnsi="Verdana" w:cs="Arial"/>
                <w:color w:val="000000" w:themeColor="text1"/>
                <w:kern w:val="24"/>
                <w:sz w:val="17"/>
                <w:szCs w:val="17"/>
              </w:rPr>
              <w:t xml:space="preserve"> </w:t>
            </w:r>
          </w:p>
        </w:tc>
        <w:tc>
          <w:tcPr>
            <w:tcW w:w="6161" w:type="dxa"/>
          </w:tcPr>
          <w:p w14:paraId="6E5F001A" w14:textId="77777777" w:rsidR="00C1765C" w:rsidRPr="00820C89" w:rsidRDefault="00C1765C" w:rsidP="00715F70">
            <w:pPr>
              <w:pStyle w:val="ListParagraph"/>
              <w:numPr>
                <w:ilvl w:val="0"/>
                <w:numId w:val="117"/>
              </w:numPr>
              <w:spacing w:after="0" w:line="240" w:lineRule="auto"/>
              <w:ind w:left="278" w:hanging="283"/>
              <w:rPr>
                <w:rFonts w:cs="Arial"/>
                <w:color w:val="000000" w:themeColor="text1"/>
                <w:kern w:val="24"/>
                <w:szCs w:val="17"/>
              </w:rPr>
            </w:pPr>
            <w:r w:rsidRPr="00820C89">
              <w:rPr>
                <w:rFonts w:cs="Arial"/>
                <w:bCs/>
                <w:color w:val="000000" w:themeColor="text1"/>
                <w:kern w:val="24"/>
                <w:szCs w:val="17"/>
              </w:rPr>
              <w:t>One 60 minute consultation with NIAA regional offices of the communities that will be visited in July – September (at least six consultations).</w:t>
            </w:r>
          </w:p>
        </w:tc>
      </w:tr>
      <w:tr w:rsidR="00C1765C" w:rsidRPr="00820C89" w14:paraId="479C8A59" w14:textId="77777777" w:rsidTr="006D2536">
        <w:trPr>
          <w:trHeight w:val="845"/>
        </w:trPr>
        <w:tc>
          <w:tcPr>
            <w:tcW w:w="1442" w:type="dxa"/>
            <w:vMerge/>
          </w:tcPr>
          <w:p w14:paraId="3926995E" w14:textId="77777777" w:rsidR="00C1765C" w:rsidRPr="00820C89" w:rsidRDefault="00C1765C" w:rsidP="006D2536">
            <w:pPr>
              <w:spacing w:after="0"/>
            </w:pPr>
          </w:p>
        </w:tc>
        <w:tc>
          <w:tcPr>
            <w:tcW w:w="3236" w:type="dxa"/>
          </w:tcPr>
          <w:p w14:paraId="18D69001" w14:textId="77777777" w:rsidR="00C1765C" w:rsidRPr="00820C89" w:rsidRDefault="00C1765C" w:rsidP="006D2536">
            <w:pPr>
              <w:spacing w:after="0"/>
              <w:rPr>
                <w:rFonts w:cs="Arial"/>
                <w:color w:val="000000" w:themeColor="text1"/>
                <w:kern w:val="24"/>
                <w:szCs w:val="17"/>
              </w:rPr>
            </w:pPr>
            <w:r w:rsidRPr="00820C89">
              <w:rPr>
                <w:rFonts w:asciiTheme="minorHAnsi" w:hAnsiTheme="minorHAnsi" w:cs="Arial"/>
                <w:bCs/>
                <w:color w:val="000000" w:themeColor="text1"/>
                <w:kern w:val="24"/>
                <w:szCs w:val="17"/>
              </w:rPr>
              <w:t xml:space="preserve">To </w:t>
            </w:r>
            <w:r w:rsidRPr="00820C89">
              <w:rPr>
                <w:rFonts w:asciiTheme="minorHAnsi" w:hAnsiTheme="minorHAnsi" w:cs="Arial"/>
                <w:b/>
                <w:color w:val="000000" w:themeColor="text1"/>
                <w:kern w:val="24"/>
                <w:szCs w:val="17"/>
              </w:rPr>
              <w:t>test emerging findings and themes</w:t>
            </w:r>
            <w:r w:rsidRPr="00820C89">
              <w:rPr>
                <w:rFonts w:asciiTheme="minorHAnsi" w:hAnsiTheme="minorHAnsi" w:cs="Arial"/>
                <w:bCs/>
                <w:color w:val="000000" w:themeColor="text1"/>
                <w:kern w:val="24"/>
                <w:szCs w:val="17"/>
              </w:rPr>
              <w:t xml:space="preserve"> across geographies.</w:t>
            </w:r>
          </w:p>
        </w:tc>
        <w:tc>
          <w:tcPr>
            <w:tcW w:w="3969" w:type="dxa"/>
          </w:tcPr>
          <w:p w14:paraId="7A5F3C91" w14:textId="77777777" w:rsidR="00C1765C" w:rsidRPr="00820C89" w:rsidRDefault="00C1765C" w:rsidP="006D2536">
            <w:pPr>
              <w:pStyle w:val="NormalWeb"/>
              <w:spacing w:after="0"/>
              <w:ind w:left="0"/>
              <w:rPr>
                <w:rFonts w:cs="Arial"/>
                <w:color w:val="000000" w:themeColor="text1"/>
                <w:kern w:val="24"/>
                <w:sz w:val="17"/>
                <w:szCs w:val="17"/>
              </w:rPr>
            </w:pPr>
            <w:r w:rsidRPr="00820C89">
              <w:rPr>
                <w:rFonts w:asciiTheme="minorHAnsi" w:hAnsiTheme="minorHAnsi" w:cs="Arial"/>
                <w:b/>
                <w:bCs/>
                <w:color w:val="000000" w:themeColor="text1"/>
                <w:kern w:val="24"/>
                <w:sz w:val="17"/>
                <w:szCs w:val="17"/>
              </w:rPr>
              <w:t>Facilitated participatory workshop</w:t>
            </w:r>
            <w:r w:rsidRPr="00820C89">
              <w:rPr>
                <w:rFonts w:asciiTheme="minorHAnsi" w:hAnsiTheme="minorHAnsi" w:cs="Arial"/>
                <w:bCs/>
                <w:color w:val="000000" w:themeColor="text1"/>
                <w:kern w:val="24"/>
                <w:sz w:val="17"/>
                <w:szCs w:val="17"/>
              </w:rPr>
              <w:t xml:space="preserve"> held with</w:t>
            </w:r>
            <w:r w:rsidRPr="00820C89">
              <w:rPr>
                <w:rFonts w:asciiTheme="minorHAnsi" w:hAnsiTheme="minorHAnsi" w:cs="Arial"/>
                <w:b/>
                <w:bCs/>
                <w:color w:val="000000" w:themeColor="text1"/>
                <w:kern w:val="24"/>
                <w:sz w:val="17"/>
                <w:szCs w:val="17"/>
              </w:rPr>
              <w:t xml:space="preserve"> </w:t>
            </w:r>
            <w:r w:rsidRPr="00820C89">
              <w:rPr>
                <w:rFonts w:asciiTheme="minorHAnsi" w:hAnsiTheme="minorHAnsi" w:cs="Arial"/>
                <w:bCs/>
                <w:color w:val="000000" w:themeColor="text1"/>
                <w:kern w:val="24"/>
                <w:sz w:val="17"/>
                <w:szCs w:val="17"/>
              </w:rPr>
              <w:t xml:space="preserve">the regional network office </w:t>
            </w:r>
            <w:r w:rsidRPr="00820C89">
              <w:rPr>
                <w:rFonts w:ascii="Verdana" w:hAnsi="Verdana" w:cs="Arial"/>
                <w:bCs/>
                <w:color w:val="000000" w:themeColor="text1"/>
                <w:kern w:val="24"/>
                <w:sz w:val="17"/>
                <w:szCs w:val="17"/>
              </w:rPr>
              <w:t>of each region</w:t>
            </w:r>
            <w:r w:rsidRPr="00820C89">
              <w:rPr>
                <w:rFonts w:asciiTheme="minorHAnsi" w:hAnsiTheme="minorHAnsi" w:cs="Arial"/>
                <w:bCs/>
                <w:color w:val="000000" w:themeColor="text1"/>
                <w:kern w:val="24"/>
                <w:sz w:val="17"/>
                <w:szCs w:val="17"/>
              </w:rPr>
              <w:t xml:space="preserve">. </w:t>
            </w:r>
          </w:p>
        </w:tc>
        <w:tc>
          <w:tcPr>
            <w:tcW w:w="6161" w:type="dxa"/>
          </w:tcPr>
          <w:p w14:paraId="32A38E72" w14:textId="77777777" w:rsidR="00C1765C" w:rsidRPr="00820C89" w:rsidRDefault="00C1765C" w:rsidP="00715F70">
            <w:pPr>
              <w:pStyle w:val="NormalWeb"/>
              <w:numPr>
                <w:ilvl w:val="0"/>
                <w:numId w:val="118"/>
              </w:numPr>
              <w:spacing w:after="0"/>
              <w:ind w:left="287" w:hanging="284"/>
              <w:rPr>
                <w:rFonts w:asciiTheme="majorHAnsi" w:hAnsiTheme="majorHAnsi" w:cs="Arial"/>
                <w:color w:val="000000" w:themeColor="text1"/>
                <w:kern w:val="24"/>
                <w:sz w:val="17"/>
                <w:szCs w:val="17"/>
              </w:rPr>
            </w:pPr>
            <w:r w:rsidRPr="00820C89">
              <w:rPr>
                <w:rFonts w:asciiTheme="majorHAnsi" w:hAnsiTheme="majorHAnsi" w:cs="Arial"/>
                <w:bCs/>
                <w:color w:val="000000" w:themeColor="text1"/>
                <w:kern w:val="24"/>
                <w:sz w:val="17"/>
                <w:szCs w:val="17"/>
              </w:rPr>
              <w:t>One 120 minute workshop in October.</w:t>
            </w:r>
          </w:p>
        </w:tc>
      </w:tr>
      <w:tr w:rsidR="00C1765C" w:rsidRPr="00820C89" w14:paraId="0EA8E61A" w14:textId="77777777" w:rsidTr="006D2536">
        <w:trPr>
          <w:trHeight w:val="845"/>
        </w:trPr>
        <w:tc>
          <w:tcPr>
            <w:tcW w:w="1442" w:type="dxa"/>
            <w:vMerge/>
          </w:tcPr>
          <w:p w14:paraId="5B74577D" w14:textId="77777777" w:rsidR="00C1765C" w:rsidRPr="00820C89" w:rsidRDefault="00C1765C" w:rsidP="006D2536">
            <w:pPr>
              <w:spacing w:after="0"/>
            </w:pPr>
          </w:p>
        </w:tc>
        <w:tc>
          <w:tcPr>
            <w:tcW w:w="3236" w:type="dxa"/>
          </w:tcPr>
          <w:p w14:paraId="194D4A7A" w14:textId="77777777" w:rsidR="00C1765C" w:rsidRPr="00820C89" w:rsidRDefault="00C1765C" w:rsidP="006D2536">
            <w:pPr>
              <w:spacing w:after="0"/>
              <w:rPr>
                <w:rFonts w:asciiTheme="minorHAnsi" w:hAnsiTheme="minorHAnsi" w:cs="Arial"/>
                <w:bCs/>
                <w:color w:val="000000" w:themeColor="text1"/>
                <w:kern w:val="24"/>
                <w:szCs w:val="17"/>
              </w:rPr>
            </w:pPr>
            <w:r w:rsidRPr="00820C89">
              <w:rPr>
                <w:rFonts w:asciiTheme="minorHAnsi" w:hAnsiTheme="minorHAnsi" w:cs="Arial"/>
                <w:bCs/>
                <w:color w:val="000000" w:themeColor="text1"/>
                <w:kern w:val="24"/>
                <w:szCs w:val="17"/>
              </w:rPr>
              <w:t xml:space="preserve">To </w:t>
            </w:r>
            <w:r w:rsidRPr="00820C89">
              <w:rPr>
                <w:rFonts w:asciiTheme="minorHAnsi" w:hAnsiTheme="minorHAnsi" w:cs="Arial"/>
                <w:b/>
                <w:color w:val="000000" w:themeColor="text1"/>
                <w:kern w:val="24"/>
                <w:szCs w:val="17"/>
              </w:rPr>
              <w:t>test and validate findings</w:t>
            </w:r>
            <w:r w:rsidRPr="00820C89">
              <w:rPr>
                <w:rFonts w:asciiTheme="minorHAnsi" w:hAnsiTheme="minorHAnsi" w:cs="Arial"/>
                <w:bCs/>
                <w:color w:val="000000" w:themeColor="text1"/>
                <w:kern w:val="24"/>
                <w:szCs w:val="17"/>
              </w:rPr>
              <w:t xml:space="preserve"> and themes across both Indigenous and general employment programs.</w:t>
            </w:r>
          </w:p>
        </w:tc>
        <w:tc>
          <w:tcPr>
            <w:tcW w:w="3969" w:type="dxa"/>
          </w:tcPr>
          <w:p w14:paraId="452EEBA8" w14:textId="77777777" w:rsidR="00C1765C" w:rsidRPr="00820C89" w:rsidRDefault="00C1765C" w:rsidP="006D2536">
            <w:pPr>
              <w:pStyle w:val="NormalWeb"/>
              <w:spacing w:after="0"/>
              <w:rPr>
                <w:rFonts w:ascii="Verdana" w:hAnsi="Verdana" w:cs="Arial"/>
                <w:color w:val="000000" w:themeColor="text1"/>
                <w:kern w:val="24"/>
                <w:sz w:val="17"/>
                <w:szCs w:val="17"/>
              </w:rPr>
            </w:pPr>
            <w:r w:rsidRPr="00820C89">
              <w:rPr>
                <w:rFonts w:ascii="Verdana" w:hAnsi="Verdana" w:cs="Arial"/>
                <w:b/>
                <w:color w:val="000000" w:themeColor="text1"/>
                <w:kern w:val="24"/>
                <w:sz w:val="17"/>
                <w:szCs w:val="17"/>
              </w:rPr>
              <w:t>Semi-structured interviews (teleconference)</w:t>
            </w:r>
            <w:r w:rsidRPr="00820C89">
              <w:rPr>
                <w:rFonts w:ascii="Verdana" w:hAnsi="Verdana" w:cs="Arial"/>
                <w:color w:val="000000" w:themeColor="text1"/>
                <w:kern w:val="24"/>
                <w:sz w:val="17"/>
                <w:szCs w:val="17"/>
              </w:rPr>
              <w:t xml:space="preserve"> with relevant DESE (jobactive) and NIAA (CDP, EPI, TAEG and VTEC) program and policy officers. </w:t>
            </w:r>
          </w:p>
          <w:p w14:paraId="341374DB" w14:textId="77777777" w:rsidR="00C1765C" w:rsidRPr="00820C89" w:rsidRDefault="00C1765C" w:rsidP="006D2536">
            <w:pPr>
              <w:pStyle w:val="NormalWeb"/>
              <w:spacing w:after="0"/>
              <w:ind w:left="0"/>
              <w:rPr>
                <w:rFonts w:asciiTheme="minorHAnsi" w:hAnsiTheme="minorHAnsi" w:cs="Arial"/>
                <w:b/>
                <w:bCs/>
                <w:color w:val="000000" w:themeColor="text1"/>
                <w:kern w:val="24"/>
                <w:sz w:val="17"/>
                <w:szCs w:val="17"/>
              </w:rPr>
            </w:pPr>
          </w:p>
        </w:tc>
        <w:tc>
          <w:tcPr>
            <w:tcW w:w="6161" w:type="dxa"/>
          </w:tcPr>
          <w:p w14:paraId="6976D3D1" w14:textId="77777777" w:rsidR="00C1765C" w:rsidRPr="00820C89" w:rsidRDefault="00C1765C" w:rsidP="00715F70">
            <w:pPr>
              <w:pStyle w:val="NormalWeb"/>
              <w:numPr>
                <w:ilvl w:val="0"/>
                <w:numId w:val="118"/>
              </w:numPr>
              <w:spacing w:after="0"/>
              <w:ind w:left="287" w:hanging="284"/>
              <w:rPr>
                <w:rFonts w:asciiTheme="majorHAnsi" w:hAnsiTheme="majorHAnsi" w:cs="Arial"/>
                <w:bCs/>
                <w:color w:val="000000" w:themeColor="text1"/>
                <w:kern w:val="24"/>
                <w:sz w:val="17"/>
                <w:szCs w:val="17"/>
              </w:rPr>
            </w:pPr>
            <w:r w:rsidRPr="00820C89">
              <w:rPr>
                <w:rFonts w:asciiTheme="majorHAnsi" w:hAnsiTheme="majorHAnsi" w:cs="Arial"/>
                <w:bCs/>
                <w:color w:val="000000" w:themeColor="text1"/>
                <w:kern w:val="24"/>
                <w:sz w:val="17"/>
                <w:szCs w:val="17"/>
              </w:rPr>
              <w:t>Up to five 60-90 minute consultations in October.</w:t>
            </w:r>
          </w:p>
        </w:tc>
      </w:tr>
      <w:tr w:rsidR="00C1765C" w:rsidRPr="00820C89" w14:paraId="686FAE81" w14:textId="77777777" w:rsidTr="006D2536">
        <w:trPr>
          <w:trHeight w:val="1553"/>
        </w:trPr>
        <w:tc>
          <w:tcPr>
            <w:tcW w:w="1442" w:type="dxa"/>
            <w:vAlign w:val="center"/>
          </w:tcPr>
          <w:p w14:paraId="00901983" w14:textId="77777777" w:rsidR="00C1765C" w:rsidRPr="00820C89" w:rsidRDefault="00C1765C" w:rsidP="006D2536">
            <w:pPr>
              <w:spacing w:after="0"/>
            </w:pPr>
            <w:r w:rsidRPr="00820C89">
              <w:lastRenderedPageBreak/>
              <w:t>State and territory government</w:t>
            </w:r>
          </w:p>
        </w:tc>
        <w:tc>
          <w:tcPr>
            <w:tcW w:w="3236" w:type="dxa"/>
          </w:tcPr>
          <w:p w14:paraId="332F748F" w14:textId="77777777" w:rsidR="00C1765C" w:rsidRPr="00820C89" w:rsidRDefault="00C1765C" w:rsidP="006D2536">
            <w:pPr>
              <w:spacing w:after="0"/>
              <w:rPr>
                <w:szCs w:val="17"/>
              </w:rPr>
            </w:pPr>
            <w:r w:rsidRPr="00820C89">
              <w:rPr>
                <w:rFonts w:cs="Arial"/>
                <w:color w:val="000000" w:themeColor="text1"/>
                <w:kern w:val="24"/>
                <w:szCs w:val="17"/>
              </w:rPr>
              <w:t xml:space="preserve">To understand regional context, and how </w:t>
            </w:r>
            <w:r w:rsidRPr="00820C89">
              <w:rPr>
                <w:rFonts w:cs="Arial"/>
                <w:b/>
                <w:bCs/>
                <w:color w:val="000000" w:themeColor="text1"/>
                <w:kern w:val="24"/>
                <w:szCs w:val="17"/>
              </w:rPr>
              <w:t>implementation and outcomes differ across geographies</w:t>
            </w:r>
            <w:r w:rsidRPr="00820C89">
              <w:rPr>
                <w:rFonts w:cs="Arial"/>
                <w:color w:val="000000" w:themeColor="text1"/>
                <w:kern w:val="24"/>
                <w:szCs w:val="17"/>
              </w:rPr>
              <w:t xml:space="preserve"> and in conjunction with each state and territory government – including state-based Indigenous advancement strategies. </w:t>
            </w:r>
          </w:p>
        </w:tc>
        <w:tc>
          <w:tcPr>
            <w:tcW w:w="3969" w:type="dxa"/>
          </w:tcPr>
          <w:p w14:paraId="3E974DBE" w14:textId="77777777" w:rsidR="00C1765C" w:rsidRPr="00820C89" w:rsidRDefault="00C1765C" w:rsidP="006D2536">
            <w:pPr>
              <w:pStyle w:val="NormalWeb"/>
              <w:spacing w:after="0"/>
              <w:rPr>
                <w:rFonts w:ascii="Verdana" w:hAnsi="Verdana" w:cs="Arial"/>
                <w:color w:val="000000" w:themeColor="text1"/>
                <w:kern w:val="24"/>
                <w:sz w:val="17"/>
                <w:szCs w:val="17"/>
              </w:rPr>
            </w:pPr>
            <w:r w:rsidRPr="00820C89">
              <w:rPr>
                <w:rFonts w:ascii="Verdana" w:hAnsi="Verdana" w:cs="Arial"/>
                <w:b/>
                <w:kern w:val="24"/>
                <w:sz w:val="17"/>
                <w:szCs w:val="17"/>
              </w:rPr>
              <w:t xml:space="preserve">Semi-structured interviews </w:t>
            </w:r>
            <w:r w:rsidRPr="00820C89">
              <w:rPr>
                <w:rFonts w:ascii="Verdana" w:hAnsi="Verdana" w:cs="Arial"/>
                <w:color w:val="000000" w:themeColor="text1"/>
                <w:kern w:val="24"/>
                <w:sz w:val="17"/>
                <w:szCs w:val="17"/>
              </w:rPr>
              <w:t>with discussion themes aligned with evaluation questions and specific jurisdictional questioning on complementary programs and policies.</w:t>
            </w:r>
          </w:p>
        </w:tc>
        <w:tc>
          <w:tcPr>
            <w:tcW w:w="6161" w:type="dxa"/>
          </w:tcPr>
          <w:p w14:paraId="4D8E556A" w14:textId="77777777" w:rsidR="00C1765C" w:rsidRPr="00820C89" w:rsidRDefault="00C1765C" w:rsidP="00715F70">
            <w:pPr>
              <w:pStyle w:val="NormalWeb"/>
              <w:numPr>
                <w:ilvl w:val="0"/>
                <w:numId w:val="118"/>
              </w:numPr>
              <w:spacing w:after="0"/>
              <w:ind w:left="287" w:hanging="284"/>
              <w:rPr>
                <w:rFonts w:ascii="Arial" w:hAnsi="Arial" w:cs="Arial"/>
                <w:sz w:val="17"/>
                <w:szCs w:val="17"/>
              </w:rPr>
            </w:pPr>
            <w:r w:rsidRPr="00820C89">
              <w:rPr>
                <w:rFonts w:ascii="Verdana" w:hAnsi="Verdana" w:cs="Arial"/>
                <w:color w:val="000000" w:themeColor="text1"/>
                <w:kern w:val="24"/>
                <w:sz w:val="17"/>
                <w:szCs w:val="17"/>
              </w:rPr>
              <w:t xml:space="preserve">One 90 minute consultation with each state or territory government (eight in </w:t>
            </w:r>
            <w:r w:rsidRPr="00820C89">
              <w:rPr>
                <w:rFonts w:asciiTheme="majorHAnsi" w:hAnsiTheme="majorHAnsi" w:cs="Arial"/>
                <w:color w:val="000000" w:themeColor="text1"/>
                <w:kern w:val="24"/>
                <w:sz w:val="17"/>
                <w:szCs w:val="17"/>
              </w:rPr>
              <w:t>total). These consultations would likely take place at the same time as the provider, employer and participant consultations in July-September. These consultations may also be completed earlier in the year by teleconference and could feed into the interim report.</w:t>
            </w:r>
          </w:p>
        </w:tc>
      </w:tr>
      <w:tr w:rsidR="00C1765C" w:rsidRPr="00820C89" w14:paraId="6F2C3C18" w14:textId="77777777" w:rsidTr="006D2536">
        <w:trPr>
          <w:trHeight w:val="907"/>
        </w:trPr>
        <w:tc>
          <w:tcPr>
            <w:tcW w:w="1442" w:type="dxa"/>
            <w:vAlign w:val="center"/>
          </w:tcPr>
          <w:p w14:paraId="1F867364" w14:textId="77777777" w:rsidR="00C1765C" w:rsidRPr="00820C89" w:rsidRDefault="00C1765C" w:rsidP="006D2536">
            <w:pPr>
              <w:spacing w:after="0"/>
            </w:pPr>
            <w:r w:rsidRPr="00820C89">
              <w:t xml:space="preserve">Indigenous representatives </w:t>
            </w:r>
          </w:p>
        </w:tc>
        <w:tc>
          <w:tcPr>
            <w:tcW w:w="3236" w:type="dxa"/>
          </w:tcPr>
          <w:p w14:paraId="040585B8" w14:textId="77777777" w:rsidR="00C1765C" w:rsidRPr="00820C89" w:rsidRDefault="00C1765C" w:rsidP="006D2536">
            <w:pPr>
              <w:spacing w:after="0"/>
              <w:rPr>
                <w:szCs w:val="17"/>
              </w:rPr>
            </w:pPr>
            <w:r w:rsidRPr="00820C89">
              <w:rPr>
                <w:rFonts w:cs="Arial"/>
                <w:color w:val="000000" w:themeColor="text1"/>
                <w:kern w:val="24"/>
                <w:szCs w:val="17"/>
              </w:rPr>
              <w:t xml:space="preserve">To explore the extent to which programs were designed, implemented and evaluated in </w:t>
            </w:r>
            <w:r w:rsidRPr="00820C89">
              <w:rPr>
                <w:rFonts w:cs="Arial"/>
                <w:b/>
                <w:bCs/>
                <w:color w:val="000000" w:themeColor="text1"/>
                <w:kern w:val="24"/>
                <w:szCs w:val="17"/>
              </w:rPr>
              <w:t>collaboration with Aboriginal and Torres Strait Islander people</w:t>
            </w:r>
            <w:r w:rsidRPr="00820C89">
              <w:rPr>
                <w:rFonts w:cs="Arial"/>
                <w:color w:val="000000" w:themeColor="text1"/>
                <w:kern w:val="24"/>
                <w:szCs w:val="17"/>
              </w:rPr>
              <w:t>.</w:t>
            </w:r>
          </w:p>
        </w:tc>
        <w:tc>
          <w:tcPr>
            <w:tcW w:w="3969" w:type="dxa"/>
            <w:shd w:val="clear" w:color="auto" w:fill="auto"/>
          </w:tcPr>
          <w:p w14:paraId="62E794C5" w14:textId="77777777" w:rsidR="00C1765C" w:rsidRPr="00820C89" w:rsidRDefault="00C1765C" w:rsidP="006D2536">
            <w:pPr>
              <w:pStyle w:val="NormalWeb"/>
              <w:spacing w:after="0"/>
              <w:rPr>
                <w:rFonts w:ascii="Verdana" w:hAnsi="Verdana" w:cs="Arial"/>
                <w:color w:val="000000" w:themeColor="text1"/>
                <w:kern w:val="24"/>
                <w:sz w:val="17"/>
                <w:szCs w:val="17"/>
              </w:rPr>
            </w:pPr>
            <w:r w:rsidRPr="00820C89">
              <w:rPr>
                <w:rFonts w:ascii="Verdana" w:hAnsi="Verdana" w:cs="Arial"/>
                <w:b/>
                <w:color w:val="000000" w:themeColor="text1"/>
                <w:kern w:val="24"/>
                <w:sz w:val="17"/>
                <w:szCs w:val="17"/>
              </w:rPr>
              <w:t>Semi-structured interviews (teleconference)</w:t>
            </w:r>
            <w:r w:rsidRPr="00820C89">
              <w:rPr>
                <w:rFonts w:ascii="Verdana" w:hAnsi="Verdana" w:cs="Arial"/>
                <w:color w:val="000000" w:themeColor="text1"/>
                <w:kern w:val="24"/>
                <w:sz w:val="17"/>
                <w:szCs w:val="17"/>
              </w:rPr>
              <w:t xml:space="preserve"> with discussion themes aligned with evaluation questions and areas of expertise of the interviewee. </w:t>
            </w:r>
          </w:p>
          <w:p w14:paraId="69433ADB" w14:textId="77777777" w:rsidR="00C1765C" w:rsidRPr="00820C89" w:rsidRDefault="00C1765C" w:rsidP="006D2536">
            <w:pPr>
              <w:pStyle w:val="NormalWeb"/>
              <w:spacing w:after="0"/>
              <w:rPr>
                <w:rFonts w:ascii="Verdana" w:hAnsi="Verdana" w:cs="Arial"/>
                <w:color w:val="000000" w:themeColor="text1"/>
                <w:kern w:val="24"/>
                <w:sz w:val="17"/>
                <w:szCs w:val="17"/>
              </w:rPr>
            </w:pPr>
            <w:r w:rsidRPr="00820C89">
              <w:rPr>
                <w:rFonts w:ascii="Verdana" w:hAnsi="Verdana" w:cs="Arial"/>
                <w:color w:val="000000" w:themeColor="text1"/>
                <w:kern w:val="24"/>
                <w:sz w:val="17"/>
                <w:szCs w:val="17"/>
              </w:rPr>
              <w:t xml:space="preserve">The participants for this series of interviews would be chosen in collaboration with the NIAA, and would expect to include a series of academics, advisory councils and peak bodies. </w:t>
            </w:r>
          </w:p>
          <w:p w14:paraId="5335D5F9" w14:textId="77777777" w:rsidR="00C1765C" w:rsidRPr="00820C89" w:rsidRDefault="00C1765C" w:rsidP="006D2536">
            <w:pPr>
              <w:pStyle w:val="NormalWeb"/>
              <w:spacing w:after="0"/>
              <w:rPr>
                <w:rFonts w:ascii="Verdana" w:hAnsi="Verdana" w:cs="Arial"/>
                <w:color w:val="000000" w:themeColor="text1"/>
                <w:kern w:val="24"/>
                <w:sz w:val="17"/>
                <w:szCs w:val="17"/>
              </w:rPr>
            </w:pPr>
          </w:p>
        </w:tc>
        <w:tc>
          <w:tcPr>
            <w:tcW w:w="6161" w:type="dxa"/>
          </w:tcPr>
          <w:p w14:paraId="535E994F" w14:textId="77777777" w:rsidR="00C1765C" w:rsidRPr="00820C89" w:rsidRDefault="00C1765C" w:rsidP="00715F70">
            <w:pPr>
              <w:pStyle w:val="ListParagraph"/>
              <w:numPr>
                <w:ilvl w:val="0"/>
                <w:numId w:val="118"/>
              </w:numPr>
              <w:spacing w:after="0"/>
              <w:ind w:left="287" w:hanging="284"/>
              <w:rPr>
                <w:szCs w:val="17"/>
              </w:rPr>
            </w:pPr>
            <w:r w:rsidRPr="00820C89">
              <w:rPr>
                <w:rFonts w:cs="Arial"/>
                <w:color w:val="000000" w:themeColor="text1"/>
                <w:kern w:val="24"/>
                <w:szCs w:val="17"/>
              </w:rPr>
              <w:t xml:space="preserve">Up to eight 60-90 minute consultations with Indigenous organisations involved in program design or delivery, or relevant Indigenous peak bodies or advisory councils in April. </w:t>
            </w:r>
          </w:p>
        </w:tc>
      </w:tr>
      <w:tr w:rsidR="00C1765C" w:rsidRPr="00820C89" w14:paraId="77E0BF8C" w14:textId="77777777" w:rsidTr="006D2536">
        <w:trPr>
          <w:trHeight w:val="1198"/>
        </w:trPr>
        <w:tc>
          <w:tcPr>
            <w:tcW w:w="1442" w:type="dxa"/>
            <w:vMerge w:val="restart"/>
            <w:vAlign w:val="center"/>
          </w:tcPr>
          <w:p w14:paraId="0F0A611A" w14:textId="77777777" w:rsidR="00C1765C" w:rsidRPr="00820C89" w:rsidRDefault="00C1765C" w:rsidP="006D2536">
            <w:pPr>
              <w:spacing w:after="0"/>
              <w:rPr>
                <w:rFonts w:cs="Arial"/>
                <w:bCs/>
                <w:color w:val="000000" w:themeColor="text1"/>
                <w:kern w:val="24"/>
                <w:szCs w:val="17"/>
              </w:rPr>
            </w:pPr>
            <w:r w:rsidRPr="00820C89">
              <w:rPr>
                <w:rFonts w:cs="Arial"/>
                <w:bCs/>
                <w:color w:val="000000" w:themeColor="text1"/>
                <w:kern w:val="24"/>
                <w:szCs w:val="17"/>
              </w:rPr>
              <w:t>Providers</w:t>
            </w:r>
          </w:p>
        </w:tc>
        <w:tc>
          <w:tcPr>
            <w:tcW w:w="3236" w:type="dxa"/>
          </w:tcPr>
          <w:p w14:paraId="1C3BEA01" w14:textId="77777777" w:rsidR="00C1765C" w:rsidRPr="00820C89" w:rsidRDefault="00C1765C" w:rsidP="006D2536">
            <w:pPr>
              <w:pStyle w:val="NormalWeb"/>
              <w:spacing w:after="0"/>
              <w:rPr>
                <w:rFonts w:ascii="Verdana" w:hAnsi="Verdana" w:cs="Arial"/>
                <w:bCs/>
                <w:color w:val="000000" w:themeColor="text1"/>
                <w:kern w:val="24"/>
                <w:sz w:val="17"/>
                <w:szCs w:val="17"/>
              </w:rPr>
            </w:pPr>
            <w:r w:rsidRPr="00820C89">
              <w:rPr>
                <w:rFonts w:ascii="Verdana" w:hAnsi="Verdana" w:cs="Arial"/>
                <w:bCs/>
                <w:color w:val="000000" w:themeColor="text1"/>
                <w:kern w:val="24"/>
                <w:sz w:val="17"/>
                <w:szCs w:val="17"/>
              </w:rPr>
              <w:t xml:space="preserve">To gather evidence from a breadth of providers on the </w:t>
            </w:r>
            <w:r w:rsidRPr="00820C89">
              <w:rPr>
                <w:rFonts w:ascii="Verdana" w:hAnsi="Verdana" w:cs="Arial"/>
                <w:b/>
                <w:color w:val="000000" w:themeColor="text1"/>
                <w:kern w:val="24"/>
                <w:sz w:val="17"/>
                <w:szCs w:val="17"/>
              </w:rPr>
              <w:t>IEP design and implementation</w:t>
            </w:r>
            <w:r w:rsidRPr="00820C89">
              <w:rPr>
                <w:rFonts w:ascii="Verdana" w:hAnsi="Verdana" w:cs="Arial"/>
                <w:bCs/>
                <w:color w:val="000000" w:themeColor="text1"/>
                <w:kern w:val="24"/>
                <w:sz w:val="17"/>
                <w:szCs w:val="17"/>
              </w:rPr>
              <w:t xml:space="preserve">, as well as an understanding of the nature of activities undertaken through the IEP.  </w:t>
            </w:r>
          </w:p>
        </w:tc>
        <w:tc>
          <w:tcPr>
            <w:tcW w:w="3969" w:type="dxa"/>
          </w:tcPr>
          <w:p w14:paraId="418CEDBF" w14:textId="77777777" w:rsidR="00C1765C" w:rsidRPr="00820C89" w:rsidRDefault="00C1765C" w:rsidP="006D2536">
            <w:pPr>
              <w:pStyle w:val="NormalWeb"/>
              <w:spacing w:after="0"/>
              <w:rPr>
                <w:rFonts w:ascii="Verdana" w:hAnsi="Verdana" w:cs="Arial"/>
                <w:bCs/>
                <w:color w:val="000000" w:themeColor="text1"/>
                <w:kern w:val="24"/>
                <w:sz w:val="17"/>
                <w:szCs w:val="17"/>
              </w:rPr>
            </w:pPr>
            <w:r w:rsidRPr="00820C89">
              <w:rPr>
                <w:rFonts w:ascii="Verdana" w:hAnsi="Verdana" w:cs="Arial"/>
                <w:b/>
                <w:bCs/>
                <w:color w:val="000000" w:themeColor="text1"/>
                <w:kern w:val="24"/>
                <w:sz w:val="17"/>
                <w:szCs w:val="17"/>
              </w:rPr>
              <w:t>Online survey</w:t>
            </w:r>
            <w:r w:rsidRPr="00820C89">
              <w:rPr>
                <w:rFonts w:ascii="Verdana" w:hAnsi="Verdana" w:cs="Arial"/>
                <w:bCs/>
                <w:color w:val="000000" w:themeColor="text1"/>
                <w:kern w:val="24"/>
                <w:sz w:val="17"/>
                <w:szCs w:val="17"/>
              </w:rPr>
              <w:t xml:space="preserve"> administered to all TAEG and VTEC providers. Survey to include a combination of qualitative and quantitative questions. </w:t>
            </w:r>
          </w:p>
        </w:tc>
        <w:tc>
          <w:tcPr>
            <w:tcW w:w="6161" w:type="dxa"/>
          </w:tcPr>
          <w:p w14:paraId="568999DE" w14:textId="77777777" w:rsidR="00C1765C" w:rsidRPr="00820C89" w:rsidRDefault="00C1765C" w:rsidP="00715F70">
            <w:pPr>
              <w:pStyle w:val="ListParagraph"/>
              <w:numPr>
                <w:ilvl w:val="0"/>
                <w:numId w:val="118"/>
              </w:numPr>
              <w:spacing w:after="0" w:line="240" w:lineRule="auto"/>
              <w:ind w:left="289" w:hanging="289"/>
              <w:rPr>
                <w:rFonts w:cs="Arial"/>
                <w:bCs/>
                <w:color w:val="000000" w:themeColor="text1"/>
                <w:kern w:val="24"/>
                <w:szCs w:val="17"/>
              </w:rPr>
            </w:pPr>
            <w:r w:rsidRPr="00820C89">
              <w:rPr>
                <w:rFonts w:cs="Arial"/>
                <w:bCs/>
                <w:color w:val="000000" w:themeColor="text1"/>
                <w:kern w:val="24"/>
                <w:szCs w:val="17"/>
              </w:rPr>
              <w:t xml:space="preserve">Survey administered over May 2020. </w:t>
            </w:r>
          </w:p>
        </w:tc>
      </w:tr>
      <w:tr w:rsidR="00C1765C" w:rsidRPr="00820C89" w14:paraId="22D2762D" w14:textId="77777777" w:rsidTr="006D2536">
        <w:trPr>
          <w:trHeight w:val="1285"/>
        </w:trPr>
        <w:tc>
          <w:tcPr>
            <w:tcW w:w="1442" w:type="dxa"/>
            <w:vMerge/>
            <w:vAlign w:val="center"/>
          </w:tcPr>
          <w:p w14:paraId="04215F44" w14:textId="77777777" w:rsidR="00C1765C" w:rsidRPr="00820C89" w:rsidRDefault="00C1765C" w:rsidP="006D2536">
            <w:pPr>
              <w:spacing w:after="0"/>
              <w:rPr>
                <w:rFonts w:cs="Arial"/>
                <w:bCs/>
                <w:color w:val="000000" w:themeColor="text1"/>
                <w:kern w:val="24"/>
                <w:szCs w:val="17"/>
              </w:rPr>
            </w:pPr>
          </w:p>
        </w:tc>
        <w:tc>
          <w:tcPr>
            <w:tcW w:w="3236" w:type="dxa"/>
          </w:tcPr>
          <w:p w14:paraId="0F505B7E" w14:textId="77777777" w:rsidR="00C1765C" w:rsidRPr="00820C89" w:rsidRDefault="00C1765C" w:rsidP="006D2536">
            <w:pPr>
              <w:pStyle w:val="NormalWeb"/>
              <w:spacing w:after="0"/>
              <w:rPr>
                <w:rFonts w:ascii="Arial" w:hAnsi="Arial" w:cs="Arial"/>
                <w:sz w:val="17"/>
                <w:szCs w:val="17"/>
              </w:rPr>
            </w:pPr>
            <w:r w:rsidRPr="00820C89">
              <w:rPr>
                <w:rFonts w:ascii="Verdana" w:hAnsi="Verdana" w:cs="Arial"/>
                <w:bCs/>
                <w:color w:val="000000" w:themeColor="text1"/>
                <w:kern w:val="24"/>
                <w:sz w:val="17"/>
                <w:szCs w:val="17"/>
              </w:rPr>
              <w:t xml:space="preserve">To build on insights gained through the provider </w:t>
            </w:r>
            <w:r w:rsidRPr="00820C89">
              <w:rPr>
                <w:rFonts w:ascii="Verdana" w:hAnsi="Verdana" w:cs="Arial"/>
                <w:b/>
                <w:color w:val="000000" w:themeColor="text1"/>
                <w:kern w:val="24"/>
                <w:sz w:val="17"/>
                <w:szCs w:val="17"/>
              </w:rPr>
              <w:t>surveys to develop a deeper understanding of program implementation and effectiveness</w:t>
            </w:r>
            <w:r w:rsidRPr="00820C89">
              <w:rPr>
                <w:rFonts w:ascii="Verdana" w:hAnsi="Verdana" w:cs="Arial"/>
                <w:bCs/>
                <w:color w:val="000000" w:themeColor="text1"/>
                <w:kern w:val="24"/>
                <w:sz w:val="17"/>
                <w:szCs w:val="17"/>
              </w:rPr>
              <w:t xml:space="preserve">. </w:t>
            </w:r>
          </w:p>
          <w:p w14:paraId="18D2B58F" w14:textId="77777777" w:rsidR="00C1765C" w:rsidRPr="00820C89" w:rsidRDefault="00C1765C" w:rsidP="006D2536">
            <w:pPr>
              <w:pStyle w:val="NormalWeb"/>
              <w:spacing w:after="0"/>
              <w:rPr>
                <w:rFonts w:ascii="Verdana" w:hAnsi="Verdana" w:cs="Arial"/>
                <w:color w:val="000000" w:themeColor="text1"/>
                <w:kern w:val="24"/>
                <w:sz w:val="17"/>
                <w:szCs w:val="17"/>
              </w:rPr>
            </w:pPr>
          </w:p>
        </w:tc>
        <w:tc>
          <w:tcPr>
            <w:tcW w:w="3969" w:type="dxa"/>
          </w:tcPr>
          <w:p w14:paraId="668BFF0C" w14:textId="77777777" w:rsidR="00C1765C" w:rsidRPr="00820C89" w:rsidRDefault="00C1765C" w:rsidP="006D2536">
            <w:pPr>
              <w:pStyle w:val="NormalWeb"/>
              <w:spacing w:after="0"/>
              <w:rPr>
                <w:rFonts w:asciiTheme="minorHAnsi" w:hAnsiTheme="minorHAnsi" w:cs="Arial"/>
                <w:bCs/>
                <w:color w:val="000000" w:themeColor="text1"/>
                <w:kern w:val="24"/>
                <w:sz w:val="17"/>
                <w:szCs w:val="17"/>
              </w:rPr>
            </w:pPr>
            <w:r w:rsidRPr="00820C89">
              <w:rPr>
                <w:rFonts w:ascii="Verdana" w:hAnsi="Verdana" w:cs="Arial"/>
                <w:b/>
                <w:bCs/>
                <w:color w:val="000000" w:themeColor="text1"/>
                <w:kern w:val="24"/>
                <w:sz w:val="17"/>
                <w:szCs w:val="17"/>
              </w:rPr>
              <w:t>Semi-structured interview</w:t>
            </w:r>
            <w:r w:rsidRPr="00820C89">
              <w:rPr>
                <w:rFonts w:ascii="Verdana" w:hAnsi="Verdana" w:cs="Arial"/>
                <w:bCs/>
                <w:color w:val="000000" w:themeColor="text1"/>
                <w:kern w:val="24"/>
                <w:sz w:val="17"/>
                <w:szCs w:val="17"/>
              </w:rPr>
              <w:t xml:space="preserve"> on the evaluation themes </w:t>
            </w:r>
            <w:r w:rsidRPr="00820C89">
              <w:rPr>
                <w:rFonts w:asciiTheme="minorHAnsi" w:hAnsiTheme="minorHAnsi" w:cs="Arial"/>
                <w:bCs/>
                <w:color w:val="000000" w:themeColor="text1"/>
                <w:kern w:val="24"/>
                <w:sz w:val="17"/>
                <w:szCs w:val="17"/>
              </w:rPr>
              <w:t>will be held in NIAA regions that are visited in July-September.</w:t>
            </w:r>
          </w:p>
          <w:p w14:paraId="23C44FDE" w14:textId="77777777" w:rsidR="00C1765C" w:rsidRPr="00820C89" w:rsidRDefault="00C1765C" w:rsidP="006D2536">
            <w:pPr>
              <w:pStyle w:val="NormalWeb"/>
              <w:spacing w:after="0"/>
              <w:ind w:left="0"/>
              <w:rPr>
                <w:rFonts w:ascii="Verdana" w:hAnsi="Verdana" w:cs="Arial"/>
                <w:color w:val="000000" w:themeColor="text1"/>
                <w:kern w:val="24"/>
                <w:sz w:val="17"/>
                <w:szCs w:val="17"/>
              </w:rPr>
            </w:pPr>
          </w:p>
        </w:tc>
        <w:tc>
          <w:tcPr>
            <w:tcW w:w="6161" w:type="dxa"/>
          </w:tcPr>
          <w:p w14:paraId="3D38CFB1" w14:textId="77777777" w:rsidR="00C1765C" w:rsidRPr="00820C89" w:rsidRDefault="00C1765C" w:rsidP="006D2536">
            <w:pPr>
              <w:spacing w:after="0" w:line="240" w:lineRule="auto"/>
              <w:ind w:left="0"/>
              <w:rPr>
                <w:rFonts w:cs="Arial"/>
                <w:bCs/>
                <w:color w:val="000000" w:themeColor="text1"/>
                <w:kern w:val="24"/>
                <w:szCs w:val="17"/>
              </w:rPr>
            </w:pPr>
            <w:r w:rsidRPr="00820C89">
              <w:rPr>
                <w:rFonts w:cs="Arial"/>
                <w:bCs/>
                <w:color w:val="000000" w:themeColor="text1"/>
                <w:kern w:val="24"/>
                <w:szCs w:val="17"/>
              </w:rPr>
              <w:t>The quantum and nature of provider interviews will be determined in the sampling process and with input from NIAA, but will be held in July-September and are expected to include:</w:t>
            </w:r>
          </w:p>
          <w:p w14:paraId="47847D30" w14:textId="77777777" w:rsidR="00C1765C" w:rsidRPr="00820C89" w:rsidRDefault="00C1765C" w:rsidP="00715F70">
            <w:pPr>
              <w:pStyle w:val="ListParagraph"/>
              <w:numPr>
                <w:ilvl w:val="0"/>
                <w:numId w:val="118"/>
              </w:numPr>
              <w:spacing w:after="0" w:line="240" w:lineRule="auto"/>
              <w:ind w:left="287" w:hanging="284"/>
              <w:rPr>
                <w:rFonts w:asciiTheme="majorHAnsi" w:hAnsiTheme="majorHAnsi" w:cs="Arial"/>
                <w:szCs w:val="17"/>
              </w:rPr>
            </w:pPr>
            <w:r w:rsidRPr="00820C89">
              <w:rPr>
                <w:rFonts w:cs="Arial"/>
                <w:bCs/>
                <w:color w:val="000000" w:themeColor="text1"/>
                <w:kern w:val="24"/>
                <w:szCs w:val="17"/>
              </w:rPr>
              <w:t xml:space="preserve">An invitation for VTEC providers to attend a participatory workshop at a regional level, </w:t>
            </w:r>
            <w:r w:rsidRPr="00820C89">
              <w:rPr>
                <w:rFonts w:asciiTheme="majorHAnsi" w:hAnsiTheme="majorHAnsi" w:cs="Arial"/>
                <w:bCs/>
                <w:color w:val="000000" w:themeColor="text1"/>
                <w:kern w:val="24"/>
                <w:szCs w:val="17"/>
              </w:rPr>
              <w:t>with a minimum of 10 represented nationally.</w:t>
            </w:r>
          </w:p>
          <w:p w14:paraId="40C363A5" w14:textId="77777777" w:rsidR="00C1765C" w:rsidRPr="00820C89" w:rsidRDefault="00C1765C" w:rsidP="00715F70">
            <w:pPr>
              <w:pStyle w:val="NormalWeb"/>
              <w:numPr>
                <w:ilvl w:val="0"/>
                <w:numId w:val="118"/>
              </w:numPr>
              <w:spacing w:after="0"/>
              <w:ind w:left="287" w:hanging="284"/>
              <w:rPr>
                <w:rFonts w:ascii="Verdana" w:hAnsi="Verdana" w:cs="Arial"/>
                <w:color w:val="000000" w:themeColor="text1"/>
                <w:kern w:val="24"/>
                <w:sz w:val="17"/>
                <w:szCs w:val="17"/>
              </w:rPr>
            </w:pPr>
            <w:r w:rsidRPr="00820C89">
              <w:rPr>
                <w:rFonts w:asciiTheme="majorHAnsi" w:hAnsiTheme="majorHAnsi" w:cs="Arial"/>
                <w:bCs/>
                <w:color w:val="000000" w:themeColor="text1"/>
                <w:kern w:val="24"/>
                <w:sz w:val="17"/>
                <w:szCs w:val="17"/>
              </w:rPr>
              <w:t>An invitation for TAEG providers to attend a participatory workshop at a regional level, with a minimum of 10 represented nationally.</w:t>
            </w:r>
          </w:p>
        </w:tc>
      </w:tr>
      <w:tr w:rsidR="00C1765C" w:rsidRPr="00820C89" w14:paraId="561677B0" w14:textId="77777777" w:rsidTr="006D2536">
        <w:trPr>
          <w:trHeight w:val="1747"/>
        </w:trPr>
        <w:tc>
          <w:tcPr>
            <w:tcW w:w="1442" w:type="dxa"/>
            <w:vAlign w:val="center"/>
          </w:tcPr>
          <w:p w14:paraId="7F0C6FE4" w14:textId="77777777" w:rsidR="00C1765C" w:rsidRPr="00820C89" w:rsidRDefault="00C1765C" w:rsidP="006D2536">
            <w:pPr>
              <w:spacing w:after="0"/>
            </w:pPr>
            <w:r w:rsidRPr="00820C89">
              <w:rPr>
                <w:rFonts w:cs="Arial"/>
                <w:color w:val="000000" w:themeColor="text1"/>
                <w:kern w:val="24"/>
                <w:szCs w:val="17"/>
              </w:rPr>
              <w:lastRenderedPageBreak/>
              <w:t>Employers (including EPI Partners)</w:t>
            </w:r>
          </w:p>
        </w:tc>
        <w:tc>
          <w:tcPr>
            <w:tcW w:w="3236" w:type="dxa"/>
          </w:tcPr>
          <w:p w14:paraId="1B2D6BFA" w14:textId="77777777" w:rsidR="00C1765C" w:rsidRPr="00820C89" w:rsidRDefault="00C1765C" w:rsidP="006D2536">
            <w:pPr>
              <w:pStyle w:val="NormalWeb"/>
              <w:spacing w:after="0"/>
            </w:pPr>
            <w:r w:rsidRPr="00820C89">
              <w:rPr>
                <w:rFonts w:ascii="Verdana" w:hAnsi="Verdana" w:cs="Arial"/>
                <w:color w:val="000000" w:themeColor="text1"/>
                <w:kern w:val="24"/>
                <w:sz w:val="17"/>
                <w:szCs w:val="17"/>
              </w:rPr>
              <w:t xml:space="preserve">To gain insights into </w:t>
            </w:r>
            <w:r w:rsidRPr="00820C89">
              <w:rPr>
                <w:rFonts w:ascii="Verdana" w:hAnsi="Verdana" w:cs="Arial"/>
                <w:b/>
                <w:bCs/>
                <w:color w:val="000000" w:themeColor="text1"/>
                <w:kern w:val="24"/>
                <w:sz w:val="17"/>
                <w:szCs w:val="17"/>
              </w:rPr>
              <w:t>how employers perceive the value of the programs and perspectives on opportunities/ challenges</w:t>
            </w:r>
            <w:r w:rsidRPr="00820C89">
              <w:rPr>
                <w:rFonts w:ascii="Verdana" w:hAnsi="Verdana" w:cs="Arial"/>
                <w:color w:val="000000" w:themeColor="text1"/>
                <w:kern w:val="24"/>
                <w:sz w:val="17"/>
                <w:szCs w:val="17"/>
              </w:rPr>
              <w:t xml:space="preserve">. </w:t>
            </w:r>
            <w:r w:rsidRPr="00820C89">
              <w:rPr>
                <w:rFonts w:asciiTheme="minorHAnsi" w:hAnsiTheme="minorHAnsi" w:cs="Arial"/>
                <w:color w:val="000000" w:themeColor="text1"/>
                <w:kern w:val="24"/>
                <w:sz w:val="17"/>
                <w:szCs w:val="17"/>
              </w:rPr>
              <w:t>This includes employers working with the VTEC and TAEG assisted job seekers and EPI Partners</w:t>
            </w:r>
          </w:p>
        </w:tc>
        <w:tc>
          <w:tcPr>
            <w:tcW w:w="3969" w:type="dxa"/>
          </w:tcPr>
          <w:p w14:paraId="389409E5" w14:textId="77777777" w:rsidR="00C1765C" w:rsidRPr="00820C89" w:rsidRDefault="00C1765C" w:rsidP="006D2536">
            <w:pPr>
              <w:pStyle w:val="NormalWeb"/>
              <w:spacing w:after="0"/>
            </w:pPr>
            <w:r w:rsidRPr="00820C89">
              <w:rPr>
                <w:rFonts w:ascii="Verdana" w:hAnsi="Verdana" w:cs="Arial"/>
                <w:b/>
                <w:bCs/>
                <w:color w:val="000000" w:themeColor="text1"/>
                <w:kern w:val="24"/>
                <w:sz w:val="17"/>
                <w:szCs w:val="17"/>
              </w:rPr>
              <w:t>Semi</w:t>
            </w:r>
            <w:r w:rsidRPr="00820C89">
              <w:rPr>
                <w:rFonts w:ascii="Verdana" w:hAnsi="Verdana" w:cs="Arial"/>
                <w:b/>
                <w:color w:val="000000" w:themeColor="text1"/>
                <w:kern w:val="24"/>
                <w:sz w:val="17"/>
                <w:szCs w:val="17"/>
              </w:rPr>
              <w:t>-structured interviews</w:t>
            </w:r>
            <w:r w:rsidRPr="00820C89">
              <w:rPr>
                <w:rFonts w:ascii="Verdana" w:hAnsi="Verdana" w:cs="Arial"/>
                <w:color w:val="000000" w:themeColor="text1"/>
                <w:kern w:val="24"/>
                <w:sz w:val="17"/>
                <w:szCs w:val="17"/>
              </w:rPr>
              <w:t xml:space="preserve">, with consistent questioning to allow comparison across provider types, with place-based case study development a desired output. To take place on site or at NIAA regional office. </w:t>
            </w:r>
          </w:p>
        </w:tc>
        <w:tc>
          <w:tcPr>
            <w:tcW w:w="6161" w:type="dxa"/>
          </w:tcPr>
          <w:p w14:paraId="224C7940" w14:textId="77777777" w:rsidR="00C1765C" w:rsidRPr="00820C89" w:rsidRDefault="00C1765C" w:rsidP="006D2536">
            <w:pPr>
              <w:spacing w:after="0"/>
              <w:ind w:left="0"/>
            </w:pPr>
            <w:r w:rsidRPr="00820C89">
              <w:rPr>
                <w:rFonts w:cs="Arial"/>
                <w:color w:val="000000" w:themeColor="text1"/>
                <w:kern w:val="24"/>
                <w:szCs w:val="17"/>
              </w:rPr>
              <w:t>The quantum of interviews to be determined in the sampling process, but will be held in July – September and are expected to include:</w:t>
            </w:r>
          </w:p>
          <w:p w14:paraId="6AD444AB" w14:textId="77777777" w:rsidR="00C1765C" w:rsidRPr="00820C89" w:rsidRDefault="00C1765C" w:rsidP="00715F70">
            <w:pPr>
              <w:pStyle w:val="ListParagraph"/>
              <w:numPr>
                <w:ilvl w:val="0"/>
                <w:numId w:val="118"/>
              </w:numPr>
              <w:spacing w:after="0"/>
              <w:ind w:left="287" w:hanging="284"/>
            </w:pPr>
            <w:r w:rsidRPr="00820C89">
              <w:rPr>
                <w:rFonts w:cs="Arial"/>
                <w:color w:val="000000" w:themeColor="text1"/>
                <w:kern w:val="24"/>
                <w:szCs w:val="17"/>
              </w:rPr>
              <w:t>Up to 24, 90 minute consultations (with the option of two 60 minute interviews – with employer leadership/ program officers if preferred).</w:t>
            </w:r>
            <w:r w:rsidRPr="00820C89">
              <w:t xml:space="preserve"> </w:t>
            </w:r>
          </w:p>
          <w:p w14:paraId="6C5B4BB4" w14:textId="77777777" w:rsidR="00C1765C" w:rsidRPr="00820C89" w:rsidRDefault="00C1765C" w:rsidP="00715F70">
            <w:pPr>
              <w:pStyle w:val="ListParagraph"/>
              <w:numPr>
                <w:ilvl w:val="0"/>
                <w:numId w:val="118"/>
              </w:numPr>
              <w:spacing w:after="0"/>
              <w:ind w:left="287" w:hanging="284"/>
              <w:rPr>
                <w:rFonts w:cs="Arial"/>
                <w:color w:val="000000" w:themeColor="text1"/>
                <w:kern w:val="24"/>
                <w:szCs w:val="17"/>
              </w:rPr>
            </w:pPr>
            <w:r w:rsidRPr="00820C89">
              <w:rPr>
                <w:rFonts w:cs="Arial"/>
                <w:color w:val="000000" w:themeColor="text1"/>
                <w:kern w:val="24"/>
                <w:szCs w:val="17"/>
              </w:rPr>
              <w:t>Ten 60 minute consultations with EPI employers.</w:t>
            </w:r>
          </w:p>
          <w:p w14:paraId="057434B3" w14:textId="77777777" w:rsidR="00C1765C" w:rsidRPr="00820C89" w:rsidRDefault="00C1765C" w:rsidP="00715F70">
            <w:pPr>
              <w:pStyle w:val="ListParagraph"/>
              <w:numPr>
                <w:ilvl w:val="0"/>
                <w:numId w:val="118"/>
              </w:numPr>
              <w:spacing w:after="0"/>
              <w:ind w:left="287" w:hanging="284"/>
            </w:pPr>
            <w:r w:rsidRPr="00820C89">
              <w:rPr>
                <w:rFonts w:cs="Arial"/>
                <w:color w:val="000000" w:themeColor="text1"/>
                <w:kern w:val="24"/>
                <w:szCs w:val="17"/>
              </w:rPr>
              <w:t>Five 60 minute consultations with large target employers that are not currently participating in the EPI (to provide a counterfactual)</w:t>
            </w:r>
          </w:p>
        </w:tc>
      </w:tr>
      <w:tr w:rsidR="00C1765C" w:rsidRPr="00820C89" w14:paraId="58EB9B87" w14:textId="77777777" w:rsidTr="006D2536">
        <w:trPr>
          <w:trHeight w:val="64"/>
        </w:trPr>
        <w:tc>
          <w:tcPr>
            <w:tcW w:w="1442" w:type="dxa"/>
            <w:vAlign w:val="center"/>
          </w:tcPr>
          <w:p w14:paraId="36FA91C6" w14:textId="77777777" w:rsidR="00C1765C" w:rsidRPr="00820C89" w:rsidRDefault="00C1765C" w:rsidP="006D2536">
            <w:pPr>
              <w:spacing w:after="0"/>
            </w:pPr>
            <w:r w:rsidRPr="00820C89">
              <w:rPr>
                <w:rFonts w:cs="Arial"/>
                <w:color w:val="000000" w:themeColor="text1"/>
                <w:kern w:val="24"/>
                <w:szCs w:val="17"/>
              </w:rPr>
              <w:t>Participants/ employees</w:t>
            </w:r>
          </w:p>
        </w:tc>
        <w:tc>
          <w:tcPr>
            <w:tcW w:w="3236" w:type="dxa"/>
          </w:tcPr>
          <w:p w14:paraId="45B735EA" w14:textId="77777777" w:rsidR="00C1765C" w:rsidRPr="00820C89" w:rsidRDefault="00C1765C" w:rsidP="006D2536">
            <w:pPr>
              <w:spacing w:after="0"/>
            </w:pPr>
            <w:r w:rsidRPr="00820C89">
              <w:rPr>
                <w:rFonts w:cs="Arial"/>
                <w:color w:val="000000" w:themeColor="text1"/>
                <w:kern w:val="24"/>
                <w:szCs w:val="17"/>
              </w:rPr>
              <w:t xml:space="preserve">To gain insights into how participants (Indigenous job seekers and employees) </w:t>
            </w:r>
            <w:r w:rsidRPr="00820C89">
              <w:rPr>
                <w:rFonts w:cs="Arial"/>
                <w:b/>
                <w:bCs/>
                <w:color w:val="000000" w:themeColor="text1"/>
                <w:kern w:val="24"/>
                <w:szCs w:val="17"/>
              </w:rPr>
              <w:t>perceive the value of the programs and perspectives on opportunities/challenges</w:t>
            </w:r>
          </w:p>
        </w:tc>
        <w:tc>
          <w:tcPr>
            <w:tcW w:w="3969" w:type="dxa"/>
          </w:tcPr>
          <w:p w14:paraId="209C3BCF" w14:textId="77777777" w:rsidR="00C1765C" w:rsidRPr="00820C89" w:rsidRDefault="00C1765C" w:rsidP="006D2536">
            <w:pPr>
              <w:pStyle w:val="NormalWeb"/>
              <w:spacing w:after="0"/>
              <w:rPr>
                <w:rFonts w:ascii="Verdana" w:hAnsi="Verdana" w:cs="Arial"/>
                <w:color w:val="000000" w:themeColor="text1"/>
                <w:spacing w:val="-4"/>
                <w:kern w:val="24"/>
                <w:sz w:val="17"/>
                <w:szCs w:val="17"/>
              </w:rPr>
            </w:pPr>
            <w:r w:rsidRPr="00820C89">
              <w:rPr>
                <w:rFonts w:ascii="Verdana" w:hAnsi="Verdana" w:cs="Arial"/>
                <w:b/>
                <w:color w:val="000000" w:themeColor="text1"/>
                <w:kern w:val="24"/>
                <w:sz w:val="17"/>
                <w:szCs w:val="17"/>
              </w:rPr>
              <w:t>Semi-structured group facilitated discussions or semi-structured interviews</w:t>
            </w:r>
            <w:r w:rsidRPr="00820C89">
              <w:rPr>
                <w:rFonts w:ascii="Verdana" w:hAnsi="Verdana" w:cs="Arial"/>
                <w:color w:val="000000" w:themeColor="text1"/>
                <w:kern w:val="24"/>
                <w:sz w:val="17"/>
                <w:szCs w:val="17"/>
              </w:rPr>
              <w:t xml:space="preserve">, with consistent questioning to allow comparison across provider types. Each conversation would be facilitated by an Indigenous evaluator (from Deloitte or the </w:t>
            </w:r>
            <w:r w:rsidRPr="00820C89">
              <w:rPr>
                <w:rFonts w:ascii="Verdana" w:hAnsi="Verdana" w:cs="Arial"/>
                <w:color w:val="000000" w:themeColor="text1"/>
                <w:spacing w:val="-4"/>
                <w:kern w:val="24"/>
                <w:sz w:val="17"/>
                <w:szCs w:val="17"/>
              </w:rPr>
              <w:t xml:space="preserve">Gaimaragal Group) and a Deloitte evaluator. </w:t>
            </w:r>
          </w:p>
        </w:tc>
        <w:tc>
          <w:tcPr>
            <w:tcW w:w="6161" w:type="dxa"/>
          </w:tcPr>
          <w:p w14:paraId="24AF39F6" w14:textId="77777777" w:rsidR="00C1765C" w:rsidRPr="00820C89" w:rsidRDefault="00C1765C" w:rsidP="00715F70">
            <w:pPr>
              <w:pStyle w:val="ListParagraph"/>
              <w:numPr>
                <w:ilvl w:val="0"/>
                <w:numId w:val="118"/>
              </w:numPr>
              <w:spacing w:after="0"/>
              <w:ind w:left="287" w:hanging="284"/>
            </w:pPr>
            <w:r w:rsidRPr="00820C89">
              <w:rPr>
                <w:rFonts w:cs="Arial"/>
                <w:color w:val="000000" w:themeColor="text1"/>
                <w:kern w:val="24"/>
                <w:szCs w:val="17"/>
              </w:rPr>
              <w:t xml:space="preserve">Up to 20 90 minute facilitated participants group discussions (quantum is dependent on sampling), with at least one taking place in each NIAA region, held in July - September. </w:t>
            </w:r>
          </w:p>
          <w:p w14:paraId="714F49F6" w14:textId="77777777" w:rsidR="00C1765C" w:rsidRPr="00820C89" w:rsidRDefault="00C1765C" w:rsidP="00715F70">
            <w:pPr>
              <w:pStyle w:val="NormalWeb"/>
              <w:numPr>
                <w:ilvl w:val="0"/>
                <w:numId w:val="118"/>
              </w:numPr>
              <w:spacing w:after="0"/>
              <w:ind w:left="287" w:hanging="284"/>
              <w:rPr>
                <w:rFonts w:ascii="Arial" w:hAnsi="Arial" w:cs="Arial"/>
                <w:sz w:val="17"/>
                <w:szCs w:val="17"/>
              </w:rPr>
            </w:pPr>
            <w:r w:rsidRPr="00820C89">
              <w:rPr>
                <w:rFonts w:ascii="Verdana" w:hAnsi="Verdana" w:cs="Arial"/>
                <w:color w:val="000000" w:themeColor="text1"/>
                <w:kern w:val="24"/>
                <w:sz w:val="17"/>
                <w:szCs w:val="17"/>
              </w:rPr>
              <w:t xml:space="preserve">Approximately four to eight participants in each session, with NIAA or providers to provide insight into desired number of participants in each group. </w:t>
            </w:r>
          </w:p>
          <w:p w14:paraId="09D55A08" w14:textId="77777777" w:rsidR="00C1765C" w:rsidRPr="00820C89" w:rsidRDefault="00C1765C" w:rsidP="00715F70">
            <w:pPr>
              <w:pStyle w:val="NormalWeb"/>
              <w:numPr>
                <w:ilvl w:val="0"/>
                <w:numId w:val="118"/>
              </w:numPr>
              <w:spacing w:after="0"/>
              <w:ind w:left="287" w:hanging="284"/>
              <w:rPr>
                <w:rFonts w:ascii="Arial" w:hAnsi="Arial" w:cs="Arial"/>
                <w:sz w:val="17"/>
                <w:szCs w:val="17"/>
              </w:rPr>
            </w:pPr>
            <w:r w:rsidRPr="00820C89">
              <w:rPr>
                <w:rFonts w:ascii="Verdana" w:hAnsi="Verdana" w:cs="Arial"/>
                <w:color w:val="000000" w:themeColor="text1"/>
                <w:kern w:val="24"/>
                <w:sz w:val="17"/>
                <w:szCs w:val="17"/>
              </w:rPr>
              <w:t xml:space="preserve">If COVID 19 restrictions prevent face to face interactions then an alternative approach based on a combination of video-conferencing, and in location facilitators will be used, depending on the features of each group. </w:t>
            </w:r>
            <w:r w:rsidRPr="00820C89">
              <w:rPr>
                <w:rFonts w:ascii="Arial" w:hAnsi="Arial" w:cs="Arial"/>
                <w:color w:val="000000" w:themeColor="text1"/>
                <w:kern w:val="24"/>
                <w:sz w:val="17"/>
                <w:szCs w:val="17"/>
              </w:rPr>
              <w:t xml:space="preserve"> </w:t>
            </w:r>
          </w:p>
        </w:tc>
      </w:tr>
    </w:tbl>
    <w:p w14:paraId="61BA73D7" w14:textId="77777777" w:rsidR="00C1765C" w:rsidRPr="00820C89" w:rsidRDefault="00C1765C" w:rsidP="00C1765C">
      <w:pPr>
        <w:spacing w:after="0"/>
        <w:rPr>
          <w:color w:val="75787B" w:themeColor="accent6"/>
          <w:sz w:val="16"/>
          <w:szCs w:val="16"/>
        </w:rPr>
      </w:pPr>
      <w:r w:rsidRPr="00820C89">
        <w:rPr>
          <w:color w:val="75787B" w:themeColor="accent6"/>
          <w:sz w:val="16"/>
          <w:szCs w:val="16"/>
        </w:rPr>
        <w:t>Source: Deloitte Access Economics (2020).</w:t>
      </w:r>
    </w:p>
    <w:p w14:paraId="48FAEB3A" w14:textId="77777777" w:rsidR="00C1765C" w:rsidRPr="00820C89" w:rsidRDefault="00C1765C" w:rsidP="00C1765C">
      <w:pPr>
        <w:sectPr w:rsidR="00C1765C" w:rsidRPr="00820C89" w:rsidSect="007C0437">
          <w:pgSz w:w="16838" w:h="11906" w:orient="landscape" w:code="9"/>
          <w:pgMar w:top="1440" w:right="1440" w:bottom="1440" w:left="1440" w:header="680" w:footer="425" w:gutter="0"/>
          <w:cols w:space="284"/>
          <w:docGrid w:linePitch="360"/>
        </w:sectPr>
      </w:pPr>
    </w:p>
    <w:p w14:paraId="5D1EEE07" w14:textId="77777777" w:rsidR="00C1765C" w:rsidRPr="00820C89" w:rsidRDefault="00C1765C" w:rsidP="00715F70">
      <w:pPr>
        <w:pStyle w:val="Heading3"/>
        <w:numPr>
          <w:ilvl w:val="2"/>
          <w:numId w:val="12"/>
        </w:numPr>
        <w:tabs>
          <w:tab w:val="num" w:pos="1492"/>
        </w:tabs>
        <w:ind w:hanging="360"/>
      </w:pPr>
      <w:bookmarkStart w:id="440" w:name="_Toc37099391"/>
      <w:bookmarkStart w:id="441" w:name="_Ref37169011"/>
      <w:bookmarkStart w:id="442" w:name="_Toc37177386"/>
      <w:bookmarkStart w:id="443" w:name="_Toc37217766"/>
      <w:bookmarkStart w:id="444" w:name="_Toc37402756"/>
      <w:bookmarkStart w:id="445" w:name="_Toc45206346"/>
      <w:r w:rsidRPr="00820C89">
        <w:lastRenderedPageBreak/>
        <w:t>Initial consultations</w:t>
      </w:r>
      <w:bookmarkEnd w:id="440"/>
      <w:bookmarkEnd w:id="441"/>
      <w:bookmarkEnd w:id="442"/>
      <w:bookmarkEnd w:id="443"/>
      <w:bookmarkEnd w:id="444"/>
      <w:bookmarkEnd w:id="445"/>
    </w:p>
    <w:p w14:paraId="069E7A35" w14:textId="77777777" w:rsidR="00C1765C" w:rsidRPr="00820C89" w:rsidRDefault="00C1765C" w:rsidP="00C1765C">
      <w:r w:rsidRPr="00820C89">
        <w:t>Broadly, the purpose of the initial consultations is to test the stakeholder engagement approach with each NIAA region, and to understand how collaborative the design, implementation and evaluation process has been.</w:t>
      </w:r>
    </w:p>
    <w:p w14:paraId="08C2F9CE" w14:textId="77777777" w:rsidR="00C1765C" w:rsidRPr="00820C89" w:rsidRDefault="00C1765C" w:rsidP="00C1765C">
      <w:r w:rsidRPr="00820C89">
        <w:t>As discussed</w:t>
      </w:r>
      <w:r w:rsidRPr="00820C89">
        <w:rPr>
          <w:b/>
        </w:rPr>
        <w:t xml:space="preserve">, </w:t>
      </w:r>
      <w:r w:rsidRPr="00820C89">
        <w:t xml:space="preserve">this round of stakeholder engagement will include consultations with:  </w:t>
      </w:r>
    </w:p>
    <w:p w14:paraId="3AF6104E" w14:textId="77777777" w:rsidR="00C1765C" w:rsidRPr="00820C89" w:rsidRDefault="00C1765C" w:rsidP="00715F70">
      <w:pPr>
        <w:pStyle w:val="ListParagraph"/>
        <w:numPr>
          <w:ilvl w:val="0"/>
          <w:numId w:val="119"/>
        </w:numPr>
        <w:spacing w:before="170"/>
      </w:pPr>
      <w:r w:rsidRPr="00820C89">
        <w:t xml:space="preserve">representatives from each of the NIAA regions </w:t>
      </w:r>
    </w:p>
    <w:p w14:paraId="0CDC4A38" w14:textId="77777777" w:rsidR="00C1765C" w:rsidRPr="00820C89" w:rsidRDefault="00C1765C" w:rsidP="00715F70">
      <w:pPr>
        <w:pStyle w:val="ListParagraph"/>
        <w:numPr>
          <w:ilvl w:val="0"/>
          <w:numId w:val="119"/>
        </w:numPr>
        <w:spacing w:before="170"/>
      </w:pPr>
      <w:r w:rsidRPr="00820C89">
        <w:t xml:space="preserve">NIAA and DESE program area and policy staff </w:t>
      </w:r>
    </w:p>
    <w:p w14:paraId="7A17FD90" w14:textId="77777777" w:rsidR="00C1765C" w:rsidRPr="00820C89" w:rsidRDefault="00C1765C" w:rsidP="00715F70">
      <w:pPr>
        <w:pStyle w:val="ListParagraph"/>
        <w:numPr>
          <w:ilvl w:val="0"/>
          <w:numId w:val="119"/>
        </w:numPr>
        <w:spacing w:before="170"/>
      </w:pPr>
      <w:r w:rsidRPr="00820C89">
        <w:t>Indigenous representatives</w:t>
      </w:r>
    </w:p>
    <w:p w14:paraId="05677880" w14:textId="72652750" w:rsidR="00C1765C" w:rsidRPr="00820C89" w:rsidRDefault="00C1765C" w:rsidP="00C1765C">
      <w:r w:rsidRPr="00820C89">
        <w:t xml:space="preserve">All initial consultations will be held via teleconference. To mitigate potential technical difficulties during this process, interviewees will be given the opportunity to elect a platform for the consult that best suits them and ensures interoperability. Deloitte Access Economics is able to hold teleconferences via Skype, Microsoft Teams, Zoom, or over the phone. With participants permission, the evaluation team will record these consultations and then transcribe these sound recordings, to enable qualitative data analysis using NVivo software (further detail on the data collection and storage process is provided in Section </w:t>
      </w:r>
      <w:r w:rsidRPr="00820C89">
        <w:fldChar w:fldCharType="begin"/>
      </w:r>
      <w:r w:rsidRPr="00820C89">
        <w:instrText xml:space="preserve"> REF _Ref37247555 \r \h </w:instrText>
      </w:r>
      <w:r w:rsidR="00820C89">
        <w:instrText xml:space="preserve"> \* MERGEFORMAT </w:instrText>
      </w:r>
      <w:r w:rsidRPr="00820C89">
        <w:fldChar w:fldCharType="separate"/>
      </w:r>
      <w:r w:rsidR="008565C8">
        <w:t>4.4</w:t>
      </w:r>
      <w:r w:rsidRPr="00820C89">
        <w:fldChar w:fldCharType="end"/>
      </w:r>
      <w:r w:rsidRPr="00820C89">
        <w:t>).</w:t>
      </w:r>
    </w:p>
    <w:p w14:paraId="6D866B4A" w14:textId="3E82A662" w:rsidR="00C1765C" w:rsidRPr="00820C89" w:rsidRDefault="00C1765C" w:rsidP="00C1765C">
      <w:pPr>
        <w:rPr>
          <w:iCs/>
        </w:rPr>
      </w:pPr>
      <w:r w:rsidRPr="00820C89">
        <w:rPr>
          <w:iCs/>
        </w:rPr>
        <w:t xml:space="preserve">All of these consultations will be held in April-May 2020, with two Deloitte Access Economics project team members in attendance. The proposed interview guides for these consultations are provided at </w:t>
      </w:r>
      <w:r w:rsidRPr="00820C89">
        <w:rPr>
          <w:b/>
          <w:iCs/>
        </w:rPr>
        <w:fldChar w:fldCharType="begin"/>
      </w:r>
      <w:r w:rsidRPr="00820C89">
        <w:rPr>
          <w:b/>
          <w:iCs/>
        </w:rPr>
        <w:instrText xml:space="preserve"> REF _Ref37247617 \r \h </w:instrText>
      </w:r>
      <w:r w:rsidR="00820C89">
        <w:rPr>
          <w:b/>
          <w:iCs/>
        </w:rPr>
        <w:instrText xml:space="preserve"> \* MERGEFORMAT </w:instrText>
      </w:r>
      <w:r w:rsidRPr="00820C89">
        <w:rPr>
          <w:b/>
          <w:iCs/>
        </w:rPr>
      </w:r>
      <w:r w:rsidRPr="00820C89">
        <w:rPr>
          <w:b/>
          <w:iCs/>
        </w:rPr>
        <w:fldChar w:fldCharType="separate"/>
      </w:r>
      <w:r w:rsidR="008565C8">
        <w:rPr>
          <w:b/>
          <w:iCs/>
        </w:rPr>
        <w:t>Appendix E</w:t>
      </w:r>
      <w:r w:rsidRPr="00820C89">
        <w:rPr>
          <w:b/>
          <w:iCs/>
        </w:rPr>
        <w:fldChar w:fldCharType="end"/>
      </w:r>
      <w:r w:rsidRPr="00820C89">
        <w:rPr>
          <w:b/>
          <w:iCs/>
        </w:rPr>
        <w:t>.</w:t>
      </w:r>
    </w:p>
    <w:p w14:paraId="58CED6D7" w14:textId="77777777" w:rsidR="00C1765C" w:rsidRPr="00820C89" w:rsidRDefault="00C1765C" w:rsidP="00715F70">
      <w:pPr>
        <w:pStyle w:val="Heading4"/>
        <w:numPr>
          <w:ilvl w:val="3"/>
          <w:numId w:val="12"/>
        </w:numPr>
        <w:tabs>
          <w:tab w:val="num" w:pos="1492"/>
        </w:tabs>
        <w:ind w:left="1492" w:hanging="360"/>
      </w:pPr>
      <w:r w:rsidRPr="00820C89">
        <w:t>NIAA regional network consultations</w:t>
      </w:r>
    </w:p>
    <w:p w14:paraId="1214D1BF" w14:textId="77777777" w:rsidR="00C1765C" w:rsidRPr="00820C89" w:rsidRDefault="00C1765C" w:rsidP="00C1765C">
      <w:r w:rsidRPr="00820C89">
        <w:t>The purpose of the NIAA regional network consultations is to understand different regional contexts, though it will also be used to test the proposed stakeholder engagement approach. Responses will inform decisions for the design of the regional consultations, including who should consulted, whether the selected communities are appropriate for the purposes of this evaluation, and provide advice on how the regional consultations should be run.</w:t>
      </w:r>
    </w:p>
    <w:p w14:paraId="43BF457B" w14:textId="77777777" w:rsidR="00C1765C" w:rsidRPr="00820C89" w:rsidRDefault="00C1765C" w:rsidP="00C1765C">
      <w:r w:rsidRPr="00820C89">
        <w:t xml:space="preserve">More broadly, the initial consultations with the NIAA regional network will provide an opportunity for the network to be introduced to the evaluation, ahead of multiple touchpoints throughout the year, and for the evaluation to begin to understand the regional context and variation of IEP delivery.  </w:t>
      </w:r>
    </w:p>
    <w:p w14:paraId="1BD96943" w14:textId="77777777" w:rsidR="00C1765C" w:rsidRPr="00820C89" w:rsidRDefault="00C1765C" w:rsidP="00C1765C">
      <w:r w:rsidRPr="00820C89">
        <w:t>Members of the NIAA regional network, including at least one member from each of the twelve regions, will be selected by the NIAA. As IEP program activity varies across regions, the consultations have been designed to account for the differing levels of understanding that interviewees may have with each of the programs.</w:t>
      </w:r>
    </w:p>
    <w:p w14:paraId="7EA7E031" w14:textId="77777777" w:rsidR="00C1765C" w:rsidRPr="00820C89" w:rsidRDefault="00C1765C" w:rsidP="00715F70">
      <w:pPr>
        <w:pStyle w:val="Heading4"/>
        <w:numPr>
          <w:ilvl w:val="3"/>
          <w:numId w:val="12"/>
        </w:numPr>
        <w:tabs>
          <w:tab w:val="num" w:pos="1492"/>
        </w:tabs>
        <w:ind w:left="1492" w:hanging="360"/>
      </w:pPr>
      <w:r w:rsidRPr="00820C89">
        <w:t>NIAA program staff</w:t>
      </w:r>
    </w:p>
    <w:p w14:paraId="0950A221" w14:textId="77777777" w:rsidR="00C1765C" w:rsidRPr="00820C89" w:rsidRDefault="00C1765C" w:rsidP="00C1765C">
      <w:r w:rsidRPr="00820C89">
        <w:t>The purpose of these consultations is to understand the evidence base and decision-making behind the design of the programs. These consultations will also provide information regarding the</w:t>
      </w:r>
      <w:r w:rsidRPr="00820C89">
        <w:rPr>
          <w:i/>
        </w:rPr>
        <w:t xml:space="preserve"> </w:t>
      </w:r>
      <w:r w:rsidRPr="00820C89">
        <w:rPr>
          <w:iCs/>
        </w:rPr>
        <w:t>int</w:t>
      </w:r>
      <w:r w:rsidRPr="00820C89">
        <w:t xml:space="preserve">ended design of the programs. This will enable the evaluation team to compare findings from the regional consultations to understand the extent to which the programs were implemented as intended. </w:t>
      </w:r>
    </w:p>
    <w:p w14:paraId="756875DF" w14:textId="77777777" w:rsidR="00C1765C" w:rsidRPr="00820C89" w:rsidRDefault="00C1765C" w:rsidP="00C1765C">
      <w:r w:rsidRPr="00820C89">
        <w:t>The NIAA central office will recommend appropriate interviewees for these consultations. While it is preferred that some individuals consulted will have knowledge of all in-scope programs, at a minimum, the selected individuals will have a detailed understanding of at least one of the three of the programs in-scope.</w:t>
      </w:r>
    </w:p>
    <w:p w14:paraId="437EDA75" w14:textId="77777777" w:rsidR="00C1765C" w:rsidRPr="00820C89" w:rsidRDefault="00C1765C" w:rsidP="00715F70">
      <w:pPr>
        <w:pStyle w:val="Heading4"/>
        <w:numPr>
          <w:ilvl w:val="3"/>
          <w:numId w:val="12"/>
        </w:numPr>
        <w:tabs>
          <w:tab w:val="num" w:pos="1492"/>
        </w:tabs>
        <w:ind w:left="1492" w:hanging="360"/>
      </w:pPr>
      <w:r w:rsidRPr="00820C89">
        <w:t>Indigenous representatives</w:t>
      </w:r>
    </w:p>
    <w:p w14:paraId="748F8A73" w14:textId="77777777" w:rsidR="00C1765C" w:rsidRPr="00820C89" w:rsidRDefault="00C1765C" w:rsidP="00C1765C">
      <w:r w:rsidRPr="00820C89">
        <w:t>The purpose of these consultations is to understand the strengths and limitations of the programs’ design from the perspective of Indigenous Australians, as well as to test the degree to which the programs were designed in collaboration with Indigenous Australians. These consultations will support the evaluation’s assessment of the appropriateness of program design. This data will be triangulated with findings from the literature review. Findings will be reported on in the interim report.</w:t>
      </w:r>
    </w:p>
    <w:p w14:paraId="41BF56B6" w14:textId="77777777" w:rsidR="00C1765C" w:rsidRPr="00820C89" w:rsidRDefault="00C1765C" w:rsidP="00C1765C">
      <w:r w:rsidRPr="00820C89">
        <w:lastRenderedPageBreak/>
        <w:t xml:space="preserve">A number of these individuals or groups will be chosen for their expertise in Indigenous social policy, and particularly in employment policy. This is likely to include individuals from Indigenous Australian organisations and relevant Indigenous peak bodies or advisory councils. Further, a number of the consultations are expected to be held with Indigenous organisations or people that were involved in the design of the IEPs.  </w:t>
      </w:r>
    </w:p>
    <w:p w14:paraId="646E648C" w14:textId="77777777" w:rsidR="00C1765C" w:rsidRPr="00820C89" w:rsidRDefault="00C1765C" w:rsidP="00C1765C">
      <w:r w:rsidRPr="00820C89">
        <w:t>Both the NIAA and Indigenous Australian experts within the evaluation team will recommend individuals or parties to be consulted.</w:t>
      </w:r>
      <w:r w:rsidRPr="00820C89">
        <w:rPr>
          <w:rStyle w:val="FootnoteReference"/>
        </w:rPr>
        <w:footnoteReference w:id="326"/>
      </w:r>
      <w:r w:rsidRPr="00820C89">
        <w:t xml:space="preserve"> Noting the individuals within this stakeholder group are likely to have varying degrees of expertise and experience with the programs being evaluated, the consultation guides have been designed to be flexible to account for these differences. </w:t>
      </w:r>
    </w:p>
    <w:p w14:paraId="7A14464B" w14:textId="77777777" w:rsidR="00C1765C" w:rsidRPr="00820C89" w:rsidRDefault="00C1765C" w:rsidP="00715F70">
      <w:pPr>
        <w:pStyle w:val="Heading3"/>
        <w:numPr>
          <w:ilvl w:val="2"/>
          <w:numId w:val="12"/>
        </w:numPr>
        <w:tabs>
          <w:tab w:val="num" w:pos="1492"/>
        </w:tabs>
        <w:ind w:hanging="360"/>
      </w:pPr>
      <w:bookmarkStart w:id="446" w:name="_Toc37177387"/>
      <w:bookmarkStart w:id="447" w:name="_Toc37217767"/>
      <w:bookmarkStart w:id="448" w:name="_Toc37402757"/>
      <w:bookmarkStart w:id="449" w:name="_Toc45206347"/>
      <w:r w:rsidRPr="00820C89">
        <w:t>Provider survey</w:t>
      </w:r>
      <w:bookmarkEnd w:id="446"/>
      <w:bookmarkEnd w:id="447"/>
      <w:bookmarkEnd w:id="448"/>
      <w:bookmarkEnd w:id="449"/>
    </w:p>
    <w:p w14:paraId="76D9999D" w14:textId="77777777" w:rsidR="00C1765C" w:rsidRPr="00820C89" w:rsidRDefault="00C1765C" w:rsidP="00C1765C">
      <w:r w:rsidRPr="00820C89">
        <w:t>The purpose of the provider survey is to gather evidence from a breadth of providers on the nature of the activities undertaken through the program. The survey provides an opportunity for all VTEC and TAEG providers (including those that may not be party to further consultation) to provide their feedback on the appropriateness, effectiveness or efficiency of the in-scope programs. This will enable comparison across the programs and provide a critical data source for triangulation.</w:t>
      </w:r>
    </w:p>
    <w:p w14:paraId="14E70B4E" w14:textId="77777777" w:rsidR="00C1765C" w:rsidRPr="00820C89" w:rsidRDefault="00C1765C" w:rsidP="00C1765C">
      <w:r w:rsidRPr="00820C89">
        <w:t xml:space="preserve">Various research activities were undertaken to inform the survey’s development, including: </w:t>
      </w:r>
    </w:p>
    <w:p w14:paraId="7EA97F22" w14:textId="77777777" w:rsidR="00C1765C" w:rsidRPr="00820C89" w:rsidRDefault="00C1765C" w:rsidP="00C1765C">
      <w:pPr>
        <w:pStyle w:val="ListBullet"/>
        <w:spacing w:before="60" w:after="60"/>
        <w:contextualSpacing w:val="0"/>
      </w:pPr>
      <w:r w:rsidRPr="00820C89">
        <w:rPr>
          <w:b/>
        </w:rPr>
        <w:t>a document review</w:t>
      </w:r>
      <w:r w:rsidRPr="00820C89">
        <w:t xml:space="preserve"> of the existing Evaluation Strategy and other program documentation</w:t>
      </w:r>
    </w:p>
    <w:p w14:paraId="477F2659" w14:textId="77777777" w:rsidR="00C1765C" w:rsidRPr="00820C89" w:rsidRDefault="00C1765C" w:rsidP="00C1765C">
      <w:pPr>
        <w:pStyle w:val="ListBullet"/>
        <w:spacing w:before="60" w:after="60"/>
        <w:contextualSpacing w:val="0"/>
      </w:pPr>
      <w:r w:rsidRPr="00820C89">
        <w:rPr>
          <w:b/>
        </w:rPr>
        <w:t>consultation with NIAA staff</w:t>
      </w:r>
      <w:r w:rsidRPr="00820C89">
        <w:t xml:space="preserve"> to gain a better understanding of the programs’ similarities, differences and where they interact</w:t>
      </w:r>
    </w:p>
    <w:p w14:paraId="73EF0CDB" w14:textId="77777777" w:rsidR="00C1765C" w:rsidRPr="00820C89" w:rsidRDefault="00C1765C" w:rsidP="00C1765C">
      <w:pPr>
        <w:pStyle w:val="ListBullet"/>
        <w:spacing w:before="60" w:after="60"/>
        <w:contextualSpacing w:val="0"/>
      </w:pPr>
      <w:r w:rsidRPr="00820C89">
        <w:rPr>
          <w:b/>
        </w:rPr>
        <w:t>a data workshop</w:t>
      </w:r>
      <w:r w:rsidRPr="00820C89">
        <w:t xml:space="preserve"> </w:t>
      </w:r>
      <w:r w:rsidRPr="00820C89">
        <w:rPr>
          <w:b/>
        </w:rPr>
        <w:t>with NIAA staff</w:t>
      </w:r>
      <w:r w:rsidRPr="00820C89">
        <w:t xml:space="preserve"> to understand the quality of the data already in existence and what gaps needed to be filled.</w:t>
      </w:r>
    </w:p>
    <w:p w14:paraId="34CD164F" w14:textId="77777777" w:rsidR="00C1765C" w:rsidRPr="00820C89" w:rsidRDefault="00C1765C" w:rsidP="00C1765C">
      <w:r w:rsidRPr="00820C89">
        <w:t xml:space="preserve">These research activities provided insights that informed thoughtful design features of the survey, such as the use of: </w:t>
      </w:r>
    </w:p>
    <w:p w14:paraId="3ADDAC24" w14:textId="77777777" w:rsidR="00C1765C" w:rsidRPr="00820C89" w:rsidRDefault="00C1765C" w:rsidP="00C1765C">
      <w:pPr>
        <w:pStyle w:val="ListBullet"/>
        <w:spacing w:before="60" w:after="60"/>
        <w:contextualSpacing w:val="0"/>
        <w:rPr>
          <w:b/>
        </w:rPr>
      </w:pPr>
      <w:r w:rsidRPr="00820C89">
        <w:rPr>
          <w:b/>
        </w:rPr>
        <w:t>targeted questions</w:t>
      </w:r>
      <w:r w:rsidRPr="00820C89">
        <w:t xml:space="preserve"> exploring a wide range of provider views regarding design, implementation, impact and policy implications. </w:t>
      </w:r>
    </w:p>
    <w:p w14:paraId="6521B9F1" w14:textId="77777777" w:rsidR="00C1765C" w:rsidRPr="00820C89" w:rsidRDefault="00C1765C" w:rsidP="00C1765C">
      <w:pPr>
        <w:pStyle w:val="ListBullet"/>
        <w:spacing w:before="60" w:after="60"/>
        <w:contextualSpacing w:val="0"/>
        <w:rPr>
          <w:b/>
        </w:rPr>
      </w:pPr>
      <w:r w:rsidRPr="00820C89">
        <w:rPr>
          <w:b/>
        </w:rPr>
        <w:t>free text boxes</w:t>
      </w:r>
      <w:r w:rsidRPr="00820C89">
        <w:t xml:space="preserve"> which enable the collection of detailed responses to facilitate deeper analysis using NVivo (a qualitative data analysis software tool). </w:t>
      </w:r>
    </w:p>
    <w:p w14:paraId="59E73CB9" w14:textId="77777777" w:rsidR="00C1765C" w:rsidRPr="00820C89" w:rsidRDefault="00C1765C" w:rsidP="00C1765C">
      <w:r w:rsidRPr="00820C89">
        <w:t xml:space="preserve">Additionally, it will be made clear to survey respondents any information gathered through the provider surveys will be de-identified in all reporting back to the NIAA. </w:t>
      </w:r>
    </w:p>
    <w:p w14:paraId="17116DCF" w14:textId="77777777" w:rsidR="00C1765C" w:rsidRPr="00820C89" w:rsidRDefault="00C1765C" w:rsidP="00C1765C">
      <w:r w:rsidRPr="00820C89">
        <w:t xml:space="preserve">The provider surveys will be developed using Deloitte’s in-house survey capability operating through the Qualtrics research suite, which is capable of a wide variety of question types and is accessible across a variety of devices. The survey will be piloted with two organisations (one large and one small TAEG or VTEC provider) prior to being launched. </w:t>
      </w:r>
    </w:p>
    <w:p w14:paraId="12AE678F" w14:textId="77777777" w:rsidR="00C1765C" w:rsidRPr="00820C89" w:rsidRDefault="00C1765C" w:rsidP="00C1765C">
      <w:r w:rsidRPr="00820C89">
        <w:t>If NIAA has personalised provider email addresses, then individualised survey links will be sent to providers. This will allow survey completion to be tracked and reminders to be sent to providers who have not yet completed the survey yet. The finalised survey will be sent out to all providers in May 2020.</w:t>
      </w:r>
    </w:p>
    <w:p w14:paraId="47C785C2" w14:textId="77777777" w:rsidR="00C1765C" w:rsidRPr="00820C89" w:rsidRDefault="00C1765C" w:rsidP="00C1765C">
      <w:r w:rsidRPr="00820C89">
        <w:t xml:space="preserve">The survey will be sent to all providers and will aim to achieve at least a 30 per cent response rate to ensure the validity of results. The evaluation team will also seek to gather responses from a representative sample of TAEG and VTEC providers with consideration of the following parameters: </w:t>
      </w:r>
    </w:p>
    <w:p w14:paraId="4C632EC7" w14:textId="77777777" w:rsidR="00C1765C" w:rsidRPr="00820C89" w:rsidRDefault="00C1765C" w:rsidP="00715F70">
      <w:pPr>
        <w:pStyle w:val="ListParagraph"/>
        <w:numPr>
          <w:ilvl w:val="0"/>
          <w:numId w:val="164"/>
        </w:numPr>
        <w:spacing w:before="170"/>
      </w:pPr>
      <w:r w:rsidRPr="00820C89">
        <w:t>providers’ geographical dispersion</w:t>
      </w:r>
    </w:p>
    <w:p w14:paraId="14067731" w14:textId="77777777" w:rsidR="00C1765C" w:rsidRPr="00820C89" w:rsidRDefault="00C1765C" w:rsidP="00715F70">
      <w:pPr>
        <w:pStyle w:val="ListParagraph"/>
        <w:numPr>
          <w:ilvl w:val="0"/>
          <w:numId w:val="164"/>
        </w:numPr>
        <w:spacing w:before="170"/>
      </w:pPr>
      <w:r w:rsidRPr="00820C89">
        <w:t>size of provider</w:t>
      </w:r>
    </w:p>
    <w:p w14:paraId="57173FAF" w14:textId="77777777" w:rsidR="00C1765C" w:rsidRPr="00820C89" w:rsidRDefault="00C1765C" w:rsidP="00715F70">
      <w:pPr>
        <w:pStyle w:val="ListParagraph"/>
        <w:numPr>
          <w:ilvl w:val="0"/>
          <w:numId w:val="164"/>
        </w:numPr>
        <w:spacing w:before="170"/>
      </w:pPr>
      <w:r w:rsidRPr="00820C89">
        <w:t>program type.</w:t>
      </w:r>
    </w:p>
    <w:p w14:paraId="31F2EED9" w14:textId="77777777" w:rsidR="00C1765C" w:rsidRPr="00820C89" w:rsidRDefault="00C1765C" w:rsidP="00C1765C">
      <w:r w:rsidRPr="00820C89">
        <w:lastRenderedPageBreak/>
        <w:t xml:space="preserve">If the initial survey fails to gather a representative sample across these characteristics, the use of individualised survey links will ensure that targeted reminder emails can be sent to prompt specific providers that have not completed the survey. </w:t>
      </w:r>
    </w:p>
    <w:p w14:paraId="4FC1BF3E" w14:textId="6FBBE305" w:rsidR="00C1765C" w:rsidRPr="00820C89" w:rsidRDefault="00C1765C" w:rsidP="00C1765C">
      <w:r w:rsidRPr="00820C89">
        <w:t xml:space="preserve">The draft provider survey is included in </w:t>
      </w:r>
      <w:r w:rsidRPr="00820C89">
        <w:fldChar w:fldCharType="begin"/>
      </w:r>
      <w:r w:rsidRPr="00820C89">
        <w:instrText xml:space="preserve"> REF _Ref37247617 \r \h  \* MERGEFORMAT </w:instrText>
      </w:r>
      <w:r w:rsidRPr="00820C89">
        <w:fldChar w:fldCharType="separate"/>
      </w:r>
      <w:r w:rsidR="008565C8">
        <w:t>Appendix E</w:t>
      </w:r>
      <w:r w:rsidRPr="00820C89">
        <w:fldChar w:fldCharType="end"/>
      </w:r>
      <w:r w:rsidRPr="00820C89">
        <w:t>.</w:t>
      </w:r>
    </w:p>
    <w:p w14:paraId="56D28124" w14:textId="77777777" w:rsidR="00C1765C" w:rsidRPr="00820C89" w:rsidRDefault="00C1765C" w:rsidP="00715F70">
      <w:pPr>
        <w:pStyle w:val="Heading3"/>
        <w:numPr>
          <w:ilvl w:val="2"/>
          <w:numId w:val="12"/>
        </w:numPr>
        <w:tabs>
          <w:tab w:val="num" w:pos="1492"/>
        </w:tabs>
        <w:ind w:hanging="360"/>
      </w:pPr>
      <w:bookmarkStart w:id="450" w:name="_Toc37099392"/>
      <w:bookmarkStart w:id="451" w:name="_Toc37177388"/>
      <w:bookmarkStart w:id="452" w:name="_Toc37217768"/>
      <w:bookmarkStart w:id="453" w:name="_Toc37402758"/>
      <w:bookmarkStart w:id="454" w:name="_Ref43484088"/>
      <w:bookmarkStart w:id="455" w:name="_Toc45206348"/>
      <w:r w:rsidRPr="00820C89">
        <w:t>Regional consultations</w:t>
      </w:r>
      <w:bookmarkEnd w:id="450"/>
      <w:bookmarkEnd w:id="451"/>
      <w:bookmarkEnd w:id="452"/>
      <w:bookmarkEnd w:id="453"/>
      <w:bookmarkEnd w:id="454"/>
      <w:bookmarkEnd w:id="455"/>
    </w:p>
    <w:p w14:paraId="64B13730" w14:textId="77777777" w:rsidR="00C1765C" w:rsidRPr="00820C89" w:rsidRDefault="00C1765C" w:rsidP="00C1765C">
      <w:r w:rsidRPr="00820C89">
        <w:t xml:space="preserve">The purpose of the regional consultations is to gain in-depth understanding of the contexts of community and lived experiences of Indigenous people, as well highlighting any challenges with programs’ design and delivery and identifying potential improvement opportunities. Findings from these consultations will be instrumental inputs for the final report. </w:t>
      </w:r>
    </w:p>
    <w:p w14:paraId="7D9F28F7" w14:textId="77777777" w:rsidR="00C1765C" w:rsidRPr="00820C89" w:rsidRDefault="00C1765C" w:rsidP="00C1765C">
      <w:r w:rsidRPr="00820C89">
        <w:t>The following section will provide further detail on:</w:t>
      </w:r>
    </w:p>
    <w:p w14:paraId="5DF38796" w14:textId="77777777" w:rsidR="00C1765C" w:rsidRPr="00820C89" w:rsidRDefault="00C1765C" w:rsidP="00715F70">
      <w:pPr>
        <w:pStyle w:val="ListParagraph"/>
        <w:numPr>
          <w:ilvl w:val="0"/>
          <w:numId w:val="116"/>
        </w:numPr>
        <w:spacing w:before="60" w:after="60"/>
        <w:ind w:left="357" w:hanging="357"/>
        <w:contextualSpacing w:val="0"/>
      </w:pPr>
      <w:r w:rsidRPr="00820C89">
        <w:t xml:space="preserve">the </w:t>
      </w:r>
      <w:r w:rsidRPr="00820C89">
        <w:rPr>
          <w:b/>
          <w:bCs/>
        </w:rPr>
        <w:t xml:space="preserve">stakeholders involved </w:t>
      </w:r>
      <w:r w:rsidRPr="00820C89">
        <w:t xml:space="preserve">in and the </w:t>
      </w:r>
      <w:r w:rsidRPr="00820C89">
        <w:rPr>
          <w:b/>
          <w:bCs/>
        </w:rPr>
        <w:t>NIAA regional structure</w:t>
      </w:r>
      <w:r w:rsidRPr="00820C89">
        <w:t xml:space="preserve"> which will help define the consultation approach</w:t>
      </w:r>
    </w:p>
    <w:p w14:paraId="62A56912" w14:textId="77777777" w:rsidR="00C1765C" w:rsidRPr="00820C89" w:rsidRDefault="00C1765C" w:rsidP="00715F70">
      <w:pPr>
        <w:pStyle w:val="ListParagraph"/>
        <w:numPr>
          <w:ilvl w:val="0"/>
          <w:numId w:val="116"/>
        </w:numPr>
        <w:spacing w:before="60" w:after="60"/>
        <w:ind w:left="357" w:hanging="357"/>
        <w:contextualSpacing w:val="0"/>
      </w:pPr>
      <w:r w:rsidRPr="00820C89">
        <w:rPr>
          <w:bCs/>
        </w:rPr>
        <w:t xml:space="preserve">the </w:t>
      </w:r>
      <w:r w:rsidRPr="00820C89">
        <w:rPr>
          <w:b/>
        </w:rPr>
        <w:t>sampling approach</w:t>
      </w:r>
      <w:r w:rsidRPr="00820C89">
        <w:t xml:space="preserve"> to define which communities within regions the evaluation team will engage with</w:t>
      </w:r>
    </w:p>
    <w:p w14:paraId="7EBCC0BC" w14:textId="77777777" w:rsidR="00C1765C" w:rsidRPr="00820C89" w:rsidRDefault="00C1765C" w:rsidP="00715F70">
      <w:pPr>
        <w:pStyle w:val="ListParagraph"/>
        <w:numPr>
          <w:ilvl w:val="0"/>
          <w:numId w:val="116"/>
        </w:numPr>
        <w:spacing w:before="60" w:after="60"/>
        <w:ind w:left="357" w:hanging="357"/>
        <w:contextualSpacing w:val="0"/>
      </w:pPr>
      <w:r w:rsidRPr="00820C89">
        <w:rPr>
          <w:bCs/>
        </w:rPr>
        <w:t>the</w:t>
      </w:r>
      <w:r w:rsidRPr="00820C89">
        <w:rPr>
          <w:b/>
        </w:rPr>
        <w:t xml:space="preserve"> community research approach</w:t>
      </w:r>
      <w:r w:rsidRPr="00820C89">
        <w:t xml:space="preserve"> for gaining further understanding of the 12 communities to be visited as part of the regional consultations</w:t>
      </w:r>
    </w:p>
    <w:p w14:paraId="2A3AED66" w14:textId="77777777" w:rsidR="00C1765C" w:rsidRPr="00820C89" w:rsidRDefault="00C1765C" w:rsidP="00715F70">
      <w:pPr>
        <w:pStyle w:val="ListParagraph"/>
        <w:numPr>
          <w:ilvl w:val="0"/>
          <w:numId w:val="116"/>
        </w:numPr>
        <w:spacing w:before="60" w:after="60"/>
        <w:ind w:left="357" w:hanging="357"/>
        <w:contextualSpacing w:val="0"/>
      </w:pPr>
      <w:r w:rsidRPr="00820C89">
        <w:t xml:space="preserve">considerations for </w:t>
      </w:r>
      <w:r w:rsidRPr="00820C89">
        <w:rPr>
          <w:b/>
          <w:bCs/>
        </w:rPr>
        <w:t xml:space="preserve">building relationships in communities </w:t>
      </w:r>
      <w:r w:rsidRPr="00820C89">
        <w:t>so as to ensure a genuinely participatory approach to engaging with Aboriginal and Torres Strait Islander communities and stakeholders</w:t>
      </w:r>
    </w:p>
    <w:p w14:paraId="31B23AB2" w14:textId="77777777" w:rsidR="00C1765C" w:rsidRPr="00820C89" w:rsidRDefault="00C1765C" w:rsidP="00715F70">
      <w:pPr>
        <w:pStyle w:val="ListParagraph"/>
        <w:numPr>
          <w:ilvl w:val="0"/>
          <w:numId w:val="116"/>
        </w:numPr>
        <w:spacing w:before="60" w:after="60"/>
        <w:ind w:left="357" w:hanging="357"/>
        <w:contextualSpacing w:val="0"/>
      </w:pPr>
      <w:r w:rsidRPr="00820C89">
        <w:t xml:space="preserve">potential approaches to </w:t>
      </w:r>
      <w:r w:rsidRPr="00820C89">
        <w:rPr>
          <w:b/>
          <w:bCs/>
        </w:rPr>
        <w:t xml:space="preserve">data sovereignty </w:t>
      </w:r>
      <w:r w:rsidRPr="00820C89">
        <w:t>for communities.</w:t>
      </w:r>
    </w:p>
    <w:p w14:paraId="1D8293EF" w14:textId="77777777" w:rsidR="00C1765C" w:rsidRPr="00820C89" w:rsidRDefault="00C1765C" w:rsidP="00715F70">
      <w:pPr>
        <w:pStyle w:val="Heading4"/>
        <w:numPr>
          <w:ilvl w:val="3"/>
          <w:numId w:val="12"/>
        </w:numPr>
        <w:tabs>
          <w:tab w:val="num" w:pos="1492"/>
        </w:tabs>
        <w:ind w:left="1492" w:hanging="360"/>
      </w:pPr>
      <w:r w:rsidRPr="00820C89">
        <w:t>Regional consultation stakeholders and NIAA regional structure</w:t>
      </w:r>
    </w:p>
    <w:p w14:paraId="3572066D" w14:textId="77777777" w:rsidR="00C1765C" w:rsidRPr="00820C89" w:rsidRDefault="00C1765C" w:rsidP="00C1765C">
      <w:r w:rsidRPr="00820C89">
        <w:t xml:space="preserve">To gain a range of perspectives, regional consultations will be held with at least five different stakeholder groups, including: </w:t>
      </w:r>
    </w:p>
    <w:p w14:paraId="726D4BD3" w14:textId="77777777" w:rsidR="00C1765C" w:rsidRPr="00820C89" w:rsidRDefault="00C1765C" w:rsidP="00715F70">
      <w:pPr>
        <w:pStyle w:val="ListParagraph"/>
        <w:numPr>
          <w:ilvl w:val="0"/>
          <w:numId w:val="143"/>
        </w:numPr>
        <w:spacing w:before="60" w:after="60"/>
        <w:ind w:left="357" w:hanging="357"/>
        <w:contextualSpacing w:val="0"/>
        <w:rPr>
          <w:b/>
        </w:rPr>
      </w:pPr>
      <w:r w:rsidRPr="00820C89">
        <w:rPr>
          <w:b/>
        </w:rPr>
        <w:t>State and territory governments</w:t>
      </w:r>
      <w:r w:rsidRPr="00820C89">
        <w:t xml:space="preserve"> to understand their influence on program implementation and outcomes. </w:t>
      </w:r>
    </w:p>
    <w:p w14:paraId="6602E1C0" w14:textId="77777777" w:rsidR="00C1765C" w:rsidRPr="00820C89" w:rsidRDefault="00C1765C" w:rsidP="00715F70">
      <w:pPr>
        <w:pStyle w:val="ListParagraph"/>
        <w:numPr>
          <w:ilvl w:val="0"/>
          <w:numId w:val="143"/>
        </w:numPr>
        <w:spacing w:before="60" w:after="60"/>
        <w:ind w:left="357" w:hanging="357"/>
        <w:contextualSpacing w:val="0"/>
        <w:rPr>
          <w:b/>
        </w:rPr>
      </w:pPr>
      <w:r w:rsidRPr="00820C89">
        <w:rPr>
          <w:b/>
        </w:rPr>
        <w:t>NIAA regional staff</w:t>
      </w:r>
      <w:r w:rsidRPr="00820C89">
        <w:t xml:space="preserve"> to gain their view of program implementation and outcomes.</w:t>
      </w:r>
    </w:p>
    <w:p w14:paraId="179B6595" w14:textId="77777777" w:rsidR="00C1765C" w:rsidRPr="00820C89" w:rsidRDefault="00C1765C" w:rsidP="00715F70">
      <w:pPr>
        <w:pStyle w:val="ListParagraph"/>
        <w:numPr>
          <w:ilvl w:val="0"/>
          <w:numId w:val="143"/>
        </w:numPr>
        <w:spacing w:before="60" w:after="60"/>
        <w:ind w:left="357" w:hanging="357"/>
        <w:contextualSpacing w:val="0"/>
        <w:rPr>
          <w:b/>
        </w:rPr>
      </w:pPr>
      <w:r w:rsidRPr="00820C89">
        <w:rPr>
          <w:b/>
        </w:rPr>
        <w:t xml:space="preserve">Providers </w:t>
      </w:r>
      <w:r w:rsidRPr="00820C89">
        <w:t>to understand how programs have implemented, and their effectiveness. This may also include general employment service providers (such as jobactive or CDP) if appropriate.</w:t>
      </w:r>
    </w:p>
    <w:p w14:paraId="3F94CF02" w14:textId="77777777" w:rsidR="00C1765C" w:rsidRPr="00820C89" w:rsidRDefault="00C1765C" w:rsidP="00715F70">
      <w:pPr>
        <w:pStyle w:val="ListParagraph"/>
        <w:numPr>
          <w:ilvl w:val="0"/>
          <w:numId w:val="143"/>
        </w:numPr>
        <w:spacing w:before="60" w:after="60"/>
        <w:ind w:left="357" w:hanging="357"/>
        <w:contextualSpacing w:val="0"/>
        <w:rPr>
          <w:b/>
        </w:rPr>
      </w:pPr>
      <w:r w:rsidRPr="00820C89">
        <w:rPr>
          <w:b/>
        </w:rPr>
        <w:t xml:space="preserve">Employers (including EPI partners) </w:t>
      </w:r>
      <w:r w:rsidRPr="00820C89">
        <w:t xml:space="preserve">to share their experiences with the programs, including their understanding of the value, opportunities and challenges of the programs.  </w:t>
      </w:r>
    </w:p>
    <w:p w14:paraId="4AD65D50" w14:textId="77777777" w:rsidR="00C1765C" w:rsidRPr="00820C89" w:rsidRDefault="00C1765C" w:rsidP="00715F70">
      <w:pPr>
        <w:pStyle w:val="ListParagraph"/>
        <w:numPr>
          <w:ilvl w:val="0"/>
          <w:numId w:val="143"/>
        </w:numPr>
        <w:spacing w:before="60" w:after="60"/>
        <w:ind w:left="357" w:hanging="357"/>
        <w:contextualSpacing w:val="0"/>
        <w:rPr>
          <w:b/>
        </w:rPr>
      </w:pPr>
      <w:r w:rsidRPr="00820C89">
        <w:rPr>
          <w:b/>
        </w:rPr>
        <w:t>Participants and job seekers</w:t>
      </w:r>
      <w:r w:rsidRPr="00820C89">
        <w:t xml:space="preserve"> to share their experiences with the programs, including their understanding of the value, opportunities and challenges of the programs.  </w:t>
      </w:r>
    </w:p>
    <w:p w14:paraId="1CC69AE2" w14:textId="77777777" w:rsidR="00C1765C" w:rsidRPr="00820C89" w:rsidRDefault="00C1765C" w:rsidP="00715F70">
      <w:pPr>
        <w:pStyle w:val="ListParagraph"/>
        <w:numPr>
          <w:ilvl w:val="0"/>
          <w:numId w:val="143"/>
        </w:numPr>
        <w:spacing w:before="60" w:after="60"/>
        <w:ind w:left="357" w:hanging="357"/>
        <w:contextualSpacing w:val="0"/>
        <w:rPr>
          <w:b/>
        </w:rPr>
      </w:pPr>
      <w:r w:rsidRPr="00820C89">
        <w:rPr>
          <w:b/>
        </w:rPr>
        <w:t xml:space="preserve">Other community stakeholders </w:t>
      </w:r>
      <w:r w:rsidRPr="00820C89">
        <w:rPr>
          <w:bCs/>
        </w:rPr>
        <w:t>that may contribute to understanding the local context, or be able to support the participation of participants and job seekers or speak on their behalf (for example Elders, other community members, program providers or advocates).</w:t>
      </w:r>
    </w:p>
    <w:p w14:paraId="0A309B42" w14:textId="270B9CDC" w:rsidR="00C1765C" w:rsidRPr="00820C89" w:rsidRDefault="00C1765C" w:rsidP="00C1765C">
      <w:pPr>
        <w:pStyle w:val="Caption"/>
        <w:rPr>
          <w:color w:val="auto"/>
          <w:sz w:val="18"/>
        </w:rPr>
      </w:pPr>
      <w:r w:rsidRPr="00820C89">
        <w:rPr>
          <w:color w:val="auto"/>
          <w:sz w:val="18"/>
        </w:rPr>
        <w:lastRenderedPageBreak/>
        <w:t xml:space="preserve">It is intended that consultations occur across most of the NIAA regions. The NIAA regions are highlighted in Figure </w:t>
      </w:r>
      <w:r w:rsidRPr="00820C89">
        <w:rPr>
          <w:color w:val="auto"/>
          <w:sz w:val="18"/>
        </w:rPr>
        <w:fldChar w:fldCharType="begin"/>
      </w:r>
      <w:r w:rsidRPr="00820C89">
        <w:rPr>
          <w:color w:val="auto"/>
          <w:sz w:val="18"/>
        </w:rPr>
        <w:instrText xml:space="preserve"> STYLEREF 1 \s </w:instrText>
      </w:r>
      <w:r w:rsidRPr="00820C89">
        <w:rPr>
          <w:color w:val="auto"/>
          <w:sz w:val="18"/>
        </w:rPr>
        <w:fldChar w:fldCharType="separate"/>
      </w:r>
      <w:r w:rsidR="008565C8">
        <w:rPr>
          <w:noProof/>
          <w:color w:val="auto"/>
          <w:sz w:val="18"/>
        </w:rPr>
        <w:t>3</w:t>
      </w:r>
      <w:r w:rsidRPr="00820C89">
        <w:rPr>
          <w:color w:val="auto"/>
          <w:sz w:val="18"/>
        </w:rPr>
        <w:fldChar w:fldCharType="end"/>
      </w:r>
      <w:r w:rsidRPr="00820C89">
        <w:rPr>
          <w:color w:val="auto"/>
          <w:sz w:val="18"/>
        </w:rPr>
        <w:t>.</w:t>
      </w:r>
      <w:r w:rsidRPr="00820C89">
        <w:rPr>
          <w:color w:val="auto"/>
          <w:sz w:val="18"/>
        </w:rPr>
        <w:fldChar w:fldCharType="begin"/>
      </w:r>
      <w:r w:rsidRPr="00820C89">
        <w:rPr>
          <w:color w:val="auto"/>
          <w:sz w:val="18"/>
        </w:rPr>
        <w:instrText xml:space="preserve"> SEQ Figure \* ARABIC \s 1 </w:instrText>
      </w:r>
      <w:r w:rsidRPr="00820C89">
        <w:rPr>
          <w:color w:val="auto"/>
          <w:sz w:val="18"/>
        </w:rPr>
        <w:fldChar w:fldCharType="separate"/>
      </w:r>
      <w:r w:rsidR="008565C8">
        <w:rPr>
          <w:noProof/>
          <w:color w:val="auto"/>
          <w:sz w:val="18"/>
        </w:rPr>
        <w:t>1</w:t>
      </w:r>
      <w:r w:rsidRPr="00820C89">
        <w:rPr>
          <w:color w:val="auto"/>
          <w:sz w:val="18"/>
        </w:rPr>
        <w:fldChar w:fldCharType="end"/>
      </w:r>
      <w:r w:rsidRPr="00820C89">
        <w:rPr>
          <w:color w:val="auto"/>
          <w:sz w:val="18"/>
        </w:rPr>
        <w:t xml:space="preserve"> below. </w:t>
      </w:r>
    </w:p>
    <w:p w14:paraId="05C0ED93" w14:textId="77777777" w:rsidR="00C1765C" w:rsidRPr="00820C89" w:rsidRDefault="00C1765C" w:rsidP="00715F70">
      <w:pPr>
        <w:pStyle w:val="CaptionFigure"/>
        <w:numPr>
          <w:ilvl w:val="8"/>
          <w:numId w:val="12"/>
        </w:numPr>
        <w:spacing w:before="170"/>
        <w:ind w:left="568" w:hanging="568"/>
      </w:pPr>
      <w:r w:rsidRPr="00820C89">
        <w:rPr>
          <w:noProof/>
          <w:lang w:eastAsia="en-AU"/>
        </w:rPr>
        <w:drawing>
          <wp:anchor distT="0" distB="0" distL="114300" distR="114300" simplePos="0" relativeHeight="251658274" behindDoc="0" locked="0" layoutInCell="1" allowOverlap="1" wp14:anchorId="1C9EF5AC" wp14:editId="700BD212">
            <wp:simplePos x="0" y="0"/>
            <wp:positionH relativeFrom="margin">
              <wp:posOffset>50800</wp:posOffset>
            </wp:positionH>
            <wp:positionV relativeFrom="paragraph">
              <wp:posOffset>239897</wp:posOffset>
            </wp:positionV>
            <wp:extent cx="5723255" cy="3305175"/>
            <wp:effectExtent l="0" t="0" r="0" b="9525"/>
            <wp:wrapTopAndBottom/>
            <wp:docPr id="457" name="Picture 457" descr="The Figure is an image of Australia, divided into states and NIAA regions. Going from West to East (or left to right) and North to South (top to down) there are the following: &#10;&#10;Western Australia is divided into two regions - the Kimberley region and Greater Western Australia.&#10;&#10;The Northern Territory has the Top End and Tiwi Island Region, the Arnhem Land and Groote Eylandt region and the Central Australian region.&#10;&#10;South Australia is a whole region on its own.&#10;&#10;Queensland is divided into the following: the Far North Queensland region, the Gulf and North Queensland region; and the South Queensland Region.&#10;&#10;New South Wales is divided into the Western New South Wales Region and the Eastern New South Wales Region. Victoria and Tasmania are their own regions.&#10;&#10;" titl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3255" cy="3305175"/>
                    </a:xfrm>
                    <a:prstGeom prst="rect">
                      <a:avLst/>
                    </a:prstGeom>
                    <a:noFill/>
                  </pic:spPr>
                </pic:pic>
              </a:graphicData>
            </a:graphic>
            <wp14:sizeRelH relativeFrom="page">
              <wp14:pctWidth>0</wp14:pctWidth>
            </wp14:sizeRelH>
            <wp14:sizeRelV relativeFrom="page">
              <wp14:pctHeight>0</wp14:pctHeight>
            </wp14:sizeRelV>
          </wp:anchor>
        </w:drawing>
      </w:r>
      <w:r w:rsidRPr="00820C89">
        <w:t xml:space="preserve">: </w:t>
      </w:r>
      <w:r w:rsidRPr="00543B95">
        <w:t>Map of NIAA’s regional network</w:t>
      </w:r>
    </w:p>
    <w:p w14:paraId="5566D587" w14:textId="77777777" w:rsidR="00C1765C" w:rsidRPr="00820C89" w:rsidRDefault="00C1765C" w:rsidP="00C1765C">
      <w:pPr>
        <w:rPr>
          <w:color w:val="75787B" w:themeColor="accent6"/>
          <w:sz w:val="16"/>
          <w:szCs w:val="16"/>
        </w:rPr>
      </w:pPr>
      <w:r w:rsidRPr="00820C89">
        <w:rPr>
          <w:color w:val="75787B" w:themeColor="accent6"/>
          <w:sz w:val="16"/>
          <w:szCs w:val="16"/>
        </w:rPr>
        <w:t xml:space="preserve">Source: NIAA (2020). </w:t>
      </w:r>
    </w:p>
    <w:p w14:paraId="651A6D90" w14:textId="77777777" w:rsidR="00C1765C" w:rsidRPr="00820C89" w:rsidRDefault="00C1765C" w:rsidP="00C1765C">
      <w:pPr>
        <w:rPr>
          <w:sz w:val="16"/>
          <w:szCs w:val="16"/>
        </w:rPr>
      </w:pPr>
      <w:r w:rsidRPr="00820C89">
        <w:t>The evaluation team expects to visit a community for two to three days. These consultations will take place across July to September 2020.</w:t>
      </w:r>
    </w:p>
    <w:p w14:paraId="41EA1F21" w14:textId="77777777" w:rsidR="00C1765C" w:rsidRPr="00820C89" w:rsidRDefault="00C1765C" w:rsidP="00715F70">
      <w:pPr>
        <w:pStyle w:val="Heading4"/>
        <w:numPr>
          <w:ilvl w:val="3"/>
          <w:numId w:val="12"/>
        </w:numPr>
        <w:tabs>
          <w:tab w:val="num" w:pos="1492"/>
        </w:tabs>
        <w:ind w:left="1492" w:hanging="360"/>
      </w:pPr>
      <w:r w:rsidRPr="00820C89">
        <w:t>Sampling approach</w:t>
      </w:r>
    </w:p>
    <w:p w14:paraId="4DB90B74" w14:textId="77777777" w:rsidR="00C1765C" w:rsidRPr="00820C89" w:rsidRDefault="00C1765C" w:rsidP="00C1765C">
      <w:r w:rsidRPr="00820C89">
        <w:t>A purposive sampling method will be used to identify the regions that will be visited as part of the regional consultation process. This qualitative sampling technique aims to identify information-rich cases that exhibit variation in a set of variables of interest.</w:t>
      </w:r>
      <w:r w:rsidRPr="00820C89">
        <w:rPr>
          <w:rStyle w:val="FootnoteReference"/>
        </w:rPr>
        <w:footnoteReference w:id="327"/>
      </w:r>
      <w:r w:rsidRPr="00820C89">
        <w:t xml:space="preserve"> </w:t>
      </w:r>
    </w:p>
    <w:p w14:paraId="4EF95282" w14:textId="77777777" w:rsidR="00C1765C" w:rsidRPr="00820C89" w:rsidRDefault="00C1765C" w:rsidP="00C1765C">
      <w:r w:rsidRPr="00820C89">
        <w:t>In contrast to probabilistic or random sampling, this method does not intend to identify a representative sample that can be used to make statistical inferences. Instead, this method aims to capture a diverse and insightful group of stakeholders using a degree of researcher discretion. This discretion adds a level of flexibility to the sampling strategy that will allow for:</w:t>
      </w:r>
    </w:p>
    <w:p w14:paraId="4DDF183F" w14:textId="77777777" w:rsidR="00C1765C" w:rsidRPr="00820C89" w:rsidRDefault="00C1765C" w:rsidP="00715F70">
      <w:pPr>
        <w:pStyle w:val="ListParagraph"/>
        <w:numPr>
          <w:ilvl w:val="0"/>
          <w:numId w:val="105"/>
        </w:numPr>
        <w:spacing w:before="170"/>
      </w:pPr>
      <w:r w:rsidRPr="00820C89">
        <w:t xml:space="preserve">Leveraging the expertise of the NIAA in understanding which providers/communities are likely to be willing and able to participate in the consultation process </w:t>
      </w:r>
    </w:p>
    <w:p w14:paraId="02B20C9F" w14:textId="77777777" w:rsidR="00C1765C" w:rsidRPr="00820C89" w:rsidRDefault="00C1765C" w:rsidP="00715F70">
      <w:pPr>
        <w:pStyle w:val="ListParagraph"/>
        <w:numPr>
          <w:ilvl w:val="0"/>
          <w:numId w:val="105"/>
        </w:numPr>
        <w:spacing w:before="170"/>
      </w:pPr>
      <w:r w:rsidRPr="00820C89">
        <w:t xml:space="preserve">Ensuring the identified sample of providers within each NIAA region are clustered around a particular location. </w:t>
      </w:r>
    </w:p>
    <w:p w14:paraId="039ADA2D" w14:textId="77777777" w:rsidR="00C1765C" w:rsidRPr="00820C89" w:rsidRDefault="00C1765C" w:rsidP="00C1765C">
      <w:r w:rsidRPr="00820C89">
        <w:t>This sampling method will be used to identify a group of VTEC and TAEG providers. 10 current EPI employers will be consulted, as well as five like employers to form a counterfactual.</w:t>
      </w:r>
      <w:r w:rsidRPr="00820C89">
        <w:rPr>
          <w:rStyle w:val="FootnoteReference"/>
        </w:rPr>
        <w:footnoteReference w:id="328"/>
      </w:r>
      <w:r w:rsidRPr="00820C89">
        <w:t xml:space="preserve"> Sampling of participants and employers will be undertaken based on location.</w:t>
      </w:r>
    </w:p>
    <w:p w14:paraId="66B09C7B" w14:textId="77777777" w:rsidR="00C1765C" w:rsidRPr="00820C89" w:rsidRDefault="00C1765C" w:rsidP="00C1765C">
      <w:pPr>
        <w:keepNext/>
        <w:rPr>
          <w:rFonts w:cs="Verdana"/>
          <w:b/>
          <w:color w:val="000000"/>
        </w:rPr>
      </w:pPr>
      <w:r w:rsidRPr="00820C89">
        <w:rPr>
          <w:rFonts w:cs="Verdana"/>
          <w:b/>
          <w:color w:val="000000"/>
        </w:rPr>
        <w:t>Sampling process for regional consultations</w:t>
      </w:r>
    </w:p>
    <w:p w14:paraId="20700AFE" w14:textId="77777777" w:rsidR="00C1765C" w:rsidRPr="00820C89" w:rsidRDefault="00C1765C" w:rsidP="00C1765C">
      <w:pPr>
        <w:rPr>
          <w:rFonts w:cs="Verdana"/>
          <w:bCs/>
          <w:color w:val="000000"/>
        </w:rPr>
      </w:pPr>
      <w:r w:rsidRPr="00820C89">
        <w:rPr>
          <w:rFonts w:cs="Verdana"/>
          <w:bCs/>
          <w:color w:val="000000"/>
        </w:rPr>
        <w:t>In order to select the VTEC and TAEG provider sample, the following steps will be followed:</w:t>
      </w:r>
    </w:p>
    <w:p w14:paraId="0562878C"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Cs/>
          <w:color w:val="000000"/>
        </w:rPr>
        <w:lastRenderedPageBreak/>
        <w:t>The key provider characteristics of interest will be selected (see Table 3.2 below for a draft list of characteristics)</w:t>
      </w:r>
    </w:p>
    <w:p w14:paraId="2FF6AE19"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Cs/>
          <w:color w:val="000000"/>
        </w:rPr>
        <w:t>Provider data will be obtained that either contains or can be used to calculate all the characteristics of interest</w:t>
      </w:r>
    </w:p>
    <w:p w14:paraId="2581BD51"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Cs/>
          <w:color w:val="000000"/>
        </w:rPr>
        <w:t>The locations of all VTEC and TAEG providers will be plotted using a visualisation tool</w:t>
      </w:r>
    </w:p>
    <w:p w14:paraId="7D4883CB"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Cs/>
          <w:color w:val="000000"/>
        </w:rPr>
        <w:t>Clusters of providers in close geographical proximity to one another (i.e. candidate locations) will be identified using the visualisation</w:t>
      </w:r>
    </w:p>
    <w:p w14:paraId="61F50BDD"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Cs/>
          <w:color w:val="000000"/>
        </w:rPr>
        <w:t>A series of candidate locations (at least one in each NIAA region) will be selected, such that in total the threshold limits for the below strata are met (see Table 3.2). For example, this means that in the final sample, at least five providers must be based in metropolitan areas and at least ten providers must have high levels of activity.</w:t>
      </w:r>
    </w:p>
    <w:p w14:paraId="10D506B6" w14:textId="77777777" w:rsidR="00C1765C" w:rsidRPr="00820C89" w:rsidRDefault="00C1765C" w:rsidP="00715F70">
      <w:pPr>
        <w:pStyle w:val="CaptionTable"/>
        <w:numPr>
          <w:ilvl w:val="6"/>
          <w:numId w:val="12"/>
        </w:numPr>
        <w:ind w:left="1417" w:hanging="1417"/>
      </w:pPr>
      <w:r w:rsidRPr="00820C89">
        <w:t xml:space="preserve"> Sampling strata and minimum sample size threshold levels </w:t>
      </w:r>
    </w:p>
    <w:tbl>
      <w:tblPr>
        <w:tblStyle w:val="Deloittetable"/>
        <w:tblW w:w="9356" w:type="dxa"/>
        <w:tblLook w:val="04A0" w:firstRow="1" w:lastRow="0" w:firstColumn="1" w:lastColumn="0" w:noHBand="0" w:noVBand="1"/>
      </w:tblPr>
      <w:tblGrid>
        <w:gridCol w:w="3084"/>
        <w:gridCol w:w="3080"/>
        <w:gridCol w:w="3086"/>
        <w:gridCol w:w="106"/>
      </w:tblGrid>
      <w:tr w:rsidR="00C1765C" w:rsidRPr="00820C89" w14:paraId="42D69A2B" w14:textId="77777777" w:rsidTr="00087C85">
        <w:trPr>
          <w:gridAfter w:val="1"/>
          <w:cnfStyle w:val="100000000000" w:firstRow="1" w:lastRow="0" w:firstColumn="0" w:lastColumn="0" w:oddVBand="0" w:evenVBand="0" w:oddHBand="0" w:evenHBand="0" w:firstRowFirstColumn="0" w:firstRowLastColumn="0" w:lastRowFirstColumn="0" w:lastRowLastColumn="0"/>
          <w:wAfter w:w="108" w:type="dxa"/>
          <w:tblHeader/>
        </w:trPr>
        <w:tc>
          <w:tcPr>
            <w:tcW w:w="3118" w:type="dxa"/>
          </w:tcPr>
          <w:p w14:paraId="576F3D65" w14:textId="77777777" w:rsidR="00C1765C" w:rsidRPr="00820C89" w:rsidRDefault="00C1765C" w:rsidP="006D2536">
            <w:pPr>
              <w:rPr>
                <w:rFonts w:cs="Verdana"/>
                <w:b/>
                <w:color w:val="000000"/>
              </w:rPr>
            </w:pPr>
            <w:r w:rsidRPr="00820C89">
              <w:rPr>
                <w:rFonts w:cs="Verdana"/>
                <w:b/>
                <w:color w:val="000000"/>
              </w:rPr>
              <w:t xml:space="preserve">Sampling strata </w:t>
            </w:r>
          </w:p>
          <w:p w14:paraId="61933E41" w14:textId="77777777" w:rsidR="00C1765C" w:rsidRPr="00820C89" w:rsidRDefault="00C1765C" w:rsidP="006D2536">
            <w:pPr>
              <w:rPr>
                <w:rFonts w:cs="Verdana"/>
                <w:b/>
                <w:color w:val="000000"/>
              </w:rPr>
            </w:pPr>
            <w:r w:rsidRPr="00820C89">
              <w:rPr>
                <w:rFonts w:cs="Verdana"/>
                <w:b/>
                <w:color w:val="000000"/>
              </w:rPr>
              <w:t>(i.e. provider characteristic)</w:t>
            </w:r>
          </w:p>
        </w:tc>
        <w:tc>
          <w:tcPr>
            <w:tcW w:w="3119" w:type="dxa"/>
          </w:tcPr>
          <w:p w14:paraId="68C83966" w14:textId="77777777" w:rsidR="00C1765C" w:rsidRPr="00820C89" w:rsidRDefault="00C1765C" w:rsidP="006D2536">
            <w:pPr>
              <w:rPr>
                <w:rFonts w:cs="Verdana"/>
                <w:b/>
                <w:color w:val="000000"/>
              </w:rPr>
            </w:pPr>
            <w:r w:rsidRPr="00820C89">
              <w:rPr>
                <w:rFonts w:cs="Verdana"/>
                <w:b/>
                <w:color w:val="000000"/>
              </w:rPr>
              <w:t>Rationale for inclusion</w:t>
            </w:r>
          </w:p>
        </w:tc>
        <w:tc>
          <w:tcPr>
            <w:tcW w:w="3119" w:type="dxa"/>
          </w:tcPr>
          <w:p w14:paraId="644EEC92" w14:textId="77777777" w:rsidR="00C1765C" w:rsidRPr="00820C89" w:rsidRDefault="00C1765C" w:rsidP="006D2536">
            <w:pPr>
              <w:rPr>
                <w:rFonts w:cs="Verdana"/>
                <w:b/>
                <w:color w:val="000000"/>
              </w:rPr>
            </w:pPr>
            <w:r w:rsidRPr="00820C89">
              <w:rPr>
                <w:rFonts w:cs="Verdana"/>
                <w:b/>
                <w:color w:val="000000"/>
              </w:rPr>
              <w:t>Minimum number of providers in final sample</w:t>
            </w:r>
          </w:p>
        </w:tc>
      </w:tr>
      <w:tr w:rsidR="00C1765C" w:rsidRPr="00820C89" w14:paraId="11CC2230" w14:textId="77777777" w:rsidTr="006D2536">
        <w:tc>
          <w:tcPr>
            <w:tcW w:w="3118" w:type="dxa"/>
          </w:tcPr>
          <w:p w14:paraId="3DE54A80" w14:textId="77777777" w:rsidR="00C1765C" w:rsidRPr="00820C89" w:rsidRDefault="00C1765C" w:rsidP="006D2536">
            <w:pPr>
              <w:rPr>
                <w:rFonts w:cs="Verdana"/>
                <w:color w:val="000000"/>
              </w:rPr>
            </w:pPr>
            <w:r w:rsidRPr="00820C89">
              <w:rPr>
                <w:rFonts w:cs="Verdana"/>
                <w:color w:val="000000"/>
              </w:rPr>
              <w:t>Program type</w:t>
            </w:r>
          </w:p>
        </w:tc>
        <w:tc>
          <w:tcPr>
            <w:tcW w:w="3119" w:type="dxa"/>
          </w:tcPr>
          <w:p w14:paraId="2067D30A" w14:textId="77777777" w:rsidR="00C1765C" w:rsidRPr="00820C89" w:rsidRDefault="00C1765C" w:rsidP="006D2536">
            <w:pPr>
              <w:rPr>
                <w:rFonts w:cs="Verdana"/>
                <w:bCs/>
                <w:color w:val="000000"/>
              </w:rPr>
            </w:pPr>
            <w:r w:rsidRPr="00820C89">
              <w:rPr>
                <w:rFonts w:cs="Verdana"/>
                <w:bCs/>
                <w:color w:val="000000"/>
              </w:rPr>
              <w:t>To distinguish between VTEC and TAEG providers</w:t>
            </w:r>
          </w:p>
        </w:tc>
        <w:tc>
          <w:tcPr>
            <w:tcW w:w="3119" w:type="dxa"/>
            <w:gridSpan w:val="2"/>
          </w:tcPr>
          <w:p w14:paraId="4A17E57F" w14:textId="77777777" w:rsidR="00C1765C" w:rsidRPr="00820C89" w:rsidRDefault="00C1765C" w:rsidP="00715F70">
            <w:pPr>
              <w:pStyle w:val="ListParagraph"/>
              <w:numPr>
                <w:ilvl w:val="0"/>
                <w:numId w:val="107"/>
              </w:numPr>
              <w:spacing w:before="170"/>
              <w:rPr>
                <w:rFonts w:cs="Verdana"/>
                <w:bCs/>
                <w:color w:val="000000"/>
              </w:rPr>
            </w:pPr>
            <w:r w:rsidRPr="00820C89">
              <w:rPr>
                <w:rFonts w:cs="Verdana"/>
                <w:bCs/>
                <w:color w:val="000000"/>
              </w:rPr>
              <w:t>&gt;10 of each program type</w:t>
            </w:r>
          </w:p>
        </w:tc>
      </w:tr>
      <w:tr w:rsidR="00C1765C" w:rsidRPr="00820C89" w14:paraId="53C8CBE7" w14:textId="77777777" w:rsidTr="006D2536">
        <w:tc>
          <w:tcPr>
            <w:tcW w:w="3118" w:type="dxa"/>
          </w:tcPr>
          <w:p w14:paraId="5F48583D" w14:textId="77777777" w:rsidR="00C1765C" w:rsidRPr="00820C89" w:rsidRDefault="00C1765C" w:rsidP="006D2536">
            <w:pPr>
              <w:rPr>
                <w:rFonts w:cs="Verdana"/>
                <w:color w:val="000000"/>
              </w:rPr>
            </w:pPr>
            <w:r w:rsidRPr="00820C89">
              <w:rPr>
                <w:rFonts w:cs="Verdana"/>
                <w:color w:val="000000"/>
              </w:rPr>
              <w:t xml:space="preserve">Geographical location </w:t>
            </w:r>
          </w:p>
        </w:tc>
        <w:tc>
          <w:tcPr>
            <w:tcW w:w="3119" w:type="dxa"/>
          </w:tcPr>
          <w:p w14:paraId="756DFCF7" w14:textId="77777777" w:rsidR="00C1765C" w:rsidRPr="00820C89" w:rsidRDefault="00C1765C" w:rsidP="006D2536">
            <w:pPr>
              <w:rPr>
                <w:rFonts w:cs="Verdana"/>
                <w:bCs/>
                <w:color w:val="000000"/>
              </w:rPr>
            </w:pPr>
            <w:r w:rsidRPr="00820C89">
              <w:rPr>
                <w:rFonts w:cs="Verdana"/>
                <w:bCs/>
                <w:color w:val="000000"/>
              </w:rPr>
              <w:t>To understand how metropolitan, regional and remote providers may differ</w:t>
            </w:r>
          </w:p>
        </w:tc>
        <w:tc>
          <w:tcPr>
            <w:tcW w:w="3119" w:type="dxa"/>
            <w:gridSpan w:val="2"/>
          </w:tcPr>
          <w:p w14:paraId="178E83A6" w14:textId="77777777" w:rsidR="00C1765C" w:rsidRPr="00820C89" w:rsidRDefault="00C1765C" w:rsidP="00715F70">
            <w:pPr>
              <w:pStyle w:val="ListParagraph"/>
              <w:numPr>
                <w:ilvl w:val="0"/>
                <w:numId w:val="107"/>
              </w:numPr>
              <w:spacing w:before="170"/>
              <w:rPr>
                <w:rFonts w:cs="Verdana"/>
                <w:bCs/>
                <w:color w:val="000000"/>
              </w:rPr>
            </w:pPr>
            <w:r w:rsidRPr="00820C89">
              <w:rPr>
                <w:rFonts w:cs="Verdana"/>
                <w:bCs/>
                <w:color w:val="000000"/>
              </w:rPr>
              <w:t>&gt;3 metropolitan</w:t>
            </w:r>
          </w:p>
          <w:p w14:paraId="515D2AC8" w14:textId="77777777" w:rsidR="00C1765C" w:rsidRPr="00820C89" w:rsidRDefault="00C1765C" w:rsidP="00715F70">
            <w:pPr>
              <w:pStyle w:val="ListParagraph"/>
              <w:numPr>
                <w:ilvl w:val="0"/>
                <w:numId w:val="107"/>
              </w:numPr>
              <w:spacing w:before="170"/>
              <w:rPr>
                <w:rFonts w:cs="Verdana"/>
                <w:bCs/>
                <w:color w:val="000000"/>
              </w:rPr>
            </w:pPr>
            <w:r w:rsidRPr="00820C89">
              <w:rPr>
                <w:rFonts w:cs="Verdana"/>
                <w:bCs/>
                <w:color w:val="000000"/>
              </w:rPr>
              <w:t>&gt;3 regional</w:t>
            </w:r>
          </w:p>
          <w:p w14:paraId="7E3F0C53" w14:textId="77777777" w:rsidR="00C1765C" w:rsidRPr="00820C89" w:rsidRDefault="00C1765C" w:rsidP="00715F70">
            <w:pPr>
              <w:pStyle w:val="ListParagraph"/>
              <w:numPr>
                <w:ilvl w:val="0"/>
                <w:numId w:val="107"/>
              </w:numPr>
              <w:spacing w:before="170"/>
              <w:rPr>
                <w:rFonts w:cs="Verdana"/>
                <w:bCs/>
                <w:color w:val="000000"/>
              </w:rPr>
            </w:pPr>
            <w:r w:rsidRPr="00820C89">
              <w:rPr>
                <w:rFonts w:cs="Verdana"/>
                <w:bCs/>
                <w:color w:val="000000"/>
              </w:rPr>
              <w:t>&gt;3 remote</w:t>
            </w:r>
          </w:p>
        </w:tc>
      </w:tr>
      <w:tr w:rsidR="00C1765C" w:rsidRPr="00820C89" w14:paraId="39693F2F" w14:textId="77777777" w:rsidTr="006D2536">
        <w:tc>
          <w:tcPr>
            <w:tcW w:w="3118" w:type="dxa"/>
          </w:tcPr>
          <w:p w14:paraId="59435195" w14:textId="77777777" w:rsidR="00C1765C" w:rsidRPr="00820C89" w:rsidRDefault="00C1765C" w:rsidP="006D2536">
            <w:pPr>
              <w:rPr>
                <w:rFonts w:cs="Verdana"/>
                <w:color w:val="000000"/>
              </w:rPr>
            </w:pPr>
            <w:r w:rsidRPr="00820C89">
              <w:rPr>
                <w:rFonts w:cs="Verdana"/>
                <w:color w:val="000000"/>
              </w:rPr>
              <w:t>Level of activity</w:t>
            </w:r>
          </w:p>
        </w:tc>
        <w:tc>
          <w:tcPr>
            <w:tcW w:w="3119" w:type="dxa"/>
          </w:tcPr>
          <w:p w14:paraId="069D93DB" w14:textId="77777777" w:rsidR="00C1765C" w:rsidRPr="00820C89" w:rsidRDefault="00C1765C" w:rsidP="006D2536">
            <w:pPr>
              <w:rPr>
                <w:rFonts w:cs="Verdana"/>
                <w:bCs/>
                <w:color w:val="000000"/>
              </w:rPr>
            </w:pPr>
            <w:r w:rsidRPr="00820C89">
              <w:rPr>
                <w:rFonts w:cs="Verdana"/>
                <w:bCs/>
                <w:color w:val="000000"/>
              </w:rPr>
              <w:t xml:space="preserve">To understand how high-activity and low-activity providers may differ </w:t>
            </w:r>
          </w:p>
        </w:tc>
        <w:tc>
          <w:tcPr>
            <w:tcW w:w="3119" w:type="dxa"/>
            <w:gridSpan w:val="2"/>
          </w:tcPr>
          <w:p w14:paraId="663DDA0D" w14:textId="77777777" w:rsidR="00C1765C" w:rsidRPr="00820C89" w:rsidRDefault="00C1765C" w:rsidP="00715F70">
            <w:pPr>
              <w:pStyle w:val="ListParagraph"/>
              <w:numPr>
                <w:ilvl w:val="0"/>
                <w:numId w:val="108"/>
              </w:numPr>
              <w:spacing w:before="170"/>
              <w:rPr>
                <w:rFonts w:cs="Verdana"/>
                <w:bCs/>
                <w:color w:val="000000"/>
              </w:rPr>
            </w:pPr>
            <w:r w:rsidRPr="00820C89">
              <w:rPr>
                <w:rFonts w:cs="Verdana"/>
                <w:bCs/>
                <w:color w:val="000000"/>
              </w:rPr>
              <w:t xml:space="preserve">&gt;15 high activity </w:t>
            </w:r>
          </w:p>
          <w:p w14:paraId="6DE305FA" w14:textId="77777777" w:rsidR="00C1765C" w:rsidRPr="00820C89" w:rsidRDefault="00C1765C" w:rsidP="00715F70">
            <w:pPr>
              <w:pStyle w:val="ListParagraph"/>
              <w:numPr>
                <w:ilvl w:val="0"/>
                <w:numId w:val="108"/>
              </w:numPr>
              <w:spacing w:before="170"/>
              <w:rPr>
                <w:rFonts w:cs="Verdana"/>
                <w:bCs/>
                <w:color w:val="000000"/>
              </w:rPr>
            </w:pPr>
            <w:r w:rsidRPr="00820C89">
              <w:rPr>
                <w:rFonts w:cs="Verdana"/>
                <w:bCs/>
                <w:color w:val="000000"/>
              </w:rPr>
              <w:t>&gt;5 low activity</w:t>
            </w:r>
          </w:p>
        </w:tc>
      </w:tr>
      <w:tr w:rsidR="00C1765C" w:rsidRPr="00820C89" w14:paraId="764A0AF7" w14:textId="77777777" w:rsidTr="006D2536">
        <w:tc>
          <w:tcPr>
            <w:tcW w:w="3118" w:type="dxa"/>
          </w:tcPr>
          <w:p w14:paraId="15A9AF31" w14:textId="77777777" w:rsidR="00C1765C" w:rsidRPr="00820C89" w:rsidRDefault="00C1765C" w:rsidP="006D2536">
            <w:pPr>
              <w:rPr>
                <w:rFonts w:cs="Verdana"/>
                <w:color w:val="000000"/>
              </w:rPr>
            </w:pPr>
            <w:r w:rsidRPr="00820C89">
              <w:rPr>
                <w:rFonts w:cs="Verdana"/>
                <w:color w:val="000000"/>
              </w:rPr>
              <w:t>Variation in outcomes</w:t>
            </w:r>
          </w:p>
        </w:tc>
        <w:tc>
          <w:tcPr>
            <w:tcW w:w="3119" w:type="dxa"/>
          </w:tcPr>
          <w:p w14:paraId="29B2985C" w14:textId="77777777" w:rsidR="00C1765C" w:rsidRPr="00820C89" w:rsidRDefault="00C1765C" w:rsidP="006D2536">
            <w:pPr>
              <w:rPr>
                <w:rFonts w:cs="Verdana"/>
                <w:bCs/>
                <w:color w:val="000000"/>
              </w:rPr>
            </w:pPr>
            <w:r w:rsidRPr="00820C89">
              <w:rPr>
                <w:rFonts w:cs="Verdana"/>
                <w:bCs/>
                <w:color w:val="000000"/>
              </w:rPr>
              <w:t>To understand provider success factors</w:t>
            </w:r>
          </w:p>
        </w:tc>
        <w:tc>
          <w:tcPr>
            <w:tcW w:w="3119" w:type="dxa"/>
            <w:gridSpan w:val="2"/>
          </w:tcPr>
          <w:p w14:paraId="438BC5AF" w14:textId="77777777" w:rsidR="00C1765C" w:rsidRPr="00820C89" w:rsidRDefault="00C1765C" w:rsidP="00715F70">
            <w:pPr>
              <w:pStyle w:val="ListParagraph"/>
              <w:numPr>
                <w:ilvl w:val="0"/>
                <w:numId w:val="109"/>
              </w:numPr>
              <w:spacing w:before="170"/>
              <w:rPr>
                <w:rFonts w:cs="Verdana"/>
                <w:bCs/>
                <w:color w:val="000000"/>
              </w:rPr>
            </w:pPr>
            <w:r w:rsidRPr="00820C89">
              <w:rPr>
                <w:rFonts w:cs="Verdana"/>
                <w:bCs/>
                <w:color w:val="000000"/>
              </w:rPr>
              <w:t>&gt;10 high proportion of program completions</w:t>
            </w:r>
          </w:p>
          <w:p w14:paraId="642B9041" w14:textId="77777777" w:rsidR="00C1765C" w:rsidRPr="00820C89" w:rsidRDefault="00C1765C" w:rsidP="00715F70">
            <w:pPr>
              <w:pStyle w:val="ListParagraph"/>
              <w:numPr>
                <w:ilvl w:val="0"/>
                <w:numId w:val="109"/>
              </w:numPr>
              <w:spacing w:before="170"/>
              <w:rPr>
                <w:rFonts w:cs="Verdana"/>
                <w:bCs/>
                <w:color w:val="000000"/>
              </w:rPr>
            </w:pPr>
            <w:r w:rsidRPr="00820C89">
              <w:rPr>
                <w:rFonts w:cs="Verdana"/>
                <w:bCs/>
                <w:color w:val="000000"/>
              </w:rPr>
              <w:t xml:space="preserve">&gt;10 low proportion of program completions </w:t>
            </w:r>
          </w:p>
        </w:tc>
      </w:tr>
      <w:tr w:rsidR="00C1765C" w:rsidRPr="00820C89" w14:paraId="3D18B54E" w14:textId="77777777" w:rsidTr="006D2536">
        <w:tc>
          <w:tcPr>
            <w:tcW w:w="3118" w:type="dxa"/>
          </w:tcPr>
          <w:p w14:paraId="1193A184" w14:textId="77777777" w:rsidR="00C1765C" w:rsidRPr="00820C89" w:rsidRDefault="00C1765C" w:rsidP="006D2536">
            <w:pPr>
              <w:rPr>
                <w:rFonts w:cs="Verdana"/>
                <w:color w:val="000000"/>
              </w:rPr>
            </w:pPr>
            <w:r w:rsidRPr="00820C89">
              <w:rPr>
                <w:rFonts w:cs="Verdana"/>
                <w:color w:val="000000"/>
              </w:rPr>
              <w:t>Indigenous ownership</w:t>
            </w:r>
          </w:p>
        </w:tc>
        <w:tc>
          <w:tcPr>
            <w:tcW w:w="3119" w:type="dxa"/>
          </w:tcPr>
          <w:p w14:paraId="67A7FB20" w14:textId="77777777" w:rsidR="00C1765C" w:rsidRPr="00820C89" w:rsidRDefault="00C1765C" w:rsidP="006D2536">
            <w:pPr>
              <w:rPr>
                <w:rFonts w:cs="Verdana"/>
                <w:bCs/>
                <w:color w:val="000000"/>
              </w:rPr>
            </w:pPr>
            <w:r w:rsidRPr="00820C89">
              <w:rPr>
                <w:rFonts w:cs="Verdana"/>
                <w:bCs/>
                <w:color w:val="000000"/>
              </w:rPr>
              <w:t>To understand the impact that Indigenous ownership may have</w:t>
            </w:r>
          </w:p>
        </w:tc>
        <w:tc>
          <w:tcPr>
            <w:tcW w:w="3119" w:type="dxa"/>
            <w:gridSpan w:val="2"/>
          </w:tcPr>
          <w:p w14:paraId="3259E0FA" w14:textId="77777777" w:rsidR="00C1765C" w:rsidRPr="00820C89" w:rsidRDefault="00C1765C" w:rsidP="00715F70">
            <w:pPr>
              <w:pStyle w:val="ListParagraph"/>
              <w:numPr>
                <w:ilvl w:val="0"/>
                <w:numId w:val="110"/>
              </w:numPr>
              <w:spacing w:before="170"/>
              <w:rPr>
                <w:rFonts w:cs="Verdana"/>
                <w:bCs/>
                <w:color w:val="000000"/>
              </w:rPr>
            </w:pPr>
            <w:r w:rsidRPr="00820C89">
              <w:rPr>
                <w:rFonts w:cs="Verdana"/>
                <w:bCs/>
                <w:color w:val="000000"/>
              </w:rPr>
              <w:t>&gt;5 Indigenous owned organisations</w:t>
            </w:r>
          </w:p>
        </w:tc>
      </w:tr>
    </w:tbl>
    <w:p w14:paraId="77F04D0C" w14:textId="77777777" w:rsidR="00C1765C" w:rsidRPr="00820C89" w:rsidRDefault="00C1765C" w:rsidP="00C1765C">
      <w:pPr>
        <w:rPr>
          <w:rFonts w:cs="Verdana"/>
          <w:bCs/>
          <w:color w:val="808080" w:themeColor="background1" w:themeShade="80"/>
          <w:sz w:val="17"/>
          <w:szCs w:val="17"/>
        </w:rPr>
      </w:pPr>
      <w:r w:rsidRPr="00820C89">
        <w:rPr>
          <w:rFonts w:cs="Verdana"/>
          <w:bCs/>
          <w:color w:val="808080" w:themeColor="background1" w:themeShade="80"/>
          <w:sz w:val="17"/>
          <w:szCs w:val="17"/>
        </w:rPr>
        <w:t xml:space="preserve">Note: These characteristics are not mutually exclusive, and it is likely that some providers will meet multiple of these criteria. </w:t>
      </w:r>
    </w:p>
    <w:p w14:paraId="58C8ABC9" w14:textId="77777777" w:rsidR="00C1765C" w:rsidRPr="00820C89" w:rsidRDefault="00C1765C" w:rsidP="00C1765C">
      <w:r w:rsidRPr="00820C89">
        <w:t xml:space="preserve">Draft location and provider sampling is provided at Appendix E. This is a working document and will be finalised in collaboration with the NIAA. </w:t>
      </w:r>
    </w:p>
    <w:p w14:paraId="2573238D" w14:textId="77777777" w:rsidR="00C1765C" w:rsidRPr="00820C89" w:rsidRDefault="00C1765C" w:rsidP="00715F70">
      <w:pPr>
        <w:pStyle w:val="Heading4"/>
        <w:numPr>
          <w:ilvl w:val="3"/>
          <w:numId w:val="12"/>
        </w:numPr>
        <w:tabs>
          <w:tab w:val="num" w:pos="1492"/>
        </w:tabs>
        <w:ind w:left="1492" w:hanging="360"/>
      </w:pPr>
      <w:bookmarkStart w:id="456" w:name="_Toc37099393"/>
      <w:r w:rsidRPr="00820C89">
        <w:t xml:space="preserve">Community research </w:t>
      </w:r>
      <w:bookmarkEnd w:id="456"/>
      <w:r w:rsidRPr="00820C89">
        <w:t>approach</w:t>
      </w:r>
    </w:p>
    <w:p w14:paraId="4D27906B" w14:textId="77777777" w:rsidR="00C1765C" w:rsidRPr="00820C89" w:rsidRDefault="00C1765C" w:rsidP="00C1765C">
      <w:r w:rsidRPr="00820C89">
        <w:t xml:space="preserve">The sampling approach will seek to identify a diversity of communities to visit as part of the regional consultations. This diversity means that the consultation approach in each community needs to be designed </w:t>
      </w:r>
      <w:r w:rsidRPr="00820C89">
        <w:rPr>
          <w:i/>
          <w:iCs/>
        </w:rPr>
        <w:t>for</w:t>
      </w:r>
      <w:r w:rsidRPr="00820C89">
        <w:t xml:space="preserve"> and </w:t>
      </w:r>
      <w:r w:rsidRPr="00820C89">
        <w:rPr>
          <w:i/>
          <w:iCs/>
        </w:rPr>
        <w:t>by</w:t>
      </w:r>
      <w:r w:rsidRPr="00820C89">
        <w:t xml:space="preserve"> that community. Community research will be undertaken to enable these consultations to be tailored to their community and ensure that the approach places Indigenous perspectives at the centre.</w:t>
      </w:r>
    </w:p>
    <w:p w14:paraId="01DC3B8E" w14:textId="77777777" w:rsidR="00C1765C" w:rsidRPr="00820C89" w:rsidRDefault="00C1765C" w:rsidP="00C1765C">
      <w:r w:rsidRPr="00820C89">
        <w:t>This research phase will ensure that the consultation process in each community is culturally appropriate and safe, comprehensive in its understanding of the community ecosystem and participatory in approach. This is important to ensure that stakeholders are comfortable expressing genuine and meaningful feedback on their experiences with EPI, VTEC and TAEG programs.</w:t>
      </w:r>
    </w:p>
    <w:p w14:paraId="78E57287" w14:textId="77777777" w:rsidR="00C1765C" w:rsidRPr="00820C89" w:rsidRDefault="00C1765C" w:rsidP="00C1765C">
      <w:r w:rsidRPr="00820C89">
        <w:lastRenderedPageBreak/>
        <w:t>This research will impact on how the provider, employer and participant consultations are conducted. This process of community research will aim to:</w:t>
      </w:r>
    </w:p>
    <w:p w14:paraId="15678AE0" w14:textId="77777777" w:rsidR="00C1765C" w:rsidRPr="00820C89" w:rsidRDefault="00C1765C" w:rsidP="00715F70">
      <w:pPr>
        <w:pStyle w:val="ListParagraph"/>
        <w:numPr>
          <w:ilvl w:val="0"/>
          <w:numId w:val="106"/>
        </w:numPr>
        <w:spacing w:before="60" w:after="60"/>
        <w:ind w:left="357" w:hanging="357"/>
        <w:contextualSpacing w:val="0"/>
        <w:rPr>
          <w:rFonts w:cs="Verdana"/>
          <w:color w:val="000000"/>
        </w:rPr>
      </w:pPr>
      <w:r w:rsidRPr="00820C89">
        <w:rPr>
          <w:rFonts w:cs="Verdana"/>
          <w:b/>
          <w:color w:val="000000"/>
        </w:rPr>
        <w:t xml:space="preserve">Increase the cultural competency of non-indigenous evaluation team members. </w:t>
      </w:r>
      <w:r w:rsidRPr="00820C89">
        <w:rPr>
          <w:rFonts w:cs="Verdana"/>
          <w:bCs/>
          <w:color w:val="000000"/>
        </w:rPr>
        <w:t>This will be achieved through partnering with Gaimaragal Group facilitators and through formal and regional specific training prior to undertaking fieldwork.</w:t>
      </w:r>
      <w:r w:rsidRPr="00820C89">
        <w:rPr>
          <w:rFonts w:cs="Verdana"/>
          <w:b/>
          <w:color w:val="000000"/>
        </w:rPr>
        <w:t xml:space="preserve"> </w:t>
      </w:r>
    </w:p>
    <w:p w14:paraId="40477816"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
          <w:color w:val="000000"/>
        </w:rPr>
        <w:t>Build relationships with members of the communities</w:t>
      </w:r>
      <w:r w:rsidRPr="00820C89">
        <w:rPr>
          <w:rFonts w:cs="Verdana"/>
          <w:bCs/>
          <w:color w:val="000000"/>
        </w:rPr>
        <w:t xml:space="preserve"> before the evaluative team arrive, so that some community members already know who the evaluative team are and what is the purpose of the visit.</w:t>
      </w:r>
    </w:p>
    <w:p w14:paraId="10D6AD20"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
          <w:color w:val="000000"/>
        </w:rPr>
        <w:t>Understand the context of the community</w:t>
      </w:r>
      <w:r w:rsidRPr="00820C89">
        <w:rPr>
          <w:rFonts w:cs="Verdana"/>
          <w:bCs/>
          <w:color w:val="000000"/>
        </w:rPr>
        <w:t xml:space="preserve"> and what consultation format will enable stakeholders to best engage with the consultation process.</w:t>
      </w:r>
    </w:p>
    <w:p w14:paraId="16BC62E5"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
          <w:color w:val="000000"/>
        </w:rPr>
        <w:t>Identify other stakeholders in the community</w:t>
      </w:r>
      <w:r w:rsidRPr="00820C89">
        <w:rPr>
          <w:rFonts w:cs="Verdana"/>
          <w:bCs/>
          <w:color w:val="000000"/>
        </w:rPr>
        <w:t xml:space="preserve">, beyond the current list of stakeholders, so that the evaluation team is comprehensively capturing the community ecosystem. </w:t>
      </w:r>
    </w:p>
    <w:p w14:paraId="542A9C7E"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
          <w:color w:val="000000"/>
        </w:rPr>
        <w:t xml:space="preserve">Understand how to best acknowledge and thank the community </w:t>
      </w:r>
      <w:r w:rsidRPr="00820C89">
        <w:rPr>
          <w:rFonts w:cs="Verdana"/>
          <w:bCs/>
          <w:color w:val="000000"/>
        </w:rPr>
        <w:t>for their participation in the consultation process.</w:t>
      </w:r>
      <w:r w:rsidRPr="00820C89">
        <w:rPr>
          <w:rFonts w:cs="Verdana"/>
          <w:b/>
          <w:color w:val="000000"/>
        </w:rPr>
        <w:t xml:space="preserve"> </w:t>
      </w:r>
    </w:p>
    <w:p w14:paraId="01C27B8C" w14:textId="77777777" w:rsidR="00C1765C" w:rsidRPr="00820C89" w:rsidRDefault="00C1765C" w:rsidP="00C1765C">
      <w:r w:rsidRPr="00820C89">
        <w:t>This community research will include the following activities:</w:t>
      </w:r>
    </w:p>
    <w:p w14:paraId="1D0A614F" w14:textId="65387DDB"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
          <w:color w:val="000000"/>
        </w:rPr>
        <w:t xml:space="preserve">Initial consultations with NIAA regional networks: </w:t>
      </w:r>
      <w:r w:rsidRPr="00820C89">
        <w:rPr>
          <w:rFonts w:cs="Verdana"/>
          <w:bCs/>
          <w:color w:val="000000"/>
        </w:rPr>
        <w:t xml:space="preserve">As discussed in Section </w:t>
      </w:r>
      <w:r w:rsidRPr="00820C89">
        <w:rPr>
          <w:rFonts w:cs="Verdana"/>
          <w:bCs/>
          <w:color w:val="000000"/>
        </w:rPr>
        <w:fldChar w:fldCharType="begin"/>
      </w:r>
      <w:r w:rsidRPr="00820C89">
        <w:rPr>
          <w:rFonts w:cs="Verdana"/>
          <w:bCs/>
          <w:color w:val="000000"/>
        </w:rPr>
        <w:instrText xml:space="preserve"> REF _Ref37169011 \r \h </w:instrText>
      </w:r>
      <w:r w:rsidR="00820C89">
        <w:rPr>
          <w:rFonts w:cs="Verdana"/>
          <w:bCs/>
          <w:color w:val="000000"/>
        </w:rPr>
        <w:instrText xml:space="preserve"> \* MERGEFORMAT </w:instrText>
      </w:r>
      <w:r w:rsidRPr="00820C89">
        <w:rPr>
          <w:rFonts w:cs="Verdana"/>
          <w:bCs/>
          <w:color w:val="000000"/>
        </w:rPr>
      </w:r>
      <w:r w:rsidRPr="00820C89">
        <w:rPr>
          <w:rFonts w:cs="Verdana"/>
          <w:bCs/>
          <w:color w:val="000000"/>
        </w:rPr>
        <w:fldChar w:fldCharType="separate"/>
      </w:r>
      <w:r w:rsidR="008565C8">
        <w:rPr>
          <w:rFonts w:cs="Verdana"/>
          <w:bCs/>
          <w:color w:val="000000"/>
        </w:rPr>
        <w:t>3.3.2</w:t>
      </w:r>
      <w:r w:rsidRPr="00820C89">
        <w:rPr>
          <w:rFonts w:cs="Verdana"/>
          <w:bCs/>
          <w:color w:val="000000"/>
        </w:rPr>
        <w:fldChar w:fldCharType="end"/>
      </w:r>
      <w:r w:rsidRPr="00820C89">
        <w:rPr>
          <w:rFonts w:cs="Verdana"/>
          <w:bCs/>
          <w:color w:val="000000"/>
        </w:rPr>
        <w:t>, initial consultations with NIAA regional staff will be utilised to test the stakeholder engagement approach. This consultation will also provide an opportunity for the evaluative team to identify key contacts within communities, who can provide further contextual insights.</w:t>
      </w:r>
    </w:p>
    <w:p w14:paraId="3243D710"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
          <w:color w:val="000000"/>
        </w:rPr>
        <w:t xml:space="preserve">Follow-up conversations with community contacts: </w:t>
      </w:r>
      <w:r w:rsidRPr="00820C89">
        <w:rPr>
          <w:rFonts w:cs="Verdana"/>
          <w:bCs/>
          <w:color w:val="000000"/>
        </w:rPr>
        <w:t xml:space="preserve">The evaluative team will then have follow-up phone conversations with key community contacts. It is expected that these community contacts will include VTEC and TAEG providers, as well as community leaders. The evaluative team will be guided by the NIAA network and will utilise a compounding approach to identify any further key community contacts. </w:t>
      </w:r>
    </w:p>
    <w:p w14:paraId="6F9E569A" w14:textId="77777777" w:rsidR="00C1765C" w:rsidRPr="00820C89" w:rsidRDefault="00C1765C" w:rsidP="00C1765C">
      <w:pPr>
        <w:pStyle w:val="ListParagraph"/>
        <w:spacing w:before="60" w:after="60"/>
        <w:ind w:left="357"/>
        <w:contextualSpacing w:val="0"/>
        <w:rPr>
          <w:rFonts w:cs="Verdana"/>
          <w:bCs/>
          <w:color w:val="000000"/>
        </w:rPr>
      </w:pPr>
      <w:r w:rsidRPr="00820C89">
        <w:rPr>
          <w:rFonts w:cs="Verdana"/>
          <w:bCs/>
          <w:color w:val="000000"/>
        </w:rPr>
        <w:t>These conversations with key community contacts are expected to provide the evaluation team with:</w:t>
      </w:r>
    </w:p>
    <w:p w14:paraId="286D5153" w14:textId="77777777" w:rsidR="00C1765C" w:rsidRPr="00820C89" w:rsidRDefault="00C1765C" w:rsidP="00715F70">
      <w:pPr>
        <w:pStyle w:val="ListParagraph"/>
        <w:numPr>
          <w:ilvl w:val="1"/>
          <w:numId w:val="106"/>
        </w:numPr>
        <w:spacing w:before="60" w:after="60"/>
        <w:ind w:left="714" w:hanging="357"/>
        <w:contextualSpacing w:val="0"/>
        <w:rPr>
          <w:rFonts w:cs="Verdana"/>
          <w:bCs/>
          <w:color w:val="000000"/>
        </w:rPr>
      </w:pPr>
      <w:r w:rsidRPr="00820C89">
        <w:rPr>
          <w:rFonts w:cs="Verdana"/>
          <w:bCs/>
          <w:color w:val="000000"/>
        </w:rPr>
        <w:t>An understanding of which stakeholders, beyond the list of stakeholders already identified, should be involved in the stakeholder consultation. This means that other program providers, employers, job seekers and/or community members may also be a part of the stakeholder engagement process.</w:t>
      </w:r>
    </w:p>
    <w:p w14:paraId="04D5AEE7" w14:textId="77777777" w:rsidR="00C1765C" w:rsidRPr="00820C89" w:rsidRDefault="00C1765C" w:rsidP="00715F70">
      <w:pPr>
        <w:pStyle w:val="ListParagraph"/>
        <w:numPr>
          <w:ilvl w:val="1"/>
          <w:numId w:val="106"/>
        </w:numPr>
        <w:spacing w:before="60" w:after="60"/>
        <w:ind w:left="714" w:hanging="357"/>
        <w:contextualSpacing w:val="0"/>
        <w:rPr>
          <w:rFonts w:cs="Verdana"/>
          <w:bCs/>
          <w:color w:val="000000"/>
        </w:rPr>
      </w:pPr>
      <w:r w:rsidRPr="00820C89">
        <w:rPr>
          <w:rFonts w:cs="Verdana"/>
          <w:bCs/>
          <w:color w:val="000000"/>
        </w:rPr>
        <w:t>Contextual community information that will guide how the consultations will look in each community and who will be involved.</w:t>
      </w:r>
    </w:p>
    <w:p w14:paraId="14A38DEA" w14:textId="77777777" w:rsidR="00C1765C" w:rsidRPr="00820C89" w:rsidRDefault="00C1765C" w:rsidP="00C1765C">
      <w:pPr>
        <w:rPr>
          <w:rFonts w:cs="Verdana"/>
          <w:bCs/>
          <w:color w:val="000000"/>
        </w:rPr>
      </w:pPr>
      <w:r w:rsidRPr="00820C89">
        <w:rPr>
          <w:rFonts w:cs="Verdana"/>
          <w:bCs/>
          <w:color w:val="000000"/>
        </w:rPr>
        <w:t>This research process will identify the community members that will be a part of the consultations. These consultations in communities aim to speak to providers, employers, participants as well as other stakeholders that can help to understand the community context. These stakeholders will be selected based on the following principles:</w:t>
      </w:r>
    </w:p>
    <w:p w14:paraId="6188141C" w14:textId="77777777" w:rsidR="00C1765C" w:rsidRPr="00820C89" w:rsidRDefault="00C1765C" w:rsidP="00715F70">
      <w:pPr>
        <w:pStyle w:val="ListParagraph"/>
        <w:numPr>
          <w:ilvl w:val="0"/>
          <w:numId w:val="165"/>
        </w:numPr>
        <w:spacing w:before="170"/>
        <w:rPr>
          <w:rFonts w:cs="Verdana"/>
          <w:b/>
          <w:color w:val="000000"/>
        </w:rPr>
      </w:pPr>
      <w:r w:rsidRPr="00820C89">
        <w:rPr>
          <w:rFonts w:cs="Verdana"/>
          <w:bCs/>
          <w:color w:val="000000"/>
        </w:rPr>
        <w:t xml:space="preserve">Their </w:t>
      </w:r>
      <w:r w:rsidRPr="00820C89">
        <w:rPr>
          <w:rFonts w:cs="Verdana"/>
          <w:b/>
          <w:color w:val="000000"/>
        </w:rPr>
        <w:t>relevance</w:t>
      </w:r>
      <w:r w:rsidRPr="00820C89">
        <w:rPr>
          <w:rFonts w:cs="Verdana"/>
          <w:bCs/>
          <w:color w:val="000000"/>
        </w:rPr>
        <w:t xml:space="preserve"> to the evaluation project</w:t>
      </w:r>
    </w:p>
    <w:p w14:paraId="3C7868AA" w14:textId="77777777" w:rsidR="00C1765C" w:rsidRPr="00820C89" w:rsidRDefault="00C1765C" w:rsidP="00715F70">
      <w:pPr>
        <w:pStyle w:val="ListParagraph"/>
        <w:numPr>
          <w:ilvl w:val="0"/>
          <w:numId w:val="165"/>
        </w:numPr>
        <w:spacing w:before="170"/>
        <w:rPr>
          <w:rFonts w:cs="Verdana"/>
          <w:b/>
          <w:color w:val="000000"/>
        </w:rPr>
      </w:pPr>
      <w:r w:rsidRPr="00820C89">
        <w:rPr>
          <w:rFonts w:cs="Verdana"/>
          <w:bCs/>
          <w:color w:val="000000"/>
        </w:rPr>
        <w:t xml:space="preserve">Their </w:t>
      </w:r>
      <w:r w:rsidRPr="00820C89">
        <w:rPr>
          <w:rFonts w:cs="Verdana"/>
          <w:b/>
          <w:color w:val="000000"/>
        </w:rPr>
        <w:t xml:space="preserve">authority </w:t>
      </w:r>
      <w:r w:rsidRPr="00820C89">
        <w:rPr>
          <w:rFonts w:cs="Verdana"/>
          <w:bCs/>
          <w:color w:val="000000"/>
        </w:rPr>
        <w:t>to speak on IEPs, gained through their first-hand knowledge and experience</w:t>
      </w:r>
    </w:p>
    <w:p w14:paraId="72540A36" w14:textId="77777777" w:rsidR="00C1765C" w:rsidRPr="00820C89" w:rsidRDefault="00C1765C" w:rsidP="00715F70">
      <w:pPr>
        <w:pStyle w:val="ListParagraph"/>
        <w:numPr>
          <w:ilvl w:val="0"/>
          <w:numId w:val="165"/>
        </w:numPr>
        <w:spacing w:before="170"/>
        <w:rPr>
          <w:rFonts w:cs="Verdana"/>
          <w:b/>
          <w:color w:val="000000"/>
        </w:rPr>
      </w:pPr>
      <w:r w:rsidRPr="00820C89">
        <w:rPr>
          <w:rFonts w:cs="Verdana"/>
          <w:bCs/>
          <w:color w:val="000000"/>
        </w:rPr>
        <w:t xml:space="preserve">The </w:t>
      </w:r>
      <w:r w:rsidRPr="00820C89">
        <w:rPr>
          <w:rFonts w:cs="Verdana"/>
          <w:b/>
          <w:color w:val="000000"/>
        </w:rPr>
        <w:t xml:space="preserve">accessibility </w:t>
      </w:r>
      <w:r w:rsidRPr="00820C89">
        <w:rPr>
          <w:rFonts w:cs="Verdana"/>
          <w:bCs/>
          <w:color w:val="000000"/>
        </w:rPr>
        <w:t>of these stakeholders, including the probability of being able to get time and space to speak with them</w:t>
      </w:r>
    </w:p>
    <w:p w14:paraId="1D18AC43" w14:textId="77777777" w:rsidR="00C1765C" w:rsidRPr="00820C89" w:rsidRDefault="00C1765C" w:rsidP="00715F70">
      <w:pPr>
        <w:pStyle w:val="ListParagraph"/>
        <w:numPr>
          <w:ilvl w:val="0"/>
          <w:numId w:val="165"/>
        </w:numPr>
        <w:spacing w:before="170"/>
        <w:rPr>
          <w:rFonts w:cs="Verdana"/>
          <w:b/>
          <w:color w:val="000000"/>
        </w:rPr>
      </w:pPr>
      <w:r w:rsidRPr="00820C89">
        <w:rPr>
          <w:rFonts w:cs="Verdana"/>
          <w:bCs/>
          <w:color w:val="000000"/>
        </w:rPr>
        <w:t xml:space="preserve">The </w:t>
      </w:r>
      <w:r w:rsidRPr="00820C89">
        <w:rPr>
          <w:rFonts w:cs="Verdana"/>
          <w:b/>
          <w:color w:val="000000"/>
        </w:rPr>
        <w:t xml:space="preserve">advice </w:t>
      </w:r>
      <w:r w:rsidRPr="00820C89">
        <w:rPr>
          <w:rFonts w:cs="Verdana"/>
          <w:bCs/>
          <w:color w:val="000000"/>
        </w:rPr>
        <w:t>of NIAA regional network staff and/or key community contacts.</w:t>
      </w:r>
    </w:p>
    <w:p w14:paraId="56953685" w14:textId="77777777" w:rsidR="00C1765C" w:rsidRPr="00820C89" w:rsidRDefault="00C1765C" w:rsidP="00C1765C">
      <w:pPr>
        <w:rPr>
          <w:rFonts w:cs="Verdana"/>
          <w:bCs/>
          <w:color w:val="000000"/>
        </w:rPr>
      </w:pPr>
      <w:r w:rsidRPr="00820C89">
        <w:rPr>
          <w:rFonts w:cs="Verdana"/>
          <w:bCs/>
          <w:color w:val="000000"/>
        </w:rPr>
        <w:t>This research process will also shape the format of the regional consultations in communities, though the consultation themes and questions will remain the same across communities. Community contextual understanding is important as t</w:t>
      </w:r>
      <w:r w:rsidRPr="00820C89">
        <w:t xml:space="preserve">he success of these consultations hinges on its ability to provide adequate and accessible opportunities for participants to share their views, and for these perspectives to systematically and meaningfully input into the evaluation findings. </w:t>
      </w:r>
    </w:p>
    <w:p w14:paraId="35595E4A" w14:textId="77777777" w:rsidR="00C1765C" w:rsidRPr="00820C89" w:rsidRDefault="00C1765C" w:rsidP="00C1765C">
      <w:pPr>
        <w:rPr>
          <w:rFonts w:cs="Verdana"/>
          <w:bCs/>
          <w:color w:val="000000"/>
        </w:rPr>
      </w:pPr>
      <w:r w:rsidRPr="00820C89">
        <w:rPr>
          <w:rFonts w:cs="Verdana"/>
          <w:bCs/>
          <w:color w:val="000000"/>
        </w:rPr>
        <w:t>The regional consultation approach will maintain consistency in terms of the research questions and rigorous application of data collection methods, though certain aspects of the consultations are expected to be flexible to community needs. Elements that are expected to be flexible include:</w:t>
      </w:r>
    </w:p>
    <w:p w14:paraId="40830BC8"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
          <w:color w:val="000000"/>
        </w:rPr>
        <w:lastRenderedPageBreak/>
        <w:t>Language and use of interpreters</w:t>
      </w:r>
      <w:r w:rsidRPr="00820C89">
        <w:rPr>
          <w:rFonts w:cs="Verdana"/>
          <w:bCs/>
          <w:color w:val="000000"/>
        </w:rPr>
        <w:t xml:space="preserve">: some community members may not be fluent in English, so having an interpreter would be important to ensure meaning is understood. Accredited interpreters will be used to ensure </w:t>
      </w:r>
    </w:p>
    <w:p w14:paraId="7E67DBC2"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
          <w:color w:val="000000"/>
        </w:rPr>
        <w:t xml:space="preserve">Stakeholder groupings: </w:t>
      </w:r>
      <w:r w:rsidRPr="00820C89">
        <w:rPr>
          <w:rFonts w:cs="Verdana"/>
          <w:bCs/>
          <w:color w:val="000000"/>
        </w:rPr>
        <w:t>the consultation format should take into consideration the dynamics of community groups. Some communities may wish to have male and female-only groups or may wish to influence the make-up of stakeholders in a focus group.</w:t>
      </w:r>
    </w:p>
    <w:p w14:paraId="71669517"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
          <w:color w:val="000000"/>
        </w:rPr>
        <w:t>Facilitators:</w:t>
      </w:r>
      <w:r w:rsidRPr="00820C89">
        <w:rPr>
          <w:rFonts w:cs="Verdana"/>
          <w:bCs/>
          <w:color w:val="000000"/>
        </w:rPr>
        <w:t xml:space="preserve"> the consultation process has been designed for a co-facilitation model between a member of the Gaimaragal Group and a Deloitte evaluator. In some instances, however, it might be more appropriate to have a particular person facilitate, such as a Gaimaragal Group team member, or someone of a particular sex.</w:t>
      </w:r>
    </w:p>
    <w:p w14:paraId="077277B0" w14:textId="77777777" w:rsidR="00C1765C" w:rsidRPr="00820C89" w:rsidRDefault="00C1765C" w:rsidP="00715F70">
      <w:pPr>
        <w:pStyle w:val="ListParagraph"/>
        <w:numPr>
          <w:ilvl w:val="0"/>
          <w:numId w:val="106"/>
        </w:numPr>
        <w:spacing w:before="60" w:after="60"/>
        <w:ind w:left="357" w:hanging="357"/>
        <w:contextualSpacing w:val="0"/>
        <w:rPr>
          <w:rFonts w:cs="Verdana"/>
          <w:bCs/>
          <w:color w:val="000000"/>
        </w:rPr>
      </w:pPr>
      <w:r w:rsidRPr="00820C89">
        <w:rPr>
          <w:rFonts w:cs="Verdana"/>
          <w:b/>
          <w:color w:val="000000"/>
        </w:rPr>
        <w:t>Location</w:t>
      </w:r>
      <w:r w:rsidRPr="00820C89">
        <w:rPr>
          <w:rFonts w:cs="Verdana"/>
          <w:bCs/>
          <w:color w:val="000000"/>
        </w:rPr>
        <w:t>: the location of the consultations may change, as some communities may see it as more appropriate to hold consultations in different places, such as inside community centre or outside by a river.</w:t>
      </w:r>
    </w:p>
    <w:p w14:paraId="4D6656CE" w14:textId="77777777" w:rsidR="00C1765C" w:rsidRPr="00820C89" w:rsidRDefault="00C1765C" w:rsidP="00C1765C">
      <w:pPr>
        <w:rPr>
          <w:rFonts w:cs="Verdana"/>
          <w:bCs/>
          <w:color w:val="000000"/>
        </w:rPr>
      </w:pPr>
      <w:r w:rsidRPr="00820C89">
        <w:rPr>
          <w:rFonts w:cs="Verdana"/>
          <w:bCs/>
          <w:color w:val="000000"/>
        </w:rPr>
        <w:t xml:space="preserve">The consultations with regional NIAA networks and key community contacts will help to guide how these elements change for each community. </w:t>
      </w:r>
    </w:p>
    <w:p w14:paraId="6A1CFBB1" w14:textId="77777777" w:rsidR="00C1765C" w:rsidRPr="00820C89" w:rsidRDefault="00C1765C" w:rsidP="00C1765C">
      <w:r w:rsidRPr="00820C89">
        <w:t>The regional consultations have been deliberately designed to allow for the evaluative team to visit for several days to build relationships with participants. Indigenous communities are highly consulted, though often these processes involve consultants visiting for a short period of time. This stakeholder engagement process instead aims to:</w:t>
      </w:r>
    </w:p>
    <w:p w14:paraId="74F0B3DA" w14:textId="77777777" w:rsidR="00C1765C" w:rsidRPr="00820C89" w:rsidRDefault="00C1765C" w:rsidP="00715F70">
      <w:pPr>
        <w:pStyle w:val="ListParagraph"/>
        <w:numPr>
          <w:ilvl w:val="0"/>
          <w:numId w:val="147"/>
        </w:numPr>
        <w:spacing w:before="60" w:after="60"/>
        <w:ind w:left="357" w:hanging="357"/>
        <w:contextualSpacing w:val="0"/>
        <w:rPr>
          <w:rFonts w:cs="Verdana"/>
          <w:bCs/>
          <w:color w:val="000000"/>
        </w:rPr>
      </w:pPr>
      <w:r w:rsidRPr="00820C89">
        <w:rPr>
          <w:rFonts w:cs="Verdana"/>
          <w:b/>
          <w:color w:val="000000"/>
        </w:rPr>
        <w:t>Take the time needed to build relationships</w:t>
      </w:r>
      <w:r w:rsidRPr="00820C89">
        <w:rPr>
          <w:rFonts w:cs="Verdana"/>
          <w:bCs/>
          <w:color w:val="000000"/>
        </w:rPr>
        <w:t>: With two to three days to complete these regional consultations, the schedule can allow for the evaluative team to first establish rapport and build relationships with the community before undertaking formal consultations. Depending on the community context, this may mean that some consultations do not begin immediately upon arriving in communities.</w:t>
      </w:r>
    </w:p>
    <w:p w14:paraId="5130AA61" w14:textId="77777777" w:rsidR="00C1765C" w:rsidRPr="00820C89" w:rsidRDefault="00C1765C" w:rsidP="00715F70">
      <w:pPr>
        <w:pStyle w:val="ListParagraph"/>
        <w:numPr>
          <w:ilvl w:val="0"/>
          <w:numId w:val="106"/>
        </w:numPr>
        <w:spacing w:before="60" w:after="60"/>
        <w:ind w:left="357" w:hanging="357"/>
        <w:contextualSpacing w:val="0"/>
        <w:rPr>
          <w:rFonts w:cs="Verdana"/>
          <w:b/>
          <w:color w:val="000000"/>
        </w:rPr>
      </w:pPr>
      <w:r w:rsidRPr="00820C89">
        <w:rPr>
          <w:rFonts w:cs="Verdana"/>
          <w:b/>
          <w:color w:val="000000"/>
        </w:rPr>
        <w:t xml:space="preserve">Build community and engage in community events: </w:t>
      </w:r>
      <w:r w:rsidRPr="00820C89">
        <w:rPr>
          <w:rFonts w:cs="Verdana"/>
          <w:bCs/>
          <w:color w:val="000000"/>
        </w:rPr>
        <w:t>Building community refers to fostering a sense of belonging between community members, united by a shared common need or interest. The consultations will aim to deliberately build community, by including community events across the visiting days and participating in community practices, where possible.</w:t>
      </w:r>
    </w:p>
    <w:p w14:paraId="53053290" w14:textId="77777777" w:rsidR="00C1765C" w:rsidRPr="00820C89" w:rsidRDefault="00C1765C" w:rsidP="00C1765C">
      <w:r w:rsidRPr="00820C89">
        <w:rPr>
          <w:rFonts w:cs="Verdana"/>
          <w:bCs/>
          <w:color w:val="000000"/>
        </w:rPr>
        <w:t xml:space="preserve">These processes will better ensure that a sense of trust is established with community members, that will help to increase consultation participants’ level of comfort. Moreover, this will allow the process to create community and </w:t>
      </w:r>
      <w:r w:rsidRPr="00820C89">
        <w:t>invite people into the consultative process.</w:t>
      </w:r>
    </w:p>
    <w:p w14:paraId="0971AAAA" w14:textId="77777777" w:rsidR="00C1765C" w:rsidRPr="00820C89" w:rsidRDefault="00C1765C" w:rsidP="00715F70">
      <w:pPr>
        <w:pStyle w:val="Heading4"/>
        <w:numPr>
          <w:ilvl w:val="3"/>
          <w:numId w:val="12"/>
        </w:numPr>
        <w:tabs>
          <w:tab w:val="num" w:pos="1492"/>
        </w:tabs>
        <w:ind w:left="1492" w:hanging="360"/>
      </w:pPr>
      <w:r w:rsidRPr="00820C89">
        <w:t>Alternative consultation approach if visits to community is not preferred</w:t>
      </w:r>
    </w:p>
    <w:p w14:paraId="68ACE1E5" w14:textId="77777777" w:rsidR="00C1765C" w:rsidRPr="00820C89" w:rsidRDefault="00C1765C" w:rsidP="00C1765C">
      <w:pPr>
        <w:rPr>
          <w:rFonts w:cs="Verdana"/>
          <w:bCs/>
          <w:color w:val="000000"/>
        </w:rPr>
      </w:pPr>
      <w:r w:rsidRPr="00820C89">
        <w:rPr>
          <w:rFonts w:cs="Verdana"/>
          <w:bCs/>
          <w:color w:val="000000"/>
        </w:rPr>
        <w:t>As part of this evaluation it is essential to ensure the protection of remote and regional communities and the vital elder and traditional owner community. The success of this project depends on deep engagement with the community and traditional owners where the employment assistance programs operate.</w:t>
      </w:r>
    </w:p>
    <w:p w14:paraId="4B62F97D" w14:textId="77777777" w:rsidR="00C1765C" w:rsidRPr="00820C89" w:rsidRDefault="00C1765C" w:rsidP="00C1765C">
      <w:pPr>
        <w:rPr>
          <w:rFonts w:cs="Verdana"/>
          <w:bCs/>
          <w:color w:val="000000"/>
        </w:rPr>
      </w:pPr>
      <w:r w:rsidRPr="00820C89">
        <w:rPr>
          <w:rFonts w:cs="Verdana"/>
          <w:bCs/>
          <w:color w:val="000000"/>
        </w:rPr>
        <w:t>As such, each community will be offered the opportunity to opt out of face-to-face consultations – given the COVID-19 health risks associated with face-to-face visits. In this case, we will utilise our (and the regional NIAA network) relationships with Indigenous community and eldership connections to establish a consultation training facility to skill local leaders to support our virtual consultation methodology. This will ensure a local, trusted and culturally appropriate connection to a virtual consultation as well as delivering the added benefit of building local capability and leaving behind a new community skill.</w:t>
      </w:r>
    </w:p>
    <w:p w14:paraId="2F0A0E72" w14:textId="77777777" w:rsidR="00C1765C" w:rsidRPr="00820C89" w:rsidRDefault="00C1765C" w:rsidP="00C1765C">
      <w:pPr>
        <w:rPr>
          <w:rFonts w:cs="Verdana"/>
          <w:bCs/>
          <w:color w:val="000000"/>
        </w:rPr>
      </w:pPr>
      <w:r w:rsidRPr="00820C89">
        <w:rPr>
          <w:rFonts w:cs="Verdana"/>
          <w:bCs/>
          <w:color w:val="000000"/>
        </w:rPr>
        <w:t xml:space="preserve">This facilitator will be compensated for their time in training and delivery, under an appropriate sub-contractor arrangement. </w:t>
      </w:r>
    </w:p>
    <w:p w14:paraId="2FD903AE" w14:textId="77777777" w:rsidR="00C1765C" w:rsidRPr="00820C89" w:rsidRDefault="00C1765C" w:rsidP="00C1765C">
      <w:pPr>
        <w:rPr>
          <w:rFonts w:cs="Verdana"/>
          <w:bCs/>
          <w:color w:val="000000"/>
        </w:rPr>
      </w:pPr>
      <w:r w:rsidRPr="00820C89">
        <w:rPr>
          <w:rFonts w:cs="Verdana"/>
          <w:bCs/>
          <w:color w:val="000000"/>
        </w:rPr>
        <w:t>This approach can also be used if travel restrictions due to COVID 19 apply.</w:t>
      </w:r>
    </w:p>
    <w:p w14:paraId="336F0301" w14:textId="77777777" w:rsidR="00C1765C" w:rsidRPr="00820C89" w:rsidRDefault="00C1765C" w:rsidP="00715F70">
      <w:pPr>
        <w:pStyle w:val="Heading4"/>
        <w:numPr>
          <w:ilvl w:val="3"/>
          <w:numId w:val="12"/>
        </w:numPr>
        <w:tabs>
          <w:tab w:val="num" w:pos="1492"/>
        </w:tabs>
        <w:ind w:left="1492" w:hanging="360"/>
      </w:pPr>
      <w:r w:rsidRPr="00820C89">
        <w:lastRenderedPageBreak/>
        <w:t>Pre-pilot and pilot testing</w:t>
      </w:r>
    </w:p>
    <w:p w14:paraId="44D2FA35" w14:textId="77777777" w:rsidR="00C1765C" w:rsidRPr="00820C89" w:rsidRDefault="00C1765C" w:rsidP="00C1765C">
      <w:pPr>
        <w:spacing w:after="70"/>
        <w:jc w:val="both"/>
      </w:pPr>
      <w:r w:rsidRPr="00820C89">
        <w:t xml:space="preserve">The community research phase will also enable pre-pilot and pilot testing of the consultation guides. The draft consultation guides will be shared with NIAA regional network staff in initial consultations and with key community contacts in follow-up conversations. </w:t>
      </w:r>
    </w:p>
    <w:p w14:paraId="6CD5899C" w14:textId="77777777" w:rsidR="00C1765C" w:rsidRPr="00820C89" w:rsidRDefault="00C1765C" w:rsidP="00C1765C">
      <w:pPr>
        <w:spacing w:after="70"/>
        <w:jc w:val="both"/>
      </w:pPr>
      <w:r w:rsidRPr="00820C89">
        <w:t>These conversations will ensure that the evaluation team can:</w:t>
      </w:r>
    </w:p>
    <w:p w14:paraId="570D1504" w14:textId="77777777" w:rsidR="00C1765C" w:rsidRPr="00820C89" w:rsidRDefault="00C1765C" w:rsidP="00715F70">
      <w:pPr>
        <w:pStyle w:val="ListParagraph"/>
        <w:numPr>
          <w:ilvl w:val="0"/>
          <w:numId w:val="106"/>
        </w:numPr>
        <w:spacing w:before="170" w:after="70"/>
        <w:jc w:val="both"/>
      </w:pPr>
      <w:r w:rsidRPr="00820C89">
        <w:t xml:space="preserve">test stakeholders’ comfort with the questions being asked </w:t>
      </w:r>
    </w:p>
    <w:p w14:paraId="2BEC114C" w14:textId="77777777" w:rsidR="00C1765C" w:rsidRPr="00820C89" w:rsidRDefault="00C1765C" w:rsidP="00715F70">
      <w:pPr>
        <w:pStyle w:val="ListParagraph"/>
        <w:numPr>
          <w:ilvl w:val="0"/>
          <w:numId w:val="106"/>
        </w:numPr>
        <w:spacing w:before="170" w:after="70"/>
        <w:jc w:val="both"/>
      </w:pPr>
      <w:r w:rsidRPr="00820C89">
        <w:t>test that the questions are contextually relevant for participants</w:t>
      </w:r>
    </w:p>
    <w:p w14:paraId="1A605818" w14:textId="77777777" w:rsidR="00C1765C" w:rsidRPr="00820C89" w:rsidRDefault="00C1765C" w:rsidP="00715F70">
      <w:pPr>
        <w:pStyle w:val="ListParagraph"/>
        <w:numPr>
          <w:ilvl w:val="0"/>
          <w:numId w:val="106"/>
        </w:numPr>
        <w:spacing w:before="170" w:after="70"/>
        <w:jc w:val="both"/>
      </w:pPr>
      <w:r w:rsidRPr="00820C89">
        <w:t>ensure cultural safety of participants.</w:t>
      </w:r>
    </w:p>
    <w:p w14:paraId="7D204F21" w14:textId="77777777" w:rsidR="00C1765C" w:rsidRPr="00820C89" w:rsidRDefault="00C1765C" w:rsidP="00C1765C">
      <w:pPr>
        <w:jc w:val="both"/>
      </w:pPr>
      <w:r w:rsidRPr="00820C89">
        <w:rPr>
          <w:rFonts w:asciiTheme="minorHAnsi" w:hAnsiTheme="minorHAnsi" w:cs="Calibri Light"/>
          <w:color w:val="000000"/>
        </w:rPr>
        <w:t>Pilot consultations will be completed once the consultation guides have been reviewed and approved by NIAA</w:t>
      </w:r>
      <w:r w:rsidRPr="00820C89">
        <w:t>. The instruments will be piloted in full during two different regional community consultations. Ideally these pilot consultations will occur in two varied settings, such as a remote community and metropolitan community. This will allow for the pilot consultations to test the appropriateness of the consultation guides across varied settings.</w:t>
      </w:r>
    </w:p>
    <w:p w14:paraId="5B88B0F4" w14:textId="77777777" w:rsidR="00C1765C" w:rsidRPr="00820C89" w:rsidRDefault="00C1765C" w:rsidP="00C1765C">
      <w:pPr>
        <w:jc w:val="both"/>
      </w:pPr>
      <w:r w:rsidRPr="00820C89">
        <w:t>These pilots will also constitute the first consultations completed, and will involve interviews with all regional stakeholders. A debrief session after each pilot consultation will decide on any necessary changes to the data collection tools.</w:t>
      </w:r>
    </w:p>
    <w:p w14:paraId="25F9662C" w14:textId="77777777" w:rsidR="00C1765C" w:rsidRPr="00820C89" w:rsidRDefault="00C1765C" w:rsidP="00C1765C">
      <w:pPr>
        <w:jc w:val="both"/>
        <w:rPr>
          <w:rFonts w:asciiTheme="minorHAnsi" w:hAnsiTheme="minorHAnsi" w:cs="Calibri Light"/>
          <w:color w:val="000000"/>
        </w:rPr>
      </w:pPr>
      <w:r w:rsidRPr="00820C89">
        <w:rPr>
          <w:rFonts w:asciiTheme="minorHAnsi" w:hAnsiTheme="minorHAnsi" w:cs="Calibri Light"/>
          <w:color w:val="000000"/>
        </w:rPr>
        <w:t>This process of both pre-pilot conversations and pilot consultations will allow for an iterative approach to developing data collection tools, and will ensure that the tools are designed so as to best meet the objectives of the evaluation.</w:t>
      </w:r>
    </w:p>
    <w:p w14:paraId="6BD15E2E" w14:textId="3610F830" w:rsidR="00C1765C" w:rsidRPr="00820C89" w:rsidRDefault="00C1765C" w:rsidP="00C1765C">
      <w:pPr>
        <w:jc w:val="both"/>
        <w:rPr>
          <w:rFonts w:asciiTheme="minorHAnsi" w:hAnsiTheme="minorHAnsi" w:cs="Calibri Light"/>
          <w:color w:val="000000"/>
        </w:rPr>
      </w:pPr>
      <w:r w:rsidRPr="00820C89">
        <w:rPr>
          <w:rFonts w:asciiTheme="minorHAnsi" w:hAnsiTheme="minorHAnsi" w:cs="Calibri Light"/>
          <w:color w:val="000000"/>
        </w:rPr>
        <w:t xml:space="preserve">Consultation guides for regional consultations are included in </w:t>
      </w:r>
      <w:r w:rsidRPr="00820C89">
        <w:rPr>
          <w:rFonts w:asciiTheme="minorHAnsi" w:hAnsiTheme="minorHAnsi" w:cs="Calibri Light"/>
          <w:color w:val="000000"/>
        </w:rPr>
        <w:fldChar w:fldCharType="begin"/>
      </w:r>
      <w:r w:rsidRPr="00820C89">
        <w:rPr>
          <w:rFonts w:asciiTheme="minorHAnsi" w:hAnsiTheme="minorHAnsi" w:cs="Calibri Light"/>
          <w:color w:val="000000"/>
        </w:rPr>
        <w:instrText xml:space="preserve"> REF _Ref37261643 \r \h </w:instrText>
      </w:r>
      <w:r w:rsidRPr="00820C89">
        <w:rPr>
          <w:rFonts w:asciiTheme="minorHAnsi" w:hAnsiTheme="minorHAnsi" w:cs="Calibri Light"/>
          <w:color w:val="000000"/>
        </w:rPr>
      </w:r>
      <w:r w:rsidRPr="00820C89">
        <w:rPr>
          <w:rFonts w:asciiTheme="minorHAnsi" w:hAnsiTheme="minorHAnsi" w:cs="Calibri Light"/>
          <w:color w:val="000000"/>
        </w:rPr>
        <w:fldChar w:fldCharType="separate"/>
      </w:r>
      <w:r w:rsidR="008565C8">
        <w:rPr>
          <w:rFonts w:asciiTheme="minorHAnsi" w:hAnsiTheme="minorHAnsi" w:cs="Calibri Light"/>
          <w:color w:val="000000"/>
        </w:rPr>
        <w:t>Appendix E</w:t>
      </w:r>
      <w:r w:rsidRPr="00820C89">
        <w:rPr>
          <w:rFonts w:asciiTheme="minorHAnsi" w:hAnsiTheme="minorHAnsi" w:cs="Calibri Light"/>
          <w:color w:val="000000"/>
        </w:rPr>
        <w:fldChar w:fldCharType="end"/>
      </w:r>
      <w:r w:rsidRPr="00820C89">
        <w:rPr>
          <w:rFonts w:asciiTheme="minorHAnsi" w:hAnsiTheme="minorHAnsi" w:cs="Calibri Light"/>
          <w:color w:val="000000"/>
        </w:rPr>
        <w:t>.</w:t>
      </w:r>
    </w:p>
    <w:p w14:paraId="5A16ED64" w14:textId="77777777" w:rsidR="00C1765C" w:rsidRPr="00820C89" w:rsidRDefault="00C1765C" w:rsidP="00715F70">
      <w:pPr>
        <w:pStyle w:val="Heading4"/>
        <w:numPr>
          <w:ilvl w:val="3"/>
          <w:numId w:val="12"/>
        </w:numPr>
        <w:tabs>
          <w:tab w:val="num" w:pos="1492"/>
        </w:tabs>
        <w:ind w:left="1492" w:hanging="360"/>
      </w:pPr>
      <w:r w:rsidRPr="00820C89">
        <w:t>Ensuring data sovereignty</w:t>
      </w:r>
    </w:p>
    <w:p w14:paraId="3C9DF7B6" w14:textId="77777777" w:rsidR="00C1765C" w:rsidRPr="00820C89" w:rsidRDefault="00C1765C" w:rsidP="00C1765C">
      <w:r w:rsidRPr="00820C89">
        <w:t>The term ‘data sovereignty’ refers to the management of data in a manner consistent with the laws, practices and customs of the region in which the data is located. Specifically, ‘Indigenous data sovereignty’ recognises the Indigenous right to ‘govern the collection, ownership and application of data about Indigenous communities, peoples, lands, and resources’.</w:t>
      </w:r>
      <w:r w:rsidRPr="00820C89">
        <w:rPr>
          <w:rStyle w:val="FootnoteReference"/>
        </w:rPr>
        <w:footnoteReference w:id="329"/>
      </w:r>
      <w:r w:rsidRPr="00820C89">
        <w:t xml:space="preserve"> In collecting data intended to inform and measure Indigenous priorities and agendas, Walter (2018) reiterates the importance of data that is ‘meaningful and useful’ for Indigenous peoples, and reflects a nuanced narrative of Indigenous peoples’ identity, culture and communities.</w:t>
      </w:r>
      <w:r w:rsidRPr="00820C89">
        <w:rPr>
          <w:rStyle w:val="FootnoteReference"/>
        </w:rPr>
        <w:footnoteReference w:id="330"/>
      </w:r>
      <w:r w:rsidRPr="00820C89">
        <w:t xml:space="preserve"> </w:t>
      </w:r>
    </w:p>
    <w:p w14:paraId="1334C78E" w14:textId="77777777" w:rsidR="00C1765C" w:rsidRPr="00820C89" w:rsidRDefault="00C1765C" w:rsidP="00C1765C">
      <w:r w:rsidRPr="00820C89">
        <w:t xml:space="preserve">In alignment with this research, the evaluative team recognises that Australian Indigenous communities have a right to maintain, control, protect and develop their cultural heritage, traditional knowledge and traditional cultural expressions, as well as their right to maintain, control, protect and develop their intellectual property over these. </w:t>
      </w:r>
    </w:p>
    <w:p w14:paraId="6AD83C2B" w14:textId="77777777" w:rsidR="00C1765C" w:rsidRPr="00820C89" w:rsidRDefault="00C1765C" w:rsidP="00C1765C">
      <w:r w:rsidRPr="00820C89">
        <w:t>Accordingly, the regional stakeholder engagement process will ensure data sovereignty for all stakeholders by enabling both opt-in and out processes throughout the entirety of the study, as well as ensuring the data collected is shared back with individuals and organisations where possible. For regional consultations, these methods of sharing information back with the community will be tailored to the community. In general, this will be in the form of case study write ups of employment success stories that the community can use going forward.</w:t>
      </w:r>
    </w:p>
    <w:p w14:paraId="0489368F" w14:textId="77777777" w:rsidR="00C1765C" w:rsidRPr="00820C89" w:rsidRDefault="00C1765C" w:rsidP="00C1765C">
      <w:r w:rsidRPr="00820C89">
        <w:t>In particular communities, if there is interest, other products could be develop and may include:</w:t>
      </w:r>
    </w:p>
    <w:p w14:paraId="1EFEC605" w14:textId="77777777" w:rsidR="00C1765C" w:rsidRPr="00820C89" w:rsidRDefault="00C1765C" w:rsidP="00715F70">
      <w:pPr>
        <w:pStyle w:val="ListParagraph"/>
        <w:numPr>
          <w:ilvl w:val="0"/>
          <w:numId w:val="110"/>
        </w:numPr>
        <w:spacing w:before="170"/>
      </w:pPr>
      <w:r w:rsidRPr="00820C89">
        <w:t>a video which collates footage taken during the evaluation team’s time in the community</w:t>
      </w:r>
    </w:p>
    <w:p w14:paraId="2EFF7EE4" w14:textId="77777777" w:rsidR="00C1765C" w:rsidRPr="00820C89" w:rsidRDefault="00C1765C" w:rsidP="00715F70">
      <w:pPr>
        <w:pStyle w:val="ListParagraph"/>
        <w:numPr>
          <w:ilvl w:val="0"/>
          <w:numId w:val="110"/>
        </w:numPr>
        <w:spacing w:before="170"/>
      </w:pPr>
      <w:r w:rsidRPr="00820C89">
        <w:t xml:space="preserve">a group painting that is completed during the consultation period and left in the community. </w:t>
      </w:r>
    </w:p>
    <w:p w14:paraId="1AB3B8D6" w14:textId="77777777" w:rsidR="00C1765C" w:rsidRPr="00820C89" w:rsidRDefault="00C1765C" w:rsidP="00C1765C">
      <w:r w:rsidRPr="00820C89">
        <w:t xml:space="preserve">In these cases, additional ethics approval will be obtained prior to commencing data collection. A further dimension of data sovereignty that will be considered is the ongoing communication of the purpose, use and nature of evaluation products such as data and analysis (including the final report). Time will be allocated to understand participant and community needs in relation to use of this information for their local advocacy, decision making or planning purposes. Every effort will be </w:t>
      </w:r>
      <w:r w:rsidRPr="00820C89">
        <w:lastRenderedPageBreak/>
        <w:t>made to ensure evaluation products are made accessible in a manner that works for the community and meets their needs.</w:t>
      </w:r>
    </w:p>
    <w:p w14:paraId="7BC6B292" w14:textId="77777777" w:rsidR="00C1765C" w:rsidRPr="00820C89" w:rsidRDefault="00C1765C" w:rsidP="00715F70">
      <w:pPr>
        <w:pStyle w:val="Heading4"/>
        <w:numPr>
          <w:ilvl w:val="3"/>
          <w:numId w:val="12"/>
        </w:numPr>
        <w:tabs>
          <w:tab w:val="num" w:pos="1492"/>
        </w:tabs>
        <w:ind w:left="1492" w:hanging="360"/>
      </w:pPr>
      <w:r w:rsidRPr="00820C89">
        <w:t>Incorporating community views and perspectives</w:t>
      </w:r>
    </w:p>
    <w:p w14:paraId="10BD7A29" w14:textId="77777777" w:rsidR="00C1765C" w:rsidRPr="00820C89" w:rsidRDefault="00C1765C" w:rsidP="00C1765C">
      <w:r w:rsidRPr="00820C89">
        <w:t>It is essential that community views and perspectives are incorporated into findings. A number of strategies will be used to ensure this is done effectively.</w:t>
      </w:r>
    </w:p>
    <w:p w14:paraId="500438C1" w14:textId="77777777" w:rsidR="00C1765C" w:rsidRPr="00820C89" w:rsidRDefault="00C1765C" w:rsidP="00C1765C">
      <w:r w:rsidRPr="00820C89">
        <w:t xml:space="preserve">Specific time will be allocated during each consultation, particularly the focus group sessions, for the evaluation team to play back what they have heard and recorded from the sessions. In particular, the evaluation team will be looking to check that they have heard and prioritised the things that are most important to participants. </w:t>
      </w:r>
    </w:p>
    <w:p w14:paraId="4D02375A" w14:textId="77777777" w:rsidR="00C1765C" w:rsidRPr="00820C89" w:rsidRDefault="00C1765C" w:rsidP="00C1765C">
      <w:r w:rsidRPr="00820C89">
        <w:t xml:space="preserve">Participants will have the opportunity to review transcripts, and case study write-ups, and to provide further comment on these to the evaluation team. </w:t>
      </w:r>
    </w:p>
    <w:p w14:paraId="69125F78" w14:textId="77777777" w:rsidR="00C1765C" w:rsidRPr="00820C89" w:rsidRDefault="00C1765C" w:rsidP="00C1765C">
      <w:r w:rsidRPr="00820C89">
        <w:t xml:space="preserve">Indigenous facilitators will ensure that conversation picks up on and follows the path of areas of interest driven by participants, rather than the preconceptions of the non-Indigenous members of the evaluation team.  </w:t>
      </w:r>
    </w:p>
    <w:p w14:paraId="00E56E64" w14:textId="77777777" w:rsidR="00C1765C" w:rsidRPr="00820C89" w:rsidRDefault="00C1765C" w:rsidP="00715F70">
      <w:pPr>
        <w:pStyle w:val="Heading3"/>
        <w:numPr>
          <w:ilvl w:val="2"/>
          <w:numId w:val="12"/>
        </w:numPr>
        <w:tabs>
          <w:tab w:val="num" w:pos="1492"/>
        </w:tabs>
        <w:ind w:hanging="360"/>
      </w:pPr>
      <w:bookmarkStart w:id="457" w:name="_Toc37402759"/>
      <w:bookmarkStart w:id="458" w:name="_Toc45206349"/>
      <w:r w:rsidRPr="00820C89">
        <w:t>Final program and policy consultations</w:t>
      </w:r>
      <w:bookmarkEnd w:id="457"/>
      <w:bookmarkEnd w:id="458"/>
      <w:r w:rsidRPr="00820C89">
        <w:t xml:space="preserve"> </w:t>
      </w:r>
    </w:p>
    <w:p w14:paraId="7CC8A61A" w14:textId="77777777" w:rsidR="00C1765C" w:rsidRPr="00820C89" w:rsidRDefault="00C1765C" w:rsidP="00C1765C">
      <w:r w:rsidRPr="00820C89">
        <w:t>The final aspect of the stakeholder engagement approach will involve testing emerging themes and findings with NIAA and DESE program and policy staff. This will include:</w:t>
      </w:r>
    </w:p>
    <w:p w14:paraId="389920FE" w14:textId="77777777" w:rsidR="00C1765C" w:rsidRPr="00820C89" w:rsidRDefault="00C1765C" w:rsidP="00715F70">
      <w:pPr>
        <w:pStyle w:val="ListParagraph"/>
        <w:numPr>
          <w:ilvl w:val="0"/>
          <w:numId w:val="166"/>
        </w:numPr>
        <w:spacing w:before="170"/>
      </w:pPr>
      <w:r w:rsidRPr="00820C89">
        <w:t>a facilitated participatory workshop with NIAA regional network staff</w:t>
      </w:r>
    </w:p>
    <w:p w14:paraId="659384B7" w14:textId="77777777" w:rsidR="00C1765C" w:rsidRPr="00820C89" w:rsidRDefault="00C1765C" w:rsidP="00715F70">
      <w:pPr>
        <w:pStyle w:val="ListParagraph"/>
        <w:numPr>
          <w:ilvl w:val="0"/>
          <w:numId w:val="166"/>
        </w:numPr>
        <w:spacing w:before="170"/>
      </w:pPr>
      <w:r w:rsidRPr="00820C89">
        <w:t>semi-structured interview with program and policy staff across jobactive, CDP, EPI, TAEG and VTEC programs.</w:t>
      </w:r>
    </w:p>
    <w:p w14:paraId="67575584" w14:textId="77777777" w:rsidR="00C1765C" w:rsidRPr="00820C89" w:rsidRDefault="00C1765C" w:rsidP="00C1765C">
      <w:r w:rsidRPr="00820C89">
        <w:t>The facilitated participatory workshop with NIAA regional network staff will be an interactive opportunity for the evaluation team to share emerging findings and ensure that geographical differences are accounted for in the way that findings are reported.</w:t>
      </w:r>
    </w:p>
    <w:p w14:paraId="1C789E85" w14:textId="77777777" w:rsidR="00C1765C" w:rsidRPr="00820C89" w:rsidRDefault="00C1765C" w:rsidP="00C1765C">
      <w:r w:rsidRPr="00820C89">
        <w:t>Semi-structured interviews with both policy and program staff across both general employment programs and Indigenous employment programs will aim to ensure that the broader employment policy context is accounted for in the way that findings are reported. This will allow for the final report to make the distinction between findings that relate to employment programs generally, those that are specific to Indigenous Employment programs broadly, and those that are specific to the in-scope programs.</w:t>
      </w:r>
    </w:p>
    <w:p w14:paraId="5A660791" w14:textId="77777777" w:rsidR="00C1765C" w:rsidRPr="00820C89" w:rsidRDefault="00C1765C" w:rsidP="00C1765C">
      <w:r w:rsidRPr="00820C89">
        <w:t>Workshop participants will ideally include NIAA regional staff across all networks, even if community consultations did not occur in their region. Employment program and policy staff will be selected in collaboration with NIAA.</w:t>
      </w:r>
    </w:p>
    <w:p w14:paraId="173D28CF" w14:textId="77777777" w:rsidR="00C1765C" w:rsidRPr="00820C89" w:rsidRDefault="00C1765C" w:rsidP="00C1765C">
      <w:r w:rsidRPr="00820C89">
        <w:t>These consultations will be completed in October and consultation guides/workshop materials will be developed in prior and tested with NIAA.</w:t>
      </w:r>
    </w:p>
    <w:p w14:paraId="20534C97" w14:textId="77777777" w:rsidR="00C1765C" w:rsidRPr="00820C89" w:rsidRDefault="00C1765C" w:rsidP="00C1765C">
      <w:pPr>
        <w:pStyle w:val="Heading1"/>
        <w:tabs>
          <w:tab w:val="num" w:pos="1492"/>
        </w:tabs>
        <w:ind w:left="1492" w:hanging="360"/>
      </w:pPr>
      <w:bookmarkStart w:id="459" w:name="_Toc37099395"/>
      <w:bookmarkStart w:id="460" w:name="_Toc37177389"/>
      <w:bookmarkStart w:id="461" w:name="_Toc45206350"/>
      <w:bookmarkStart w:id="462" w:name="_Toc82694515"/>
      <w:bookmarkStart w:id="463" w:name="_Toc82710814"/>
      <w:bookmarkStart w:id="464" w:name="_Toc101343339"/>
      <w:r w:rsidRPr="00820C89">
        <w:lastRenderedPageBreak/>
        <w:t>Evaluation implementation</w:t>
      </w:r>
      <w:bookmarkEnd w:id="459"/>
      <w:bookmarkEnd w:id="460"/>
      <w:r w:rsidRPr="00820C89">
        <w:t xml:space="preserve"> plan</w:t>
      </w:r>
      <w:bookmarkEnd w:id="461"/>
      <w:bookmarkEnd w:id="462"/>
      <w:bookmarkEnd w:id="463"/>
      <w:bookmarkEnd w:id="464"/>
    </w:p>
    <w:p w14:paraId="36AE09F5" w14:textId="77777777" w:rsidR="00C1765C" w:rsidRPr="00820C89" w:rsidRDefault="00C1765C" w:rsidP="00C1765C">
      <w:r w:rsidRPr="00820C89">
        <w:t>This section of the Evaluation Strategy outlines practical considerations around implementation of the framework in the broader context of the project. The key aspects of evaluation implementation covered are:</w:t>
      </w:r>
    </w:p>
    <w:p w14:paraId="4DC0D252" w14:textId="77777777" w:rsidR="00C1765C" w:rsidRPr="00820C89" w:rsidRDefault="00C1765C" w:rsidP="00715F70">
      <w:pPr>
        <w:pStyle w:val="ListParagraph"/>
        <w:numPr>
          <w:ilvl w:val="0"/>
          <w:numId w:val="112"/>
        </w:numPr>
        <w:spacing w:before="170"/>
      </w:pPr>
      <w:r w:rsidRPr="00820C89">
        <w:t>Timeline</w:t>
      </w:r>
    </w:p>
    <w:p w14:paraId="79517737" w14:textId="77777777" w:rsidR="00C1765C" w:rsidRPr="00820C89" w:rsidRDefault="00C1765C" w:rsidP="00715F70">
      <w:pPr>
        <w:pStyle w:val="ListParagraph"/>
        <w:numPr>
          <w:ilvl w:val="0"/>
          <w:numId w:val="112"/>
        </w:numPr>
        <w:spacing w:before="170"/>
      </w:pPr>
      <w:r w:rsidRPr="00820C89">
        <w:t>Governance arrangements</w:t>
      </w:r>
    </w:p>
    <w:p w14:paraId="45577A9B" w14:textId="77777777" w:rsidR="00C1765C" w:rsidRPr="00820C89" w:rsidRDefault="00C1765C" w:rsidP="00715F70">
      <w:pPr>
        <w:pStyle w:val="ListParagraph"/>
        <w:numPr>
          <w:ilvl w:val="0"/>
          <w:numId w:val="112"/>
        </w:numPr>
        <w:spacing w:before="170"/>
      </w:pPr>
      <w:r w:rsidRPr="00820C89">
        <w:t>Ethics approval</w:t>
      </w:r>
    </w:p>
    <w:p w14:paraId="48076F70" w14:textId="77777777" w:rsidR="00C1765C" w:rsidRPr="00820C89" w:rsidRDefault="00C1765C" w:rsidP="00715F70">
      <w:pPr>
        <w:pStyle w:val="ListParagraph"/>
        <w:numPr>
          <w:ilvl w:val="0"/>
          <w:numId w:val="112"/>
        </w:numPr>
        <w:spacing w:before="170"/>
      </w:pPr>
      <w:r w:rsidRPr="00820C89">
        <w:t>Risk identification and mitigation.</w:t>
      </w:r>
    </w:p>
    <w:p w14:paraId="604B0170" w14:textId="77777777" w:rsidR="00C1765C" w:rsidRPr="00820C89" w:rsidRDefault="00C1765C" w:rsidP="00715F70">
      <w:pPr>
        <w:pStyle w:val="Heading2"/>
        <w:numPr>
          <w:ilvl w:val="1"/>
          <w:numId w:val="69"/>
        </w:numPr>
        <w:spacing w:after="60"/>
        <w:ind w:left="1440" w:hanging="360"/>
      </w:pPr>
      <w:bookmarkStart w:id="465" w:name="_Toc37099396"/>
      <w:bookmarkStart w:id="466" w:name="_Toc37177390"/>
      <w:bookmarkStart w:id="467" w:name="_Toc45206351"/>
      <w:bookmarkStart w:id="468" w:name="_Toc82694516"/>
      <w:bookmarkStart w:id="469" w:name="_Toc82710815"/>
      <w:bookmarkStart w:id="470" w:name="_Toc101343340"/>
      <w:bookmarkStart w:id="471" w:name="_Toc36569320"/>
      <w:r w:rsidRPr="00820C89">
        <w:t>Implementation timeline</w:t>
      </w:r>
      <w:bookmarkEnd w:id="465"/>
      <w:bookmarkEnd w:id="466"/>
      <w:bookmarkEnd w:id="467"/>
      <w:bookmarkEnd w:id="468"/>
      <w:bookmarkEnd w:id="469"/>
      <w:bookmarkEnd w:id="470"/>
      <w:r w:rsidRPr="00820C89">
        <w:t xml:space="preserve"> </w:t>
      </w:r>
      <w:bookmarkEnd w:id="471"/>
    </w:p>
    <w:p w14:paraId="38831927" w14:textId="77777777" w:rsidR="00C1765C" w:rsidRPr="00820C89" w:rsidRDefault="00C1765C" w:rsidP="00C1765C">
      <w:r w:rsidRPr="00820C89">
        <w:t xml:space="preserve">Figure 4.1, on the following page, sets out the timeline for the evaluation, including the data collection, analysis and reporting activities to which this strategy is a key input. </w:t>
      </w:r>
    </w:p>
    <w:p w14:paraId="1868C37D" w14:textId="77777777" w:rsidR="00C1765C" w:rsidRPr="00820C89" w:rsidRDefault="00C1765C" w:rsidP="00C1765C">
      <w:r w:rsidRPr="00820C89">
        <w:t xml:space="preserve">The Evaluation Strategy will be provided to the NIAA on 9 April 2020, for consideration and agreement by the ERG. The Strategy will then be used immediately and on an ongoing basis to inform data collection, analysis and reporting activities. </w:t>
      </w:r>
    </w:p>
    <w:p w14:paraId="06204F7B" w14:textId="77777777" w:rsidR="00C1765C" w:rsidRPr="00820C89" w:rsidRDefault="00C1765C" w:rsidP="00C1765C">
      <w:r w:rsidRPr="00820C89">
        <w:t>Other key dates and deliverables include:</w:t>
      </w:r>
    </w:p>
    <w:p w14:paraId="2095D696" w14:textId="77777777" w:rsidR="00C1765C" w:rsidRPr="00820C89" w:rsidRDefault="00C1765C" w:rsidP="00715F70">
      <w:pPr>
        <w:pStyle w:val="ListParagraph"/>
        <w:numPr>
          <w:ilvl w:val="0"/>
          <w:numId w:val="122"/>
        </w:numPr>
        <w:spacing w:before="170"/>
      </w:pPr>
      <w:r w:rsidRPr="00820C89">
        <w:t>May 2020 – provider survey in field</w:t>
      </w:r>
    </w:p>
    <w:p w14:paraId="2F55F51C" w14:textId="77777777" w:rsidR="00C1765C" w:rsidRPr="00820C89" w:rsidRDefault="00C1765C" w:rsidP="00715F70">
      <w:pPr>
        <w:pStyle w:val="ListParagraph"/>
        <w:numPr>
          <w:ilvl w:val="0"/>
          <w:numId w:val="122"/>
        </w:numPr>
        <w:spacing w:before="170"/>
      </w:pPr>
      <w:r w:rsidRPr="00820C89">
        <w:t>4 June 2020 – early finding presented to ERG</w:t>
      </w:r>
    </w:p>
    <w:p w14:paraId="0FA90AFE" w14:textId="77777777" w:rsidR="00C1765C" w:rsidRPr="00820C89" w:rsidRDefault="00C1765C" w:rsidP="00715F70">
      <w:pPr>
        <w:pStyle w:val="ListParagraph"/>
        <w:numPr>
          <w:ilvl w:val="0"/>
          <w:numId w:val="122"/>
        </w:numPr>
        <w:spacing w:before="170"/>
      </w:pPr>
      <w:r w:rsidRPr="00820C89">
        <w:t xml:space="preserve">July-Sep 2020 – regional consultations undertaken </w:t>
      </w:r>
      <w:r w:rsidRPr="00820C89">
        <w:rPr>
          <w:i/>
          <w:iCs/>
        </w:rPr>
        <w:t>(noting this timing is likely impacted by COVID-19, as discussed in section 4.4)</w:t>
      </w:r>
    </w:p>
    <w:p w14:paraId="63176140" w14:textId="77777777" w:rsidR="00C1765C" w:rsidRPr="00820C89" w:rsidRDefault="00C1765C" w:rsidP="00715F70">
      <w:pPr>
        <w:pStyle w:val="ListParagraph"/>
        <w:numPr>
          <w:ilvl w:val="0"/>
          <w:numId w:val="122"/>
        </w:numPr>
        <w:spacing w:before="170"/>
      </w:pPr>
      <w:r w:rsidRPr="00820C89">
        <w:t>16 November 2020– draft report to NIAA</w:t>
      </w:r>
    </w:p>
    <w:p w14:paraId="12FAD02F" w14:textId="77777777" w:rsidR="00C1765C" w:rsidRPr="00820C89" w:rsidRDefault="00C1765C" w:rsidP="00715F70">
      <w:pPr>
        <w:pStyle w:val="ListParagraph"/>
        <w:numPr>
          <w:ilvl w:val="0"/>
          <w:numId w:val="122"/>
        </w:numPr>
        <w:spacing w:before="170"/>
      </w:pPr>
      <w:r w:rsidRPr="00820C89">
        <w:t>14 December 2020 – final report to NIAA</w:t>
      </w:r>
    </w:p>
    <w:p w14:paraId="3B115F2F" w14:textId="77777777" w:rsidR="00C1765C" w:rsidRPr="00820C89" w:rsidRDefault="00C1765C" w:rsidP="00715F70">
      <w:pPr>
        <w:pStyle w:val="ListParagraph"/>
        <w:numPr>
          <w:ilvl w:val="0"/>
          <w:numId w:val="122"/>
        </w:numPr>
        <w:spacing w:before="170"/>
      </w:pPr>
      <w:r w:rsidRPr="00820C89">
        <w:t xml:space="preserve">24 January 2021 – final presentation of findings. </w:t>
      </w:r>
    </w:p>
    <w:p w14:paraId="247D6C30" w14:textId="77777777" w:rsidR="00C1765C" w:rsidRPr="00820C89" w:rsidRDefault="00C1765C" w:rsidP="00C1765C">
      <w:r w:rsidRPr="00820C89">
        <w:t xml:space="preserve">These and other matters are set out in further detail in the Evaluation Project Plan, provided separately. </w:t>
      </w:r>
    </w:p>
    <w:p w14:paraId="7AAC264E" w14:textId="77777777" w:rsidR="00C1765C" w:rsidRPr="00820C89" w:rsidRDefault="00C1765C" w:rsidP="00715F70">
      <w:pPr>
        <w:pStyle w:val="Heading2"/>
        <w:numPr>
          <w:ilvl w:val="1"/>
          <w:numId w:val="69"/>
        </w:numPr>
        <w:spacing w:after="60"/>
        <w:ind w:left="1440" w:hanging="360"/>
      </w:pPr>
      <w:bookmarkStart w:id="472" w:name="_Toc37099397"/>
      <w:bookmarkStart w:id="473" w:name="_Toc37177391"/>
      <w:bookmarkStart w:id="474" w:name="_Toc45206352"/>
      <w:bookmarkStart w:id="475" w:name="_Toc82694517"/>
      <w:bookmarkStart w:id="476" w:name="_Toc82710816"/>
      <w:bookmarkStart w:id="477" w:name="_Toc101343341"/>
      <w:r w:rsidRPr="00820C89">
        <w:t>Governance arrangements</w:t>
      </w:r>
      <w:bookmarkEnd w:id="472"/>
      <w:bookmarkEnd w:id="473"/>
      <w:bookmarkEnd w:id="474"/>
      <w:bookmarkEnd w:id="475"/>
      <w:bookmarkEnd w:id="476"/>
      <w:bookmarkEnd w:id="477"/>
      <w:r w:rsidRPr="00820C89">
        <w:t xml:space="preserve"> </w:t>
      </w:r>
    </w:p>
    <w:p w14:paraId="3946795E" w14:textId="77777777" w:rsidR="00C1765C" w:rsidRPr="00820C89" w:rsidRDefault="00C1765C" w:rsidP="00C1765C">
      <w:pPr>
        <w:widowControl w:val="0"/>
        <w:autoSpaceDE w:val="0"/>
        <w:autoSpaceDN w:val="0"/>
        <w:adjustRightInd w:val="0"/>
        <w:spacing w:after="0" w:line="240" w:lineRule="auto"/>
      </w:pPr>
      <w:r w:rsidRPr="00820C89">
        <w:t xml:space="preserve">The NIAA has established the Evaluation Reference Group (ERG) to oversee and guide the evaluation using established practices in line with the IAS Evaluation Framework principles. The ERG will provide feedback on the evaluation scope, review evaluation progress and findings, and discuss the implications for future directions of the program. </w:t>
      </w:r>
    </w:p>
    <w:p w14:paraId="5FAAEEE0" w14:textId="77777777" w:rsidR="00C1765C" w:rsidRPr="00820C89" w:rsidRDefault="00C1765C" w:rsidP="00C1765C">
      <w:r w:rsidRPr="00820C89">
        <w:t xml:space="preserve">The ERG will meet regularly and will monitor implementation of the Evaluation Strategy. </w:t>
      </w:r>
    </w:p>
    <w:p w14:paraId="3B9AFE83" w14:textId="77777777" w:rsidR="00C1765C" w:rsidRPr="00820C89" w:rsidRDefault="00C1765C" w:rsidP="00C1765C">
      <w:r w:rsidRPr="00820C89">
        <w:t>In addition, weekly project reporting will include an update on progress on the Evaluation Strategy. This will include monitoring of:</w:t>
      </w:r>
    </w:p>
    <w:p w14:paraId="4422BA16" w14:textId="77777777" w:rsidR="00C1765C" w:rsidRPr="00820C89" w:rsidRDefault="00C1765C" w:rsidP="00715F70">
      <w:pPr>
        <w:pStyle w:val="ListParagraph"/>
        <w:numPr>
          <w:ilvl w:val="0"/>
          <w:numId w:val="113"/>
        </w:numPr>
        <w:spacing w:before="170"/>
      </w:pPr>
      <w:r w:rsidRPr="00820C89">
        <w:t>Ethics approval</w:t>
      </w:r>
    </w:p>
    <w:p w14:paraId="0349B750" w14:textId="77777777" w:rsidR="00C1765C" w:rsidRPr="00820C89" w:rsidRDefault="00C1765C" w:rsidP="00715F70">
      <w:pPr>
        <w:pStyle w:val="ListParagraph"/>
        <w:numPr>
          <w:ilvl w:val="0"/>
          <w:numId w:val="113"/>
        </w:numPr>
        <w:spacing w:before="170"/>
      </w:pPr>
      <w:r w:rsidRPr="00820C89">
        <w:t>Provision of program data</w:t>
      </w:r>
    </w:p>
    <w:p w14:paraId="3E0A18F5" w14:textId="77777777" w:rsidR="00C1765C" w:rsidRPr="00820C89" w:rsidRDefault="00C1765C" w:rsidP="00715F70">
      <w:pPr>
        <w:pStyle w:val="ListParagraph"/>
        <w:numPr>
          <w:ilvl w:val="0"/>
          <w:numId w:val="113"/>
        </w:numPr>
        <w:spacing w:before="170"/>
      </w:pPr>
      <w:r w:rsidRPr="00820C89">
        <w:t>Updates on evaluation activities</w:t>
      </w:r>
    </w:p>
    <w:p w14:paraId="246C3EE2" w14:textId="77777777" w:rsidR="00C1765C" w:rsidRPr="00820C89" w:rsidRDefault="00C1765C" w:rsidP="00715F70">
      <w:pPr>
        <w:pStyle w:val="ListParagraph"/>
        <w:numPr>
          <w:ilvl w:val="0"/>
          <w:numId w:val="113"/>
        </w:numPr>
        <w:spacing w:before="170"/>
      </w:pPr>
      <w:r w:rsidRPr="00820C89">
        <w:t>Emerging findings and their relevance to the evaluation objectives</w:t>
      </w:r>
    </w:p>
    <w:p w14:paraId="67B52058" w14:textId="77777777" w:rsidR="00C1765C" w:rsidRPr="00820C89" w:rsidRDefault="00C1765C" w:rsidP="00715F70">
      <w:pPr>
        <w:pStyle w:val="ListParagraph"/>
        <w:numPr>
          <w:ilvl w:val="0"/>
          <w:numId w:val="113"/>
        </w:numPr>
        <w:spacing w:before="170"/>
      </w:pPr>
      <w:r w:rsidRPr="00820C89">
        <w:t>Emerging risks</w:t>
      </w:r>
    </w:p>
    <w:p w14:paraId="2AA6AB4F" w14:textId="77777777" w:rsidR="00C1765C" w:rsidRPr="00820C89" w:rsidRDefault="00C1765C" w:rsidP="00C1765C">
      <w:r w:rsidRPr="00820C89">
        <w:t>Any changes to this strategy would need to be agreed by Deloitte and NIAA, via the ERG.</w:t>
      </w:r>
    </w:p>
    <w:p w14:paraId="5706B949" w14:textId="77777777" w:rsidR="00C1765C" w:rsidRPr="00820C89" w:rsidRDefault="00C1765C" w:rsidP="00C1765C">
      <w:r w:rsidRPr="00820C89">
        <w:t xml:space="preserve">The evaluation team is co-lead. In the combination of Professor Deen Sanders OAM and Matt Wright, the evaluation will benefit from Indigenous leadership and governance at its centre, as well as leading skills and training evaluation expertise. A full overview of the project team is provided in the evaluation project plan. </w:t>
      </w:r>
    </w:p>
    <w:p w14:paraId="37FEF937" w14:textId="77777777" w:rsidR="00C1765C" w:rsidRPr="00820C89" w:rsidRDefault="00C1765C" w:rsidP="00C1765C">
      <w:pPr>
        <w:rPr>
          <w:lang w:val="da-DK"/>
        </w:rPr>
      </w:pPr>
      <w:r w:rsidRPr="00820C89">
        <w:rPr>
          <w:lang w:val="da-DK"/>
        </w:rPr>
        <w:lastRenderedPageBreak/>
        <w:t xml:space="preserve">As part of the governance for the evaluation, the NIAA’s Indigenous Evaluation Committee (comprised of Professor Maggie Walter, Blair Exell, Doctor Anthony Dillon and Doctor Wendy Jarvie) will provide advice on the evaluation strategy, implementation and findings. This provides the opportunity for the evaluation to be independently assessed by a panel of Indigenous academics. </w:t>
      </w:r>
    </w:p>
    <w:p w14:paraId="4BAB88B3" w14:textId="77777777" w:rsidR="00C1765C" w:rsidRPr="00820C89" w:rsidRDefault="00C1765C" w:rsidP="00C1765C"/>
    <w:p w14:paraId="0EA80D14" w14:textId="77777777" w:rsidR="00C1765C" w:rsidRPr="00820C89" w:rsidRDefault="00C1765C" w:rsidP="00C1765C">
      <w:r w:rsidRPr="00820C89">
        <w:t xml:space="preserve">  </w:t>
      </w:r>
    </w:p>
    <w:p w14:paraId="600A67C5" w14:textId="77777777" w:rsidR="00C1765C" w:rsidRPr="00820C89" w:rsidRDefault="00C1765C" w:rsidP="00C1765C">
      <w:pPr>
        <w:sectPr w:rsidR="00C1765C" w:rsidRPr="00820C89" w:rsidSect="00E04D4E">
          <w:pgSz w:w="11906" w:h="16838" w:code="9"/>
          <w:pgMar w:top="1440" w:right="1440" w:bottom="1440" w:left="1440" w:header="680" w:footer="425" w:gutter="0"/>
          <w:cols w:space="284"/>
          <w:docGrid w:linePitch="360"/>
        </w:sectPr>
      </w:pPr>
    </w:p>
    <w:p w14:paraId="0A3BD08E" w14:textId="77777777" w:rsidR="00C1765C" w:rsidRPr="00820C89" w:rsidRDefault="00C1765C" w:rsidP="00715F70">
      <w:pPr>
        <w:pStyle w:val="CaptionFigure"/>
        <w:numPr>
          <w:ilvl w:val="8"/>
          <w:numId w:val="12"/>
        </w:numPr>
        <w:spacing w:before="170"/>
        <w:ind w:left="568"/>
      </w:pPr>
      <w:r w:rsidRPr="00820C89">
        <w:lastRenderedPageBreak/>
        <w:t xml:space="preserve"> </w:t>
      </w:r>
      <w:r w:rsidRPr="0041777D">
        <w:t>Project timeline</w:t>
      </w:r>
    </w:p>
    <w:p w14:paraId="33BC7ED9" w14:textId="77777777" w:rsidR="00C1765C" w:rsidRPr="00820C89" w:rsidRDefault="00C1765C" w:rsidP="00C1765C">
      <w:pPr>
        <w:jc w:val="center"/>
      </w:pPr>
      <w:r w:rsidRPr="00820C89">
        <w:rPr>
          <w:noProof/>
          <w:lang w:eastAsia="en-AU"/>
        </w:rPr>
        <w:drawing>
          <wp:inline distT="0" distB="0" distL="0" distR="0" wp14:anchorId="512C4EDC" wp14:editId="578596AC">
            <wp:extent cx="8727862" cy="5276850"/>
            <wp:effectExtent l="0" t="0" r="0" b="0"/>
            <wp:docPr id="458" name="Picture 458" descr="The following timeline discusses the IEP project. The timeline stretches from February 2020 through to January 2021. There are 21 events in total with several additional events linked below.&#10;&#10;A table, split into 5 phases, is underneath the timeline indicating the timing and preperation at each relevant phase.&#10;&#10;Phase 1 is titled project inception and planning.&#10;&#10;Phase 2 is titled desktop research.&#10;&#10;Phase 3 is titled data collection.&#10;&#10;Phase 4 is titled analysis.&#10;&#10;Phase 5 is untitled. It identifies the outcome / results aspect of the work.&#10;&#10;For simplicity, this description of the timeline will follow a date and event format.&#10;&#10;The first event was on 27 February 2020.&#10;&#10;Phase 1 of this event involved the  program inception meeting.&#10;&#10;Phase 2 of this event was the literature review commencing following the Project Inception Meeting&#10;&#10;Phase 3 of this evant was the program data received following the program inception meeting.&#10;&#10;Phase 4 was the commencement of the IEP data analysis.&#10;&#10;The second event occured during the week of 23 March 2020 where the phase 1 activity of evaluation framework &amp; data workshops occured.&#10;&#10;The third was on 3 April 2020.&#10;&#10;Phase 1 was the Revised Evaluation Strategy, Project Plan and Ethics Approval being submitted.&#10;&#10;Phase 5 saw the literature review outcomes delivered alongside the revised Evaluation Strategy.&#10;&#10;The month of April 2020 also saw the phase 3 event of NIAA regional office / program area consultations occur.&#10;&#10;In mid-May 2020, the first of 9 ERG meetings occured as a phase 1 event. &#10;&#10;An unlinked phase 4 event, the analysis of consultation and program data to date, also occured in mid to late May 2020.&#10;&#10;On June 9, the Phase 5 event &quot;Early findings presented to ERG&quot; occured.&#10;&#10;Mid-June saw the second phase 1 ERG event and an unlinked phase 3 provider surver occur.&#10;&#10;In early-mid July, a phase 3 action occured through the commencement of regional consultations. The regional consultations included program participants, employers, providers, regional officers and state and territory governments. This action concluded in mid-september.&#10;&#10;Mid-July also saw the third phase 1 ERG meeting.&#10;&#10;Mid-August saw the fourth phase 1 ERG meeting.&#10;&#10;Mid-September saw the fifth phase 1 ERG meeting.&#10;&#10;In early october, the phase 2 activity of the literature being revisited and the phase 4 activity where analysis and systhesis of all data prior to draft delivery occured.&#10;&#10;Mid-October saw the sixth phase 1 ERG meeting and the unlinked phase 3 NIAA regional workshop occur.&#10;&#10;On 16 November, the phase 5 activity of the draft report being submitted occured.&#10;&#10;Mid-November saw the seventh phase 1 ERG meeting.&#10;&#10;On 14 December, the phase 5 activity of the final report being submitted occured.&#10;&#10;Mid-December saw the eighth phase 1 ERG meeting.&#10;&#10;On 24 January 2021, the phase 5 final presentation event occured.&#10;&#10;Mid-January saw the ninth and final phase 1 ERG meeting.&#10;&#10;End of time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743392" cy="5286239"/>
                    </a:xfrm>
                    <a:prstGeom prst="rect">
                      <a:avLst/>
                    </a:prstGeom>
                    <a:noFill/>
                  </pic:spPr>
                </pic:pic>
              </a:graphicData>
            </a:graphic>
          </wp:inline>
        </w:drawing>
      </w:r>
    </w:p>
    <w:p w14:paraId="615B2B90" w14:textId="77777777" w:rsidR="00C1765C" w:rsidRPr="00820C89" w:rsidRDefault="00C1765C" w:rsidP="00C1765C">
      <w:pPr>
        <w:pStyle w:val="Heading1un-numbered"/>
        <w:sectPr w:rsidR="00C1765C" w:rsidRPr="00820C89" w:rsidSect="00BE6CA8">
          <w:pgSz w:w="16838" w:h="11906" w:orient="landscape" w:code="9"/>
          <w:pgMar w:top="1440" w:right="1440" w:bottom="1440" w:left="1440" w:header="680" w:footer="425" w:gutter="0"/>
          <w:cols w:space="284"/>
          <w:docGrid w:linePitch="360"/>
        </w:sectPr>
      </w:pPr>
    </w:p>
    <w:p w14:paraId="01A32043" w14:textId="77777777" w:rsidR="00C1765C" w:rsidRPr="00820C89" w:rsidRDefault="00C1765C" w:rsidP="00715F70">
      <w:pPr>
        <w:pStyle w:val="Heading2"/>
        <w:numPr>
          <w:ilvl w:val="1"/>
          <w:numId w:val="12"/>
        </w:numPr>
        <w:tabs>
          <w:tab w:val="num" w:pos="1492"/>
        </w:tabs>
        <w:spacing w:after="60"/>
        <w:ind w:left="1492" w:hanging="360"/>
      </w:pPr>
      <w:bookmarkStart w:id="478" w:name="_Toc37099398"/>
      <w:bookmarkStart w:id="479" w:name="_Toc37177392"/>
      <w:bookmarkStart w:id="480" w:name="_Toc45206353"/>
      <w:bookmarkStart w:id="481" w:name="_Toc82694518"/>
      <w:bookmarkStart w:id="482" w:name="_Toc82710817"/>
      <w:bookmarkStart w:id="483" w:name="_Toc101343342"/>
      <w:r w:rsidRPr="00820C89">
        <w:lastRenderedPageBreak/>
        <w:t>Ethics</w:t>
      </w:r>
      <w:bookmarkEnd w:id="478"/>
      <w:r w:rsidRPr="00820C89">
        <w:t xml:space="preserve"> and research approval</w:t>
      </w:r>
      <w:bookmarkEnd w:id="479"/>
      <w:bookmarkEnd w:id="480"/>
      <w:bookmarkEnd w:id="481"/>
      <w:bookmarkEnd w:id="482"/>
      <w:bookmarkEnd w:id="483"/>
    </w:p>
    <w:p w14:paraId="6A1961DC" w14:textId="77777777" w:rsidR="00C1765C" w:rsidRPr="00820C89" w:rsidRDefault="00C1765C" w:rsidP="00C1765C">
      <w:pPr>
        <w:rPr>
          <w:rFonts w:ascii="Times New Roman" w:eastAsia="Times New Roman" w:hAnsi="Times New Roman" w:cs="Times New Roman"/>
          <w:sz w:val="24"/>
          <w:szCs w:val="24"/>
          <w:lang w:eastAsia="en-AU"/>
        </w:rPr>
      </w:pPr>
      <w:r w:rsidRPr="00820C89">
        <w:rPr>
          <w:lang w:eastAsia="en-AU"/>
        </w:rPr>
        <w:t xml:space="preserve">As part of the method includes consultations with participants, a Human Research Ethics Committee (HREC) ethical clearance is required. The ethics submission will be completed after the Department approves the Project Plan and Evaluation Strategy, drawing heavily on the Evaluation Strategy as input into the submission. </w:t>
      </w:r>
    </w:p>
    <w:p w14:paraId="6ACC259D" w14:textId="77777777" w:rsidR="00C1765C" w:rsidRPr="00820C89" w:rsidRDefault="00C1765C" w:rsidP="00C1765C">
      <w:pPr>
        <w:rPr>
          <w:rFonts w:ascii="Times New Roman" w:eastAsia="Times New Roman" w:hAnsi="Times New Roman" w:cs="Times New Roman"/>
          <w:sz w:val="24"/>
          <w:szCs w:val="24"/>
          <w:lang w:eastAsia="en-AU"/>
        </w:rPr>
      </w:pPr>
      <w:r w:rsidRPr="00820C89">
        <w:rPr>
          <w:lang w:eastAsia="en-AU"/>
        </w:rPr>
        <w:t>It is expected that the following documents will form part of the ethics application:</w:t>
      </w:r>
    </w:p>
    <w:p w14:paraId="34CBE488" w14:textId="77777777" w:rsidR="00C1765C" w:rsidRPr="00820C89" w:rsidRDefault="00C1765C" w:rsidP="00715F70">
      <w:pPr>
        <w:pStyle w:val="ListParagraph"/>
        <w:numPr>
          <w:ilvl w:val="0"/>
          <w:numId w:val="120"/>
        </w:numPr>
        <w:spacing w:before="170"/>
        <w:rPr>
          <w:rFonts w:ascii="Times New Roman" w:eastAsia="Times New Roman" w:hAnsi="Times New Roman" w:cs="Times New Roman"/>
          <w:szCs w:val="24"/>
          <w:lang w:eastAsia="en-AU"/>
        </w:rPr>
      </w:pPr>
      <w:r w:rsidRPr="00820C89">
        <w:rPr>
          <w:lang w:eastAsia="en-AU"/>
        </w:rPr>
        <w:t>Cover letter (sent as a separate document)</w:t>
      </w:r>
    </w:p>
    <w:p w14:paraId="0D0B0FD9" w14:textId="77777777" w:rsidR="00C1765C" w:rsidRPr="00820C89" w:rsidRDefault="00C1765C" w:rsidP="00715F70">
      <w:pPr>
        <w:pStyle w:val="ListParagraph"/>
        <w:numPr>
          <w:ilvl w:val="0"/>
          <w:numId w:val="120"/>
        </w:numPr>
        <w:spacing w:before="170"/>
        <w:rPr>
          <w:rFonts w:ascii="Times New Roman" w:eastAsia="Times New Roman" w:hAnsi="Times New Roman" w:cs="Times New Roman"/>
          <w:szCs w:val="24"/>
          <w:lang w:eastAsia="en-AU"/>
        </w:rPr>
      </w:pPr>
      <w:r w:rsidRPr="00820C89">
        <w:rPr>
          <w:lang w:eastAsia="en-AU"/>
        </w:rPr>
        <w:t>Completed e-protocol (online application document)</w:t>
      </w:r>
    </w:p>
    <w:p w14:paraId="7C6BB485" w14:textId="77777777" w:rsidR="00C1765C" w:rsidRPr="00820C89" w:rsidRDefault="00C1765C" w:rsidP="00715F70">
      <w:pPr>
        <w:pStyle w:val="ListParagraph"/>
        <w:numPr>
          <w:ilvl w:val="0"/>
          <w:numId w:val="120"/>
        </w:numPr>
        <w:spacing w:before="170"/>
        <w:rPr>
          <w:rFonts w:ascii="Times New Roman" w:eastAsia="Times New Roman" w:hAnsi="Times New Roman" w:cs="Times New Roman"/>
          <w:szCs w:val="24"/>
          <w:lang w:eastAsia="en-AU"/>
        </w:rPr>
      </w:pPr>
      <w:r w:rsidRPr="00820C89">
        <w:rPr>
          <w:lang w:eastAsia="en-AU"/>
        </w:rPr>
        <w:t>Deloitte’s public liability insurance certificate of currency (sent as a separate document)</w:t>
      </w:r>
    </w:p>
    <w:p w14:paraId="4AF95777" w14:textId="77777777" w:rsidR="00C1765C" w:rsidRPr="00820C89" w:rsidRDefault="00C1765C" w:rsidP="00715F70">
      <w:pPr>
        <w:pStyle w:val="ListParagraph"/>
        <w:numPr>
          <w:ilvl w:val="0"/>
          <w:numId w:val="120"/>
        </w:numPr>
        <w:spacing w:before="170"/>
        <w:rPr>
          <w:rFonts w:ascii="Times New Roman" w:eastAsia="Times New Roman" w:hAnsi="Times New Roman" w:cs="Times New Roman"/>
          <w:szCs w:val="24"/>
          <w:lang w:eastAsia="en-AU"/>
        </w:rPr>
      </w:pPr>
      <w:r w:rsidRPr="00820C89">
        <w:rPr>
          <w:lang w:eastAsia="en-AU"/>
        </w:rPr>
        <w:t>Deloitte’s professional indemnity insurance certificate of currency (sent as a separate document)</w:t>
      </w:r>
    </w:p>
    <w:p w14:paraId="5A9D4187" w14:textId="77777777" w:rsidR="00C1765C" w:rsidRPr="00820C89" w:rsidRDefault="00C1765C" w:rsidP="00715F70">
      <w:pPr>
        <w:pStyle w:val="ListParagraph"/>
        <w:numPr>
          <w:ilvl w:val="0"/>
          <w:numId w:val="120"/>
        </w:numPr>
        <w:spacing w:before="170"/>
        <w:rPr>
          <w:lang w:eastAsia="en-AU"/>
        </w:rPr>
      </w:pPr>
      <w:r w:rsidRPr="00820C89">
        <w:rPr>
          <w:lang w:eastAsia="en-AU"/>
        </w:rPr>
        <w:t>HREC form of indemnity (sent as a separate document)</w:t>
      </w:r>
    </w:p>
    <w:p w14:paraId="5DE7B4F4" w14:textId="77777777" w:rsidR="00C1765C" w:rsidRPr="00820C89" w:rsidRDefault="00C1765C" w:rsidP="00715F70">
      <w:pPr>
        <w:pStyle w:val="ListParagraph"/>
        <w:numPr>
          <w:ilvl w:val="0"/>
          <w:numId w:val="120"/>
        </w:numPr>
        <w:spacing w:before="170"/>
        <w:rPr>
          <w:lang w:eastAsia="en-AU"/>
        </w:rPr>
      </w:pPr>
      <w:r w:rsidRPr="00820C89">
        <w:rPr>
          <w:lang w:eastAsia="en-AU"/>
        </w:rPr>
        <w:t>This evaluation strategy, which includes contextual information, study objectives and key lines of enquiry, methodological framework, selection of participants – recruitment information, all consultation tools (including piloting), data sources, data management and reporting</w:t>
      </w:r>
    </w:p>
    <w:p w14:paraId="1D15D779" w14:textId="77777777" w:rsidR="00C1765C" w:rsidRPr="00820C89" w:rsidRDefault="00C1765C" w:rsidP="00715F70">
      <w:pPr>
        <w:pStyle w:val="ListParagraph"/>
        <w:numPr>
          <w:ilvl w:val="0"/>
          <w:numId w:val="120"/>
        </w:numPr>
        <w:spacing w:before="170"/>
        <w:rPr>
          <w:lang w:eastAsia="en-AU"/>
        </w:rPr>
      </w:pPr>
      <w:r w:rsidRPr="00820C89">
        <w:rPr>
          <w:lang w:eastAsia="en-AU"/>
        </w:rPr>
        <w:t xml:space="preserve">Information regarding all researchers involved in the evaluation and participant information sheets and consent forms. </w:t>
      </w:r>
    </w:p>
    <w:p w14:paraId="69F806D6" w14:textId="77777777" w:rsidR="00C1765C" w:rsidRPr="00820C89" w:rsidRDefault="00C1765C" w:rsidP="00C1765C">
      <w:pPr>
        <w:rPr>
          <w:lang w:eastAsia="en-AU"/>
        </w:rPr>
      </w:pPr>
      <w:r w:rsidRPr="00820C89">
        <w:rPr>
          <w:lang w:eastAsia="en-AU"/>
        </w:rPr>
        <w:t xml:space="preserve">While the HREC submission is the primary ethics approval for the evaluation, the methodology outlined also complies with the principles of the National Health and Medical Research Council’s National Statement on Ethical Conduct in Human Research (2007) and the Australian Institute for Aboriginal and Torres Strait Islander Studies Guidelines for Ethical Research in Australian Indigenous Studies. </w:t>
      </w:r>
    </w:p>
    <w:p w14:paraId="6B2B1D53" w14:textId="77777777" w:rsidR="00C1765C" w:rsidRPr="00820C89" w:rsidRDefault="00C1765C" w:rsidP="00C1765C">
      <w:pPr>
        <w:rPr>
          <w:lang w:eastAsia="en-AU"/>
        </w:rPr>
      </w:pPr>
      <w:r w:rsidRPr="00820C89">
        <w:rPr>
          <w:lang w:eastAsia="en-AU"/>
        </w:rPr>
        <w:t xml:space="preserve">Changes to the research process may result in the need to submit an amendment to the original proposal. For example, specific information and consent forms will be required if a community elects to receive knowledge sharing via video-recording. </w:t>
      </w:r>
    </w:p>
    <w:p w14:paraId="7010F455" w14:textId="77777777" w:rsidR="00C1765C" w:rsidRPr="00820C89" w:rsidRDefault="00C1765C" w:rsidP="00715F70">
      <w:pPr>
        <w:pStyle w:val="Heading2"/>
        <w:numPr>
          <w:ilvl w:val="1"/>
          <w:numId w:val="12"/>
        </w:numPr>
        <w:tabs>
          <w:tab w:val="num" w:pos="1492"/>
        </w:tabs>
        <w:spacing w:after="60"/>
        <w:ind w:left="1492" w:hanging="360"/>
        <w:rPr>
          <w:lang w:eastAsia="en-AU"/>
        </w:rPr>
      </w:pPr>
      <w:bookmarkStart w:id="484" w:name="_Ref37247555"/>
      <w:bookmarkStart w:id="485" w:name="_Toc45206354"/>
      <w:bookmarkStart w:id="486" w:name="_Toc82694519"/>
      <w:bookmarkStart w:id="487" w:name="_Toc82710818"/>
      <w:bookmarkStart w:id="488" w:name="_Toc101343343"/>
      <w:r w:rsidRPr="00820C89">
        <w:rPr>
          <w:lang w:eastAsia="en-AU"/>
        </w:rPr>
        <w:t>Data collection management and security</w:t>
      </w:r>
      <w:bookmarkEnd w:id="484"/>
      <w:bookmarkEnd w:id="485"/>
      <w:bookmarkEnd w:id="486"/>
      <w:bookmarkEnd w:id="487"/>
      <w:bookmarkEnd w:id="488"/>
    </w:p>
    <w:p w14:paraId="557A5265" w14:textId="77777777" w:rsidR="00C1765C" w:rsidRPr="00820C89" w:rsidRDefault="00C1765C" w:rsidP="00C1765C">
      <w:pPr>
        <w:pStyle w:val="BodyText"/>
        <w:jc w:val="both"/>
      </w:pPr>
      <w:r w:rsidRPr="00820C89">
        <w:t xml:space="preserve">Deloitte Access Economics will take every precaution to ensure that survey data is handled, stored, and accessed in a secure way that ensures the confidentiality of user information, and complies with all relevant privacy legislation. Deloitte Access Economics has secure data storage systems that are regularly monitored and maintained. </w:t>
      </w:r>
    </w:p>
    <w:p w14:paraId="50B7CDB9" w14:textId="77777777" w:rsidR="00C1765C" w:rsidRPr="00820C89" w:rsidRDefault="00C1765C" w:rsidP="00C1765C">
      <w:pPr>
        <w:pStyle w:val="BodyText"/>
        <w:jc w:val="both"/>
        <w:rPr>
          <w:rStyle w:val="normaltextrun"/>
        </w:rPr>
      </w:pPr>
      <w:r w:rsidRPr="00820C89">
        <w:t>All data collected or generated will be located in a directory dedicated to the project on Deloitte Access Economics’ network. Access to this data will be managed by having restricted access to the folder containing the project information. Only dedicated members of the project team will have access to this folder for the purpose of conducting the evaluation. Any workbooks used to analyse data will be stored in the secure project directory. Only aggregated data will be presented in the evaluation report.</w:t>
      </w:r>
    </w:p>
    <w:p w14:paraId="365C14AA" w14:textId="77777777" w:rsidR="00C1765C" w:rsidRPr="00820C89" w:rsidRDefault="00C1765C" w:rsidP="00C1765C">
      <w:r w:rsidRPr="00820C89">
        <w:t xml:space="preserve">With the consent of stakeholders, the evaluation team will be digitally recording parts of the stakeholder consultations, with these recordings transcribed through internal services within Deloitte. As well, the evaluation team will take notes to support the accurate collection of information. The evaluation team will record names and site location into consultation notes that will be securely stored (hard copy) or in a secure computer file requiring password access (digital). </w:t>
      </w:r>
    </w:p>
    <w:p w14:paraId="05918B2A" w14:textId="77777777" w:rsidR="00C1765C" w:rsidRPr="00820C89" w:rsidRDefault="00C1765C" w:rsidP="00C1765C">
      <w:r w:rsidRPr="00820C89">
        <w:t xml:space="preserve">The purpose of recording consultations is to ensure that the most accurate record of consultation data available, and to undertake analysis of consultation notes in bulk. Secure formats (primarily Skype and Zoom) will be used to conduct the recordings. Attendees will be monitored to ensure privacy on the line, and all team members will be introduced prior to commencement. Consent and recording protocols will be covered at the start of each teleconference, including that the individuals can stop participating at any time. Participants are able to maintain privacy by dialling in rather than supplying Deloitte with their personal phone numbers. </w:t>
      </w:r>
    </w:p>
    <w:p w14:paraId="3B946FB9" w14:textId="77777777" w:rsidR="00C1765C" w:rsidRPr="00820C89" w:rsidRDefault="00C1765C" w:rsidP="00C1765C">
      <w:r w:rsidRPr="00820C89">
        <w:t xml:space="preserve">Participant names and details will not be identified as part of the evaluation. Due to the nature of this analysis, some stakeholder regions and administrative areas may be provided to NIAA. Any </w:t>
      </w:r>
      <w:r w:rsidRPr="00820C89">
        <w:lastRenderedPageBreak/>
        <w:t xml:space="preserve">summary consultations content, or direct quotations from the consultations that are made available to NIAA will be anonymised, and the evaluation team will take utmost care to ensure that other information in the consultations that could identify individuals is not revealed.  </w:t>
      </w:r>
    </w:p>
    <w:p w14:paraId="488EDF27" w14:textId="77777777" w:rsidR="00C1765C" w:rsidRPr="00820C89" w:rsidRDefault="00C1765C" w:rsidP="00C1765C">
      <w:r w:rsidRPr="00820C89">
        <w:t xml:space="preserve">Any personal information that is provided to Deloitte Access Economics, such as name and contact details, will be destroyed following the completion of the project with the Department. </w:t>
      </w:r>
    </w:p>
    <w:p w14:paraId="2C13B7EE" w14:textId="77777777" w:rsidR="00C1765C" w:rsidRPr="00820C89" w:rsidRDefault="00C1765C" w:rsidP="00C1765C">
      <w:r w:rsidRPr="00820C89">
        <w:t xml:space="preserve">Other material relating to the project including sound recordings and transcripts will be destroyed after seven years. </w:t>
      </w:r>
    </w:p>
    <w:p w14:paraId="0B83FA5C" w14:textId="77777777" w:rsidR="00C1765C" w:rsidRPr="00820C89" w:rsidRDefault="00C1765C" w:rsidP="00C1765C">
      <w:r w:rsidRPr="00820C89">
        <w:t>Individual notes from the consultations or transcripts of the recorded sections of the interviews can be provided to participants upon request.</w:t>
      </w:r>
    </w:p>
    <w:p w14:paraId="6128472E" w14:textId="77777777" w:rsidR="00C1765C" w:rsidRPr="00820C89" w:rsidRDefault="00C1765C" w:rsidP="00C1765C">
      <w:pPr>
        <w:rPr>
          <w:rFonts w:cs="Segoe UI"/>
          <w:b/>
          <w:color w:val="000000"/>
        </w:rPr>
      </w:pPr>
      <w:r w:rsidRPr="00820C89">
        <w:rPr>
          <w:rStyle w:val="normaltextrun"/>
          <w:rFonts w:cs="Segoe UI"/>
          <w:color w:val="000000"/>
        </w:rPr>
        <w:t>More information about how Deloitte handles personal and project information is set out in the firm’s privacy policy at </w:t>
      </w:r>
      <w:hyperlink r:id="rId102" w:tgtFrame="_blank" w:history="1">
        <w:r w:rsidRPr="00820C89">
          <w:rPr>
            <w:rStyle w:val="normaltextrun"/>
            <w:rFonts w:cs="Segoe UI"/>
            <w:color w:val="0070C0"/>
            <w:u w:val="single"/>
          </w:rPr>
          <w:t>https://www2.deloitte.com/au/en/legal/privacy.html</w:t>
        </w:r>
      </w:hyperlink>
      <w:r w:rsidRPr="00820C89">
        <w:rPr>
          <w:rStyle w:val="normaltextrun"/>
          <w:rFonts w:cs="Segoe UI"/>
          <w:color w:val="000000"/>
        </w:rPr>
        <w:t>.</w:t>
      </w:r>
    </w:p>
    <w:p w14:paraId="613F8C8C" w14:textId="77777777" w:rsidR="00C1765C" w:rsidRPr="00820C89" w:rsidRDefault="00C1765C" w:rsidP="00715F70">
      <w:pPr>
        <w:pStyle w:val="Heading2"/>
        <w:numPr>
          <w:ilvl w:val="1"/>
          <w:numId w:val="12"/>
        </w:numPr>
        <w:tabs>
          <w:tab w:val="num" w:pos="1492"/>
        </w:tabs>
        <w:spacing w:after="60"/>
        <w:ind w:left="1492" w:hanging="360"/>
      </w:pPr>
      <w:bookmarkStart w:id="489" w:name="_Toc37099401"/>
      <w:bookmarkStart w:id="490" w:name="_Toc37177393"/>
      <w:bookmarkStart w:id="491" w:name="_Toc45206355"/>
      <w:bookmarkStart w:id="492" w:name="_Toc82694520"/>
      <w:bookmarkStart w:id="493" w:name="_Toc82710819"/>
      <w:bookmarkStart w:id="494" w:name="_Toc101343344"/>
      <w:r w:rsidRPr="00820C89">
        <w:t>Evaluation strategy risk identification and mitigation</w:t>
      </w:r>
      <w:bookmarkEnd w:id="489"/>
      <w:bookmarkEnd w:id="490"/>
      <w:bookmarkEnd w:id="491"/>
      <w:bookmarkEnd w:id="492"/>
      <w:bookmarkEnd w:id="493"/>
      <w:bookmarkEnd w:id="494"/>
    </w:p>
    <w:p w14:paraId="5DFFB2B8" w14:textId="77777777" w:rsidR="00C1765C" w:rsidRPr="00820C89" w:rsidRDefault="00C1765C" w:rsidP="00C1765C">
      <w:pPr>
        <w:jc w:val="both"/>
      </w:pPr>
      <w:r w:rsidRPr="00820C89">
        <w:t xml:space="preserve">Identification of risk and mitigation strategies is a process of reducing or eliminating adverse events encountered (or which have the potential to occur) during the evaluation process. </w:t>
      </w:r>
    </w:p>
    <w:p w14:paraId="35783135" w14:textId="77777777" w:rsidR="00C1765C" w:rsidRPr="00820C89" w:rsidRDefault="00C1765C" w:rsidP="00C1765C">
      <w:pPr>
        <w:jc w:val="both"/>
      </w:pPr>
      <w:r w:rsidRPr="00820C89">
        <w:t>The approach to manage evaluation risk involves:</w:t>
      </w:r>
    </w:p>
    <w:p w14:paraId="5F049B77" w14:textId="77777777" w:rsidR="00C1765C" w:rsidRPr="00820C89" w:rsidRDefault="00C1765C" w:rsidP="00C1765C">
      <w:pPr>
        <w:pStyle w:val="ListBullet"/>
        <w:spacing w:before="60" w:after="60"/>
        <w:contextualSpacing w:val="0"/>
        <w:jc w:val="both"/>
      </w:pPr>
      <w:r w:rsidRPr="00820C89">
        <w:t xml:space="preserve">identifying encountered or potential risks to the evaluation process; </w:t>
      </w:r>
    </w:p>
    <w:p w14:paraId="4ECCFC92" w14:textId="77777777" w:rsidR="00C1765C" w:rsidRPr="00820C89" w:rsidRDefault="00C1765C" w:rsidP="00C1765C">
      <w:pPr>
        <w:pStyle w:val="ListBullet"/>
        <w:spacing w:before="60" w:after="60"/>
        <w:contextualSpacing w:val="0"/>
        <w:jc w:val="both"/>
      </w:pPr>
      <w:r w:rsidRPr="00820C89">
        <w:t>assessing the likelihood and resulting impact of risks in the context of consequences to the evaluation; and</w:t>
      </w:r>
    </w:p>
    <w:p w14:paraId="29024CCD" w14:textId="77777777" w:rsidR="00C1765C" w:rsidRPr="00820C89" w:rsidRDefault="00C1765C" w:rsidP="00C1765C">
      <w:pPr>
        <w:pStyle w:val="ListBullet"/>
        <w:spacing w:before="60" w:after="60"/>
        <w:contextualSpacing w:val="0"/>
        <w:jc w:val="both"/>
      </w:pPr>
      <w:r w:rsidRPr="00820C89">
        <w:t xml:space="preserve">identifying and implementing strategies to mitigate or lessen evaluation risks from occurring during the evaluation process. </w:t>
      </w:r>
    </w:p>
    <w:p w14:paraId="58490D31" w14:textId="77777777" w:rsidR="00C1765C" w:rsidRPr="00820C89" w:rsidRDefault="00C1765C" w:rsidP="00C1765C">
      <w:r w:rsidRPr="00820C89">
        <w:t>There are a number of general risks to this evaluation, including some specific risks related to the emerging situation in relation to COVID-19. The identified risks to the execution of this Evaluation Strategy, and suggested strategies for mitigation are presented in</w:t>
      </w:r>
      <w:r w:rsidRPr="00820C89">
        <w:rPr>
          <w:b/>
        </w:rPr>
        <w:t xml:space="preserve"> Table 4.1</w:t>
      </w:r>
      <w:r w:rsidRPr="00820C89">
        <w:t xml:space="preserve"> below. </w:t>
      </w:r>
    </w:p>
    <w:p w14:paraId="058BFDE6" w14:textId="77777777" w:rsidR="00C1765C" w:rsidRPr="00820C89" w:rsidRDefault="00C1765C" w:rsidP="00C1765C">
      <w:r w:rsidRPr="00820C89">
        <w:t xml:space="preserve">This is not suggested to be an exhaustive list. Additional risks may arise throughout the evaluation process, for which mitigation strategies will be developed in collaboration with the ERG. </w:t>
      </w:r>
    </w:p>
    <w:p w14:paraId="66982603" w14:textId="77777777" w:rsidR="00C1765C" w:rsidRPr="00820C89" w:rsidRDefault="00C1765C" w:rsidP="00C1765C">
      <w:r w:rsidRPr="00820C89">
        <w:t xml:space="preserve">Project level risks are set out in the Project Plan, provided as a separate document. </w:t>
      </w:r>
    </w:p>
    <w:p w14:paraId="75F72989" w14:textId="77777777" w:rsidR="00C1765C" w:rsidRPr="00820C89" w:rsidRDefault="00C1765C" w:rsidP="00715F70">
      <w:pPr>
        <w:pStyle w:val="CaptionTable"/>
        <w:numPr>
          <w:ilvl w:val="6"/>
          <w:numId w:val="12"/>
        </w:numPr>
        <w:ind w:left="1417" w:hanging="1417"/>
      </w:pPr>
      <w:r w:rsidRPr="00820C89">
        <w:t>: Risks and mitigations</w:t>
      </w:r>
    </w:p>
    <w:tbl>
      <w:tblPr>
        <w:tblStyle w:val="Deloittetable"/>
        <w:tblW w:w="0" w:type="auto"/>
        <w:tblLook w:val="04A0" w:firstRow="1" w:lastRow="0" w:firstColumn="1" w:lastColumn="0" w:noHBand="0" w:noVBand="1"/>
      </w:tblPr>
      <w:tblGrid>
        <w:gridCol w:w="1788"/>
        <w:gridCol w:w="2040"/>
        <w:gridCol w:w="5198"/>
      </w:tblGrid>
      <w:tr w:rsidR="00C1765C" w:rsidRPr="00820C89" w14:paraId="7A7183D8" w14:textId="77777777" w:rsidTr="00087C85">
        <w:trPr>
          <w:cnfStyle w:val="100000000000" w:firstRow="1" w:lastRow="0" w:firstColumn="0" w:lastColumn="0" w:oddVBand="0" w:evenVBand="0" w:oddHBand="0" w:evenHBand="0" w:firstRowFirstColumn="0" w:firstRowLastColumn="0" w:lastRowFirstColumn="0" w:lastRowLastColumn="0"/>
          <w:tblHeader/>
        </w:trPr>
        <w:tc>
          <w:tcPr>
            <w:tcW w:w="1788" w:type="dxa"/>
          </w:tcPr>
          <w:p w14:paraId="260174EB" w14:textId="77777777" w:rsidR="00C1765C" w:rsidRPr="00820C89" w:rsidRDefault="00C1765C" w:rsidP="006D2536">
            <w:pPr>
              <w:rPr>
                <w:b/>
                <w:sz w:val="16"/>
                <w:szCs w:val="16"/>
              </w:rPr>
            </w:pPr>
            <w:r w:rsidRPr="00820C89">
              <w:rPr>
                <w:b/>
                <w:sz w:val="16"/>
                <w:szCs w:val="16"/>
              </w:rPr>
              <w:t>Potential risk</w:t>
            </w:r>
          </w:p>
        </w:tc>
        <w:tc>
          <w:tcPr>
            <w:tcW w:w="2040" w:type="dxa"/>
          </w:tcPr>
          <w:p w14:paraId="20EF107F" w14:textId="77777777" w:rsidR="00C1765C" w:rsidRPr="00820C89" w:rsidRDefault="00C1765C" w:rsidP="006D2536">
            <w:pPr>
              <w:rPr>
                <w:b/>
                <w:sz w:val="16"/>
                <w:szCs w:val="16"/>
              </w:rPr>
            </w:pPr>
            <w:r w:rsidRPr="00820C89">
              <w:rPr>
                <w:b/>
                <w:sz w:val="16"/>
                <w:szCs w:val="16"/>
              </w:rPr>
              <w:t>Likelihood and consequence</w:t>
            </w:r>
          </w:p>
        </w:tc>
        <w:tc>
          <w:tcPr>
            <w:tcW w:w="5198" w:type="dxa"/>
          </w:tcPr>
          <w:p w14:paraId="0E58A9A9" w14:textId="77777777" w:rsidR="00C1765C" w:rsidRPr="00820C89" w:rsidRDefault="00C1765C" w:rsidP="006D2536">
            <w:pPr>
              <w:rPr>
                <w:b/>
                <w:sz w:val="16"/>
                <w:szCs w:val="16"/>
              </w:rPr>
            </w:pPr>
            <w:r w:rsidRPr="00820C89">
              <w:rPr>
                <w:b/>
                <w:sz w:val="16"/>
                <w:szCs w:val="16"/>
              </w:rPr>
              <w:t>Mitigation strategies</w:t>
            </w:r>
          </w:p>
        </w:tc>
      </w:tr>
      <w:tr w:rsidR="00C1765C" w:rsidRPr="00820C89" w14:paraId="770D5C45" w14:textId="77777777" w:rsidTr="006D2536">
        <w:tc>
          <w:tcPr>
            <w:tcW w:w="1788" w:type="dxa"/>
          </w:tcPr>
          <w:p w14:paraId="6FDBF24C" w14:textId="77777777" w:rsidR="00C1765C" w:rsidRPr="00820C89" w:rsidRDefault="00C1765C" w:rsidP="006D2536">
            <w:pPr>
              <w:rPr>
                <w:sz w:val="16"/>
                <w:szCs w:val="16"/>
              </w:rPr>
            </w:pPr>
            <w:r w:rsidRPr="00820C89">
              <w:rPr>
                <w:sz w:val="16"/>
                <w:szCs w:val="16"/>
              </w:rPr>
              <w:t>Consultations cannot be conducted face to face due to impact of COVID-19</w:t>
            </w:r>
          </w:p>
        </w:tc>
        <w:tc>
          <w:tcPr>
            <w:tcW w:w="2040" w:type="dxa"/>
          </w:tcPr>
          <w:p w14:paraId="63EB3F20" w14:textId="77777777" w:rsidR="00C1765C" w:rsidRPr="00820C89" w:rsidRDefault="00C1765C" w:rsidP="006D2536">
            <w:pPr>
              <w:ind w:left="0"/>
              <w:rPr>
                <w:sz w:val="16"/>
                <w:szCs w:val="16"/>
              </w:rPr>
            </w:pPr>
            <w:r w:rsidRPr="00820C89">
              <w:rPr>
                <w:sz w:val="16"/>
                <w:szCs w:val="16"/>
              </w:rPr>
              <w:t>Likelihood: Medium</w:t>
            </w:r>
          </w:p>
          <w:p w14:paraId="52E18FA8" w14:textId="77777777" w:rsidR="00C1765C" w:rsidRPr="00820C89" w:rsidRDefault="00C1765C" w:rsidP="006D2536">
            <w:pPr>
              <w:ind w:left="0"/>
              <w:rPr>
                <w:sz w:val="16"/>
                <w:szCs w:val="16"/>
              </w:rPr>
            </w:pPr>
            <w:r w:rsidRPr="00820C89">
              <w:rPr>
                <w:sz w:val="16"/>
                <w:szCs w:val="16"/>
              </w:rPr>
              <w:t>Consequence: High</w:t>
            </w:r>
          </w:p>
        </w:tc>
        <w:tc>
          <w:tcPr>
            <w:tcW w:w="5198" w:type="dxa"/>
          </w:tcPr>
          <w:p w14:paraId="3251027D" w14:textId="77777777" w:rsidR="00C1765C" w:rsidRPr="00820C89" w:rsidRDefault="00C1765C" w:rsidP="00715F70">
            <w:pPr>
              <w:pStyle w:val="ListParagraph"/>
              <w:numPr>
                <w:ilvl w:val="0"/>
                <w:numId w:val="145"/>
              </w:numPr>
              <w:spacing w:before="170"/>
              <w:rPr>
                <w:sz w:val="16"/>
                <w:szCs w:val="16"/>
              </w:rPr>
            </w:pPr>
            <w:r w:rsidRPr="00820C89">
              <w:rPr>
                <w:sz w:val="16"/>
                <w:szCs w:val="16"/>
              </w:rPr>
              <w:t>One option is to adjust the timing of consultations to enable face to face consultations to occur, dependent on NIAA preference.</w:t>
            </w:r>
          </w:p>
          <w:p w14:paraId="68D942CF" w14:textId="77777777" w:rsidR="00C1765C" w:rsidRPr="00820C89" w:rsidRDefault="00C1765C" w:rsidP="00715F70">
            <w:pPr>
              <w:pStyle w:val="ListParagraph"/>
              <w:numPr>
                <w:ilvl w:val="0"/>
                <w:numId w:val="145"/>
              </w:numPr>
              <w:spacing w:before="170"/>
              <w:rPr>
                <w:sz w:val="16"/>
                <w:szCs w:val="16"/>
              </w:rPr>
            </w:pPr>
            <w:r w:rsidRPr="00820C89">
              <w:rPr>
                <w:sz w:val="16"/>
                <w:szCs w:val="16"/>
              </w:rPr>
              <w:t xml:space="preserve">The team is also preparing approaches to individual and regional consultations that does not require face to face consultation. </w:t>
            </w:r>
          </w:p>
          <w:p w14:paraId="71E4F163" w14:textId="77777777" w:rsidR="00C1765C" w:rsidRPr="00820C89" w:rsidRDefault="00C1765C" w:rsidP="00715F70">
            <w:pPr>
              <w:pStyle w:val="ListParagraph"/>
              <w:numPr>
                <w:ilvl w:val="0"/>
                <w:numId w:val="145"/>
              </w:numPr>
              <w:spacing w:before="170"/>
              <w:rPr>
                <w:sz w:val="16"/>
                <w:szCs w:val="16"/>
              </w:rPr>
            </w:pPr>
            <w:r w:rsidRPr="00820C89">
              <w:rPr>
                <w:sz w:val="16"/>
                <w:szCs w:val="16"/>
              </w:rPr>
              <w:t xml:space="preserve">Analysis and reporting to be transparent about any impacts on or implications for the quality of qualitative data, if face to face consultations are not possible. </w:t>
            </w:r>
          </w:p>
        </w:tc>
      </w:tr>
      <w:tr w:rsidR="00C1765C" w:rsidRPr="00820C89" w14:paraId="099DB384" w14:textId="77777777" w:rsidTr="006D2536">
        <w:tc>
          <w:tcPr>
            <w:tcW w:w="1788" w:type="dxa"/>
          </w:tcPr>
          <w:p w14:paraId="5699C644" w14:textId="77777777" w:rsidR="00C1765C" w:rsidRPr="00820C89" w:rsidRDefault="00C1765C" w:rsidP="006D2536">
            <w:pPr>
              <w:rPr>
                <w:sz w:val="16"/>
                <w:szCs w:val="16"/>
              </w:rPr>
            </w:pPr>
            <w:r w:rsidRPr="00820C89">
              <w:rPr>
                <w:sz w:val="16"/>
                <w:szCs w:val="16"/>
              </w:rPr>
              <w:t>Stakeholder perspectives and other data is influenced by COVID-19 situation</w:t>
            </w:r>
          </w:p>
        </w:tc>
        <w:tc>
          <w:tcPr>
            <w:tcW w:w="2040" w:type="dxa"/>
          </w:tcPr>
          <w:p w14:paraId="6457FAA3" w14:textId="77777777" w:rsidR="00C1765C" w:rsidRPr="00820C89" w:rsidRDefault="00C1765C" w:rsidP="006D2536">
            <w:pPr>
              <w:ind w:left="0"/>
              <w:rPr>
                <w:sz w:val="16"/>
                <w:szCs w:val="16"/>
              </w:rPr>
            </w:pPr>
            <w:r w:rsidRPr="00820C89">
              <w:rPr>
                <w:sz w:val="16"/>
                <w:szCs w:val="16"/>
              </w:rPr>
              <w:t>Likelihood: High</w:t>
            </w:r>
          </w:p>
          <w:p w14:paraId="1E373A8D" w14:textId="77777777" w:rsidR="00C1765C" w:rsidRPr="00820C89" w:rsidRDefault="00C1765C" w:rsidP="006D2536">
            <w:pPr>
              <w:ind w:left="0"/>
              <w:rPr>
                <w:sz w:val="16"/>
                <w:szCs w:val="16"/>
              </w:rPr>
            </w:pPr>
            <w:r w:rsidRPr="00820C89">
              <w:rPr>
                <w:sz w:val="16"/>
                <w:szCs w:val="16"/>
              </w:rPr>
              <w:t>Consequence: Medium</w:t>
            </w:r>
          </w:p>
        </w:tc>
        <w:tc>
          <w:tcPr>
            <w:tcW w:w="5198" w:type="dxa"/>
          </w:tcPr>
          <w:p w14:paraId="47CDE5F3" w14:textId="77777777" w:rsidR="00C1765C" w:rsidRPr="00820C89" w:rsidRDefault="00C1765C" w:rsidP="00715F70">
            <w:pPr>
              <w:pStyle w:val="ListParagraph"/>
              <w:numPr>
                <w:ilvl w:val="0"/>
                <w:numId w:val="146"/>
              </w:numPr>
              <w:spacing w:before="170"/>
              <w:rPr>
                <w:sz w:val="16"/>
                <w:szCs w:val="16"/>
              </w:rPr>
            </w:pPr>
            <w:r w:rsidRPr="00820C89">
              <w:rPr>
                <w:sz w:val="16"/>
                <w:szCs w:val="16"/>
              </w:rPr>
              <w:t xml:space="preserve">Employment outcomes may already be impacted by COVID-19 impacts – data on COVID-19 related labour market effects will be considered where appropriate. </w:t>
            </w:r>
          </w:p>
          <w:p w14:paraId="40FB73FE" w14:textId="77777777" w:rsidR="00C1765C" w:rsidRPr="00820C89" w:rsidRDefault="00C1765C" w:rsidP="00715F70">
            <w:pPr>
              <w:pStyle w:val="ListParagraph"/>
              <w:numPr>
                <w:ilvl w:val="0"/>
                <w:numId w:val="146"/>
              </w:numPr>
              <w:spacing w:before="170"/>
              <w:rPr>
                <w:sz w:val="16"/>
                <w:szCs w:val="16"/>
              </w:rPr>
            </w:pPr>
            <w:r w:rsidRPr="00820C89">
              <w:rPr>
                <w:sz w:val="16"/>
                <w:szCs w:val="16"/>
              </w:rPr>
              <w:t xml:space="preserve">Consultations will be sensitive to the possible impacts of COVID-19, and lines of questioning adjusted accordingly, </w:t>
            </w:r>
            <w:r w:rsidRPr="00820C89">
              <w:rPr>
                <w:sz w:val="16"/>
                <w:szCs w:val="16"/>
              </w:rPr>
              <w:lastRenderedPageBreak/>
              <w:t xml:space="preserve">in order to identify additional factors influencing stakeholder engagement with the IEPs. </w:t>
            </w:r>
          </w:p>
        </w:tc>
      </w:tr>
      <w:tr w:rsidR="00C1765C" w:rsidRPr="00820C89" w14:paraId="22D43FF5" w14:textId="77777777" w:rsidTr="006D2536">
        <w:tc>
          <w:tcPr>
            <w:tcW w:w="1788" w:type="dxa"/>
            <w:vAlign w:val="center"/>
          </w:tcPr>
          <w:p w14:paraId="01FC7313" w14:textId="77777777" w:rsidR="00C1765C" w:rsidRPr="00820C89" w:rsidRDefault="00C1765C" w:rsidP="006D2536">
            <w:pPr>
              <w:rPr>
                <w:sz w:val="16"/>
                <w:szCs w:val="16"/>
              </w:rPr>
            </w:pPr>
            <w:r w:rsidRPr="00820C89">
              <w:rPr>
                <w:rFonts w:asciiTheme="majorHAnsi" w:eastAsiaTheme="minorEastAsia"/>
                <w:color w:val="000000" w:themeColor="text1"/>
                <w:kern w:val="24"/>
                <w:sz w:val="16"/>
                <w:szCs w:val="16"/>
              </w:rPr>
              <w:lastRenderedPageBreak/>
              <w:t xml:space="preserve">Stakeholder availability for consultation </w:t>
            </w:r>
          </w:p>
        </w:tc>
        <w:tc>
          <w:tcPr>
            <w:tcW w:w="2040" w:type="dxa"/>
          </w:tcPr>
          <w:p w14:paraId="4CD74225" w14:textId="77777777" w:rsidR="00C1765C" w:rsidRPr="00820C89" w:rsidRDefault="00C1765C" w:rsidP="006D2536">
            <w:pPr>
              <w:ind w:left="0"/>
              <w:rPr>
                <w:sz w:val="16"/>
                <w:szCs w:val="16"/>
              </w:rPr>
            </w:pPr>
            <w:r w:rsidRPr="00820C89">
              <w:rPr>
                <w:sz w:val="16"/>
                <w:szCs w:val="16"/>
              </w:rPr>
              <w:t>Likelihood: Medium</w:t>
            </w:r>
          </w:p>
          <w:p w14:paraId="79115FA7" w14:textId="77777777" w:rsidR="00C1765C" w:rsidRPr="00820C89" w:rsidRDefault="00C1765C" w:rsidP="006D2536">
            <w:pPr>
              <w:ind w:left="0"/>
              <w:rPr>
                <w:sz w:val="16"/>
                <w:szCs w:val="16"/>
              </w:rPr>
            </w:pPr>
            <w:r w:rsidRPr="00820C89">
              <w:rPr>
                <w:sz w:val="16"/>
                <w:szCs w:val="16"/>
              </w:rPr>
              <w:t>Consequence: Medium</w:t>
            </w:r>
          </w:p>
        </w:tc>
        <w:tc>
          <w:tcPr>
            <w:tcW w:w="5198" w:type="dxa"/>
            <w:vAlign w:val="center"/>
          </w:tcPr>
          <w:p w14:paraId="2A8F9530" w14:textId="77777777" w:rsidR="00C1765C" w:rsidRPr="00820C89" w:rsidRDefault="00C1765C" w:rsidP="00715F70">
            <w:pPr>
              <w:pStyle w:val="ListParagraph"/>
              <w:numPr>
                <w:ilvl w:val="0"/>
                <w:numId w:val="146"/>
              </w:numPr>
              <w:spacing w:before="170"/>
              <w:rPr>
                <w:sz w:val="16"/>
                <w:szCs w:val="16"/>
              </w:rPr>
            </w:pPr>
            <w:r w:rsidRPr="00820C89">
              <w:rPr>
                <w:sz w:val="16"/>
                <w:szCs w:val="16"/>
              </w:rPr>
              <w:t>Identify key contacts early in the evaluation.</w:t>
            </w:r>
          </w:p>
          <w:p w14:paraId="615B0E4E" w14:textId="77777777" w:rsidR="00C1765C" w:rsidRPr="00820C89" w:rsidRDefault="00C1765C" w:rsidP="00715F70">
            <w:pPr>
              <w:pStyle w:val="ListParagraph"/>
              <w:numPr>
                <w:ilvl w:val="0"/>
                <w:numId w:val="146"/>
              </w:numPr>
              <w:spacing w:before="170"/>
              <w:rPr>
                <w:sz w:val="16"/>
                <w:szCs w:val="16"/>
              </w:rPr>
            </w:pPr>
            <w:r w:rsidRPr="00820C89">
              <w:rPr>
                <w:sz w:val="16"/>
                <w:szCs w:val="16"/>
              </w:rPr>
              <w:t xml:space="preserve">Develop consultation strategy so key stakeholders are aware at which points they would be engaged and for what purpose. </w:t>
            </w:r>
          </w:p>
          <w:p w14:paraId="7D40A531" w14:textId="77777777" w:rsidR="00C1765C" w:rsidRPr="00820C89" w:rsidRDefault="00C1765C" w:rsidP="00715F70">
            <w:pPr>
              <w:pStyle w:val="ListParagraph"/>
              <w:numPr>
                <w:ilvl w:val="0"/>
                <w:numId w:val="146"/>
              </w:numPr>
              <w:spacing w:before="170"/>
              <w:rPr>
                <w:sz w:val="16"/>
                <w:szCs w:val="16"/>
              </w:rPr>
            </w:pPr>
            <w:r w:rsidRPr="00820C89">
              <w:rPr>
                <w:sz w:val="16"/>
                <w:szCs w:val="16"/>
              </w:rPr>
              <w:t xml:space="preserve">Seek input on suitable contacts to interview and appropriate methods for contacting them. </w:t>
            </w:r>
          </w:p>
          <w:p w14:paraId="340E475B" w14:textId="77777777" w:rsidR="00C1765C" w:rsidRPr="00820C89" w:rsidRDefault="00C1765C" w:rsidP="00715F70">
            <w:pPr>
              <w:pStyle w:val="ListParagraph"/>
              <w:numPr>
                <w:ilvl w:val="0"/>
                <w:numId w:val="146"/>
              </w:numPr>
              <w:spacing w:before="170"/>
              <w:rPr>
                <w:sz w:val="16"/>
                <w:szCs w:val="16"/>
              </w:rPr>
            </w:pPr>
            <w:r w:rsidRPr="00820C89">
              <w:rPr>
                <w:sz w:val="16"/>
                <w:szCs w:val="16"/>
              </w:rPr>
              <w:t>Factor flexibility into planning.</w:t>
            </w:r>
            <w:r w:rsidRPr="00820C89">
              <w:rPr>
                <w:rFonts w:asciiTheme="majorHAnsi" w:cs="Arial"/>
                <w:color w:val="000000" w:themeColor="text1"/>
                <w:kern w:val="24"/>
                <w:sz w:val="16"/>
                <w:szCs w:val="16"/>
              </w:rPr>
              <w:t xml:space="preserve"> </w:t>
            </w:r>
          </w:p>
        </w:tc>
      </w:tr>
      <w:tr w:rsidR="00C1765C" w:rsidRPr="00820C89" w14:paraId="6C0C736C" w14:textId="77777777" w:rsidTr="006D2536">
        <w:tc>
          <w:tcPr>
            <w:tcW w:w="1788" w:type="dxa"/>
          </w:tcPr>
          <w:p w14:paraId="43A661EF" w14:textId="77777777" w:rsidR="00C1765C" w:rsidRPr="00820C89" w:rsidRDefault="00C1765C" w:rsidP="006D2536">
            <w:pPr>
              <w:rPr>
                <w:sz w:val="16"/>
                <w:szCs w:val="16"/>
              </w:rPr>
            </w:pPr>
            <w:r w:rsidRPr="00820C89">
              <w:rPr>
                <w:sz w:val="16"/>
                <w:szCs w:val="16"/>
              </w:rPr>
              <w:t>Delay in provision of required data and/or program data has limitations and gaps</w:t>
            </w:r>
          </w:p>
        </w:tc>
        <w:tc>
          <w:tcPr>
            <w:tcW w:w="2040" w:type="dxa"/>
          </w:tcPr>
          <w:p w14:paraId="6107F60C" w14:textId="77777777" w:rsidR="00C1765C" w:rsidRPr="00820C89" w:rsidRDefault="00C1765C" w:rsidP="006D2536">
            <w:pPr>
              <w:ind w:left="0"/>
              <w:rPr>
                <w:sz w:val="16"/>
                <w:szCs w:val="16"/>
              </w:rPr>
            </w:pPr>
            <w:r w:rsidRPr="00820C89">
              <w:rPr>
                <w:sz w:val="16"/>
                <w:szCs w:val="16"/>
              </w:rPr>
              <w:t>Likelihood: Medium</w:t>
            </w:r>
          </w:p>
          <w:p w14:paraId="09771D9A" w14:textId="77777777" w:rsidR="00C1765C" w:rsidRPr="00820C89" w:rsidRDefault="00C1765C" w:rsidP="006D2536">
            <w:pPr>
              <w:ind w:left="0"/>
              <w:rPr>
                <w:sz w:val="16"/>
                <w:szCs w:val="16"/>
              </w:rPr>
            </w:pPr>
            <w:r w:rsidRPr="00820C89">
              <w:rPr>
                <w:sz w:val="16"/>
                <w:szCs w:val="16"/>
              </w:rPr>
              <w:t>Consequence: Medium</w:t>
            </w:r>
          </w:p>
        </w:tc>
        <w:tc>
          <w:tcPr>
            <w:tcW w:w="5198" w:type="dxa"/>
            <w:vAlign w:val="center"/>
          </w:tcPr>
          <w:p w14:paraId="39B75E5C" w14:textId="77777777" w:rsidR="00C1765C" w:rsidRPr="00820C89" w:rsidRDefault="00C1765C" w:rsidP="00715F70">
            <w:pPr>
              <w:numPr>
                <w:ilvl w:val="0"/>
                <w:numId w:val="146"/>
              </w:numPr>
              <w:spacing w:before="170"/>
              <w:rPr>
                <w:sz w:val="16"/>
                <w:szCs w:val="16"/>
              </w:rPr>
            </w:pPr>
            <w:r w:rsidRPr="00820C89">
              <w:rPr>
                <w:sz w:val="16"/>
                <w:szCs w:val="16"/>
              </w:rPr>
              <w:t xml:space="preserve">Securing access to program data, particularly where it needs to be provided by organisations other than the NIAA, is a priority from project commencement. </w:t>
            </w:r>
          </w:p>
          <w:p w14:paraId="4AABB8DA" w14:textId="77777777" w:rsidR="00C1765C" w:rsidRPr="00820C89" w:rsidRDefault="00C1765C" w:rsidP="00715F70">
            <w:pPr>
              <w:numPr>
                <w:ilvl w:val="0"/>
                <w:numId w:val="146"/>
              </w:numPr>
              <w:spacing w:before="170"/>
              <w:rPr>
                <w:sz w:val="16"/>
                <w:szCs w:val="16"/>
              </w:rPr>
            </w:pPr>
            <w:r w:rsidRPr="00820C89">
              <w:rPr>
                <w:sz w:val="16"/>
                <w:szCs w:val="16"/>
              </w:rPr>
              <w:t>NIAA to escalate and expedite data requests.</w:t>
            </w:r>
          </w:p>
          <w:p w14:paraId="38DF5D56" w14:textId="77777777" w:rsidR="00C1765C" w:rsidRPr="00820C89" w:rsidRDefault="00C1765C" w:rsidP="00715F70">
            <w:pPr>
              <w:numPr>
                <w:ilvl w:val="0"/>
                <w:numId w:val="146"/>
              </w:numPr>
              <w:spacing w:before="170"/>
              <w:rPr>
                <w:sz w:val="16"/>
                <w:szCs w:val="16"/>
              </w:rPr>
            </w:pPr>
            <w:r w:rsidRPr="00820C89">
              <w:rPr>
                <w:sz w:val="16"/>
                <w:szCs w:val="16"/>
              </w:rPr>
              <w:t xml:space="preserve">If any required data cannot be provided by the NIAA, or broader DESE, DSS, or DHS data is not possible, alternative methodologies using publicly available data (such as NCVER and HILDA) will be developed. </w:t>
            </w:r>
          </w:p>
        </w:tc>
      </w:tr>
      <w:tr w:rsidR="00C1765C" w:rsidRPr="00820C89" w14:paraId="41FEB92F" w14:textId="77777777" w:rsidTr="006D2536">
        <w:tc>
          <w:tcPr>
            <w:tcW w:w="1788" w:type="dxa"/>
          </w:tcPr>
          <w:p w14:paraId="34B4E581" w14:textId="77777777" w:rsidR="00C1765C" w:rsidRPr="00820C89" w:rsidRDefault="00C1765C" w:rsidP="006D2536">
            <w:pPr>
              <w:rPr>
                <w:sz w:val="16"/>
                <w:szCs w:val="16"/>
              </w:rPr>
            </w:pPr>
            <w:r w:rsidRPr="00820C89">
              <w:rPr>
                <w:sz w:val="16"/>
                <w:szCs w:val="16"/>
              </w:rPr>
              <w:t>Low survey response</w:t>
            </w:r>
          </w:p>
        </w:tc>
        <w:tc>
          <w:tcPr>
            <w:tcW w:w="2040" w:type="dxa"/>
          </w:tcPr>
          <w:p w14:paraId="1AD555AA" w14:textId="77777777" w:rsidR="00C1765C" w:rsidRPr="00820C89" w:rsidRDefault="00C1765C" w:rsidP="006D2536">
            <w:pPr>
              <w:ind w:left="0"/>
              <w:rPr>
                <w:sz w:val="16"/>
                <w:szCs w:val="16"/>
              </w:rPr>
            </w:pPr>
            <w:r w:rsidRPr="00820C89">
              <w:rPr>
                <w:sz w:val="16"/>
                <w:szCs w:val="16"/>
              </w:rPr>
              <w:t>Likelihood: Medium</w:t>
            </w:r>
          </w:p>
          <w:p w14:paraId="05441F65" w14:textId="77777777" w:rsidR="00C1765C" w:rsidRPr="00820C89" w:rsidRDefault="00C1765C" w:rsidP="006D2536">
            <w:pPr>
              <w:ind w:left="0"/>
              <w:rPr>
                <w:sz w:val="16"/>
                <w:szCs w:val="16"/>
              </w:rPr>
            </w:pPr>
            <w:r w:rsidRPr="00820C89">
              <w:rPr>
                <w:sz w:val="16"/>
                <w:szCs w:val="16"/>
              </w:rPr>
              <w:t>Consequence: Medium</w:t>
            </w:r>
          </w:p>
        </w:tc>
        <w:tc>
          <w:tcPr>
            <w:tcW w:w="5198" w:type="dxa"/>
            <w:vAlign w:val="center"/>
          </w:tcPr>
          <w:p w14:paraId="217527DB" w14:textId="77777777" w:rsidR="00C1765C" w:rsidRPr="00820C89" w:rsidRDefault="00C1765C" w:rsidP="00715F70">
            <w:pPr>
              <w:numPr>
                <w:ilvl w:val="0"/>
                <w:numId w:val="146"/>
              </w:numPr>
              <w:spacing w:before="170"/>
              <w:rPr>
                <w:sz w:val="16"/>
                <w:szCs w:val="16"/>
              </w:rPr>
            </w:pPr>
            <w:r w:rsidRPr="00820C89">
              <w:rPr>
                <w:sz w:val="16"/>
                <w:szCs w:val="16"/>
              </w:rPr>
              <w:t xml:space="preserve">Response rate will rely on effective communication to target survey respondents. This will be done in partnership with the NIAA and will ensure respondent have sufficient time to complete the survey. </w:t>
            </w:r>
          </w:p>
          <w:p w14:paraId="2686BEF2" w14:textId="77777777" w:rsidR="00C1765C" w:rsidRPr="00820C89" w:rsidRDefault="00C1765C" w:rsidP="00715F70">
            <w:pPr>
              <w:numPr>
                <w:ilvl w:val="0"/>
                <w:numId w:val="146"/>
              </w:numPr>
              <w:spacing w:before="170"/>
              <w:rPr>
                <w:sz w:val="16"/>
                <w:szCs w:val="16"/>
              </w:rPr>
            </w:pPr>
            <w:r w:rsidRPr="00820C89">
              <w:rPr>
                <w:sz w:val="16"/>
                <w:szCs w:val="16"/>
              </w:rPr>
              <w:t>Surveys will be succinct, clear and user-friendly to promote uptake.</w:t>
            </w:r>
          </w:p>
          <w:p w14:paraId="1A582135" w14:textId="77777777" w:rsidR="00C1765C" w:rsidRPr="00820C89" w:rsidRDefault="00C1765C" w:rsidP="00715F70">
            <w:pPr>
              <w:numPr>
                <w:ilvl w:val="0"/>
                <w:numId w:val="146"/>
              </w:numPr>
              <w:spacing w:before="170"/>
              <w:rPr>
                <w:sz w:val="16"/>
                <w:szCs w:val="16"/>
              </w:rPr>
            </w:pPr>
            <w:r w:rsidRPr="00820C89">
              <w:rPr>
                <w:sz w:val="16"/>
                <w:szCs w:val="16"/>
              </w:rPr>
              <w:t xml:space="preserve">Surveys will be distributed using individualised links to allow targeted follow-up inquiries.  </w:t>
            </w:r>
          </w:p>
        </w:tc>
      </w:tr>
    </w:tbl>
    <w:p w14:paraId="6E6693AD" w14:textId="77777777" w:rsidR="00C1765C" w:rsidRPr="00820C89" w:rsidRDefault="00C1765C" w:rsidP="00C1765C">
      <w:pPr>
        <w:pStyle w:val="Reference"/>
      </w:pPr>
    </w:p>
    <w:p w14:paraId="703C39BF" w14:textId="77777777" w:rsidR="00C1765C" w:rsidRPr="00820C89" w:rsidRDefault="00C1765C" w:rsidP="00C1765C">
      <w:pPr>
        <w:pStyle w:val="Reference"/>
        <w:ind w:left="0" w:firstLine="0"/>
        <w:sectPr w:rsidR="00C1765C" w:rsidRPr="00820C89" w:rsidSect="00BE6CA8">
          <w:pgSz w:w="11906" w:h="16838" w:code="9"/>
          <w:pgMar w:top="1440" w:right="1440" w:bottom="1440" w:left="1440" w:header="680" w:footer="425" w:gutter="0"/>
          <w:cols w:space="284"/>
          <w:docGrid w:linePitch="360"/>
        </w:sectPr>
      </w:pPr>
    </w:p>
    <w:p w14:paraId="518055CA" w14:textId="77777777" w:rsidR="00C1765C" w:rsidRPr="00820C89" w:rsidRDefault="00C1765C" w:rsidP="00C1765C">
      <w:pPr>
        <w:pStyle w:val="Appendixhead1"/>
        <w:spacing w:before="170"/>
        <w:ind w:left="0" w:firstLine="0"/>
      </w:pPr>
      <w:bookmarkStart w:id="495" w:name="_Toc37099402"/>
      <w:bookmarkStart w:id="496" w:name="_Toc37177394"/>
      <w:bookmarkStart w:id="497" w:name="_Toc45206356"/>
      <w:r w:rsidRPr="00820C89">
        <w:lastRenderedPageBreak/>
        <w:t>SVA Consulting Evaluation Strategy</w:t>
      </w:r>
      <w:bookmarkEnd w:id="495"/>
      <w:bookmarkEnd w:id="496"/>
      <w:bookmarkEnd w:id="497"/>
      <w:r w:rsidRPr="00820C89">
        <w:t xml:space="preserve"> </w:t>
      </w:r>
    </w:p>
    <w:p w14:paraId="4367F488" w14:textId="77777777" w:rsidR="00C1765C" w:rsidRPr="00820C89" w:rsidRDefault="00C1765C" w:rsidP="00C1765C">
      <w:pPr>
        <w:rPr>
          <w:lang w:val="en-US" w:eastAsia="en-AU"/>
        </w:rPr>
      </w:pPr>
      <w:r w:rsidRPr="00820C89">
        <w:t>Attached as separate document (SVA Consulting National Indigenous Australians Agency: Evaluation Strategies – Indigenous Employment Programs).</w:t>
      </w:r>
    </w:p>
    <w:p w14:paraId="061CF08F" w14:textId="77777777" w:rsidR="00C1765C" w:rsidRPr="00820C89" w:rsidRDefault="00C1765C" w:rsidP="00C1765C"/>
    <w:p w14:paraId="1F4547B0" w14:textId="77777777" w:rsidR="00C1765C" w:rsidRPr="00820C89" w:rsidRDefault="00C1765C" w:rsidP="00C1765C">
      <w:pPr>
        <w:pStyle w:val="Appendixhead1"/>
        <w:spacing w:before="170"/>
        <w:ind w:left="0" w:firstLine="0"/>
        <w:sectPr w:rsidR="00C1765C" w:rsidRPr="00820C89" w:rsidSect="005F043A">
          <w:footerReference w:type="default" r:id="rId103"/>
          <w:pgSz w:w="11906" w:h="16838" w:code="9"/>
          <w:pgMar w:top="1440" w:right="1440" w:bottom="1440" w:left="1440" w:header="680" w:footer="425" w:gutter="0"/>
          <w:cols w:space="284"/>
          <w:docGrid w:linePitch="360"/>
        </w:sectPr>
      </w:pPr>
      <w:bookmarkStart w:id="498" w:name="_Toc37099403"/>
      <w:bookmarkStart w:id="499" w:name="_Toc37177395"/>
    </w:p>
    <w:p w14:paraId="3FDBE515" w14:textId="77777777" w:rsidR="00C1765C" w:rsidRPr="00820C89" w:rsidRDefault="00C1765C" w:rsidP="00C1765C">
      <w:pPr>
        <w:pStyle w:val="Appendixhead1"/>
        <w:spacing w:before="170"/>
        <w:ind w:left="0" w:firstLine="0"/>
      </w:pPr>
      <w:bookmarkStart w:id="500" w:name="_Toc45206357"/>
      <w:r w:rsidRPr="00820C89">
        <w:lastRenderedPageBreak/>
        <w:t>SVA program logics</w:t>
      </w:r>
      <w:bookmarkEnd w:id="498"/>
      <w:bookmarkEnd w:id="499"/>
      <w:bookmarkEnd w:id="500"/>
    </w:p>
    <w:p w14:paraId="71F02EAB" w14:textId="77777777" w:rsidR="00C1765C" w:rsidRPr="00820C89" w:rsidRDefault="00C1765C" w:rsidP="00C1765C">
      <w:r w:rsidRPr="00820C89">
        <w:rPr>
          <w:noProof/>
          <w:lang w:eastAsia="en-AU"/>
        </w:rPr>
        <w:drawing>
          <wp:inline distT="0" distB="0" distL="0" distR="0" wp14:anchorId="6CFA6113" wp14:editId="5995F473">
            <wp:extent cx="6985594" cy="4919785"/>
            <wp:effectExtent l="0" t="0" r="6350" b="0"/>
            <wp:docPr id="461" name="Picture 461" descr="Appendix C provides for an SVA logics overview of the EPI, VTEC and TAEG Employment programs. Each program has several categories of assessment, namely the participants; the provider and selection process; the payment milestones; the maximum paymnet per completed payment (Approximation only. Based on data from FEB 2018 and June 2020 rates advised by the NIAA and using the 26 week milestone); Direct employment by provider vs placement with 3rd party; number of placements per provider per annum; first stage of support; final stage of support; and the community enagement.&#10;&#10;The Participants section under EPI notes that all are indigenous jobseekers (with some providers focussed on very disadvantaged jobseekers).&#10;&#10;The Provider and selection process section under EPI notes these were the top 200 companies by invitation.&#10;&#10;The Payment milestones section provess for EPI were acquitable advance payment (in most cases) and employment milestone payments).&#10;&#10;The maximum payment per completed placement under EPI was approximately $12,000 (which varies under each tailored contract).&#10;&#10;Participants were directly emplyed by the EPI provider or through excepted subcontractors.&#10;&#10;Under EPI, there were a large amount of placements per provider per annum. Employers must commit to 200 plus placements. Providers placed 200 to 700 plus participants.&#10;&#10;EPIs are required to provide support in the recruitment process and support during employment for 26 weeks (up to 104 weeks for some providers).&#10;&#10;Community engagement under EPIs are moderate. Employers are not indigenous organisations; the approach to community engagement variers by employer and location. Some have a strong focus. Most providers have Indigenous procurement obligations under their contracts.&#10;&#10;With regards to the VTEC section, participants are indigenous jobseekers. VTECs have a strong focus on very disadvantaged jobseekers.&#10;&#10;VTEC providers can be any organisation. Applications for grant funding are by invitations. There is a requirement to be an indigenous organisation, or in join venture with an indigenous organisation (since 2018).&#10;&#10;VTECs have employment milestone payments with the option for acquitable advance payment.&#10;&#10;The maximum payment per completed placement under a VTEC is $15,000 (Stream C / DES) which is a fixed payment model, with standard rates across all providers based on job-seeker type.&#10;&#10;Almost all VTECs provide placements through 3rd part employment. Only 1 VTEC provides direct employment.&#10;&#10;The number of placements per provider per annum for VTECs range from less than 70 placements to 200 plus placements.&#10;&#10;The first stage of VTEC support is case management and work readiness.&#10;&#10;The final stage of VTEC support is supporting the participant during employment for 26 weeks.&#10;&#10;VTECs experience strong community engagement. Providers must be an Indigenous Organisation, or in joint venture with an Indigenous Organisation.&#10; Community engagement is a key element of the VTEC model and brand.&#10;&#10;Under the TAEG Employment program, there is a strong focus on disadvantaged indigenous jobseekers.&#10;&#10;TAEG providers can be any organisation and grant applciations are open throughout the year. Approximately half of all providers are Indigenous Organisations.&#10;&#10;TEAG payment milestones are based on employment milestones and some discretionary pre-employment payments.&#10;&#10;The maximum payment per completed TAEG placement is $8,250 (highly disadvantaged) for placement and an additional $1,500 for work preparation which can be negotiated by providers up to maximum participant cost.&#10;&#10;There is a mix of direct employment by TAEG and 3rd party employers.&#10;&#10;The number of placements for TAEG providers ranges from less than 30 placements throught to 177 plus placements.&#10;&#10;THe first stage of support for TAEG is pre-placement support (including work readiness and structured mentoring).&#10;&#10;The final stage of support for TAEG participants is support during the 26 weeks of employement.&#10;&#10;TAEG community engagement is moderat to Strong. Approximately 50 per cent of providers are Indigenous Organisations. TAEG provider approaches vary by employer and location. Some TAEG providers operate very similarly to a VTEC in terms of community engag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7013776" cy="4939633"/>
                    </a:xfrm>
                    <a:prstGeom prst="rect">
                      <a:avLst/>
                    </a:prstGeom>
                  </pic:spPr>
                </pic:pic>
              </a:graphicData>
            </a:graphic>
          </wp:inline>
        </w:drawing>
      </w:r>
    </w:p>
    <w:p w14:paraId="263B405F" w14:textId="77777777" w:rsidR="00C1765C" w:rsidRPr="00820C89" w:rsidRDefault="00C1765C" w:rsidP="00C1765C">
      <w:r w:rsidRPr="00820C89">
        <w:rPr>
          <w:noProof/>
          <w:lang w:eastAsia="en-AU"/>
        </w:rPr>
        <w:lastRenderedPageBreak/>
        <w:drawing>
          <wp:inline distT="0" distB="0" distL="0" distR="0" wp14:anchorId="1352DA86" wp14:editId="403BF0A0">
            <wp:extent cx="7924800" cy="5429250"/>
            <wp:effectExtent l="0" t="0" r="0" b="0"/>
            <wp:docPr id="462" name="Picture 462" descr="The following table has four categories, these are: The issue we are addressing; the response; stakeholders, and; impact.&#10;&#10;Under &quot;The issue we are addressing&quot; category there are the following dot points:&#10;- There is a gap in employment outcomes between Indigenous and non-Indigenous Australians&#10;&#10;- Indigenous Australians experience barriers to recruitment and retention in employment; and&#10;&#10;- There is a need to increase demand for Indigenous employess amound the Top 200 companies. Some ASX Top 200 companies, despite their size, have not achieved employment parity.&#10;&#10;Under &quot;The response&quot; category there are the following dot points:&#10;- The employment parity initiative, launched in March 2015, supports large employers to increase their Indigenous employment to achiece parity in employment;&#10;&#10;- Employers (EPI Partners) are funded to recruit, train and support Indigenous job seekers;&#10;&#10;- Payment is based on results - achieving 26 weeks' continuous employment (or in some cases, 39 / 52 / 78 / 104 weeks);&#10;&#10;- The program is flexible to the needs of each employer. A tailored contract is negotiated with each employer;&#10;&#10;- Employers commit to promoting the program and adopting culturally appropriate employment strategies; and&#10;&#10;- The program is intended to deliver reputational and workforce benefits for large employers.&#10;&#10;Note, the following changes to the EPI Program over time:&#10;- Employer obligations in respect of Procurement and career Advancement - intially in some contracts only - have become mandatory (since 2018);&#10;&#10;- Some contracts have been renegotiated to revise down employment targets; and&#10;&#10;- Payment milestones and rates have been varied over time, with aim to standardise.&#10;&#10;Under the &quot;Indigenous Jobseeker/ Participant Stakeholders&quot; category there are the following dot points:&#10;&#10;- No requirement to be registered with DHS or receiving income support;&#10;-Focus on disadvantaged Indigenous jobseekers. Some contracts have targets for JSCI Stream B or C.&#10;- Retrictions if involved in other programs. Can't have been involved in another JLEP activity in last 6 months. If enrolled in VTEC, payments shared with EPI provider.&#10;&#10;&#10;Under the &quot;Other Stakeholders&quot; category there are the following dot points:&#10;&#10;For Epi Partners (Employers)&#10;- Generally large employers (ASX top 200 companies), who can offer 200 plus appropriate roles to Indigenous jobseekers;&#10;-There is no specific policy surrounding types of EPI partners (for example, particular regions or industries). Consideration is given to whether organisation has track record / commitment to Indigenous employment. EPI employers cannot be in receipt of an Indigenous Wage Subsidy.&#10;- Currently there are 15 EPI partners: (accor Pacific; Broadspectruml Comapss Group; Crown Resortsl Forescue MEtals Group; Hutchinson Builders; ISS Facility Services; Monadelphous; MSS Security; Sodexo Australia; Spotless Facility Services; St VIncent's Health Australia; Wilson Security; Woolworths Limited; and Westfarmers).&#10;&#10;Government stakeholders include the NIAA, including the regional network.&#10;&#10;Employment service provider stakeholders include Jobactive, CDP, VTEC and DES providers.&#10;&#10;Indigenous community stakeholders include elders and Indigenous-controlled organisations.&#10;&#10;Under the &quot;Impact&quot; category there is the subheading &quot;Greater parity and improved startegies among Australian companies&quot; which has the following dotpoints:&#10;&#10;-More Australian companies achieve and maintain parity in employment between Indigenous and non-Indigenous Australians;&#10;-Australian companies adopt more culturally appropriate employment practices; and&#10;-Australian companies increase procurement from Indigenous companies.&#10;&#10;A second subheading under the &quot;Impact&quot; category, the &quot;improved employment outcomes for Indigenous Australians&quot; has the following dot points:&#10;- More indigenous Australians are in sustainable employment; and&#10;- the gap in employment outcomes for Indigenous Australians is reduced.&#10;&#10;Under the &quot;Inputs&quot; category there are the following dot points:&#10;- NIAA funding." title="EPI Program Logic - Issue, response, stakeholders and in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924800" cy="5429250"/>
                    </a:xfrm>
                    <a:prstGeom prst="rect">
                      <a:avLst/>
                    </a:prstGeom>
                  </pic:spPr>
                </pic:pic>
              </a:graphicData>
            </a:graphic>
          </wp:inline>
        </w:drawing>
      </w:r>
    </w:p>
    <w:p w14:paraId="4A2145DE" w14:textId="77777777" w:rsidR="00C1765C" w:rsidRPr="00820C89" w:rsidRDefault="00C1765C" w:rsidP="00C1765C"/>
    <w:p w14:paraId="798228D1" w14:textId="77777777" w:rsidR="00C1765C" w:rsidRPr="00820C89" w:rsidRDefault="00C1765C" w:rsidP="00C1765C">
      <w:r w:rsidRPr="00820C89">
        <w:rPr>
          <w:noProof/>
          <w:lang w:eastAsia="en-AU"/>
        </w:rPr>
        <w:lastRenderedPageBreak/>
        <w:drawing>
          <wp:inline distT="0" distB="0" distL="0" distR="0" wp14:anchorId="5273ADA4" wp14:editId="421DD75D">
            <wp:extent cx="8029575" cy="5429250"/>
            <wp:effectExtent l="0" t="0" r="9525" b="0"/>
            <wp:docPr id="472" name="Picture 472" descr="The following table provides a list of activities, from start to finish for both the program set up and program delivery.&#10;&#10;There are two-subheading under program setup with several linked data boxes.&#10;&#10;The first sub-heading is Program design, set-up and performance management. The first box is about Promoting EPI where the NIAA promotes benefits of the EPI scheme.&#10;&#10;The second box is about Recruiting Partners where the NIAA invites companies to apply, responds to company enquiries and assesses their suitability.&#10;&#10;The third box is about Agreement and Employment commitments where the NIAA negotiates contracts with EPI partners. Approval required by the NIAA and Minister.&#10;&#10;The fourth box is about the Agreement where the NIAA negotiates contracts with EPI partners and is approved by the NIAA and Ministers. This phase also involves NIAA funding.&#10;&#10;The fifth and final box related to program design and set up is about performance management  where EPI partners report through ESS Web and performance reports. The NIAA contract managers conduct performance assessments.&#10;&#10;The second sub-heading under program setup is EPI Partner commitments. There are three boxes following this subheading with further subboxes regarding advance payments.&#10;&#10;The first box is about corporate promotion where an EPI partner commits to corporate promotion or EPI. &#10;&#10;The second box is about Employment Commitments where an EPI partner identifies suitable entry level roles and commits to employment targets.&#10;&#10;The third box is about workplace strategies where an EPI Partner commits to culturally appropriate recruitment and employment strategies ( for example, establishing a dedicated team;a chieving business buy-in).&#10;&#10;There is a subheading in this section titled Advance payment, linked to EPI partner commitments under contract. These only relate to some providers only. There are 3 sub-boxes under this sub-heading.&#10;&#10;The first box is about career development and progression where an EPI Partner commits to supporting career development and progression of indigenous employees.&#10;&#10;The second box is about the procurement strategy where an EPI aprtner commits to supporting Indigenous businesses.&#10;&#10;The third box is about Sharing where an EPI Partner commits to sharing Insights with NIAA and other employers, for example through EPI fora.&#10;&#10;The second sub-heading for the table is Program delivery. The first header box under this section is in relation to Participant information and recruitment.&#10;&#10;The first sub-box is to Advertise roles where an EPI Partner advertises roles or promotes roles through Jobactive or CDP provider or DES or VETC, using culturally appropriate recruitment strategies.&#10;&#10;The second sub box is about engaging participants where the participant makes a direct approact to the employer or labour hire company or the participant is referred by jobactive or CDP provider or VTEC.&#10;&#10;The third sub box is about the Interview and assessing eligability where an EPI partner interviews a jobseeker and assesses their eligability or appropriateness through their indigenous identity and or their JSCI stream if relevant.&#10;&#10;The fourth and final sub-box under the participant information and recruitment box is the placement in a role with an EPI employer where an EPI partner offers participants a role within their business.&#10;&#10;The second header box under the program delivery section is in relation to pre-employment support. It has one sub-box that is only relevant to some providers.&#10;&#10;The sub-box is about tailored support during the recruitment process where an EPI partner provides tailored support to participants during recruitment. For example, support with applications, work readiness support such as obtaining licenses.&#10;&#10;The third header box under the program delivery section is in relation to paid ongoing employment and has three sub-boxes.&#10;&#10;The first sub box is about commencements where the participant commences employment as ongoing full-time or part-time with minimum hours specified. This box involves NIAA funding.&#10;&#10;The second sub box is about payment milestones where 26 weeks' continuous employment occurs. This box involves NIAA funding.&#10;&#10;The third and final box is about payment milestones where 39, 52 and or 104 weeks continuous employment occurs. This box involves NIAA funding and is only applicable to some providers.&#10;&#10;The fourth header box under the program delivery section is in relation to support during employment. &#10;&#10;The first sub box is about general on-the-job support where an EPI Partner assesses participant needs and provides general on-the-job support.&#10;&#10;The second box is about Bespoke EPI support or mentoring where an EPI Partner provides a bespoke actvities and support for EPI participants, over and above general supports. For example, support from a dedicated mentor. This applies to some providers only.&#10;&#10;The third box is about access to complementary services where an EPI partner engages a jobactive, CPD provider, DES or VTEC to provide complimentary support to participants. This applies to some providers only.&#10;&#10;The fourth and final box is about transition and development where an EPI partner provides transition or career advancement support. This applies to some providers only.&#10;&#10;End of table.&#10;&#10;&#10;" title="WPI Program Logic -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029575" cy="5429250"/>
                    </a:xfrm>
                    <a:prstGeom prst="rect">
                      <a:avLst/>
                    </a:prstGeom>
                  </pic:spPr>
                </pic:pic>
              </a:graphicData>
            </a:graphic>
          </wp:inline>
        </w:drawing>
      </w:r>
    </w:p>
    <w:p w14:paraId="1164CB98" w14:textId="77777777" w:rsidR="00C1765C" w:rsidRPr="00820C89" w:rsidRDefault="00C1765C" w:rsidP="00C1765C"/>
    <w:p w14:paraId="62E34ED3" w14:textId="77777777" w:rsidR="00C1765C" w:rsidRPr="00820C89" w:rsidRDefault="00C1765C" w:rsidP="00C1765C">
      <w:pPr>
        <w:jc w:val="center"/>
      </w:pPr>
      <w:r w:rsidRPr="00820C89">
        <w:rPr>
          <w:noProof/>
          <w:lang w:eastAsia="en-AU"/>
        </w:rPr>
        <w:lastRenderedPageBreak/>
        <w:drawing>
          <wp:inline distT="0" distB="0" distL="0" distR="0" wp14:anchorId="3BEB0E7E" wp14:editId="00737A78">
            <wp:extent cx="7869142" cy="5731162"/>
            <wp:effectExtent l="0" t="0" r="0" b="3175"/>
            <wp:docPr id="473" name="Picture 473" descr="The X Axis of the table has the following titles equally spaced: Activities; Short term outcomes (start of program); medium term outcomes (during program); longer-term outcomes (post-program) and Impact.&#10;The Y Axis of the table has the following titles: Program design, set-up and performance management (note only this title has an arrow pointing into the next title); EPI partner commitments; participant information and recruitment; pre-employment support; paid ongoing employment; and on-the-job support. Please note that the three titles participant information and recruitment; pre-employment support; and paid ongoing employment are linked noting they form the same overall activity.&#10;The first link is from “EPI Partner Commitments” under the Y Axis. It links to a box under the Short term outcomes (start of program) titles on the X Axis.&#10;The title of this table, labelled “Companies make new Indigenous Employment commitments” has two employer outcome dot points under it. These are: EPI Partners increase employment of indigenous jobseekers; and EPI partners develop new strategies for culturally appropriate recruitment, employment and indigenous procurement.&#10;There are two links to the “Companies make new Indigenous Employment commitments” box. The first link, connects to the Medium term outcomes (during program) and longer-term outcomes (post-program) titles along the X Axis. The first link connects to a new box labelled “Companies deliver and embed new strategies”.&#10;The second link from the “Companies make new Indigenous Employment commitments” box goes down the Y axis and is adjacent to the participant information and recruitment; pre-employment support; and paid ongoing employment titles. This second link connects to a new box labelled “Participants more likely to obtain appropriate employment”.&#10;The first linked box, “Companies deliver and embed new strategies” has six employer outcome dot points and one system outcome dot point under it.&#10;The employer outcomes are: EPI partners embed recruitment of Indigenous jobseekers into business practices (note this is a priority outcome); EPI partners are more likely to procure from indigenous companies; EPI partners retain their indigenous employees; EPI partners are more likely to promote Indigenous employees through their workforce; EPI partners have enhanced reputation and workforce outcomes; and EPI partners become less dependent on EPU funding over time (note this is a priority outcome).&#10;The system outcome is that other major companies are more motivated to develop new Indigenous employment strategies and/or to express interest in the EPI.&#10;This second link from the Companies make new Indigenous Employment commitments” box connects to a new box labelled “Participants more likely to obtain appropriate employment”. This box has three priority participant outcomes. These are the participant is more likely to access ongoing employment; feel included, understood and culturally safe in the workplace; and feel employment is appropriate and meaningful.&#10;The two boxes both link into a third box titled “Participants remain engaged in sustainable employment”. This box is under the Medium Term and Longer Term titles of the X Axis and is adjacent to the Y Axis’ participant information and recruitment; pre-employment support; and paid ongoing employment titles. A new link to this box from the Y Axis title “On the job support” is also connected to the third box. &#10;The “Participants remain engaged in sustainable employment” box has two priority participant outcomes. These are participants are more likely to remain in employment (for 26 weeks or more); and participants can advance in their careers with the EPI partner and / or other employers.&#10;This box is connected to three additional boxes by an up-down arrow, which denotes equilibrium of the topics. &#10;These three boxes, respectively titles “Participants develop improved work readiness”; “Participants develop improved job skills”; and “Participants develop improved wellbeing” are further linked to the “pre-employment support” and “on-the-job support” titles of the Y Axis.&#10;The “Participants develop improved work readiness” box has two participant outcomes. These are the participant is to develop work readiness skills, including cognitive skills and soft behavioural skills; as well as improved understanding of their aspirations and strengths.&#10;The “Participants develop improved job skills” box has two participant outcomes. These are to develop skills in a specific vocation or role; and to complete new licences or training qualifications (including the recognition of prior learning).&#10;The “Participants develop improved wellbeing” box has four participant outcomes. These are the participant is more likely to access support to address barriers to employment; develop new support networks; experience increased income and financial security and experience increased trust in mainstream employers.&#10;All boxes discussed are then linked by arrow to the “impact” heading on the X-Axis. &#10;The Impact heading has two boxes under it, namely “Greater parity and improved strategies among Australian companies” and “Improved employment outcomes for Indigenous Australians”.&#10;The first box, “Greater parity and improved strategies among Australian companies” has three system outcomes under it. These are that more Australian companies achieve and maintain parity in employment between Indigenous and non-Indigenous Australians; Australian companies adopt more culturally appropriate employment practices; and Australian companies increase procurement from Indigenous companies.&#10;The second box, “Improved employment outcomes for Indigenous Australians” has two system outcomes under it. These are that more indigenous Australians are in sustainable employment; and also the gap in employment outcomes for Indigenous Australians are reduced.&#10;End of table.&#10;" title="EPI Program Logic – Outcome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7500"/>
                    <a:stretch/>
                  </pic:blipFill>
                  <pic:spPr bwMode="auto">
                    <a:xfrm>
                      <a:off x="0" y="0"/>
                      <a:ext cx="7874819" cy="5735296"/>
                    </a:xfrm>
                    <a:prstGeom prst="rect">
                      <a:avLst/>
                    </a:prstGeom>
                    <a:ln>
                      <a:noFill/>
                    </a:ln>
                    <a:extLst>
                      <a:ext uri="{53640926-AAD7-44D8-BBD7-CCE9431645EC}">
                        <a14:shadowObscured xmlns:a14="http://schemas.microsoft.com/office/drawing/2010/main"/>
                      </a:ext>
                    </a:extLst>
                  </pic:spPr>
                </pic:pic>
              </a:graphicData>
            </a:graphic>
          </wp:inline>
        </w:drawing>
      </w:r>
    </w:p>
    <w:p w14:paraId="4553CEDE" w14:textId="77777777" w:rsidR="00C1765C" w:rsidRPr="00820C89" w:rsidRDefault="00C1765C" w:rsidP="00C1765C">
      <w:pPr>
        <w:jc w:val="center"/>
      </w:pPr>
      <w:r w:rsidRPr="00820C89">
        <w:rPr>
          <w:noProof/>
          <w:lang w:eastAsia="en-AU"/>
        </w:rPr>
        <w:lastRenderedPageBreak/>
        <w:drawing>
          <wp:inline distT="0" distB="0" distL="0" distR="0" wp14:anchorId="31E9CA5D" wp14:editId="0034B5BF">
            <wp:extent cx="8058150" cy="5238750"/>
            <wp:effectExtent l="0" t="0" r="0" b="0"/>
            <wp:docPr id="474" name="Picture 474" descr="The following table has five subsections in relation to the VTEC Program's logic respectively labelled the &quot;issues we are addressing&quot;; &quot;the reponse&quot;; &quot;participants and stakeholders&quot;; &quot;impact&quot;; and &quot;inputs&quot;.&#10;&#10;Under the &quot;issue we are addressing&quot; subsection are the following four dot points:&#10;- There is a gap in employment outcomes between Indigenous and non-Indigenous Australians;&#10;-Indigenous Australians experience barriers to recruitment and retention in employment;&#10;-Mainstream employment services are not meeting the needs of Indigenous jobseekers in terms of work readiness support; and&#10;-Indifenous jobseekers are engaging in training and work experience that does not result in guaranteed ongoing work.&#10;&#10;Under the &quot;response&quot; subsection are the following seven dot points:&#10;&#10;-NIAA introduced the VTEC initiative in 2014. Under the model, VTECs secure guaranteed jobs from employers and then match and prepare jobseekers for those jobs - including by providing or facilitating pre-employment support and training;&#10;-VTECs provide support during employment for up to 26 weeks to both the participant and the employer;&#10;-Delivery of the VTEC program varier in each context based on local needs;&#10;-The VTEC program has an emphasis on Indigenous community engagement, including a requirement that VTECs are Indigenous organisations or have joint ventures with Indigenous organisations.&#10;&#10;The following subheading is under &quot;the response&quot; subsection, &quot;Note program changes over time&quot;:&#10;- New requirement that providers must be Indigenous or in joint venture with Indigenous organisation - Introduced 2018;&#10;-Evidence requirements for 'guaranteed job' have been reduced over time; and&#10;-Payment milestones and rates have been varied over time - including cap on payments for Stream A participants.&#10;&#10;Under the whole &quot;response&quot; subsection is the subsection &quot;input&quot; with an arrow pointing up indicating the flow of NIAA funding into the response.&#10;&#10;Under the &quot;participant and stakeholders&quot; subsection are the following seven dot points under two further subheadings:&#10;&#10;The first subheading is in relation to the participants where the focus of VTECs are focussed on very disadvantaged indigenous jobseekers. Participants are not required to be registered with the DHS. However, funding for providers is tiered according to JSCI stream, and the payment rate for Stream A jobseekers is reduced once a specified number of placements has been reached.  Restrictions if the participant is involved in other programs. They can't have been involved win another JLEP activity in the last 6 months. If employment placement is with an EPI partner, payments can be shared.&#10;&#10;Participants also include local indigenous communities, including elsers and indigenous organisations.&#10;&#10;The second subheading under the &quot;participants and stakeholders&quot; subsection are the other stakeholders. This subheading has 5 dot points under it.&#10;&#10;The first dot point notes that a broad range of providers are eligible to become VTEC providers, including employers, training providers and community organisations. Currently there are 31 VTECs operating nationwide in every state and territory across urban, regional and remote areas. VTECS vary in size and in the number of jobseekers they support.&#10;&#10;The second dot point is in relation to the wider government, including the NIAA and the regional network; the Department of Employment, Skills, Small and Family Business as well as state and territory governments.&#10;&#10;The third dot point is in relation to Employment service providers: Jobactive; CDP; and DES providers.&#10;&#10;The fourth doit point is in relation to employers, including in some cases, EPI providers.&#10;&#10;The fifth and final dot point is in relation to Indigenous communities, which include elders and Indigenous-controlled organisations.&#10;&#10;The final subheading is the &quot;impact&quot; section. Under this section, the improved outcomes for Indigenous Australians have been realised through mroe Indigenous Australians are in sustainable employment and the gap in employment outcomes for Indigenous Australians are reduced.&#10;&#10;End of table.&#10;" title="VTEC Program Logic - Issue, reponse, stakeholders,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058150" cy="5238750"/>
                    </a:xfrm>
                    <a:prstGeom prst="rect">
                      <a:avLst/>
                    </a:prstGeom>
                  </pic:spPr>
                </pic:pic>
              </a:graphicData>
            </a:graphic>
          </wp:inline>
        </w:drawing>
      </w:r>
    </w:p>
    <w:p w14:paraId="3B33E8CD" w14:textId="77777777" w:rsidR="00C1765C" w:rsidRPr="00820C89" w:rsidRDefault="00C1765C" w:rsidP="00C1765C"/>
    <w:p w14:paraId="5176C542" w14:textId="77777777" w:rsidR="00C1765C" w:rsidRPr="00820C89" w:rsidRDefault="00C1765C" w:rsidP="00C1765C">
      <w:r w:rsidRPr="00820C89">
        <w:rPr>
          <w:noProof/>
          <w:lang w:eastAsia="en-AU"/>
        </w:rPr>
        <w:lastRenderedPageBreak/>
        <w:drawing>
          <wp:inline distT="0" distB="0" distL="0" distR="0" wp14:anchorId="6D92B45D" wp14:editId="6DF1221C">
            <wp:extent cx="8166100" cy="5731510"/>
            <wp:effectExtent l="0" t="0" r="6350" b="2540"/>
            <wp:docPr id="37" name="Picture 37" descr="The following table describes the VTEC Program's Logic through its activities. The table is in two sections, being program set-up and program delivery. Both have several subsections with additional boxes to their right noting activities being undertaken to their respective subsections.&#10;&#10;The first section, program set-up has three subsections under it.&#10;&#10;The first sub-section is program design, set-up &amp; performance management. There are five sub-boxes linked to this sub-heading.&#10;&#10;The first sub-box is Recruit VTECs where the NIAA recruits VTECS through proactive and responsive engagement.&#10;&#10;The second sub-box is program design and application where a VTEC submits its IAS funding application addressing how it will deliver VTEC services according to IAS criteria.&#10;&#10;The third sub-box is the Agreement where the NIAA negotiates contracts with VTECs (with mostly standard obligations for all VTECs). Approval is required by the NIAA and the Minister.&#10;&#10;The fourth sub-box is about reporting where the VTEC record and monitor participating progress and report to the NIAA regional network.&#10;&#10;The fifth and final sub-box of the program design sub-heading is performance management where the NIAA regional network conducts performance assessments.&#10;&#10;The second sub-section is prcommunity engagement. There are two sub-boxes linked to this sub-heading.'&#10;&#10;The first sub-box is in relation to community engagement where the VTEC engages with the local community, including Indigenous community elders and indigenous-controleld organisations - through information sessions and consultation, to promote services and understand needs.&#10;&#10;The second sub-box is in relation to engagement with mainstream service providers where a VTEC promotes its services through jobactive, CDP Providers or DES.&#10;&#10;The third and final sub-section under program set-up is is employer engagement and support. There are two sub-boxes linked to this sub-heading.&#10;&#10;The first sub-box is in relation to employer engagement where a VTEC obtains commitments from employers (or in some cases, within VTEC organisation) to demonstrate guaranteed jobs,a nd to understand training requirements.&#10;&#10;The second sub-box is in relation to employer support where the VTEC provides advice and support to employers to develop culturally appropriate employment practices.&#10;&#10;The second section of the table, program delivery has five subsections under it.&#10;&#10;The first sub-section is participant information and recruitment. There are four sub-boxes linked to this sub-heading.&#10;&#10;The first sub box is informing jobseekers about opportunities where VTECs host employer forums for participants to attend and learn more about job opportunities that are available.&#10;&#10;The second sub-box is recruiting participants where a participant makes a direct approach to VTEC or the participant is referred by job active, CDP or a DES provider.&#10;&#10;The third sub-box is the interview and check eligability activity where a VTEC interviews jobseekers and assess eligibility (including indigenous identity) and support needs).&#10;&#10;The fourth and final sub-box is the confirm stream activity where the VTEC confirms the JSCI stream with Centrelink, or supports unregistered jobseekers to register with Centrelink and obtain their stream.&#10;&#10;The second sub-section is pre-employemnt support. There are four sub-boxes linked to this sub-heading.&#10;&#10;The first sub box is informing case management support where VTEC staff or mentors provide culturally appropriate advice and support to improve job reasiness such as a drivers licence, financial issues, wellbeing issues and identification documents.&#10;&#10;The second sub box is supported referral to other job readiness support services where the VTEC refers participants to other agencies and organisations to address barriers to work. This applies to some providers only.&#10;&#10;The third sub box is the training plan where VTEC prepares a training and support plan and identifies suitability for roles.&#10;&#10;The fourth and final sub box is preparation for work placement where the VTEC offers job information sessiona nd the VTEC provides resume and interview advice.&#10;&#10;The third sub-section is vocational training. There are three sub-boxes linked to this sub-heading all of which are only relevant to some providers.&#10;&#10;The first sub box is the supported referral to third party vocational training where the VTEC refers participants to third party registered training providers.&#10;&#10;The second sub box is funding for vocational training where VTECs allocate funding for participants to access vocational training from third party training providers.&#10;&#10;The third and final sub box is Direct delivery of vocational training by VTEC where the VTEC delivers training cources.&#10;&#10;The fourth sub-section is ongoing paid employment. There are four sub-boxes linked to this sub-heading.&#10;&#10;The first sub box is the placement in role with 3rd aprty employer, or direct role with VTEC where the VTEC arranges placement for participant in an ongoing role at inustry award wage.&#10;&#10;The second sub box is the commencement activity where the participant commences employment part-time or full-time with minimum specified hours.&#10;&#10;The third sub box is the payments milestones activity where VTECs receive payment for continuous employment outcomes at 4, 13 and 26 weeks (weighted by JSCI stream, with higher payments closer to 26 weeks). This activity requires NIAA funding.&#10;&#10;The fourth and final sub box is the ongoing employment activity where the participant continues their employment.&#10;&#10;The fourth and final subsection of the table is support during employment. There are three sub-boxes linked to this sub-heading.&#10;&#10;The first sub box is the support and on the job training by the employer activity where the employer provides appropriate on the job support.&#10;&#10;The second sub box is the support by VTEC during work placement activity where the VTEC maintains contact with the participant and employer during work placement and provides tailored support (for example, workplace familiarisation, issues management, aspiration building, employee mentoring, and cultural awareness support for employers.&#10;&#10;The third and final sub box is the program exit or commemoration of milestones activity where the VTEC completes formal close and transition advice at 26 weeks.&#10;&#10;End of table.&#10;" title="VTEC Program Logic -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8166100" cy="5731510"/>
                    </a:xfrm>
                    <a:prstGeom prst="rect">
                      <a:avLst/>
                    </a:prstGeom>
                  </pic:spPr>
                </pic:pic>
              </a:graphicData>
            </a:graphic>
          </wp:inline>
        </w:drawing>
      </w:r>
    </w:p>
    <w:p w14:paraId="547A4513" w14:textId="77777777" w:rsidR="00C1765C" w:rsidRPr="00820C89" w:rsidRDefault="00C1765C" w:rsidP="00C1765C">
      <w:pPr>
        <w:jc w:val="center"/>
      </w:pPr>
      <w:r w:rsidRPr="00820C89">
        <w:rPr>
          <w:noProof/>
          <w:lang w:eastAsia="en-AU"/>
        </w:rPr>
        <w:lastRenderedPageBreak/>
        <w:drawing>
          <wp:inline distT="0" distB="0" distL="0" distR="0" wp14:anchorId="162CE6CC" wp14:editId="50344F66">
            <wp:extent cx="7905750" cy="5731510"/>
            <wp:effectExtent l="0" t="0" r="0" b="2540"/>
            <wp:docPr id="38" name="Picture 38" descr="The X Axis of the table has the following titles equally spaced: Activities; Short term outcomes (start of program); medium term outcomes (during program); longer-term outcomes (post-program) and Impact.&#10;The Y Axis of the table has the following titles: Program design, set-up and performance management (note only this title has an arrow pointing into the next title); community engagement; participant information and recruitment; case management and work readiness support; vocational training; ongoing paid employment; support during employment; and employer engagement. Please note that the titles of community engagement and participant information and recruitment are linked noting they form the same overall activity.&#10;Please note that all the boxes on this table, unless specified, are connected by up-down arrows, which denotes equilibrium of the topics. &#10;The first link is from “community engagement” and “participant information and recruitment” titles under the Y Axis. They link to a box under the short term outcomes (start of program) titles on the X Axis titled “Participants are more likely to access supports”.&#10;The  first box, titled “Participants are more likely to access supports” has four participant outcomes under it. These are the participant is more aware of specific support for Indigenous jobseekers are available; feel VTEC services are tailored and relevant (note this is a priority outcome); feel supported and culturally safe; and more likely to maintain positive engagement with provider over time.&#10;The second box is linked to the “Case management and work readiness support” on the Y Axis and under the Short term outcomes and medium term outcomes under the X Axis. It is titled “Participants develop improved wellbeing” and has four participant outcomes under it. These are to address barriers to employment (for example, confidence health/lifestyle; LLN; work-life management; criminal justice or housing) (note this is a priority outcome); Develop new support networks; increased income and financial security; and increased trust in mainstream employers and employment services.&#10;The third box is similarly placed on the table. Like the previous, it is also linked to the “Case management and work readiness support” on the Y Axis and under the Short term outcomes and medium term outcomes under the X Axis. It is titled “Participants develop improved work readiness” and has two participant outcomes under it. The first is the priority outcome for the participant to develop work readiness skills, including cognitive skills and soft or behavioural skills; and improved understanding of their aspirations and strengths.&#10;The fourth box is linked to the “vocational training” title on the Y Axis and is under the short term and medium term outcomes on the X Axis. It is titled “participants develop improved work readiness” and has two participant outcomes under it. These are to develop skills in a specific vocation/role; and to complete new licences/training qualifications (including recognition of prior learning).&#10;The fifth box is linked to the “ongoing paid employment” title on the Y Axis and is under the short term and medium term outcomes on the X Axis. It is titled “Participants are more likely to obtain appropriate employment” and has three participant outcomes under it. These are: the participant is more likely to access ongoing employment (note this is a priority outcome); to feel included, understood and culturally safe in the workplace; and to feel employment is appropriate and meaningful.&#10;Boxes two through to four link into the sixth box titled “Participants remain engaged in sustainable employment”. This box is additionally linked to the “support during employment” title on the Y Axis and is under the medium term and longer term outcomes on the X Axis. This box has two participant outcomes under it. These are: participants are more likely to remain in employment (for 26 weeks or more) (note, this is a priority outcome); and participants advance in their careers with their employers and/or other employers.&#10;The seventh box, titled “Employers are more likely to offer roles to Indigenous jobseekers” is linked to the “Employer engagement” title on the Y Axis and is under the short-term outcomes on the X Axis. To note, this box does not possess the up-down arrows that the other boxes possess, noting it does not have equilibrium with the others. This box links to the fifth box, titled “participants are more likely to obtain appropriate employment. It has two employer outcomes under it, these are: employers have improved access to candidates to fill existing roles; and employers have increased appreciation of benefits of Indigenous employment. &#10;The seventh box links directly to the eighth box, “employers improve Indigenous employment practices” and is under the medium term and longer term outcomes of the X Axis. This box is also linked to the sixth box titled “participants remain engaged in sustainable employment” through up-down arrows, which denotes equilibrium. The eighth box has two employer outcomes under it. These are: employers develop more culturally appropriate employment practices; and employers increase their employment of Indigenous jobseekers.&#10;Boxes one through to eight are all linked to the Impact title under the X Axis. The Impact title has one box under it which is titled “Improved employment outcomes for Indigenous Australians” which has two system outcomes under it. These are: more indigenous Australians in sustainable employment; and the gap in employment outcomes for Indigenous Australians is reduced.&#10;End of table.&#10;" title="VTEC Program Logic - Outcome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7905750" cy="5731510"/>
                    </a:xfrm>
                    <a:prstGeom prst="rect">
                      <a:avLst/>
                    </a:prstGeom>
                  </pic:spPr>
                </pic:pic>
              </a:graphicData>
            </a:graphic>
          </wp:inline>
        </w:drawing>
      </w:r>
    </w:p>
    <w:p w14:paraId="71B8CA68" w14:textId="77777777" w:rsidR="00C1765C" w:rsidRPr="00820C89" w:rsidRDefault="00C1765C" w:rsidP="00C1765C">
      <w:r w:rsidRPr="00820C89">
        <w:rPr>
          <w:noProof/>
          <w:lang w:eastAsia="en-AU"/>
        </w:rPr>
        <w:lastRenderedPageBreak/>
        <w:drawing>
          <wp:inline distT="0" distB="0" distL="0" distR="0" wp14:anchorId="12A5EAF2" wp14:editId="24F4BFF3">
            <wp:extent cx="8226425" cy="5731510"/>
            <wp:effectExtent l="0" t="0" r="3175" b="2540"/>
            <wp:docPr id="475" name="Picture 475" descr="The following table has 4 subheadings, titled &quot;The issue we are addressing&quot;; &quot;the response&quot;; &quot;stakeholders&quot; and &quot;Impact&quot; with text cascading downwards. A fifth subheading, &quot;Input&quot;, is below &quot;the response heading&quot; with an arrow pointing up noting the flow of NIAA funding required.&#10;&#10;Under &quot;the issue we are addressing&quot; subheading are the following two dot points.&#10;&#10;- There is a gap in employment outcomes between Indigenous and non-Indigenous Australians; and&#10;&#10;- Indigenous Australians experience barriers to recruitment and retention in employment.&#10;&#10;Under &quot;the response&quot; subheading are the following four dot points:&#10;-TAEG Employment is a flexible grants program that funds employers and third parties to: Support Indigenous jobseekers to become job ready, including through structured mentoring and transition to work activities; and, support indigenous jobseekers to get and keep a job.&#10;&#10;- TAEG grants are intended to offer greater flexibility (when companered to VTEC funding) to respond to the identified needs of providers based on their location and the cohorts they support. There is also flexibility to enable support over longer periods of time. For example, a project may run over three years.&#10;&#10;- Services should be unique or complementary to other funded programs.&#10;&#10;- Payment for is based on achieving milestones, but with some flexibility and additional payments. Funding for employment programs is weighted towards the achievement of a 26 week employment outcomes. However, the payment model provides flexibility in payment milestones. For example, payments at 13 weeks and payments for additional support (such as structured mentoring).&#10;&#10;Two additional dotpoints are under &quot;note changes over time&quot;. These are&#10;-Increased focus on 'guaranteed job' over time; and&#10;- payment milestones and rates have been varied over time, with stronger weighting towards 26 week milestones.&#10;&#10;The inputs subheading has an arrow under the response subheading noting that for all responses the NIAA is required to provide funding.&#10;&#10;Under the &quot;stakeholders&quot; subheading, there are an additional two headings, &quot;Participants&quot; and &quot;Other Stakeholders&quot;. &#10;&#10;Under the Participants heading, there are the following two dot points in relation to Indigenous Jobseekers:&#10;-Focus on very disadvantaged jobseekers who are not in the labour force. Priority is given to projects targeting disadvantaged jobseekers (including jobseekers in JSCI streams B and C); &#10;- Some projects specifically support prisoners to reintergrate into society and find sustainable employment on their release.&#10;&#10;There are the following four stakeholders under the Other Stakeholders setting, these are TAEG providers, Government, Employment service providers and Indigenous communities. Each stakeholder has several dot points under them.&#10;&#10;Under the TAEG providers are the following four dot points:&#10;- Any organisation or business with an ABN can be eligable to receive TAEG grants, including employers, training providers and community organisations;&#10;- Some TAEG providers are Indigenous organisations (about half of the active providers in 2019);&#10;- Between July 2016 and January 2019, 138 TAEG projects have been approved, oeprating nationwide in every state and territory. The majority of these projects operating out of New South Wales, Victoria and Tasmania.&#10;- Projects vary in size. Some providers offer fewer than 30 employment placements, while others provide over 500 placements.&#10;&#10;The Government stakeholders are the NIAA and its Regional Network.&#10;&#10;Employment service provider stakeholders include Jobactive, CDP, and DES providers.&#10;&#10;Indigenous communities stakeholders include elders and indigenous organisations.&#10;&#10;Under the &quot;Impact&quot; heading, there is a box labelled &quot;Improved employment outcomes for Indigenous Australians&quot; with the following sub points:&#10;- More indigenous Australians are in sustainable employment; and&#10;- The gap in employment outcomes for Indigenous Australians is reduced.&#10;&#10;End of table.&#10;&#10;" title="TAEG Employment Program Logic - Issue, response, stakeholders,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226425" cy="5731510"/>
                    </a:xfrm>
                    <a:prstGeom prst="rect">
                      <a:avLst/>
                    </a:prstGeom>
                  </pic:spPr>
                </pic:pic>
              </a:graphicData>
            </a:graphic>
          </wp:inline>
        </w:drawing>
      </w:r>
    </w:p>
    <w:p w14:paraId="5939F62F" w14:textId="77777777" w:rsidR="00C1765C" w:rsidRPr="00820C89" w:rsidRDefault="00C1765C" w:rsidP="00C1765C">
      <w:r w:rsidRPr="00820C89">
        <w:rPr>
          <w:noProof/>
          <w:lang w:eastAsia="en-AU"/>
        </w:rPr>
        <w:lastRenderedPageBreak/>
        <w:drawing>
          <wp:inline distT="0" distB="0" distL="0" distR="0" wp14:anchorId="7BEBFC96" wp14:editId="54BB96A0">
            <wp:extent cx="8401050" cy="5648325"/>
            <wp:effectExtent l="0" t="0" r="0" b="9525"/>
            <wp:docPr id="476" name="Picture 476" descr="The following table is a visual depiction of the TAEG Program logic through its activities.&#10;&#10;At the top of the table, there is an arrow, from left moving right labelled activities, noting the flow of the activities noted in this table.&#10;&#10;The table has two subheadings with several topic boxes under them. Each topic box has several activity subboxes linked.&#10;&#10;The program set up subheading has three topic boxes under it.&#10;&#10;The first topic box, &quot;Program design, set-up and performance management&quot; has the following 5 sub-boxes under it noting activities. These are:&#10;&#10;1 - the recruit taeg providers activity where the NIAA recruits providers through proactive and responsive engagement;&#10;&#10;2 - the program design and application activity where TAEG submits IAS funding application against IAS criteria;&#10;&#10;3 - The Agreement activity where the NIAA assesses applciations and negotiates contracts. Approval by NIAA and Minister.&#10;&#10;4 - The reporting activity where the TAEG providers record and monitor participant progress and report to NIAA regional network&#10;&#10;5- The Performance management activity where the NIAA regional network conducts performance assessments.&#10;&#10;The second topic box, &quot;community engagement&quot; has the following 2 sub-boxes under it noting activities. These are:&#10;&#10;1 - the community engagement activity where TAEG providers engage with the local community including Indigenous community elders, Indigenous-controlled organisations, through information sessions and consultations, to promote services and understand needs.&#10;&#10;2- the Engagement with mainstream service provider activity where TAEG promotes its services through Jobactive, CDP providers or DES&#10;&#10;The third topic box, &quot;Employer engagement and support&quot; has the following 2 sub-boxes under it noting activities. These are:&#10;&#10;1- the Employer engagement activity where TAEG a TAEG provider obtains commitments from employers (or in some cases, within TAEG providers), and as certain training requireements.&#10;&#10;2- The Employer support - inlcuding cultural awareness training activity where the TAEG provider delivers cultural awareness training to the employer. This activity is supported by NIAA funding.&#10;&#10;The next subheading in the table,  the program delivery subheading has five topic boxes under it.&#10;&#10;The first topic box, &quot;Participant Information and recruitment&quot; has the following 3 sub-boxes under it noting activities. These are:&#10;&#10;1- the  informing participants about opportunities activity where the TAEG hosts information sessions and employer forums for participants to learn about job apprenticeship opportunities that are available&#10;&#10;2- the recruiting participants activity where the participant makes direct approach to TAEG provider or a participant is referred by jobactive, CDP or a DES provider.&#10;&#10;3- The interview and check eligability activity where a TAEG provider interviews jobseeker and assesses eligibility (including indigenous identity) and support needs &#10;&#10;The second topic box, &quot;Pre-employment support&quot; has the following 3 sub-boxes under it noting activities. These are:&#10;&#10;1- the work preparation support activity where a TAEG provider offers job information sessions; resume and interview advice and a skills assessment. This activity is assisted by NIAA funding.&#10;&#10;2- The Strutured mentoring activity only applies to some providers and is funded by the NIAA. This activity provides for after hours structured mentoring, If evidence is provided that this is needed to maintain employment such as drivers licences, financial issues, wellbeing issues and identification documents. Paid on an hourly basis.&#10;&#10;3- The Supported referral to other job readiness support services only applies to some providers. This activity is where a TAEG provider refers participants to other agencies and organisations to address barriers to work.&#10;&#10;The third topic box, &quot;vocational training&quot; has the following 3 sub-boxes under it noting activities. Please note that these activities only apply to some providers. These activities are:&#10;&#10;1 - the supported referral to third party vocational training activity where TAEG refers participants to third party registered training providers.&#10;&#10;2- The funding for vocational training activity where the TAEG provider allocates funding for participants to access vocational training from third party training providers.&#10;&#10;3 - the direct delivery of training by Taeg providers activity where a VTEC delivers credited or uncredited training courses.&#10;&#10;The fourth topic box, &quot;ongoing paid employment&quot; has the following 3 sub-boxes under it noting activities.  These are:&#10;&#10;1 - the placement in role with 3rd party employer, or direct employment with TAEG provider activity where a TAEG provider arranges placement for participant in an ongoing role at industry award wages.&#10;&#10;2- The commencement activity where a participant commences employment (whether ongoing, fulltime or partime with minimum specified hours. This activity is supported by NIAA funding.&#10;&#10;3- The payment milestones activity where TAEG providers receive payment for continuous employment outcomes at 13 or 26 weeks. This activity is supported by NIAA funding.&#10;&#10;The fifth and final topic box, &quot;Support during employment&quot; has the following 3 sub-boxes under it noting activities. &#10;&#10;1 - the On-the-job- support by employer activity where the employer provide appropriate on-the-job support to the participant.&#10;&#10;2- the support by TAEG provider during work placement activity where the TAEG provider maintains contact with participant and employer during work placement and provides tailored support. For example, workplace familiarisation, issues management, aspiration building, employee mentoring, and cultural awareness support for employers.&#10;&#10;3 - the program exit or commemoration of milestones activity where a TAEG provider completes formal close and transition advice at 26 weeks.&#10;&#10;End of table.&#10;" title="TAEG Program Logic -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8401050" cy="5648325"/>
                    </a:xfrm>
                    <a:prstGeom prst="rect">
                      <a:avLst/>
                    </a:prstGeom>
                  </pic:spPr>
                </pic:pic>
              </a:graphicData>
            </a:graphic>
          </wp:inline>
        </w:drawing>
      </w:r>
    </w:p>
    <w:p w14:paraId="1FA65366" w14:textId="77777777" w:rsidR="00C1765C" w:rsidRPr="00820C89" w:rsidRDefault="00C1765C" w:rsidP="00C1765C">
      <w:pPr>
        <w:jc w:val="center"/>
      </w:pPr>
      <w:r w:rsidRPr="00820C89">
        <w:rPr>
          <w:noProof/>
          <w:lang w:eastAsia="en-AU"/>
        </w:rPr>
        <w:lastRenderedPageBreak/>
        <w:drawing>
          <wp:inline distT="0" distB="0" distL="0" distR="0" wp14:anchorId="44F75DDA" wp14:editId="214510B5">
            <wp:extent cx="8105775" cy="5619750"/>
            <wp:effectExtent l="0" t="0" r="9525" b="0"/>
            <wp:docPr id="477" name="Picture 477" descr="The X Axis of the table has the following titles equally spaced: Activities; Short term outcomes (start of program); medium term outcomes (during program); longer-term outcomes (post-program) and Impact.&#10;The Y Axis of the table has the following titles: Program design, set-up and performance management (note only this title has an arrow pointing into the next title); community engagement; participant information and recruitment; pre-employment support; vocational training; ongoing paid employment; support during employment; and employer engagement and support. Please note that the titles of community engagement and participant information and recruitment are linked noting they form the same overall activity.&#10;Please note that all the boxes on this table, unless specified, are connected by up-down arrows, which denotes equilibrium of the topics. &#10;The first link is from “community engagement” and “participant information and recruitment” titles under the Y Axis. They link to a box under the short-term outcomes (start of program) titles on the X Axis titled “Participants are more likely to access employment opportunities”.&#10;The first box, titled “Participants are more likely to access employment opportunities” has three participant outcomes under it. These are more participants are aware that Indigenous-specific employment opportunities are available and the following two priority participant outcomes of feeling TAEG services are tailored and relevant and feel supported and culturally safe.&#10;The second box is linked to the “pre-employment support” on the Y Axis and under the Short term outcomes and medium term outcomes under the X Axis. It is titled “Participants develop improved wellbeing” and has four participant outcomes under it. These are to address barriers to employment (for example, confidence health/lifestyle; LLN; work-life management; criminal justice or housing) (note this is a priority outcome); Develop new support networks; increased income and financial security; and increased trust in mainstream employers and employment services.&#10;The third box is similarly placed on the table. Like the previous, it is also linked to the “Case management and work readiness support” on the Y Axis and under the Short term outcomes and medium term outcomes under the X Axis. It is titled “Participants develop improved work readiness” and has two participant outcomes under it. The first is the priority outcome for the participant to develop work readiness skills, including cognitive skills and soft or behavioural skills; and improved understanding of their aspirations and strengths.&#10;The fourth box is linked to the “vocational training” title on the Y Axis and is under the short term and medium term outcomes on the X Axis. It is titled “participants develop improved job skills” and has two participant outcomes under it. These are to develop skills in a specific vocation/role (note, this is a priority outcome); and to complete new licences/training qualifications.&#10;The fifth box is linked to the “ongoing paid employment” title on the Y Axis and is under the short term and medium term outcomes on the X Axis. It is titled “Participants are more likely to obtain appropriate employment” and has three participant outcomes under it. These are: the participant is more likely to access ongoing employment (note this is a priority outcome); to feel included, understood and culturally safe in the workplace; and to feel employment is appropriate and meaningful.&#10;Boxes two through to four link into the sixth box titled “Participants remain engaged in sustainable employment”. This box is additionally linked to the “support during employment” title on the Y Axis and is under the medium term and longer term outcomes on the X Axis. This box has two participant outcomes under it. These are: participants are more likely to remain in employment (for 26 weeks or more) (note, this is a priority outcome); and participants advance in their careers with their employers and/or other employers.&#10;The seventh box, titled “Employers are more likely to offer roles to Indigenous jobseekers” is linked to the “Employer engagement and support” title on the Y Axis and is under the short-term outcomes on the X Axis. To note, this box does not possess the up-down arrows that the other boxes possess, noting it does not have equilibrium with the others. This box links to the fifth box, titled “participants are more likely to obtain appropriate employment. It has two employer outcomes under it, these are: employers have improved access to candidates to fill existing roles; and employers have increased appreciation of benefits of Indigenous employment. &#10;The seventh box links directly to the eighth box, “employers improve Indigenous employment practices” and is under the medium term and longer term outcomes of the X Axis. This box is also linked to the sixth box titled “participants remain engaged in sustainable employment” through up-down arrows, which denotes equilibrium. The eighth box has two employer outcomes under it. These are: employers develop more culturally appropriate employment practices; and employers increase their employment of Indigenous jobseekers.&#10;Boxes one through to eight are all linked to the Impact title under the X Axis. The Impact title has one box under it which is titled “Improved employment outcomes for Indigenous Australians” which has two system outcomes under it. These are: more indigenous Australians in sustainable employment; and the gap in employment outcomes for Indigenous Australians is reduced.&#10;End of table.&#10;" title="TAEG Program Logic – Outcome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8105775" cy="5619750"/>
                    </a:xfrm>
                    <a:prstGeom prst="rect">
                      <a:avLst/>
                    </a:prstGeom>
                  </pic:spPr>
                </pic:pic>
              </a:graphicData>
            </a:graphic>
          </wp:inline>
        </w:drawing>
      </w:r>
    </w:p>
    <w:p w14:paraId="4ADA403A" w14:textId="77777777" w:rsidR="00C1765C" w:rsidRPr="00820C89" w:rsidRDefault="00C1765C" w:rsidP="00C1765C">
      <w:pPr>
        <w:rPr>
          <w:lang w:val="en-US" w:eastAsia="en-AU"/>
        </w:rPr>
        <w:sectPr w:rsidR="00C1765C" w:rsidRPr="00820C89" w:rsidSect="000F3440">
          <w:pgSz w:w="16838" w:h="11906" w:orient="landscape" w:code="9"/>
          <w:pgMar w:top="1440" w:right="1440" w:bottom="1440" w:left="1440" w:header="680" w:footer="425" w:gutter="0"/>
          <w:cols w:space="284"/>
          <w:docGrid w:linePitch="360"/>
        </w:sectPr>
      </w:pPr>
    </w:p>
    <w:p w14:paraId="31DED88C" w14:textId="77777777" w:rsidR="00C1765C" w:rsidRPr="00820C89" w:rsidRDefault="00C1765C" w:rsidP="00C1765C">
      <w:pPr>
        <w:pStyle w:val="Appendixhead1"/>
        <w:spacing w:before="170"/>
      </w:pPr>
      <w:bookmarkStart w:id="501" w:name="_Toc45206358"/>
      <w:r w:rsidRPr="00820C89">
        <w:lastRenderedPageBreak/>
        <w:t>Data matrix</w:t>
      </w:r>
      <w:bookmarkEnd w:id="501"/>
    </w:p>
    <w:p w14:paraId="4D2646C7" w14:textId="77777777" w:rsidR="00C1765C" w:rsidRPr="00820C89" w:rsidRDefault="00C1765C" w:rsidP="00C1765C">
      <w:pPr>
        <w:rPr>
          <w:lang w:val="en-US" w:eastAsia="en-AU"/>
        </w:rPr>
      </w:pPr>
    </w:p>
    <w:tbl>
      <w:tblPr>
        <w:tblStyle w:val="Deloittetable"/>
        <w:tblW w:w="13250" w:type="dxa"/>
        <w:tblLayout w:type="fixed"/>
        <w:tblLook w:val="04A0" w:firstRow="1" w:lastRow="0" w:firstColumn="1" w:lastColumn="0" w:noHBand="0" w:noVBand="1"/>
      </w:tblPr>
      <w:tblGrid>
        <w:gridCol w:w="1701"/>
        <w:gridCol w:w="2552"/>
        <w:gridCol w:w="2835"/>
        <w:gridCol w:w="1843"/>
        <w:gridCol w:w="1984"/>
        <w:gridCol w:w="2335"/>
      </w:tblGrid>
      <w:tr w:rsidR="00C1765C" w:rsidRPr="00820C89" w14:paraId="5A69582A" w14:textId="77777777" w:rsidTr="00087C85">
        <w:trPr>
          <w:cnfStyle w:val="100000000000" w:firstRow="1" w:lastRow="0" w:firstColumn="0" w:lastColumn="0" w:oddVBand="0" w:evenVBand="0" w:oddHBand="0" w:evenHBand="0" w:firstRowFirstColumn="0" w:firstRowLastColumn="0" w:lastRowFirstColumn="0" w:lastRowLastColumn="0"/>
          <w:trHeight w:val="451"/>
          <w:tblHeader/>
        </w:trPr>
        <w:tc>
          <w:tcPr>
            <w:tcW w:w="1701" w:type="dxa"/>
          </w:tcPr>
          <w:p w14:paraId="50762AEA" w14:textId="77777777" w:rsidR="00C1765C" w:rsidRPr="00820C89" w:rsidRDefault="00C1765C" w:rsidP="006D2536">
            <w:pPr>
              <w:rPr>
                <w:rFonts w:eastAsia="Verdana" w:cs="Verdana"/>
                <w:b/>
                <w:bCs/>
                <w:color w:val="000000"/>
                <w:sz w:val="14"/>
              </w:rPr>
            </w:pPr>
            <w:r w:rsidRPr="00820C89">
              <w:rPr>
                <w:rFonts w:eastAsia="Verdana" w:cs="Verdana"/>
                <w:b/>
                <w:bCs/>
                <w:color w:val="000000"/>
                <w:sz w:val="14"/>
              </w:rPr>
              <w:t>Evaluation question</w:t>
            </w:r>
          </w:p>
        </w:tc>
        <w:tc>
          <w:tcPr>
            <w:tcW w:w="2552" w:type="dxa"/>
          </w:tcPr>
          <w:p w14:paraId="60593F0E" w14:textId="77777777" w:rsidR="00C1765C" w:rsidRPr="00820C89" w:rsidRDefault="00C1765C" w:rsidP="006D2536">
            <w:pPr>
              <w:rPr>
                <w:rFonts w:eastAsia="Verdana" w:cs="Verdana"/>
                <w:b/>
                <w:bCs/>
                <w:color w:val="000000"/>
                <w:sz w:val="14"/>
              </w:rPr>
            </w:pPr>
            <w:r w:rsidRPr="00820C89">
              <w:rPr>
                <w:rFonts w:eastAsia="Verdana" w:cs="Verdana"/>
                <w:b/>
                <w:bCs/>
                <w:color w:val="000000"/>
                <w:sz w:val="14"/>
              </w:rPr>
              <w:t>Evaluation sub-question</w:t>
            </w:r>
          </w:p>
        </w:tc>
        <w:tc>
          <w:tcPr>
            <w:tcW w:w="2835" w:type="dxa"/>
          </w:tcPr>
          <w:p w14:paraId="5AD4D314" w14:textId="77777777" w:rsidR="00C1765C" w:rsidRPr="00820C89" w:rsidRDefault="00C1765C" w:rsidP="006D2536">
            <w:pPr>
              <w:rPr>
                <w:rFonts w:eastAsia="Verdana" w:cs="Verdana"/>
                <w:b/>
                <w:bCs/>
                <w:color w:val="000000"/>
                <w:sz w:val="14"/>
              </w:rPr>
            </w:pPr>
            <w:r w:rsidRPr="00820C89">
              <w:rPr>
                <w:rFonts w:eastAsia="Verdana" w:cs="Verdana"/>
                <w:b/>
                <w:bCs/>
                <w:color w:val="000000"/>
                <w:sz w:val="14"/>
              </w:rPr>
              <w:t>Indicators</w:t>
            </w:r>
          </w:p>
        </w:tc>
        <w:tc>
          <w:tcPr>
            <w:tcW w:w="1843" w:type="dxa"/>
          </w:tcPr>
          <w:p w14:paraId="31B27BAF" w14:textId="77777777" w:rsidR="00C1765C" w:rsidRPr="00820C89" w:rsidRDefault="00C1765C" w:rsidP="006D2536">
            <w:pPr>
              <w:ind w:left="0"/>
              <w:rPr>
                <w:rFonts w:eastAsia="Verdana" w:cs="Verdana"/>
                <w:b/>
                <w:bCs/>
                <w:color w:val="000000"/>
                <w:sz w:val="14"/>
              </w:rPr>
            </w:pPr>
            <w:r w:rsidRPr="00820C89">
              <w:rPr>
                <w:rFonts w:eastAsia="Verdana" w:cs="Verdana"/>
                <w:b/>
                <w:bCs/>
                <w:color w:val="000000"/>
                <w:sz w:val="14"/>
              </w:rPr>
              <w:t>Program logic / logics link</w:t>
            </w:r>
          </w:p>
        </w:tc>
        <w:tc>
          <w:tcPr>
            <w:tcW w:w="1984" w:type="dxa"/>
          </w:tcPr>
          <w:p w14:paraId="273FC51D" w14:textId="77777777" w:rsidR="00C1765C" w:rsidRPr="00820C89" w:rsidRDefault="00C1765C" w:rsidP="006D2536">
            <w:pPr>
              <w:rPr>
                <w:rFonts w:eastAsia="Verdana" w:cs="Verdana"/>
                <w:b/>
                <w:bCs/>
                <w:color w:val="000000" w:themeColor="text1"/>
                <w:sz w:val="14"/>
              </w:rPr>
            </w:pPr>
            <w:r w:rsidRPr="00820C89">
              <w:rPr>
                <w:rFonts w:eastAsia="Verdana" w:cs="Verdana"/>
                <w:b/>
                <w:bCs/>
                <w:color w:val="000000" w:themeColor="text1"/>
                <w:sz w:val="14"/>
              </w:rPr>
              <w:t>Data sources</w:t>
            </w:r>
          </w:p>
        </w:tc>
        <w:tc>
          <w:tcPr>
            <w:tcW w:w="2335" w:type="dxa"/>
          </w:tcPr>
          <w:p w14:paraId="5479A986" w14:textId="77777777" w:rsidR="00C1765C" w:rsidRPr="00820C89" w:rsidRDefault="00C1765C" w:rsidP="006D2536">
            <w:pPr>
              <w:rPr>
                <w:rFonts w:eastAsia="Verdana" w:cs="Verdana"/>
                <w:b/>
                <w:bCs/>
                <w:color w:val="000000" w:themeColor="text1"/>
                <w:sz w:val="14"/>
              </w:rPr>
            </w:pPr>
            <w:r w:rsidRPr="00820C89">
              <w:rPr>
                <w:rFonts w:eastAsia="Verdana" w:cs="Verdana"/>
                <w:b/>
                <w:bCs/>
                <w:color w:val="000000" w:themeColor="text1"/>
                <w:sz w:val="14"/>
              </w:rPr>
              <w:t>Analytic approach</w:t>
            </w:r>
          </w:p>
        </w:tc>
      </w:tr>
      <w:tr w:rsidR="00C1765C" w:rsidRPr="00820C89" w14:paraId="3378F686" w14:textId="77777777" w:rsidTr="006D2536">
        <w:trPr>
          <w:trHeight w:val="541"/>
        </w:trPr>
        <w:tc>
          <w:tcPr>
            <w:tcW w:w="13250" w:type="dxa"/>
            <w:gridSpan w:val="6"/>
          </w:tcPr>
          <w:p w14:paraId="16681EF9" w14:textId="77777777" w:rsidR="00C1765C" w:rsidRPr="00820C89" w:rsidRDefault="00C1765C" w:rsidP="006D2536">
            <w:pPr>
              <w:ind w:left="0"/>
              <w:rPr>
                <w:rFonts w:eastAsia="Verdana" w:cs="Verdana"/>
                <w:bCs/>
                <w:color w:val="000000"/>
                <w:sz w:val="14"/>
              </w:rPr>
            </w:pPr>
            <w:r w:rsidRPr="00820C89">
              <w:rPr>
                <w:rFonts w:eastAsia="Verdana" w:cs="Verdana"/>
                <w:b/>
                <w:bCs/>
                <w:color w:val="000000"/>
                <w:sz w:val="14"/>
              </w:rPr>
              <w:t>1. Appropriateness of program design and implementation</w:t>
            </w:r>
          </w:p>
        </w:tc>
      </w:tr>
      <w:tr w:rsidR="00C1765C" w:rsidRPr="00820C89" w14:paraId="17D1C0FA" w14:textId="77777777" w:rsidTr="006D2536">
        <w:trPr>
          <w:trHeight w:val="541"/>
        </w:trPr>
        <w:tc>
          <w:tcPr>
            <w:tcW w:w="1701" w:type="dxa"/>
            <w:vMerge w:val="restart"/>
          </w:tcPr>
          <w:p w14:paraId="429631C5" w14:textId="77777777" w:rsidR="00C1765C" w:rsidRPr="00820C89" w:rsidRDefault="00C1765C" w:rsidP="006D2536">
            <w:pPr>
              <w:rPr>
                <w:rFonts w:eastAsia="Verdana" w:cs="Verdana"/>
                <w:bCs/>
                <w:color w:val="000000"/>
                <w:sz w:val="14"/>
              </w:rPr>
            </w:pPr>
            <w:r w:rsidRPr="00820C89">
              <w:rPr>
                <w:rFonts w:eastAsia="Verdana" w:cs="Verdana"/>
                <w:bCs/>
                <w:color w:val="000000"/>
                <w:sz w:val="14"/>
              </w:rPr>
              <w:t xml:space="preserve">To what extent is the program design based on evidence? </w:t>
            </w:r>
          </w:p>
          <w:p w14:paraId="17002A29" w14:textId="77777777" w:rsidR="00C1765C" w:rsidRPr="00820C89" w:rsidRDefault="00C1765C" w:rsidP="006D2536">
            <w:pPr>
              <w:rPr>
                <w:rFonts w:eastAsia="Verdana" w:cs="Verdana"/>
                <w:bCs/>
                <w:color w:val="000000"/>
                <w:sz w:val="14"/>
              </w:rPr>
            </w:pPr>
          </w:p>
        </w:tc>
        <w:tc>
          <w:tcPr>
            <w:tcW w:w="2552" w:type="dxa"/>
          </w:tcPr>
          <w:p w14:paraId="7C5E2754"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were the suite of programs designed in collaboration with Indigenous Australian people?</w:t>
            </w:r>
          </w:p>
        </w:tc>
        <w:tc>
          <w:tcPr>
            <w:tcW w:w="2835" w:type="dxa"/>
          </w:tcPr>
          <w:p w14:paraId="4317C9CF"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Number and length of stakeholder engagement activities undertaken with Indigenous people to inform the design of the suite of programs</w:t>
            </w:r>
          </w:p>
        </w:tc>
        <w:tc>
          <w:tcPr>
            <w:tcW w:w="1843" w:type="dxa"/>
          </w:tcPr>
          <w:p w14:paraId="02A5F3A1"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 xml:space="preserve">Activities </w:t>
            </w:r>
          </w:p>
        </w:tc>
        <w:tc>
          <w:tcPr>
            <w:tcW w:w="1984" w:type="dxa"/>
          </w:tcPr>
          <w:p w14:paraId="33800A68"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detailing engagement activities undertaken (if available)</w:t>
            </w:r>
          </w:p>
        </w:tc>
        <w:tc>
          <w:tcPr>
            <w:tcW w:w="2335" w:type="dxa"/>
          </w:tcPr>
          <w:p w14:paraId="521C03FC"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 (if data availability permits)</w:t>
            </w:r>
          </w:p>
        </w:tc>
      </w:tr>
      <w:tr w:rsidR="00C1765C" w:rsidRPr="00820C89" w14:paraId="5398019B" w14:textId="77777777" w:rsidTr="006D2536">
        <w:trPr>
          <w:trHeight w:val="541"/>
        </w:trPr>
        <w:tc>
          <w:tcPr>
            <w:tcW w:w="1701" w:type="dxa"/>
            <w:vMerge/>
          </w:tcPr>
          <w:p w14:paraId="64E4F5E8" w14:textId="77777777" w:rsidR="00C1765C" w:rsidRPr="00820C89" w:rsidRDefault="00C1765C" w:rsidP="006D2536">
            <w:pPr>
              <w:rPr>
                <w:rFonts w:eastAsia="Verdana" w:cs="Verdana"/>
                <w:bCs/>
                <w:color w:val="000000"/>
                <w:sz w:val="14"/>
              </w:rPr>
            </w:pPr>
          </w:p>
        </w:tc>
        <w:tc>
          <w:tcPr>
            <w:tcW w:w="2552" w:type="dxa"/>
          </w:tcPr>
          <w:p w14:paraId="3EBAC33C"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were each of VTEC, TAEG and EPI designed in collaboration with Indigenous Australian people?</w:t>
            </w:r>
          </w:p>
        </w:tc>
        <w:tc>
          <w:tcPr>
            <w:tcW w:w="2835" w:type="dxa"/>
          </w:tcPr>
          <w:p w14:paraId="1DE0BB9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Number, timing and nature of stakeholder engagement activities undertaken with Indigenous people to inform the design of VTEC, TAEG and EPI  </w:t>
            </w:r>
          </w:p>
        </w:tc>
        <w:tc>
          <w:tcPr>
            <w:tcW w:w="1843" w:type="dxa"/>
          </w:tcPr>
          <w:p w14:paraId="5189BE83"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Activities (VTEC, TAEG, EPI)</w:t>
            </w:r>
          </w:p>
        </w:tc>
        <w:tc>
          <w:tcPr>
            <w:tcW w:w="1984" w:type="dxa"/>
          </w:tcPr>
          <w:p w14:paraId="2C5E90F1"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detailing engagement activities undertaken (if available)</w:t>
            </w:r>
          </w:p>
        </w:tc>
        <w:tc>
          <w:tcPr>
            <w:tcW w:w="2335" w:type="dxa"/>
          </w:tcPr>
          <w:p w14:paraId="42EB2FDD"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 (if data availability permits)</w:t>
            </w:r>
          </w:p>
        </w:tc>
      </w:tr>
      <w:tr w:rsidR="00C1765C" w:rsidRPr="00820C89" w14:paraId="175D7E01" w14:textId="77777777" w:rsidTr="006D2536">
        <w:trPr>
          <w:trHeight w:val="360"/>
        </w:trPr>
        <w:tc>
          <w:tcPr>
            <w:tcW w:w="1701" w:type="dxa"/>
            <w:vMerge/>
          </w:tcPr>
          <w:p w14:paraId="09828CBA" w14:textId="77777777" w:rsidR="00C1765C" w:rsidRPr="00820C89" w:rsidRDefault="00C1765C" w:rsidP="006D2536">
            <w:pPr>
              <w:rPr>
                <w:rFonts w:eastAsia="Verdana" w:cs="Verdana"/>
                <w:bCs/>
                <w:color w:val="000000"/>
                <w:sz w:val="14"/>
              </w:rPr>
            </w:pPr>
          </w:p>
        </w:tc>
        <w:tc>
          <w:tcPr>
            <w:tcW w:w="2552" w:type="dxa"/>
            <w:vMerge w:val="restart"/>
          </w:tcPr>
          <w:p w14:paraId="705D60E2"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What evidence informed the design of the suite of programs?</w:t>
            </w:r>
          </w:p>
        </w:tc>
        <w:tc>
          <w:tcPr>
            <w:tcW w:w="2835" w:type="dxa"/>
            <w:vMerge w:val="restart"/>
          </w:tcPr>
          <w:p w14:paraId="495AA979"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Quality of evidence base used for design of suite of programs (i.e. research reviewed was relevant and rigorous) </w:t>
            </w:r>
          </w:p>
        </w:tc>
        <w:tc>
          <w:tcPr>
            <w:tcW w:w="1843" w:type="dxa"/>
            <w:vMerge w:val="restart"/>
          </w:tcPr>
          <w:p w14:paraId="36246C09"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 xml:space="preserve">Activities </w:t>
            </w:r>
          </w:p>
        </w:tc>
        <w:tc>
          <w:tcPr>
            <w:tcW w:w="1984" w:type="dxa"/>
          </w:tcPr>
          <w:p w14:paraId="2E517062"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Literature scan</w:t>
            </w:r>
          </w:p>
        </w:tc>
        <w:tc>
          <w:tcPr>
            <w:tcW w:w="2335" w:type="dxa"/>
          </w:tcPr>
          <w:p w14:paraId="055134A6"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p>
        </w:tc>
      </w:tr>
      <w:tr w:rsidR="00C1765C" w:rsidRPr="00820C89" w14:paraId="3B339D36" w14:textId="77777777" w:rsidTr="006D2536">
        <w:trPr>
          <w:trHeight w:val="434"/>
        </w:trPr>
        <w:tc>
          <w:tcPr>
            <w:tcW w:w="1701" w:type="dxa"/>
            <w:vMerge/>
          </w:tcPr>
          <w:p w14:paraId="78B79A97" w14:textId="77777777" w:rsidR="00C1765C" w:rsidRPr="00820C89" w:rsidRDefault="00C1765C" w:rsidP="006D2536">
            <w:pPr>
              <w:rPr>
                <w:rFonts w:eastAsia="Verdana" w:cs="Verdana"/>
                <w:bCs/>
                <w:color w:val="000000"/>
                <w:sz w:val="14"/>
              </w:rPr>
            </w:pPr>
          </w:p>
        </w:tc>
        <w:tc>
          <w:tcPr>
            <w:tcW w:w="2552" w:type="dxa"/>
            <w:vMerge/>
          </w:tcPr>
          <w:p w14:paraId="36B295D5" w14:textId="77777777" w:rsidR="00C1765C" w:rsidRPr="00820C89" w:rsidRDefault="00C1765C" w:rsidP="006D2536">
            <w:pPr>
              <w:contextualSpacing/>
              <w:rPr>
                <w:rFonts w:eastAsia="Verdana" w:cs="Verdana"/>
                <w:bCs/>
                <w:color w:val="000000"/>
                <w:sz w:val="14"/>
              </w:rPr>
            </w:pPr>
          </w:p>
        </w:tc>
        <w:tc>
          <w:tcPr>
            <w:tcW w:w="2835" w:type="dxa"/>
            <w:vMerge/>
          </w:tcPr>
          <w:p w14:paraId="7C2AD355" w14:textId="77777777" w:rsidR="00C1765C" w:rsidRPr="00820C89" w:rsidRDefault="00C1765C" w:rsidP="006D2536">
            <w:pPr>
              <w:contextualSpacing/>
              <w:rPr>
                <w:rFonts w:eastAsia="Verdana" w:cs="Verdana"/>
                <w:bCs/>
                <w:color w:val="000000"/>
                <w:sz w:val="14"/>
              </w:rPr>
            </w:pPr>
          </w:p>
        </w:tc>
        <w:tc>
          <w:tcPr>
            <w:tcW w:w="1843" w:type="dxa"/>
            <w:vMerge/>
          </w:tcPr>
          <w:p w14:paraId="11FA649C" w14:textId="77777777" w:rsidR="00C1765C" w:rsidRPr="00820C89" w:rsidRDefault="00C1765C" w:rsidP="006D2536">
            <w:pPr>
              <w:contextualSpacing/>
              <w:rPr>
                <w:rFonts w:eastAsia="Verdana" w:cs="Verdana"/>
                <w:bCs/>
                <w:color w:val="000000"/>
                <w:sz w:val="14"/>
              </w:rPr>
            </w:pPr>
          </w:p>
        </w:tc>
        <w:tc>
          <w:tcPr>
            <w:tcW w:w="1984" w:type="dxa"/>
          </w:tcPr>
          <w:p w14:paraId="4DF26A8B"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detailing scoping research</w:t>
            </w:r>
          </w:p>
        </w:tc>
        <w:tc>
          <w:tcPr>
            <w:tcW w:w="2335" w:type="dxa"/>
          </w:tcPr>
          <w:p w14:paraId="67EE4756"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Mapping against best practice literature findings</w:t>
            </w:r>
          </w:p>
        </w:tc>
      </w:tr>
      <w:tr w:rsidR="00C1765C" w:rsidRPr="00820C89" w14:paraId="32ED4E72" w14:textId="77777777" w:rsidTr="006D2536">
        <w:trPr>
          <w:trHeight w:val="435"/>
        </w:trPr>
        <w:tc>
          <w:tcPr>
            <w:tcW w:w="1701" w:type="dxa"/>
            <w:vMerge/>
          </w:tcPr>
          <w:p w14:paraId="4622FAD5" w14:textId="77777777" w:rsidR="00C1765C" w:rsidRPr="00820C89" w:rsidRDefault="00C1765C" w:rsidP="006D2536">
            <w:pPr>
              <w:rPr>
                <w:rFonts w:eastAsia="Verdana" w:cs="Verdana"/>
                <w:bCs/>
                <w:color w:val="000000"/>
                <w:sz w:val="14"/>
              </w:rPr>
            </w:pPr>
          </w:p>
        </w:tc>
        <w:tc>
          <w:tcPr>
            <w:tcW w:w="2552" w:type="dxa"/>
            <w:vMerge w:val="restart"/>
          </w:tcPr>
          <w:p w14:paraId="46FD8B87"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What evidence informed the design of each of VTEC, TAEG and EPI?</w:t>
            </w:r>
          </w:p>
        </w:tc>
        <w:tc>
          <w:tcPr>
            <w:tcW w:w="2835" w:type="dxa"/>
            <w:vMerge w:val="restart"/>
          </w:tcPr>
          <w:p w14:paraId="07DEA532"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Quality of evidence base used for design of each of VTEC, TAEG and EPI (i.e. research reviewed was relevant and rigorous)</w:t>
            </w:r>
          </w:p>
        </w:tc>
        <w:tc>
          <w:tcPr>
            <w:tcW w:w="1843" w:type="dxa"/>
            <w:vMerge w:val="restart"/>
          </w:tcPr>
          <w:p w14:paraId="037418E7"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Activities (VTEC, TAEG, EPI)</w:t>
            </w:r>
          </w:p>
        </w:tc>
        <w:tc>
          <w:tcPr>
            <w:tcW w:w="1984" w:type="dxa"/>
          </w:tcPr>
          <w:p w14:paraId="17EC1011"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Literature scan</w:t>
            </w:r>
          </w:p>
        </w:tc>
        <w:tc>
          <w:tcPr>
            <w:tcW w:w="2335" w:type="dxa"/>
          </w:tcPr>
          <w:p w14:paraId="56310DDA"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p>
        </w:tc>
      </w:tr>
      <w:tr w:rsidR="00C1765C" w:rsidRPr="00820C89" w14:paraId="6976D92C" w14:textId="77777777" w:rsidTr="006D2536">
        <w:trPr>
          <w:trHeight w:val="434"/>
        </w:trPr>
        <w:tc>
          <w:tcPr>
            <w:tcW w:w="1701" w:type="dxa"/>
            <w:vMerge/>
          </w:tcPr>
          <w:p w14:paraId="54E7349E" w14:textId="77777777" w:rsidR="00C1765C" w:rsidRPr="00820C89" w:rsidRDefault="00C1765C" w:rsidP="006D2536">
            <w:pPr>
              <w:rPr>
                <w:rFonts w:eastAsia="Verdana" w:cs="Verdana"/>
                <w:bCs/>
                <w:color w:val="000000"/>
                <w:sz w:val="14"/>
              </w:rPr>
            </w:pPr>
          </w:p>
        </w:tc>
        <w:tc>
          <w:tcPr>
            <w:tcW w:w="2552" w:type="dxa"/>
            <w:vMerge/>
          </w:tcPr>
          <w:p w14:paraId="44DA7CFF" w14:textId="77777777" w:rsidR="00C1765C" w:rsidRPr="00820C89" w:rsidRDefault="00C1765C" w:rsidP="006D2536">
            <w:pPr>
              <w:contextualSpacing/>
              <w:rPr>
                <w:rFonts w:eastAsia="Verdana" w:cs="Verdana"/>
                <w:bCs/>
                <w:color w:val="000000"/>
                <w:sz w:val="14"/>
              </w:rPr>
            </w:pPr>
          </w:p>
        </w:tc>
        <w:tc>
          <w:tcPr>
            <w:tcW w:w="2835" w:type="dxa"/>
            <w:vMerge/>
          </w:tcPr>
          <w:p w14:paraId="0CFA162F" w14:textId="77777777" w:rsidR="00C1765C" w:rsidRPr="00820C89" w:rsidRDefault="00C1765C" w:rsidP="006D2536">
            <w:pPr>
              <w:contextualSpacing/>
              <w:rPr>
                <w:rFonts w:eastAsia="Verdana" w:cs="Verdana"/>
                <w:bCs/>
                <w:color w:val="000000"/>
                <w:sz w:val="14"/>
              </w:rPr>
            </w:pPr>
          </w:p>
        </w:tc>
        <w:tc>
          <w:tcPr>
            <w:tcW w:w="1843" w:type="dxa"/>
            <w:vMerge/>
          </w:tcPr>
          <w:p w14:paraId="7131D0DA" w14:textId="77777777" w:rsidR="00C1765C" w:rsidRPr="00820C89" w:rsidRDefault="00C1765C" w:rsidP="006D2536">
            <w:pPr>
              <w:contextualSpacing/>
              <w:rPr>
                <w:rFonts w:eastAsia="Verdana" w:cs="Verdana"/>
                <w:bCs/>
                <w:color w:val="000000"/>
                <w:sz w:val="14"/>
              </w:rPr>
            </w:pPr>
          </w:p>
        </w:tc>
        <w:tc>
          <w:tcPr>
            <w:tcW w:w="1984" w:type="dxa"/>
          </w:tcPr>
          <w:p w14:paraId="1F263BD9"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detailing scoping research</w:t>
            </w:r>
          </w:p>
        </w:tc>
        <w:tc>
          <w:tcPr>
            <w:tcW w:w="2335" w:type="dxa"/>
          </w:tcPr>
          <w:p w14:paraId="18D2C90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Mapping against best practice literature findings</w:t>
            </w:r>
          </w:p>
        </w:tc>
      </w:tr>
      <w:tr w:rsidR="00C1765C" w:rsidRPr="00820C89" w14:paraId="20E2FFF2" w14:textId="77777777" w:rsidTr="006D2536">
        <w:trPr>
          <w:trHeight w:val="661"/>
        </w:trPr>
        <w:tc>
          <w:tcPr>
            <w:tcW w:w="1701" w:type="dxa"/>
            <w:vMerge/>
          </w:tcPr>
          <w:p w14:paraId="0F765FB4" w14:textId="77777777" w:rsidR="00C1765C" w:rsidRPr="00820C89" w:rsidRDefault="00C1765C" w:rsidP="006D2536">
            <w:pPr>
              <w:rPr>
                <w:rFonts w:eastAsia="Verdana" w:cs="Verdana"/>
                <w:bCs/>
                <w:color w:val="000000"/>
                <w:sz w:val="14"/>
              </w:rPr>
            </w:pPr>
          </w:p>
        </w:tc>
        <w:tc>
          <w:tcPr>
            <w:tcW w:w="2552" w:type="dxa"/>
            <w:vMerge w:val="restart"/>
          </w:tcPr>
          <w:p w14:paraId="4B42336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To what extent has the design of the suite of programs changed over time to reflect new evidence, </w:t>
            </w:r>
            <w:r w:rsidRPr="00820C89">
              <w:rPr>
                <w:rFonts w:eastAsia="Verdana" w:cs="Verdana"/>
                <w:bCs/>
                <w:color w:val="000000"/>
                <w:sz w:val="14"/>
              </w:rPr>
              <w:lastRenderedPageBreak/>
              <w:t>and feedback from Indigenous Australian people?</w:t>
            </w:r>
          </w:p>
          <w:p w14:paraId="45BA433E" w14:textId="77777777" w:rsidR="00C1765C" w:rsidRPr="00820C89" w:rsidRDefault="00C1765C" w:rsidP="006D2536">
            <w:pPr>
              <w:contextualSpacing/>
              <w:rPr>
                <w:rFonts w:eastAsia="Verdana" w:cs="Verdana"/>
                <w:bCs/>
                <w:color w:val="000000"/>
                <w:sz w:val="14"/>
              </w:rPr>
            </w:pPr>
          </w:p>
        </w:tc>
        <w:tc>
          <w:tcPr>
            <w:tcW w:w="2835" w:type="dxa"/>
            <w:vMerge w:val="restart"/>
          </w:tcPr>
          <w:p w14:paraId="15B2790B"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lastRenderedPageBreak/>
              <w:t xml:space="preserve">Quality of engagement undertaken to inform the design of the suite of programs  </w:t>
            </w:r>
          </w:p>
          <w:p w14:paraId="7ADA5476" w14:textId="77777777" w:rsidR="00C1765C" w:rsidRPr="00820C89" w:rsidRDefault="00C1765C" w:rsidP="006D2536">
            <w:pPr>
              <w:contextualSpacing/>
              <w:rPr>
                <w:rFonts w:eastAsia="Verdana" w:cs="Verdana"/>
                <w:bCs/>
                <w:color w:val="000000"/>
                <w:sz w:val="14"/>
              </w:rPr>
            </w:pPr>
          </w:p>
        </w:tc>
        <w:tc>
          <w:tcPr>
            <w:tcW w:w="1843" w:type="dxa"/>
            <w:vMerge w:val="restart"/>
          </w:tcPr>
          <w:p w14:paraId="24E73F49"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lastRenderedPageBreak/>
              <w:t xml:space="preserve">Activities </w:t>
            </w:r>
          </w:p>
          <w:p w14:paraId="56739648" w14:textId="77777777" w:rsidR="00C1765C" w:rsidRPr="00820C89" w:rsidRDefault="00C1765C" w:rsidP="006D2536">
            <w:pPr>
              <w:contextualSpacing/>
              <w:rPr>
                <w:rFonts w:eastAsia="Verdana" w:cs="Verdana"/>
                <w:bCs/>
                <w:color w:val="000000"/>
                <w:sz w:val="14"/>
              </w:rPr>
            </w:pPr>
          </w:p>
        </w:tc>
        <w:tc>
          <w:tcPr>
            <w:tcW w:w="1984" w:type="dxa"/>
          </w:tcPr>
          <w:p w14:paraId="2B591BED"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Initial consultations (program and policy staff, regional offices)</w:t>
            </w:r>
          </w:p>
        </w:tc>
        <w:tc>
          <w:tcPr>
            <w:tcW w:w="2335" w:type="dxa"/>
          </w:tcPr>
          <w:p w14:paraId="14912FC9"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r w:rsidRPr="00820C89">
              <w:rPr>
                <w:rFonts w:eastAsia="Verdana" w:cs="Verdana"/>
                <w:bCs/>
                <w:color w:val="000000" w:themeColor="text1"/>
                <w:sz w:val="14"/>
              </w:rPr>
              <w:br/>
              <w:t>- Mapping against best practice literature findings</w:t>
            </w:r>
          </w:p>
        </w:tc>
      </w:tr>
      <w:tr w:rsidR="00C1765C" w:rsidRPr="00820C89" w14:paraId="2BC8F3E3" w14:textId="77777777" w:rsidTr="006D2536">
        <w:trPr>
          <w:trHeight w:val="543"/>
        </w:trPr>
        <w:tc>
          <w:tcPr>
            <w:tcW w:w="1701" w:type="dxa"/>
            <w:vMerge/>
          </w:tcPr>
          <w:p w14:paraId="3F81BD28" w14:textId="77777777" w:rsidR="00C1765C" w:rsidRPr="00820C89" w:rsidRDefault="00C1765C" w:rsidP="006D2536">
            <w:pPr>
              <w:rPr>
                <w:rFonts w:eastAsia="Verdana" w:cs="Verdana"/>
                <w:bCs/>
                <w:color w:val="000000"/>
                <w:sz w:val="14"/>
              </w:rPr>
            </w:pPr>
          </w:p>
        </w:tc>
        <w:tc>
          <w:tcPr>
            <w:tcW w:w="2552" w:type="dxa"/>
            <w:vMerge/>
          </w:tcPr>
          <w:p w14:paraId="6F4283FD" w14:textId="77777777" w:rsidR="00C1765C" w:rsidRPr="00820C89" w:rsidRDefault="00C1765C" w:rsidP="006D2536">
            <w:pPr>
              <w:contextualSpacing/>
              <w:rPr>
                <w:rFonts w:eastAsia="Verdana" w:cs="Verdana"/>
                <w:bCs/>
                <w:color w:val="000000"/>
                <w:sz w:val="14"/>
              </w:rPr>
            </w:pPr>
          </w:p>
        </w:tc>
        <w:tc>
          <w:tcPr>
            <w:tcW w:w="2835" w:type="dxa"/>
            <w:vMerge/>
          </w:tcPr>
          <w:p w14:paraId="65CE86A8" w14:textId="77777777" w:rsidR="00C1765C" w:rsidRPr="00820C89" w:rsidRDefault="00C1765C" w:rsidP="006D2536">
            <w:pPr>
              <w:contextualSpacing/>
              <w:rPr>
                <w:rFonts w:eastAsia="Verdana" w:cs="Verdana"/>
                <w:bCs/>
                <w:color w:val="000000"/>
                <w:sz w:val="14"/>
              </w:rPr>
            </w:pPr>
          </w:p>
        </w:tc>
        <w:tc>
          <w:tcPr>
            <w:tcW w:w="1843" w:type="dxa"/>
            <w:vMerge/>
          </w:tcPr>
          <w:p w14:paraId="3F10BDB6" w14:textId="77777777" w:rsidR="00C1765C" w:rsidRPr="00820C89" w:rsidRDefault="00C1765C" w:rsidP="006D2536">
            <w:pPr>
              <w:contextualSpacing/>
              <w:rPr>
                <w:rFonts w:eastAsia="Verdana" w:cs="Verdana"/>
                <w:bCs/>
                <w:color w:val="000000"/>
                <w:sz w:val="14"/>
              </w:rPr>
            </w:pPr>
          </w:p>
        </w:tc>
        <w:tc>
          <w:tcPr>
            <w:tcW w:w="1984" w:type="dxa"/>
          </w:tcPr>
          <w:p w14:paraId="004AD16D"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Regional consultations (participants, providers)</w:t>
            </w:r>
          </w:p>
        </w:tc>
        <w:tc>
          <w:tcPr>
            <w:tcW w:w="2335" w:type="dxa"/>
          </w:tcPr>
          <w:p w14:paraId="51510210"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r w:rsidRPr="00820C89">
              <w:rPr>
                <w:rFonts w:eastAsia="Verdana" w:cs="Verdana"/>
                <w:bCs/>
                <w:color w:val="000000" w:themeColor="text1"/>
                <w:sz w:val="14"/>
              </w:rPr>
              <w:br/>
              <w:t>- Mapping against best practice literature findings</w:t>
            </w:r>
          </w:p>
        </w:tc>
      </w:tr>
      <w:tr w:rsidR="00C1765C" w:rsidRPr="00820C89" w14:paraId="0C9518A1" w14:textId="77777777" w:rsidTr="006D2536">
        <w:trPr>
          <w:trHeight w:val="543"/>
        </w:trPr>
        <w:tc>
          <w:tcPr>
            <w:tcW w:w="1701" w:type="dxa"/>
            <w:vMerge/>
          </w:tcPr>
          <w:p w14:paraId="574105AF" w14:textId="77777777" w:rsidR="00C1765C" w:rsidRPr="00820C89" w:rsidRDefault="00C1765C" w:rsidP="006D2536">
            <w:pPr>
              <w:rPr>
                <w:rFonts w:eastAsia="Verdana" w:cs="Verdana"/>
                <w:bCs/>
                <w:color w:val="000000"/>
                <w:sz w:val="14"/>
              </w:rPr>
            </w:pPr>
          </w:p>
        </w:tc>
        <w:tc>
          <w:tcPr>
            <w:tcW w:w="2552" w:type="dxa"/>
            <w:vMerge/>
          </w:tcPr>
          <w:p w14:paraId="7483E995" w14:textId="77777777" w:rsidR="00C1765C" w:rsidRPr="00820C89" w:rsidRDefault="00C1765C" w:rsidP="006D2536">
            <w:pPr>
              <w:contextualSpacing/>
              <w:rPr>
                <w:rFonts w:eastAsia="Verdana" w:cs="Verdana"/>
                <w:bCs/>
                <w:color w:val="000000"/>
                <w:sz w:val="14"/>
              </w:rPr>
            </w:pPr>
          </w:p>
        </w:tc>
        <w:tc>
          <w:tcPr>
            <w:tcW w:w="2835" w:type="dxa"/>
            <w:vMerge/>
          </w:tcPr>
          <w:p w14:paraId="03A4DF43" w14:textId="77777777" w:rsidR="00C1765C" w:rsidRPr="00820C89" w:rsidRDefault="00C1765C" w:rsidP="006D2536">
            <w:pPr>
              <w:contextualSpacing/>
              <w:rPr>
                <w:rFonts w:eastAsia="Verdana" w:cs="Verdana"/>
                <w:bCs/>
                <w:color w:val="000000"/>
                <w:sz w:val="14"/>
              </w:rPr>
            </w:pPr>
          </w:p>
        </w:tc>
        <w:tc>
          <w:tcPr>
            <w:tcW w:w="1843" w:type="dxa"/>
            <w:vMerge/>
          </w:tcPr>
          <w:p w14:paraId="6715B0A1" w14:textId="77777777" w:rsidR="00C1765C" w:rsidRPr="00820C89" w:rsidRDefault="00C1765C" w:rsidP="006D2536">
            <w:pPr>
              <w:contextualSpacing/>
              <w:rPr>
                <w:rFonts w:eastAsia="Verdana" w:cs="Verdana"/>
                <w:bCs/>
                <w:color w:val="000000"/>
                <w:sz w:val="14"/>
              </w:rPr>
            </w:pPr>
          </w:p>
        </w:tc>
        <w:tc>
          <w:tcPr>
            <w:tcW w:w="1984" w:type="dxa"/>
          </w:tcPr>
          <w:p w14:paraId="4625FF88"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detailing new evidence changes to design (if available)</w:t>
            </w:r>
          </w:p>
        </w:tc>
        <w:tc>
          <w:tcPr>
            <w:tcW w:w="2335" w:type="dxa"/>
          </w:tcPr>
          <w:p w14:paraId="3AC8E59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p>
          <w:p w14:paraId="481C9BE2"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xml:space="preserve">- Mapping against best practice literature findings </w:t>
            </w:r>
          </w:p>
        </w:tc>
      </w:tr>
      <w:tr w:rsidR="00C1765C" w:rsidRPr="00820C89" w14:paraId="23418808" w14:textId="77777777" w:rsidTr="006D2536">
        <w:trPr>
          <w:trHeight w:val="544"/>
        </w:trPr>
        <w:tc>
          <w:tcPr>
            <w:tcW w:w="1701" w:type="dxa"/>
            <w:vMerge/>
          </w:tcPr>
          <w:p w14:paraId="4EDE7EB3" w14:textId="77777777" w:rsidR="00C1765C" w:rsidRPr="00820C89" w:rsidRDefault="00C1765C" w:rsidP="006D2536">
            <w:pPr>
              <w:rPr>
                <w:rFonts w:eastAsia="Verdana" w:cs="Times New Roman"/>
                <w:sz w:val="14"/>
              </w:rPr>
            </w:pPr>
          </w:p>
        </w:tc>
        <w:tc>
          <w:tcPr>
            <w:tcW w:w="2552" w:type="dxa"/>
            <w:vMerge w:val="restart"/>
          </w:tcPr>
          <w:p w14:paraId="48AF8B4B"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has the design of each of VTEC, TAEG and EPI changed over time to reflect new evidence, and feedback from Indigenous Australian people?</w:t>
            </w:r>
          </w:p>
        </w:tc>
        <w:tc>
          <w:tcPr>
            <w:tcW w:w="2835" w:type="dxa"/>
            <w:vMerge w:val="restart"/>
          </w:tcPr>
          <w:p w14:paraId="117F962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Quality of engagement undertaken to inform design of VTEC, TAEG, EPI </w:t>
            </w:r>
          </w:p>
        </w:tc>
        <w:tc>
          <w:tcPr>
            <w:tcW w:w="1843" w:type="dxa"/>
            <w:vMerge w:val="restart"/>
          </w:tcPr>
          <w:p w14:paraId="66B07B88"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Activities (VTEC, TAEG, EPI)</w:t>
            </w:r>
          </w:p>
        </w:tc>
        <w:tc>
          <w:tcPr>
            <w:tcW w:w="1984" w:type="dxa"/>
          </w:tcPr>
          <w:p w14:paraId="1B800C0A"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Initial consultations (program and policy staff, regional offices)</w:t>
            </w:r>
          </w:p>
        </w:tc>
        <w:tc>
          <w:tcPr>
            <w:tcW w:w="2335" w:type="dxa"/>
          </w:tcPr>
          <w:p w14:paraId="1A5AAA3C" w14:textId="77777777" w:rsidR="00C1765C" w:rsidRPr="00820C89" w:rsidRDefault="00C1765C" w:rsidP="006D2536">
            <w:pPr>
              <w:ind w:left="0"/>
              <w:contextualSpacing/>
              <w:rPr>
                <w:rFonts w:eastAsia="Verdana" w:cs="Verdana"/>
                <w:bCs/>
                <w:color w:val="FF0000"/>
                <w:sz w:val="14"/>
              </w:rPr>
            </w:pPr>
            <w:r w:rsidRPr="00820C89">
              <w:rPr>
                <w:rFonts w:eastAsia="Verdana" w:cs="Verdana"/>
                <w:bCs/>
                <w:color w:val="000000" w:themeColor="text1"/>
                <w:sz w:val="14"/>
              </w:rPr>
              <w:t>- Thematic analysis</w:t>
            </w:r>
            <w:r w:rsidRPr="00820C89">
              <w:rPr>
                <w:rFonts w:eastAsia="Verdana" w:cs="Verdana"/>
                <w:bCs/>
                <w:color w:val="000000" w:themeColor="text1"/>
                <w:sz w:val="14"/>
              </w:rPr>
              <w:br/>
              <w:t>- Mapping against best practice literature findings</w:t>
            </w:r>
          </w:p>
        </w:tc>
      </w:tr>
      <w:tr w:rsidR="00C1765C" w:rsidRPr="00820C89" w14:paraId="01D757DA" w14:textId="77777777" w:rsidTr="006D2536">
        <w:trPr>
          <w:trHeight w:val="326"/>
        </w:trPr>
        <w:tc>
          <w:tcPr>
            <w:tcW w:w="1701" w:type="dxa"/>
            <w:vMerge/>
          </w:tcPr>
          <w:p w14:paraId="240C5248" w14:textId="77777777" w:rsidR="00C1765C" w:rsidRPr="00820C89" w:rsidRDefault="00C1765C" w:rsidP="006D2536">
            <w:pPr>
              <w:rPr>
                <w:rFonts w:eastAsia="Verdana" w:cs="Times New Roman"/>
                <w:sz w:val="14"/>
              </w:rPr>
            </w:pPr>
          </w:p>
        </w:tc>
        <w:tc>
          <w:tcPr>
            <w:tcW w:w="2552" w:type="dxa"/>
            <w:vMerge/>
          </w:tcPr>
          <w:p w14:paraId="07BD508D" w14:textId="77777777" w:rsidR="00C1765C" w:rsidRPr="00820C89" w:rsidRDefault="00C1765C" w:rsidP="006D2536">
            <w:pPr>
              <w:contextualSpacing/>
              <w:rPr>
                <w:rFonts w:eastAsia="Verdana" w:cs="Verdana"/>
                <w:bCs/>
                <w:color w:val="000000"/>
                <w:sz w:val="14"/>
              </w:rPr>
            </w:pPr>
          </w:p>
        </w:tc>
        <w:tc>
          <w:tcPr>
            <w:tcW w:w="2835" w:type="dxa"/>
            <w:vMerge/>
          </w:tcPr>
          <w:p w14:paraId="04C7F423" w14:textId="77777777" w:rsidR="00C1765C" w:rsidRPr="00820C89" w:rsidRDefault="00C1765C" w:rsidP="006D2536">
            <w:pPr>
              <w:contextualSpacing/>
              <w:rPr>
                <w:rFonts w:eastAsia="Verdana" w:cs="Verdana"/>
                <w:bCs/>
                <w:color w:val="000000"/>
                <w:sz w:val="14"/>
              </w:rPr>
            </w:pPr>
          </w:p>
        </w:tc>
        <w:tc>
          <w:tcPr>
            <w:tcW w:w="1843" w:type="dxa"/>
            <w:vMerge/>
          </w:tcPr>
          <w:p w14:paraId="05ED9E10" w14:textId="77777777" w:rsidR="00C1765C" w:rsidRPr="00820C89" w:rsidRDefault="00C1765C" w:rsidP="006D2536">
            <w:pPr>
              <w:contextualSpacing/>
              <w:rPr>
                <w:rFonts w:eastAsia="Verdana" w:cs="Verdana"/>
                <w:bCs/>
                <w:color w:val="000000"/>
                <w:sz w:val="14"/>
              </w:rPr>
            </w:pPr>
          </w:p>
        </w:tc>
        <w:tc>
          <w:tcPr>
            <w:tcW w:w="1984" w:type="dxa"/>
          </w:tcPr>
          <w:p w14:paraId="07D579E6"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color w:val="000000" w:themeColor="text1"/>
                <w:sz w:val="14"/>
              </w:rPr>
              <w:t>- Regional consultations (participants, providers)</w:t>
            </w:r>
          </w:p>
        </w:tc>
        <w:tc>
          <w:tcPr>
            <w:tcW w:w="2335" w:type="dxa"/>
          </w:tcPr>
          <w:p w14:paraId="23B214DE"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r w:rsidRPr="00820C89">
              <w:rPr>
                <w:rFonts w:eastAsia="Verdana" w:cs="Verdana"/>
                <w:bCs/>
                <w:color w:val="000000" w:themeColor="text1"/>
                <w:sz w:val="14"/>
              </w:rPr>
              <w:br/>
              <w:t>- Mapping against best practice literature findings</w:t>
            </w:r>
          </w:p>
        </w:tc>
      </w:tr>
      <w:tr w:rsidR="00C1765C" w:rsidRPr="00820C89" w14:paraId="01290908" w14:textId="77777777" w:rsidTr="006D2536">
        <w:trPr>
          <w:trHeight w:val="326"/>
        </w:trPr>
        <w:tc>
          <w:tcPr>
            <w:tcW w:w="1701" w:type="dxa"/>
            <w:vMerge/>
          </w:tcPr>
          <w:p w14:paraId="3D51F972" w14:textId="77777777" w:rsidR="00C1765C" w:rsidRPr="00820C89" w:rsidRDefault="00C1765C" w:rsidP="006D2536">
            <w:pPr>
              <w:rPr>
                <w:rFonts w:eastAsia="Verdana" w:cs="Times New Roman"/>
                <w:sz w:val="14"/>
              </w:rPr>
            </w:pPr>
          </w:p>
        </w:tc>
        <w:tc>
          <w:tcPr>
            <w:tcW w:w="2552" w:type="dxa"/>
            <w:vMerge/>
          </w:tcPr>
          <w:p w14:paraId="0CDB6D8D" w14:textId="77777777" w:rsidR="00C1765C" w:rsidRPr="00820C89" w:rsidRDefault="00C1765C" w:rsidP="006D2536">
            <w:pPr>
              <w:contextualSpacing/>
              <w:rPr>
                <w:rFonts w:eastAsia="Verdana" w:cs="Verdana"/>
                <w:bCs/>
                <w:color w:val="000000"/>
                <w:sz w:val="14"/>
              </w:rPr>
            </w:pPr>
          </w:p>
        </w:tc>
        <w:tc>
          <w:tcPr>
            <w:tcW w:w="2835" w:type="dxa"/>
            <w:vMerge/>
          </w:tcPr>
          <w:p w14:paraId="59066A40" w14:textId="77777777" w:rsidR="00C1765C" w:rsidRPr="00820C89" w:rsidRDefault="00C1765C" w:rsidP="006D2536">
            <w:pPr>
              <w:contextualSpacing/>
              <w:rPr>
                <w:rFonts w:eastAsia="Verdana" w:cs="Verdana"/>
                <w:bCs/>
                <w:color w:val="000000"/>
                <w:sz w:val="14"/>
              </w:rPr>
            </w:pPr>
          </w:p>
        </w:tc>
        <w:tc>
          <w:tcPr>
            <w:tcW w:w="1843" w:type="dxa"/>
            <w:vMerge/>
          </w:tcPr>
          <w:p w14:paraId="662703A5" w14:textId="77777777" w:rsidR="00C1765C" w:rsidRPr="00820C89" w:rsidRDefault="00C1765C" w:rsidP="006D2536">
            <w:pPr>
              <w:contextualSpacing/>
              <w:rPr>
                <w:rFonts w:eastAsia="Verdana" w:cs="Verdana"/>
                <w:bCs/>
                <w:color w:val="000000"/>
                <w:sz w:val="14"/>
              </w:rPr>
            </w:pPr>
          </w:p>
        </w:tc>
        <w:tc>
          <w:tcPr>
            <w:tcW w:w="1984" w:type="dxa"/>
          </w:tcPr>
          <w:p w14:paraId="01C3CE73"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color w:val="000000" w:themeColor="text1"/>
                <w:sz w:val="14"/>
              </w:rPr>
              <w:t>- Program documentation detailing new evidence changes to design (if available)</w:t>
            </w:r>
          </w:p>
        </w:tc>
        <w:tc>
          <w:tcPr>
            <w:tcW w:w="2335" w:type="dxa"/>
          </w:tcPr>
          <w:p w14:paraId="4FD3CEC5"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p>
          <w:p w14:paraId="0BB02FDE"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color w:val="000000" w:themeColor="text1"/>
                <w:sz w:val="14"/>
              </w:rPr>
              <w:t xml:space="preserve">- Mapping against best practice literature findings </w:t>
            </w:r>
          </w:p>
        </w:tc>
      </w:tr>
      <w:tr w:rsidR="00C1765C" w:rsidRPr="00820C89" w14:paraId="443553BD" w14:textId="77777777" w:rsidTr="006D2536">
        <w:trPr>
          <w:trHeight w:val="363"/>
        </w:trPr>
        <w:tc>
          <w:tcPr>
            <w:tcW w:w="1701" w:type="dxa"/>
            <w:vMerge w:val="restart"/>
          </w:tcPr>
          <w:p w14:paraId="1E4C1FEC" w14:textId="77777777" w:rsidR="00C1765C" w:rsidRPr="00820C89" w:rsidRDefault="00C1765C" w:rsidP="006D2536">
            <w:pPr>
              <w:rPr>
                <w:rFonts w:eastAsia="Verdana" w:cs="Verdana"/>
                <w:bCs/>
                <w:color w:val="000000"/>
                <w:sz w:val="14"/>
              </w:rPr>
            </w:pPr>
            <w:r w:rsidRPr="00820C89">
              <w:rPr>
                <w:rFonts w:eastAsia="Verdana" w:cs="Times New Roman"/>
                <w:sz w:val="14"/>
              </w:rPr>
              <w:t>To what extent has the program been implemented by NIAA (/PM&amp;C) in line with its design parameters?</w:t>
            </w:r>
          </w:p>
          <w:p w14:paraId="6971540F" w14:textId="77777777" w:rsidR="00C1765C" w:rsidRPr="00820C89" w:rsidRDefault="00C1765C" w:rsidP="006D2536">
            <w:pPr>
              <w:rPr>
                <w:rFonts w:eastAsia="Verdana" w:cs="Verdana"/>
                <w:bCs/>
                <w:color w:val="000000"/>
                <w:sz w:val="14"/>
              </w:rPr>
            </w:pPr>
          </w:p>
        </w:tc>
        <w:tc>
          <w:tcPr>
            <w:tcW w:w="2552" w:type="dxa"/>
            <w:vMerge w:val="restart"/>
          </w:tcPr>
          <w:p w14:paraId="3BB2B90D"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What is the nature and quantity of activities being delivered by VTEC and TAEG providers and EPI partners? </w:t>
            </w:r>
          </w:p>
        </w:tc>
        <w:tc>
          <w:tcPr>
            <w:tcW w:w="2835" w:type="dxa"/>
            <w:vMerge w:val="restart"/>
          </w:tcPr>
          <w:p w14:paraId="5271F19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Nature and quantity of activities delivered by provider (including recruitment and program activities) </w:t>
            </w:r>
          </w:p>
        </w:tc>
        <w:tc>
          <w:tcPr>
            <w:tcW w:w="1843" w:type="dxa"/>
            <w:vMerge w:val="restart"/>
          </w:tcPr>
          <w:p w14:paraId="784E7E87"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Activities (VTEC, TAEG, EPI)</w:t>
            </w:r>
          </w:p>
        </w:tc>
        <w:tc>
          <w:tcPr>
            <w:tcW w:w="1984" w:type="dxa"/>
          </w:tcPr>
          <w:p w14:paraId="7658FC39"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Provider survey</w:t>
            </w:r>
          </w:p>
        </w:tc>
        <w:tc>
          <w:tcPr>
            <w:tcW w:w="2335" w:type="dxa"/>
          </w:tcPr>
          <w:p w14:paraId="4ED10839"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 of the quantity and category of activities delivered</w:t>
            </w:r>
          </w:p>
        </w:tc>
      </w:tr>
      <w:tr w:rsidR="00C1765C" w:rsidRPr="00820C89" w14:paraId="7FA8350F" w14:textId="77777777" w:rsidTr="006D2536">
        <w:trPr>
          <w:trHeight w:val="326"/>
        </w:trPr>
        <w:tc>
          <w:tcPr>
            <w:tcW w:w="1701" w:type="dxa"/>
            <w:vMerge/>
          </w:tcPr>
          <w:p w14:paraId="4CDA5C1E" w14:textId="77777777" w:rsidR="00C1765C" w:rsidRPr="00820C89" w:rsidRDefault="00C1765C" w:rsidP="006D2536">
            <w:pPr>
              <w:rPr>
                <w:rFonts w:eastAsia="Verdana" w:cs="Times New Roman"/>
                <w:sz w:val="14"/>
              </w:rPr>
            </w:pPr>
          </w:p>
        </w:tc>
        <w:tc>
          <w:tcPr>
            <w:tcW w:w="2552" w:type="dxa"/>
            <w:vMerge/>
          </w:tcPr>
          <w:p w14:paraId="700CB84C" w14:textId="77777777" w:rsidR="00C1765C" w:rsidRPr="00820C89" w:rsidRDefault="00C1765C" w:rsidP="006D2536">
            <w:pPr>
              <w:contextualSpacing/>
              <w:rPr>
                <w:rFonts w:eastAsia="Verdana" w:cs="Verdana"/>
                <w:bCs/>
                <w:color w:val="000000"/>
                <w:sz w:val="14"/>
              </w:rPr>
            </w:pPr>
          </w:p>
        </w:tc>
        <w:tc>
          <w:tcPr>
            <w:tcW w:w="2835" w:type="dxa"/>
            <w:vMerge/>
          </w:tcPr>
          <w:p w14:paraId="33072DCD" w14:textId="77777777" w:rsidR="00C1765C" w:rsidRPr="00820C89" w:rsidRDefault="00C1765C" w:rsidP="006D2536">
            <w:pPr>
              <w:contextualSpacing/>
              <w:rPr>
                <w:rFonts w:eastAsia="Verdana" w:cs="Verdana"/>
                <w:bCs/>
                <w:color w:val="000000"/>
                <w:sz w:val="14"/>
              </w:rPr>
            </w:pPr>
          </w:p>
        </w:tc>
        <w:tc>
          <w:tcPr>
            <w:tcW w:w="1843" w:type="dxa"/>
            <w:vMerge/>
          </w:tcPr>
          <w:p w14:paraId="3574E46B" w14:textId="77777777" w:rsidR="00C1765C" w:rsidRPr="00820C89" w:rsidRDefault="00C1765C" w:rsidP="006D2536">
            <w:pPr>
              <w:contextualSpacing/>
              <w:rPr>
                <w:rFonts w:eastAsia="Verdana" w:cs="Verdana"/>
                <w:bCs/>
                <w:color w:val="000000"/>
                <w:sz w:val="14"/>
              </w:rPr>
            </w:pPr>
          </w:p>
        </w:tc>
        <w:tc>
          <w:tcPr>
            <w:tcW w:w="1984" w:type="dxa"/>
          </w:tcPr>
          <w:p w14:paraId="606BB9A1"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w:t>
            </w:r>
          </w:p>
          <w:p w14:paraId="1FBD50BF" w14:textId="77777777" w:rsidR="00C1765C" w:rsidRPr="00820C89" w:rsidRDefault="00C1765C" w:rsidP="006D2536">
            <w:pPr>
              <w:ind w:left="0"/>
              <w:contextualSpacing/>
              <w:rPr>
                <w:rFonts w:eastAsia="Verdana" w:cs="Verdana"/>
                <w:bCs/>
                <w:color w:val="000000" w:themeColor="text1"/>
                <w:sz w:val="14"/>
              </w:rPr>
            </w:pPr>
          </w:p>
        </w:tc>
        <w:tc>
          <w:tcPr>
            <w:tcW w:w="2335" w:type="dxa"/>
          </w:tcPr>
          <w:p w14:paraId="3CCF8182" w14:textId="77777777" w:rsidR="00C1765C" w:rsidRPr="00820C89" w:rsidRDefault="00C1765C" w:rsidP="006D2536">
            <w:pPr>
              <w:ind w:left="0"/>
              <w:contextualSpacing/>
              <w:rPr>
                <w:rFonts w:asciiTheme="minorHAnsi" w:eastAsia="Verdana" w:hAnsiTheme="minorHAnsi" w:cs="Verdana"/>
                <w:bCs/>
                <w:color w:val="000000" w:themeColor="text1"/>
                <w:sz w:val="14"/>
                <w:szCs w:val="22"/>
              </w:rPr>
            </w:pPr>
            <w:r w:rsidRPr="00820C89">
              <w:rPr>
                <w:rFonts w:eastAsia="Verdana" w:cs="Verdana"/>
                <w:bCs/>
                <w:color w:val="000000" w:themeColor="text1"/>
                <w:sz w:val="14"/>
              </w:rPr>
              <w:t>- Descriptive analysis of the quantity and category of activities delivered</w:t>
            </w:r>
          </w:p>
        </w:tc>
      </w:tr>
      <w:tr w:rsidR="00C1765C" w:rsidRPr="00820C89" w14:paraId="4D8FE9E8" w14:textId="77777777" w:rsidTr="006D2536">
        <w:trPr>
          <w:trHeight w:val="326"/>
        </w:trPr>
        <w:tc>
          <w:tcPr>
            <w:tcW w:w="1701" w:type="dxa"/>
            <w:vMerge/>
          </w:tcPr>
          <w:p w14:paraId="730882AC" w14:textId="77777777" w:rsidR="00C1765C" w:rsidRPr="00820C89" w:rsidRDefault="00C1765C" w:rsidP="006D2536">
            <w:pPr>
              <w:rPr>
                <w:rFonts w:eastAsia="Verdana" w:cs="Times New Roman"/>
                <w:sz w:val="14"/>
              </w:rPr>
            </w:pPr>
          </w:p>
        </w:tc>
        <w:tc>
          <w:tcPr>
            <w:tcW w:w="2552" w:type="dxa"/>
            <w:vMerge/>
          </w:tcPr>
          <w:p w14:paraId="2889F500" w14:textId="77777777" w:rsidR="00C1765C" w:rsidRPr="00820C89" w:rsidRDefault="00C1765C" w:rsidP="006D2536">
            <w:pPr>
              <w:contextualSpacing/>
              <w:rPr>
                <w:rFonts w:eastAsia="Verdana" w:cs="Verdana"/>
                <w:bCs/>
                <w:color w:val="000000"/>
                <w:sz w:val="14"/>
              </w:rPr>
            </w:pPr>
          </w:p>
        </w:tc>
        <w:tc>
          <w:tcPr>
            <w:tcW w:w="2835" w:type="dxa"/>
            <w:vMerge/>
          </w:tcPr>
          <w:p w14:paraId="4F88C5DC" w14:textId="77777777" w:rsidR="00C1765C" w:rsidRPr="00820C89" w:rsidRDefault="00C1765C" w:rsidP="006D2536">
            <w:pPr>
              <w:contextualSpacing/>
              <w:rPr>
                <w:rFonts w:eastAsia="Verdana" w:cs="Verdana"/>
                <w:bCs/>
                <w:color w:val="000000"/>
                <w:sz w:val="14"/>
              </w:rPr>
            </w:pPr>
          </w:p>
        </w:tc>
        <w:tc>
          <w:tcPr>
            <w:tcW w:w="1843" w:type="dxa"/>
            <w:vMerge/>
          </w:tcPr>
          <w:p w14:paraId="4D1B5FFD" w14:textId="77777777" w:rsidR="00C1765C" w:rsidRPr="00820C89" w:rsidRDefault="00C1765C" w:rsidP="006D2536">
            <w:pPr>
              <w:contextualSpacing/>
              <w:rPr>
                <w:rFonts w:eastAsia="Verdana" w:cs="Verdana"/>
                <w:bCs/>
                <w:color w:val="000000"/>
                <w:sz w:val="14"/>
              </w:rPr>
            </w:pPr>
          </w:p>
        </w:tc>
        <w:tc>
          <w:tcPr>
            <w:tcW w:w="1984" w:type="dxa"/>
          </w:tcPr>
          <w:p w14:paraId="2E3E494C"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Regional consultations</w:t>
            </w:r>
          </w:p>
        </w:tc>
        <w:tc>
          <w:tcPr>
            <w:tcW w:w="2335" w:type="dxa"/>
          </w:tcPr>
          <w:p w14:paraId="268EC10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xml:space="preserve">- Thematic analysis </w:t>
            </w:r>
          </w:p>
        </w:tc>
      </w:tr>
      <w:tr w:rsidR="00C1765C" w:rsidRPr="00820C89" w14:paraId="507FA912" w14:textId="77777777" w:rsidTr="006D2536">
        <w:trPr>
          <w:trHeight w:val="326"/>
        </w:trPr>
        <w:tc>
          <w:tcPr>
            <w:tcW w:w="1701" w:type="dxa"/>
            <w:vMerge/>
          </w:tcPr>
          <w:p w14:paraId="250D443F" w14:textId="77777777" w:rsidR="00C1765C" w:rsidRPr="00820C89" w:rsidRDefault="00C1765C" w:rsidP="006D2536">
            <w:pPr>
              <w:rPr>
                <w:rFonts w:eastAsia="Verdana" w:cs="Times New Roman"/>
                <w:sz w:val="14"/>
              </w:rPr>
            </w:pPr>
          </w:p>
        </w:tc>
        <w:tc>
          <w:tcPr>
            <w:tcW w:w="2552" w:type="dxa"/>
            <w:vMerge w:val="restart"/>
          </w:tcPr>
          <w:p w14:paraId="08FFEBFF"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are VTEC and TAEG providers and EPI partners deviating from the intended delivery of the program?</w:t>
            </w:r>
          </w:p>
          <w:p w14:paraId="5D0D5792" w14:textId="77777777" w:rsidR="00C1765C" w:rsidRPr="00820C89" w:rsidRDefault="00C1765C" w:rsidP="006D2536">
            <w:pPr>
              <w:contextualSpacing/>
              <w:rPr>
                <w:rFonts w:eastAsia="Verdana" w:cs="Verdana"/>
                <w:bCs/>
                <w:color w:val="000000"/>
                <w:sz w:val="14"/>
              </w:rPr>
            </w:pPr>
          </w:p>
          <w:p w14:paraId="63E5763F" w14:textId="77777777" w:rsidR="00C1765C" w:rsidRPr="00820C89" w:rsidRDefault="00C1765C" w:rsidP="006D2536">
            <w:pPr>
              <w:contextualSpacing/>
              <w:rPr>
                <w:rFonts w:eastAsia="Verdana" w:cs="Verdana"/>
                <w:bCs/>
                <w:color w:val="000000"/>
                <w:sz w:val="14"/>
              </w:rPr>
            </w:pPr>
          </w:p>
        </w:tc>
        <w:tc>
          <w:tcPr>
            <w:tcW w:w="2835" w:type="dxa"/>
            <w:vMerge w:val="restart"/>
          </w:tcPr>
          <w:p w14:paraId="74F6328A" w14:textId="77777777" w:rsidR="00C1765C" w:rsidRPr="00820C89" w:rsidRDefault="00C1765C" w:rsidP="006D2536">
            <w:pPr>
              <w:ind w:left="0"/>
              <w:contextualSpacing/>
              <w:rPr>
                <w:rFonts w:eastAsia="Verdana" w:cs="Verdana"/>
                <w:bCs/>
                <w:sz w:val="14"/>
              </w:rPr>
            </w:pPr>
            <w:r w:rsidRPr="00820C89">
              <w:rPr>
                <w:rFonts w:eastAsia="Verdana" w:cs="Verdana"/>
                <w:bCs/>
                <w:sz w:val="14"/>
              </w:rPr>
              <w:lastRenderedPageBreak/>
              <w:t xml:space="preserve">Proportion of activities delivered by each of VTEC, TAEG and EPI aligned with intended program features </w:t>
            </w:r>
          </w:p>
          <w:p w14:paraId="23FDC84D" w14:textId="77777777" w:rsidR="00C1765C" w:rsidRPr="00820C89" w:rsidRDefault="00C1765C" w:rsidP="006D2536">
            <w:pPr>
              <w:contextualSpacing/>
              <w:rPr>
                <w:rFonts w:eastAsia="Verdana" w:cs="Verdana"/>
                <w:bCs/>
                <w:color w:val="000000"/>
                <w:sz w:val="14"/>
              </w:rPr>
            </w:pPr>
          </w:p>
        </w:tc>
        <w:tc>
          <w:tcPr>
            <w:tcW w:w="1843" w:type="dxa"/>
            <w:vMerge w:val="restart"/>
          </w:tcPr>
          <w:p w14:paraId="59FA08AA" w14:textId="77777777" w:rsidR="00C1765C" w:rsidRPr="00820C89" w:rsidRDefault="00C1765C" w:rsidP="006D2536">
            <w:pPr>
              <w:contextualSpacing/>
              <w:rPr>
                <w:rFonts w:eastAsia="Verdana" w:cs="Verdana"/>
                <w:bCs/>
                <w:sz w:val="14"/>
              </w:rPr>
            </w:pPr>
            <w:r w:rsidRPr="00820C89">
              <w:rPr>
                <w:rFonts w:eastAsia="Verdana" w:cs="Verdana"/>
                <w:bCs/>
                <w:sz w:val="14"/>
              </w:rPr>
              <w:t xml:space="preserve">Activities (VTEC, TAEG, EPI) </w:t>
            </w:r>
          </w:p>
          <w:p w14:paraId="682B41AA" w14:textId="77777777" w:rsidR="00C1765C" w:rsidRPr="00820C89" w:rsidRDefault="00C1765C" w:rsidP="006D2536">
            <w:pPr>
              <w:contextualSpacing/>
              <w:rPr>
                <w:rFonts w:eastAsia="Verdana" w:cs="Verdana"/>
                <w:bCs/>
                <w:color w:val="000000"/>
                <w:sz w:val="14"/>
              </w:rPr>
            </w:pPr>
          </w:p>
          <w:p w14:paraId="5E8303C7" w14:textId="77777777" w:rsidR="00C1765C" w:rsidRPr="00820C89" w:rsidRDefault="00C1765C" w:rsidP="006D2536">
            <w:pPr>
              <w:contextualSpacing/>
              <w:rPr>
                <w:rFonts w:eastAsia="Verdana" w:cs="Verdana"/>
                <w:bCs/>
                <w:color w:val="000000"/>
                <w:sz w:val="14"/>
              </w:rPr>
            </w:pPr>
          </w:p>
        </w:tc>
        <w:tc>
          <w:tcPr>
            <w:tcW w:w="1984" w:type="dxa"/>
          </w:tcPr>
          <w:p w14:paraId="6334CE25"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sz w:val="14"/>
              </w:rPr>
              <w:t>- Provider survey</w:t>
            </w:r>
          </w:p>
        </w:tc>
        <w:tc>
          <w:tcPr>
            <w:tcW w:w="2335" w:type="dxa"/>
          </w:tcPr>
          <w:p w14:paraId="7BD54E02"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 of delivered activities</w:t>
            </w:r>
          </w:p>
          <w:p w14:paraId="411EAA7F"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sz w:val="14"/>
              </w:rPr>
              <w:t>- Mapping of implemented design features against intended design features</w:t>
            </w:r>
          </w:p>
        </w:tc>
      </w:tr>
      <w:tr w:rsidR="00C1765C" w:rsidRPr="00820C89" w14:paraId="7D6E2612" w14:textId="77777777" w:rsidTr="006D2536">
        <w:trPr>
          <w:trHeight w:val="326"/>
        </w:trPr>
        <w:tc>
          <w:tcPr>
            <w:tcW w:w="1701" w:type="dxa"/>
            <w:vMerge/>
          </w:tcPr>
          <w:p w14:paraId="4C85F6B3" w14:textId="77777777" w:rsidR="00C1765C" w:rsidRPr="00820C89" w:rsidRDefault="00C1765C" w:rsidP="006D2536">
            <w:pPr>
              <w:rPr>
                <w:rFonts w:eastAsia="Verdana" w:cs="Times New Roman"/>
                <w:sz w:val="14"/>
              </w:rPr>
            </w:pPr>
          </w:p>
        </w:tc>
        <w:tc>
          <w:tcPr>
            <w:tcW w:w="2552" w:type="dxa"/>
            <w:vMerge/>
          </w:tcPr>
          <w:p w14:paraId="4A55FEBA" w14:textId="77777777" w:rsidR="00C1765C" w:rsidRPr="00820C89" w:rsidRDefault="00C1765C" w:rsidP="006D2536">
            <w:pPr>
              <w:contextualSpacing/>
              <w:rPr>
                <w:rFonts w:eastAsia="Verdana" w:cs="Verdana"/>
                <w:bCs/>
                <w:color w:val="000000"/>
                <w:sz w:val="14"/>
              </w:rPr>
            </w:pPr>
          </w:p>
        </w:tc>
        <w:tc>
          <w:tcPr>
            <w:tcW w:w="2835" w:type="dxa"/>
            <w:vMerge/>
          </w:tcPr>
          <w:p w14:paraId="601A0D45" w14:textId="77777777" w:rsidR="00C1765C" w:rsidRPr="00820C89" w:rsidRDefault="00C1765C" w:rsidP="006D2536">
            <w:pPr>
              <w:contextualSpacing/>
              <w:rPr>
                <w:rFonts w:eastAsia="Verdana" w:cs="Verdana"/>
                <w:bCs/>
                <w:color w:val="000000"/>
                <w:sz w:val="14"/>
              </w:rPr>
            </w:pPr>
          </w:p>
        </w:tc>
        <w:tc>
          <w:tcPr>
            <w:tcW w:w="1843" w:type="dxa"/>
            <w:vMerge/>
          </w:tcPr>
          <w:p w14:paraId="627BF8E4" w14:textId="77777777" w:rsidR="00C1765C" w:rsidRPr="00820C89" w:rsidRDefault="00C1765C" w:rsidP="006D2536">
            <w:pPr>
              <w:contextualSpacing/>
              <w:rPr>
                <w:rFonts w:eastAsia="Verdana" w:cs="Verdana"/>
                <w:bCs/>
                <w:color w:val="000000"/>
                <w:sz w:val="14"/>
              </w:rPr>
            </w:pPr>
          </w:p>
        </w:tc>
        <w:tc>
          <w:tcPr>
            <w:tcW w:w="1984" w:type="dxa"/>
          </w:tcPr>
          <w:p w14:paraId="49082116"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Regional consultations </w:t>
            </w:r>
          </w:p>
          <w:p w14:paraId="57EA3629" w14:textId="77777777" w:rsidR="00C1765C" w:rsidRPr="00820C89" w:rsidRDefault="00C1765C" w:rsidP="006D2536">
            <w:pPr>
              <w:contextualSpacing/>
              <w:rPr>
                <w:rFonts w:eastAsia="Verdana" w:cs="Verdana"/>
                <w:bCs/>
                <w:color w:val="000000" w:themeColor="text1"/>
                <w:sz w:val="14"/>
              </w:rPr>
            </w:pPr>
          </w:p>
        </w:tc>
        <w:tc>
          <w:tcPr>
            <w:tcW w:w="2335" w:type="dxa"/>
          </w:tcPr>
          <w:p w14:paraId="4F2CB5A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 of delivered activities</w:t>
            </w:r>
          </w:p>
          <w:p w14:paraId="0142DEE8"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sz w:val="14"/>
              </w:rPr>
              <w:t>- Mapping of implemented design features against intended design features</w:t>
            </w:r>
          </w:p>
        </w:tc>
      </w:tr>
      <w:tr w:rsidR="00C1765C" w:rsidRPr="00820C89" w14:paraId="32F2D5AC" w14:textId="77777777" w:rsidTr="006D2536">
        <w:trPr>
          <w:trHeight w:val="326"/>
        </w:trPr>
        <w:tc>
          <w:tcPr>
            <w:tcW w:w="1701" w:type="dxa"/>
            <w:vMerge/>
          </w:tcPr>
          <w:p w14:paraId="05B77ECC" w14:textId="77777777" w:rsidR="00C1765C" w:rsidRPr="00820C89" w:rsidRDefault="00C1765C" w:rsidP="006D2536">
            <w:pPr>
              <w:rPr>
                <w:rFonts w:eastAsia="Verdana" w:cs="Times New Roman"/>
                <w:sz w:val="14"/>
              </w:rPr>
            </w:pPr>
          </w:p>
        </w:tc>
        <w:tc>
          <w:tcPr>
            <w:tcW w:w="2552" w:type="dxa"/>
            <w:vMerge/>
          </w:tcPr>
          <w:p w14:paraId="6B8819AB" w14:textId="77777777" w:rsidR="00C1765C" w:rsidRPr="00820C89" w:rsidRDefault="00C1765C" w:rsidP="006D2536">
            <w:pPr>
              <w:contextualSpacing/>
              <w:rPr>
                <w:rFonts w:eastAsia="Verdana" w:cs="Verdana"/>
                <w:bCs/>
                <w:color w:val="000000"/>
                <w:sz w:val="14"/>
              </w:rPr>
            </w:pPr>
          </w:p>
        </w:tc>
        <w:tc>
          <w:tcPr>
            <w:tcW w:w="2835" w:type="dxa"/>
            <w:vMerge/>
          </w:tcPr>
          <w:p w14:paraId="5F4DB2D9" w14:textId="77777777" w:rsidR="00C1765C" w:rsidRPr="00820C89" w:rsidRDefault="00C1765C" w:rsidP="006D2536">
            <w:pPr>
              <w:contextualSpacing/>
              <w:rPr>
                <w:rFonts w:eastAsia="Verdana" w:cs="Verdana"/>
                <w:bCs/>
                <w:color w:val="000000"/>
                <w:sz w:val="14"/>
              </w:rPr>
            </w:pPr>
          </w:p>
        </w:tc>
        <w:tc>
          <w:tcPr>
            <w:tcW w:w="1843" w:type="dxa"/>
            <w:vMerge/>
          </w:tcPr>
          <w:p w14:paraId="42D3273E" w14:textId="77777777" w:rsidR="00C1765C" w:rsidRPr="00820C89" w:rsidRDefault="00C1765C" w:rsidP="006D2536">
            <w:pPr>
              <w:contextualSpacing/>
              <w:rPr>
                <w:rFonts w:eastAsia="Verdana" w:cs="Verdana"/>
                <w:bCs/>
                <w:color w:val="000000"/>
                <w:sz w:val="14"/>
              </w:rPr>
            </w:pPr>
          </w:p>
        </w:tc>
        <w:tc>
          <w:tcPr>
            <w:tcW w:w="1984" w:type="dxa"/>
          </w:tcPr>
          <w:p w14:paraId="39954B64"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sz w:val="14"/>
              </w:rPr>
              <w:t>- Program documentation detailing intended and implemented activities (if available)</w:t>
            </w:r>
          </w:p>
        </w:tc>
        <w:tc>
          <w:tcPr>
            <w:tcW w:w="2335" w:type="dxa"/>
          </w:tcPr>
          <w:p w14:paraId="2F7A1B50"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 of delivered and intended activities</w:t>
            </w:r>
          </w:p>
          <w:p w14:paraId="7A7699AF"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sz w:val="14"/>
              </w:rPr>
              <w:t>- Mapping of implemented design features against intended design features</w:t>
            </w:r>
          </w:p>
        </w:tc>
      </w:tr>
      <w:tr w:rsidR="00C1765C" w:rsidRPr="00820C89" w14:paraId="5FDDB9B7" w14:textId="77777777" w:rsidTr="006D2536">
        <w:trPr>
          <w:trHeight w:val="315"/>
        </w:trPr>
        <w:tc>
          <w:tcPr>
            <w:tcW w:w="1701" w:type="dxa"/>
            <w:vMerge/>
          </w:tcPr>
          <w:p w14:paraId="28FBEE25" w14:textId="77777777" w:rsidR="00C1765C" w:rsidRPr="00820C89" w:rsidRDefault="00C1765C" w:rsidP="006D2536">
            <w:pPr>
              <w:rPr>
                <w:rFonts w:eastAsia="Verdana" w:cs="Times New Roman"/>
                <w:sz w:val="14"/>
              </w:rPr>
            </w:pPr>
          </w:p>
        </w:tc>
        <w:tc>
          <w:tcPr>
            <w:tcW w:w="2552" w:type="dxa"/>
            <w:vMerge w:val="restart"/>
          </w:tcPr>
          <w:p w14:paraId="63EBBFEE"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 xml:space="preserve">How have providers been selected to participate in the program? </w:t>
            </w:r>
          </w:p>
          <w:p w14:paraId="662EFA08" w14:textId="77777777" w:rsidR="00C1765C" w:rsidRPr="00820C89" w:rsidRDefault="00C1765C" w:rsidP="006D2536">
            <w:pPr>
              <w:contextualSpacing/>
              <w:rPr>
                <w:rFonts w:eastAsia="Verdana" w:cs="Verdana"/>
                <w:bCs/>
                <w:color w:val="000000"/>
                <w:sz w:val="14"/>
              </w:rPr>
            </w:pPr>
          </w:p>
        </w:tc>
        <w:tc>
          <w:tcPr>
            <w:tcW w:w="2835" w:type="dxa"/>
            <w:vMerge w:val="restart"/>
          </w:tcPr>
          <w:p w14:paraId="333AE65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Identification of selection criteria for participating providers </w:t>
            </w:r>
          </w:p>
        </w:tc>
        <w:tc>
          <w:tcPr>
            <w:tcW w:w="1843" w:type="dxa"/>
            <w:vMerge w:val="restart"/>
          </w:tcPr>
          <w:p w14:paraId="75A269FE"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 Activities (VTEC, TAEG, EPI)</w:t>
            </w:r>
          </w:p>
        </w:tc>
        <w:tc>
          <w:tcPr>
            <w:tcW w:w="1984" w:type="dxa"/>
          </w:tcPr>
          <w:p w14:paraId="72C93ACB"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Initial consultations</w:t>
            </w:r>
          </w:p>
        </w:tc>
        <w:tc>
          <w:tcPr>
            <w:tcW w:w="2335" w:type="dxa"/>
          </w:tcPr>
          <w:p w14:paraId="2CE171F6"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Mapping of actual provider characteristics against formal selection criteria</w:t>
            </w:r>
          </w:p>
        </w:tc>
      </w:tr>
      <w:tr w:rsidR="00C1765C" w:rsidRPr="00820C89" w14:paraId="319B0F85" w14:textId="77777777" w:rsidTr="006D2536">
        <w:trPr>
          <w:trHeight w:val="281"/>
        </w:trPr>
        <w:tc>
          <w:tcPr>
            <w:tcW w:w="1701" w:type="dxa"/>
            <w:vMerge/>
          </w:tcPr>
          <w:p w14:paraId="582A8908" w14:textId="77777777" w:rsidR="00C1765C" w:rsidRPr="00820C89" w:rsidRDefault="00C1765C" w:rsidP="006D2536">
            <w:pPr>
              <w:rPr>
                <w:rFonts w:eastAsia="Verdana" w:cs="Times New Roman"/>
                <w:sz w:val="14"/>
              </w:rPr>
            </w:pPr>
          </w:p>
        </w:tc>
        <w:tc>
          <w:tcPr>
            <w:tcW w:w="2552" w:type="dxa"/>
            <w:vMerge/>
          </w:tcPr>
          <w:p w14:paraId="72D7D2CB" w14:textId="77777777" w:rsidR="00C1765C" w:rsidRPr="00820C89" w:rsidRDefault="00C1765C" w:rsidP="006D2536">
            <w:pPr>
              <w:contextualSpacing/>
              <w:rPr>
                <w:rFonts w:eastAsia="Verdana" w:cs="Verdana"/>
                <w:bCs/>
                <w:color w:val="000000"/>
                <w:sz w:val="14"/>
              </w:rPr>
            </w:pPr>
          </w:p>
        </w:tc>
        <w:tc>
          <w:tcPr>
            <w:tcW w:w="2835" w:type="dxa"/>
            <w:vMerge/>
          </w:tcPr>
          <w:p w14:paraId="5CBE9C3F" w14:textId="77777777" w:rsidR="00C1765C" w:rsidRPr="00820C89" w:rsidRDefault="00C1765C" w:rsidP="006D2536">
            <w:pPr>
              <w:contextualSpacing/>
              <w:rPr>
                <w:rFonts w:eastAsia="Verdana" w:cs="Verdana"/>
                <w:bCs/>
                <w:color w:val="000000"/>
                <w:sz w:val="14"/>
              </w:rPr>
            </w:pPr>
          </w:p>
        </w:tc>
        <w:tc>
          <w:tcPr>
            <w:tcW w:w="1843" w:type="dxa"/>
            <w:vMerge/>
          </w:tcPr>
          <w:p w14:paraId="177D0950" w14:textId="77777777" w:rsidR="00C1765C" w:rsidRPr="00820C89" w:rsidRDefault="00C1765C" w:rsidP="006D2536">
            <w:pPr>
              <w:contextualSpacing/>
              <w:rPr>
                <w:rFonts w:eastAsia="Verdana" w:cs="Verdana"/>
                <w:bCs/>
                <w:color w:val="000000"/>
                <w:sz w:val="14"/>
              </w:rPr>
            </w:pPr>
          </w:p>
        </w:tc>
        <w:tc>
          <w:tcPr>
            <w:tcW w:w="1984" w:type="dxa"/>
          </w:tcPr>
          <w:p w14:paraId="32DAEF2C"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Regional consultations</w:t>
            </w:r>
          </w:p>
        </w:tc>
        <w:tc>
          <w:tcPr>
            <w:tcW w:w="2335" w:type="dxa"/>
          </w:tcPr>
          <w:p w14:paraId="14162BCD"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color w:val="000000" w:themeColor="text1"/>
                <w:sz w:val="14"/>
              </w:rPr>
              <w:t>- Mapping of actual provider characteristics against formal selection criteria</w:t>
            </w:r>
          </w:p>
        </w:tc>
      </w:tr>
      <w:tr w:rsidR="00C1765C" w:rsidRPr="00820C89" w14:paraId="0E9194DB" w14:textId="77777777" w:rsidTr="006D2536">
        <w:trPr>
          <w:trHeight w:val="334"/>
        </w:trPr>
        <w:tc>
          <w:tcPr>
            <w:tcW w:w="1701" w:type="dxa"/>
            <w:vMerge/>
          </w:tcPr>
          <w:p w14:paraId="24AF3610" w14:textId="77777777" w:rsidR="00C1765C" w:rsidRPr="00820C89" w:rsidRDefault="00C1765C" w:rsidP="006D2536">
            <w:pPr>
              <w:rPr>
                <w:rFonts w:eastAsia="Verdana" w:cs="Times New Roman"/>
                <w:sz w:val="14"/>
              </w:rPr>
            </w:pPr>
          </w:p>
        </w:tc>
        <w:tc>
          <w:tcPr>
            <w:tcW w:w="2552" w:type="dxa"/>
            <w:vMerge/>
          </w:tcPr>
          <w:p w14:paraId="70B9C7FF" w14:textId="77777777" w:rsidR="00C1765C" w:rsidRPr="00820C89" w:rsidRDefault="00C1765C" w:rsidP="006D2536">
            <w:pPr>
              <w:contextualSpacing/>
              <w:rPr>
                <w:rFonts w:eastAsia="Verdana" w:cs="Verdana"/>
                <w:bCs/>
                <w:color w:val="000000"/>
                <w:sz w:val="14"/>
              </w:rPr>
            </w:pPr>
          </w:p>
        </w:tc>
        <w:tc>
          <w:tcPr>
            <w:tcW w:w="2835" w:type="dxa"/>
            <w:vMerge/>
          </w:tcPr>
          <w:p w14:paraId="223A66B8" w14:textId="77777777" w:rsidR="00C1765C" w:rsidRPr="00820C89" w:rsidRDefault="00C1765C" w:rsidP="006D2536">
            <w:pPr>
              <w:contextualSpacing/>
              <w:rPr>
                <w:rFonts w:eastAsia="Verdana" w:cs="Verdana"/>
                <w:bCs/>
                <w:color w:val="000000"/>
                <w:sz w:val="14"/>
              </w:rPr>
            </w:pPr>
          </w:p>
        </w:tc>
        <w:tc>
          <w:tcPr>
            <w:tcW w:w="1843" w:type="dxa"/>
            <w:vMerge/>
          </w:tcPr>
          <w:p w14:paraId="358355AB" w14:textId="77777777" w:rsidR="00C1765C" w:rsidRPr="00820C89" w:rsidRDefault="00C1765C" w:rsidP="006D2536">
            <w:pPr>
              <w:contextualSpacing/>
              <w:rPr>
                <w:rFonts w:eastAsia="Verdana" w:cs="Verdana"/>
                <w:bCs/>
                <w:color w:val="000000"/>
                <w:sz w:val="14"/>
              </w:rPr>
            </w:pPr>
          </w:p>
        </w:tc>
        <w:tc>
          <w:tcPr>
            <w:tcW w:w="1984" w:type="dxa"/>
          </w:tcPr>
          <w:p w14:paraId="0A7A5D23"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xml:space="preserve">- Program documentation detailing eligibility criteria </w:t>
            </w:r>
          </w:p>
        </w:tc>
        <w:tc>
          <w:tcPr>
            <w:tcW w:w="2335" w:type="dxa"/>
          </w:tcPr>
          <w:p w14:paraId="1353BD4B"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Mapping of provider characteristics against formal selection criteria</w:t>
            </w:r>
          </w:p>
        </w:tc>
      </w:tr>
      <w:tr w:rsidR="00C1765C" w:rsidRPr="00820C89" w14:paraId="5D5B26D4" w14:textId="77777777" w:rsidTr="006D2536">
        <w:trPr>
          <w:trHeight w:val="720"/>
        </w:trPr>
        <w:tc>
          <w:tcPr>
            <w:tcW w:w="1701" w:type="dxa"/>
            <w:vMerge/>
          </w:tcPr>
          <w:p w14:paraId="0208484A" w14:textId="77777777" w:rsidR="00C1765C" w:rsidRPr="00820C89" w:rsidRDefault="00C1765C" w:rsidP="006D2536">
            <w:pPr>
              <w:rPr>
                <w:rFonts w:eastAsia="Verdana" w:cs="Times New Roman"/>
                <w:sz w:val="14"/>
              </w:rPr>
            </w:pPr>
          </w:p>
        </w:tc>
        <w:tc>
          <w:tcPr>
            <w:tcW w:w="2552" w:type="dxa"/>
            <w:vMerge w:val="restart"/>
          </w:tcPr>
          <w:p w14:paraId="12C9F13D"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What are the characteristics of participating providers? (e.g. type of organisation; location; focus industries; direct employer versus intermediaries).</w:t>
            </w:r>
          </w:p>
        </w:tc>
        <w:tc>
          <w:tcPr>
            <w:tcW w:w="2835" w:type="dxa"/>
            <w:vMerge w:val="restart"/>
          </w:tcPr>
          <w:p w14:paraId="68386709"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Characteristics of participating providers (e.g. type of organisation; location; focus industries; direct employer versus intermediaries)</w:t>
            </w:r>
          </w:p>
        </w:tc>
        <w:tc>
          <w:tcPr>
            <w:tcW w:w="1843" w:type="dxa"/>
            <w:vMerge w:val="restart"/>
          </w:tcPr>
          <w:p w14:paraId="56D5A5C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Inputs; Activities  (VTEC, TAEG, EPI)</w:t>
            </w:r>
          </w:p>
        </w:tc>
        <w:tc>
          <w:tcPr>
            <w:tcW w:w="1984" w:type="dxa"/>
          </w:tcPr>
          <w:p w14:paraId="5D449CA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Provider survey</w:t>
            </w:r>
          </w:p>
        </w:tc>
        <w:tc>
          <w:tcPr>
            <w:tcW w:w="2335" w:type="dxa"/>
          </w:tcPr>
          <w:p w14:paraId="2C3A8DB5"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xml:space="preserve">- Descriptive analysis of provider characteristics </w:t>
            </w:r>
          </w:p>
        </w:tc>
      </w:tr>
      <w:tr w:rsidR="00C1765C" w:rsidRPr="00820C89" w14:paraId="426B2EF3" w14:textId="77777777" w:rsidTr="006D2536">
        <w:trPr>
          <w:trHeight w:val="720"/>
        </w:trPr>
        <w:tc>
          <w:tcPr>
            <w:tcW w:w="1701" w:type="dxa"/>
            <w:vMerge/>
          </w:tcPr>
          <w:p w14:paraId="0CED7733" w14:textId="77777777" w:rsidR="00C1765C" w:rsidRPr="00820C89" w:rsidRDefault="00C1765C" w:rsidP="006D2536">
            <w:pPr>
              <w:rPr>
                <w:rFonts w:eastAsia="Verdana" w:cs="Times New Roman"/>
                <w:sz w:val="14"/>
              </w:rPr>
            </w:pPr>
          </w:p>
        </w:tc>
        <w:tc>
          <w:tcPr>
            <w:tcW w:w="2552" w:type="dxa"/>
            <w:vMerge/>
          </w:tcPr>
          <w:p w14:paraId="0D028D63" w14:textId="77777777" w:rsidR="00C1765C" w:rsidRPr="00820C89" w:rsidRDefault="00C1765C" w:rsidP="006D2536">
            <w:pPr>
              <w:contextualSpacing/>
              <w:rPr>
                <w:rFonts w:eastAsia="Verdana" w:cs="Verdana"/>
                <w:bCs/>
                <w:color w:val="000000"/>
                <w:sz w:val="14"/>
              </w:rPr>
            </w:pPr>
          </w:p>
        </w:tc>
        <w:tc>
          <w:tcPr>
            <w:tcW w:w="2835" w:type="dxa"/>
            <w:vMerge/>
          </w:tcPr>
          <w:p w14:paraId="35F6C8BC" w14:textId="77777777" w:rsidR="00C1765C" w:rsidRPr="00820C89" w:rsidRDefault="00C1765C" w:rsidP="006D2536">
            <w:pPr>
              <w:contextualSpacing/>
              <w:rPr>
                <w:rFonts w:eastAsia="Verdana" w:cs="Verdana"/>
                <w:bCs/>
                <w:color w:val="000000"/>
                <w:sz w:val="14"/>
              </w:rPr>
            </w:pPr>
          </w:p>
        </w:tc>
        <w:tc>
          <w:tcPr>
            <w:tcW w:w="1843" w:type="dxa"/>
            <w:vMerge/>
          </w:tcPr>
          <w:p w14:paraId="577FAFDC" w14:textId="77777777" w:rsidR="00C1765C" w:rsidRPr="00820C89" w:rsidRDefault="00C1765C" w:rsidP="006D2536">
            <w:pPr>
              <w:contextualSpacing/>
              <w:rPr>
                <w:rFonts w:eastAsia="Verdana" w:cs="Verdana"/>
                <w:bCs/>
                <w:color w:val="000000"/>
                <w:sz w:val="14"/>
              </w:rPr>
            </w:pPr>
          </w:p>
        </w:tc>
        <w:tc>
          <w:tcPr>
            <w:tcW w:w="1984" w:type="dxa"/>
          </w:tcPr>
          <w:p w14:paraId="588A6369"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(e.g. provider reporting)</w:t>
            </w:r>
          </w:p>
        </w:tc>
        <w:tc>
          <w:tcPr>
            <w:tcW w:w="2335" w:type="dxa"/>
          </w:tcPr>
          <w:p w14:paraId="5014A0D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 of provider characteristics</w:t>
            </w:r>
          </w:p>
        </w:tc>
      </w:tr>
      <w:tr w:rsidR="00C1765C" w:rsidRPr="00820C89" w14:paraId="023775B6" w14:textId="77777777" w:rsidTr="006D2536">
        <w:trPr>
          <w:trHeight w:val="720"/>
        </w:trPr>
        <w:tc>
          <w:tcPr>
            <w:tcW w:w="1701" w:type="dxa"/>
            <w:vMerge/>
          </w:tcPr>
          <w:p w14:paraId="24F4E7C3" w14:textId="77777777" w:rsidR="00C1765C" w:rsidRPr="00820C89" w:rsidRDefault="00C1765C" w:rsidP="006D2536">
            <w:pPr>
              <w:rPr>
                <w:rFonts w:eastAsia="Verdana" w:cs="Times New Roman"/>
                <w:sz w:val="14"/>
              </w:rPr>
            </w:pPr>
          </w:p>
        </w:tc>
        <w:tc>
          <w:tcPr>
            <w:tcW w:w="2552" w:type="dxa"/>
            <w:vMerge w:val="restart"/>
          </w:tcPr>
          <w:p w14:paraId="626BE241" w14:textId="77777777" w:rsidR="00C1765C" w:rsidRPr="00820C89" w:rsidRDefault="00C1765C" w:rsidP="006D2536">
            <w:pPr>
              <w:ind w:left="0"/>
              <w:contextualSpacing/>
              <w:rPr>
                <w:rFonts w:eastAsia="Verdana" w:cs="Verdana"/>
                <w:bCs/>
                <w:sz w:val="14"/>
              </w:rPr>
            </w:pPr>
            <w:r w:rsidRPr="00820C89">
              <w:rPr>
                <w:rFonts w:eastAsia="Verdana" w:cs="Verdana"/>
                <w:bCs/>
                <w:sz w:val="14"/>
              </w:rPr>
              <w:t>What challenges has the NIAA encountered in implementing the suite of programs as intended?</w:t>
            </w:r>
          </w:p>
        </w:tc>
        <w:tc>
          <w:tcPr>
            <w:tcW w:w="2835" w:type="dxa"/>
            <w:vMerge w:val="restart"/>
          </w:tcPr>
          <w:p w14:paraId="5FD3BD37"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Evidence of how and why the suite of programs were not implemented </w:t>
            </w:r>
            <w:r w:rsidRPr="00820C89">
              <w:rPr>
                <w:rFonts w:eastAsia="Verdana" w:cs="Verdana"/>
                <w:bCs/>
                <w:sz w:val="14"/>
              </w:rPr>
              <w:lastRenderedPageBreak/>
              <w:t xml:space="preserve">according to intended program design parameters </w:t>
            </w:r>
          </w:p>
        </w:tc>
        <w:tc>
          <w:tcPr>
            <w:tcW w:w="1843" w:type="dxa"/>
            <w:vMerge w:val="restart"/>
          </w:tcPr>
          <w:p w14:paraId="590ECC82" w14:textId="77777777" w:rsidR="00C1765C" w:rsidRPr="00820C89" w:rsidRDefault="00C1765C" w:rsidP="006D2536">
            <w:pPr>
              <w:ind w:left="0"/>
              <w:contextualSpacing/>
              <w:rPr>
                <w:rFonts w:eastAsia="Verdana" w:cs="Verdana"/>
                <w:bCs/>
                <w:sz w:val="14"/>
              </w:rPr>
            </w:pPr>
            <w:r w:rsidRPr="00820C89">
              <w:rPr>
                <w:rFonts w:eastAsia="Verdana" w:cs="Verdana"/>
                <w:bCs/>
                <w:sz w:val="14"/>
              </w:rPr>
              <w:lastRenderedPageBreak/>
              <w:t xml:space="preserve">Inputs; Outputs; Activities </w:t>
            </w:r>
          </w:p>
        </w:tc>
        <w:tc>
          <w:tcPr>
            <w:tcW w:w="1984" w:type="dxa"/>
          </w:tcPr>
          <w:p w14:paraId="27C875CA" w14:textId="77777777" w:rsidR="00C1765C" w:rsidRPr="00820C89" w:rsidRDefault="00C1765C" w:rsidP="006D2536">
            <w:pPr>
              <w:ind w:left="0"/>
              <w:contextualSpacing/>
              <w:rPr>
                <w:rFonts w:eastAsia="Verdana" w:cs="Verdana"/>
                <w:bCs/>
                <w:sz w:val="14"/>
              </w:rPr>
            </w:pPr>
            <w:r w:rsidRPr="00820C89">
              <w:rPr>
                <w:rFonts w:eastAsia="Verdana" w:cs="Verdana"/>
                <w:bCs/>
                <w:sz w:val="14"/>
              </w:rPr>
              <w:t>- Initial consultations</w:t>
            </w:r>
          </w:p>
        </w:tc>
        <w:tc>
          <w:tcPr>
            <w:tcW w:w="2335" w:type="dxa"/>
          </w:tcPr>
          <w:p w14:paraId="505B82B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of challenges faced </w:t>
            </w:r>
          </w:p>
          <w:p w14:paraId="61B1EF55" w14:textId="77777777" w:rsidR="00C1765C" w:rsidRPr="00820C89" w:rsidRDefault="00C1765C" w:rsidP="006D2536">
            <w:pPr>
              <w:ind w:left="0"/>
              <w:contextualSpacing/>
              <w:rPr>
                <w:rFonts w:eastAsia="Verdana" w:cs="Verdana"/>
                <w:bCs/>
                <w:sz w:val="14"/>
              </w:rPr>
            </w:pPr>
            <w:r w:rsidRPr="00820C89">
              <w:rPr>
                <w:rFonts w:eastAsia="Verdana" w:cs="Verdana"/>
                <w:bCs/>
                <w:sz w:val="14"/>
              </w:rPr>
              <w:lastRenderedPageBreak/>
              <w:t xml:space="preserve">- Mapping of implemented design features against intended design features </w:t>
            </w:r>
          </w:p>
        </w:tc>
      </w:tr>
      <w:tr w:rsidR="00C1765C" w:rsidRPr="00820C89" w14:paraId="075E1DBF" w14:textId="77777777" w:rsidTr="006D2536">
        <w:trPr>
          <w:trHeight w:val="720"/>
        </w:trPr>
        <w:tc>
          <w:tcPr>
            <w:tcW w:w="1701" w:type="dxa"/>
            <w:vMerge/>
          </w:tcPr>
          <w:p w14:paraId="24AB74D3" w14:textId="77777777" w:rsidR="00C1765C" w:rsidRPr="00820C89" w:rsidRDefault="00C1765C" w:rsidP="006D2536">
            <w:pPr>
              <w:rPr>
                <w:rFonts w:eastAsia="Verdana" w:cs="Times New Roman"/>
                <w:sz w:val="14"/>
              </w:rPr>
            </w:pPr>
          </w:p>
        </w:tc>
        <w:tc>
          <w:tcPr>
            <w:tcW w:w="2552" w:type="dxa"/>
            <w:vMerge/>
          </w:tcPr>
          <w:p w14:paraId="60AD94D9" w14:textId="77777777" w:rsidR="00C1765C" w:rsidRPr="00820C89" w:rsidRDefault="00C1765C" w:rsidP="006D2536">
            <w:pPr>
              <w:contextualSpacing/>
              <w:rPr>
                <w:rFonts w:eastAsia="Verdana" w:cs="Verdana"/>
                <w:bCs/>
                <w:sz w:val="14"/>
              </w:rPr>
            </w:pPr>
          </w:p>
        </w:tc>
        <w:tc>
          <w:tcPr>
            <w:tcW w:w="2835" w:type="dxa"/>
            <w:vMerge/>
          </w:tcPr>
          <w:p w14:paraId="7E3443A3" w14:textId="77777777" w:rsidR="00C1765C" w:rsidRPr="00820C89" w:rsidRDefault="00C1765C" w:rsidP="006D2536">
            <w:pPr>
              <w:contextualSpacing/>
              <w:rPr>
                <w:rFonts w:eastAsia="Verdana" w:cs="Verdana"/>
                <w:bCs/>
                <w:sz w:val="14"/>
              </w:rPr>
            </w:pPr>
          </w:p>
        </w:tc>
        <w:tc>
          <w:tcPr>
            <w:tcW w:w="1843" w:type="dxa"/>
            <w:vMerge/>
          </w:tcPr>
          <w:p w14:paraId="3613B941" w14:textId="77777777" w:rsidR="00C1765C" w:rsidRPr="00820C89" w:rsidRDefault="00C1765C" w:rsidP="006D2536">
            <w:pPr>
              <w:contextualSpacing/>
              <w:rPr>
                <w:rFonts w:eastAsia="Verdana" w:cs="Verdana"/>
                <w:bCs/>
                <w:sz w:val="14"/>
              </w:rPr>
            </w:pPr>
          </w:p>
        </w:tc>
        <w:tc>
          <w:tcPr>
            <w:tcW w:w="1984" w:type="dxa"/>
          </w:tcPr>
          <w:p w14:paraId="2DB6C1F7"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Program documentation detailing intended and actual program design features </w:t>
            </w:r>
          </w:p>
          <w:p w14:paraId="573BE1EB" w14:textId="77777777" w:rsidR="00C1765C" w:rsidRPr="00820C89" w:rsidRDefault="00C1765C" w:rsidP="006D2536">
            <w:pPr>
              <w:ind w:left="0"/>
              <w:contextualSpacing/>
              <w:rPr>
                <w:rFonts w:eastAsia="Verdana" w:cs="Verdana"/>
                <w:bCs/>
                <w:sz w:val="14"/>
              </w:rPr>
            </w:pPr>
          </w:p>
        </w:tc>
        <w:tc>
          <w:tcPr>
            <w:tcW w:w="2335" w:type="dxa"/>
          </w:tcPr>
          <w:p w14:paraId="2F56CF4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of challenges faced </w:t>
            </w:r>
          </w:p>
          <w:p w14:paraId="3059FD7B" w14:textId="77777777" w:rsidR="00C1765C" w:rsidRPr="00820C89" w:rsidRDefault="00C1765C" w:rsidP="006D2536">
            <w:pPr>
              <w:ind w:left="0"/>
              <w:contextualSpacing/>
              <w:rPr>
                <w:rFonts w:eastAsia="Verdana" w:cs="Verdana"/>
                <w:bCs/>
                <w:sz w:val="14"/>
              </w:rPr>
            </w:pPr>
            <w:r w:rsidRPr="00820C89">
              <w:rPr>
                <w:rFonts w:eastAsia="Verdana" w:cs="Verdana"/>
                <w:bCs/>
                <w:sz w:val="14"/>
              </w:rPr>
              <w:t>- Mapping of implemented design features against intended design features</w:t>
            </w:r>
          </w:p>
        </w:tc>
      </w:tr>
      <w:tr w:rsidR="00C1765C" w:rsidRPr="00820C89" w14:paraId="47FD7BE1" w14:textId="77777777" w:rsidTr="006D2536">
        <w:trPr>
          <w:trHeight w:val="1102"/>
        </w:trPr>
        <w:tc>
          <w:tcPr>
            <w:tcW w:w="1701" w:type="dxa"/>
            <w:vMerge/>
          </w:tcPr>
          <w:p w14:paraId="40A7D57E" w14:textId="77777777" w:rsidR="00C1765C" w:rsidRPr="00820C89" w:rsidRDefault="00C1765C" w:rsidP="006D2536">
            <w:pPr>
              <w:rPr>
                <w:rFonts w:eastAsia="Verdana" w:cs="Times New Roman"/>
                <w:sz w:val="14"/>
              </w:rPr>
            </w:pPr>
          </w:p>
        </w:tc>
        <w:tc>
          <w:tcPr>
            <w:tcW w:w="2552" w:type="dxa"/>
            <w:vMerge w:val="restart"/>
          </w:tcPr>
          <w:p w14:paraId="01B629F4" w14:textId="77777777" w:rsidR="00C1765C" w:rsidRPr="00820C89" w:rsidRDefault="00C1765C" w:rsidP="006D2536">
            <w:pPr>
              <w:ind w:left="0"/>
              <w:contextualSpacing/>
              <w:rPr>
                <w:rFonts w:eastAsia="Verdana" w:cs="Verdana"/>
                <w:bCs/>
                <w:sz w:val="14"/>
              </w:rPr>
            </w:pPr>
            <w:r w:rsidRPr="00820C89">
              <w:rPr>
                <w:rFonts w:eastAsia="Verdana" w:cs="Verdana"/>
                <w:bCs/>
                <w:sz w:val="14"/>
              </w:rPr>
              <w:t>What challenges has the NIAA encountered in implementing each of VTEC, TAEG, and EPI?</w:t>
            </w:r>
          </w:p>
          <w:p w14:paraId="44742DB0" w14:textId="77777777" w:rsidR="00C1765C" w:rsidRPr="00820C89" w:rsidRDefault="00C1765C" w:rsidP="006D2536">
            <w:pPr>
              <w:contextualSpacing/>
              <w:rPr>
                <w:rFonts w:eastAsia="Verdana" w:cs="Verdana"/>
                <w:bCs/>
                <w:sz w:val="14"/>
              </w:rPr>
            </w:pPr>
          </w:p>
        </w:tc>
        <w:tc>
          <w:tcPr>
            <w:tcW w:w="2835" w:type="dxa"/>
            <w:vMerge w:val="restart"/>
          </w:tcPr>
          <w:p w14:paraId="38098DAF"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Evidence of how and why each of VTEC, TAEG and EPI were not implemented according to intended program design parameters </w:t>
            </w:r>
          </w:p>
        </w:tc>
        <w:tc>
          <w:tcPr>
            <w:tcW w:w="1843" w:type="dxa"/>
            <w:vMerge w:val="restart"/>
          </w:tcPr>
          <w:p w14:paraId="618D4DC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Activities </w:t>
            </w:r>
            <w:r w:rsidRPr="00820C89">
              <w:rPr>
                <w:rFonts w:eastAsia="Verdana" w:cs="Verdana"/>
                <w:bCs/>
                <w:color w:val="000000"/>
                <w:sz w:val="14"/>
              </w:rPr>
              <w:t>(VTEC, TAEG, EPI)</w:t>
            </w:r>
          </w:p>
        </w:tc>
        <w:tc>
          <w:tcPr>
            <w:tcW w:w="1984" w:type="dxa"/>
          </w:tcPr>
          <w:p w14:paraId="04ED0DDB" w14:textId="77777777" w:rsidR="00C1765C" w:rsidRPr="00820C89" w:rsidRDefault="00C1765C" w:rsidP="006D2536">
            <w:pPr>
              <w:contextualSpacing/>
              <w:rPr>
                <w:rFonts w:eastAsia="Verdana" w:cs="Verdana"/>
                <w:bCs/>
                <w:color w:val="FF0000"/>
                <w:sz w:val="14"/>
              </w:rPr>
            </w:pPr>
            <w:r w:rsidRPr="00820C89">
              <w:rPr>
                <w:rFonts w:eastAsia="Verdana" w:cs="Verdana"/>
                <w:bCs/>
                <w:sz w:val="14"/>
              </w:rPr>
              <w:t>- Initial consultations</w:t>
            </w:r>
          </w:p>
        </w:tc>
        <w:tc>
          <w:tcPr>
            <w:tcW w:w="2335" w:type="dxa"/>
          </w:tcPr>
          <w:p w14:paraId="1539402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of challenges faced </w:t>
            </w:r>
          </w:p>
          <w:p w14:paraId="505E2D52" w14:textId="77777777" w:rsidR="00C1765C" w:rsidRPr="00820C89" w:rsidRDefault="00C1765C" w:rsidP="006D2536">
            <w:pPr>
              <w:contextualSpacing/>
              <w:rPr>
                <w:rFonts w:eastAsia="Verdana" w:cs="Verdana"/>
                <w:bCs/>
                <w:color w:val="FF0000"/>
                <w:sz w:val="14"/>
              </w:rPr>
            </w:pPr>
            <w:r w:rsidRPr="00820C89">
              <w:rPr>
                <w:rFonts w:eastAsia="Verdana" w:cs="Verdana"/>
                <w:bCs/>
                <w:sz w:val="14"/>
              </w:rPr>
              <w:t xml:space="preserve">- Mapping of implemented design features against intended design features </w:t>
            </w:r>
          </w:p>
        </w:tc>
      </w:tr>
      <w:tr w:rsidR="00C1765C" w:rsidRPr="00820C89" w14:paraId="2399A1E8" w14:textId="77777777" w:rsidTr="006D2536">
        <w:trPr>
          <w:trHeight w:val="1102"/>
        </w:trPr>
        <w:tc>
          <w:tcPr>
            <w:tcW w:w="1701" w:type="dxa"/>
            <w:vMerge/>
          </w:tcPr>
          <w:p w14:paraId="62863F74" w14:textId="77777777" w:rsidR="00C1765C" w:rsidRPr="00820C89" w:rsidRDefault="00C1765C" w:rsidP="006D2536">
            <w:pPr>
              <w:rPr>
                <w:rFonts w:eastAsia="Verdana" w:cs="Times New Roman"/>
                <w:sz w:val="14"/>
              </w:rPr>
            </w:pPr>
          </w:p>
        </w:tc>
        <w:tc>
          <w:tcPr>
            <w:tcW w:w="2552" w:type="dxa"/>
            <w:vMerge/>
          </w:tcPr>
          <w:p w14:paraId="533D2160" w14:textId="77777777" w:rsidR="00C1765C" w:rsidRPr="00820C89" w:rsidRDefault="00C1765C" w:rsidP="006D2536">
            <w:pPr>
              <w:contextualSpacing/>
              <w:rPr>
                <w:rFonts w:eastAsia="Verdana" w:cs="Verdana"/>
                <w:bCs/>
                <w:color w:val="FF0000"/>
                <w:sz w:val="14"/>
              </w:rPr>
            </w:pPr>
          </w:p>
        </w:tc>
        <w:tc>
          <w:tcPr>
            <w:tcW w:w="2835" w:type="dxa"/>
            <w:vMerge/>
          </w:tcPr>
          <w:p w14:paraId="6B3650B7" w14:textId="77777777" w:rsidR="00C1765C" w:rsidRPr="00820C89" w:rsidRDefault="00C1765C" w:rsidP="006D2536">
            <w:pPr>
              <w:contextualSpacing/>
              <w:rPr>
                <w:rFonts w:eastAsia="Verdana" w:cs="Verdana"/>
                <w:bCs/>
                <w:color w:val="FF0000"/>
                <w:sz w:val="14"/>
              </w:rPr>
            </w:pPr>
          </w:p>
        </w:tc>
        <w:tc>
          <w:tcPr>
            <w:tcW w:w="1843" w:type="dxa"/>
            <w:vMerge/>
          </w:tcPr>
          <w:p w14:paraId="1DC36B74" w14:textId="77777777" w:rsidR="00C1765C" w:rsidRPr="00820C89" w:rsidRDefault="00C1765C" w:rsidP="006D2536">
            <w:pPr>
              <w:contextualSpacing/>
              <w:rPr>
                <w:rFonts w:eastAsia="Verdana" w:cs="Verdana"/>
                <w:bCs/>
                <w:color w:val="FF0000"/>
                <w:sz w:val="14"/>
              </w:rPr>
            </w:pPr>
          </w:p>
        </w:tc>
        <w:tc>
          <w:tcPr>
            <w:tcW w:w="1984" w:type="dxa"/>
          </w:tcPr>
          <w:p w14:paraId="6CFDF510"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Program documentation detailing intended and actual program design features </w:t>
            </w:r>
          </w:p>
          <w:p w14:paraId="65AF624B" w14:textId="77777777" w:rsidR="00C1765C" w:rsidRPr="00820C89" w:rsidRDefault="00C1765C" w:rsidP="006D2536">
            <w:pPr>
              <w:contextualSpacing/>
              <w:rPr>
                <w:rFonts w:eastAsia="Verdana" w:cs="Verdana"/>
                <w:bCs/>
                <w:color w:val="FF0000"/>
                <w:sz w:val="14"/>
              </w:rPr>
            </w:pPr>
          </w:p>
        </w:tc>
        <w:tc>
          <w:tcPr>
            <w:tcW w:w="2335" w:type="dxa"/>
          </w:tcPr>
          <w:p w14:paraId="145ABE47"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of challenges faced </w:t>
            </w:r>
          </w:p>
          <w:p w14:paraId="784253E6" w14:textId="77777777" w:rsidR="00C1765C" w:rsidRPr="00820C89" w:rsidRDefault="00C1765C" w:rsidP="006D2536">
            <w:pPr>
              <w:contextualSpacing/>
              <w:rPr>
                <w:rFonts w:eastAsia="Verdana" w:cs="Verdana"/>
                <w:bCs/>
                <w:color w:val="FF0000"/>
                <w:sz w:val="14"/>
              </w:rPr>
            </w:pPr>
            <w:r w:rsidRPr="00820C89">
              <w:rPr>
                <w:rFonts w:eastAsia="Verdana" w:cs="Verdana"/>
                <w:bCs/>
                <w:sz w:val="14"/>
              </w:rPr>
              <w:t>- Mapping of implemented design features against intended design features</w:t>
            </w:r>
          </w:p>
        </w:tc>
      </w:tr>
      <w:tr w:rsidR="00C1765C" w:rsidRPr="00820C89" w14:paraId="48BC1B07" w14:textId="77777777" w:rsidTr="006D2536">
        <w:trPr>
          <w:trHeight w:val="1102"/>
        </w:trPr>
        <w:tc>
          <w:tcPr>
            <w:tcW w:w="1701" w:type="dxa"/>
            <w:vMerge/>
          </w:tcPr>
          <w:p w14:paraId="57E504CA" w14:textId="77777777" w:rsidR="00C1765C" w:rsidRPr="00820C89" w:rsidRDefault="00C1765C" w:rsidP="006D2536">
            <w:pPr>
              <w:rPr>
                <w:rFonts w:eastAsia="Verdana" w:cs="Times New Roman"/>
                <w:sz w:val="14"/>
              </w:rPr>
            </w:pPr>
          </w:p>
        </w:tc>
        <w:tc>
          <w:tcPr>
            <w:tcW w:w="2552" w:type="dxa"/>
          </w:tcPr>
          <w:p w14:paraId="07F5AC7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What funding has been allocated and/or spent to date for each of VTEC, TAEG and EPI?</w:t>
            </w:r>
          </w:p>
        </w:tc>
        <w:tc>
          <w:tcPr>
            <w:tcW w:w="2835" w:type="dxa"/>
          </w:tcPr>
          <w:p w14:paraId="76E677CB"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Proportion of funding budget - allocated and spent compared to date</w:t>
            </w:r>
          </w:p>
        </w:tc>
        <w:tc>
          <w:tcPr>
            <w:tcW w:w="1843" w:type="dxa"/>
          </w:tcPr>
          <w:p w14:paraId="028E9EC9"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Inputs; Activities; Outputs (VTEC, TAEG, EPI)</w:t>
            </w:r>
          </w:p>
        </w:tc>
        <w:tc>
          <w:tcPr>
            <w:tcW w:w="1984" w:type="dxa"/>
          </w:tcPr>
          <w:p w14:paraId="346E3832"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Program documentation (financial reporting) </w:t>
            </w:r>
          </w:p>
        </w:tc>
        <w:tc>
          <w:tcPr>
            <w:tcW w:w="2335" w:type="dxa"/>
          </w:tcPr>
          <w:p w14:paraId="036EB255" w14:textId="77777777" w:rsidR="00C1765C" w:rsidRPr="00820C89" w:rsidRDefault="00C1765C" w:rsidP="006D2536">
            <w:pPr>
              <w:ind w:left="0"/>
              <w:contextualSpacing/>
              <w:rPr>
                <w:rFonts w:eastAsia="Verdana" w:cs="Verdana"/>
                <w:bCs/>
                <w:i/>
                <w:sz w:val="14"/>
              </w:rPr>
            </w:pPr>
            <w:r w:rsidRPr="00820C89">
              <w:rPr>
                <w:rFonts w:eastAsia="Verdana" w:cs="Verdana"/>
                <w:bCs/>
                <w:sz w:val="14"/>
              </w:rPr>
              <w:t>- Descriptive analysis of financials</w:t>
            </w:r>
          </w:p>
        </w:tc>
      </w:tr>
      <w:tr w:rsidR="00C1765C" w:rsidRPr="00820C89" w14:paraId="4ED20EC9" w14:textId="77777777" w:rsidTr="006D2536">
        <w:trPr>
          <w:trHeight w:val="1102"/>
        </w:trPr>
        <w:tc>
          <w:tcPr>
            <w:tcW w:w="1701" w:type="dxa"/>
            <w:vMerge/>
          </w:tcPr>
          <w:p w14:paraId="7365C590" w14:textId="77777777" w:rsidR="00C1765C" w:rsidRPr="00820C89" w:rsidRDefault="00C1765C" w:rsidP="006D2536">
            <w:pPr>
              <w:rPr>
                <w:rFonts w:eastAsia="Verdana" w:cs="Times New Roman"/>
                <w:sz w:val="14"/>
              </w:rPr>
            </w:pPr>
          </w:p>
        </w:tc>
        <w:tc>
          <w:tcPr>
            <w:tcW w:w="2552" w:type="dxa"/>
          </w:tcPr>
          <w:p w14:paraId="22592657"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How many participants have been involved in each of VTEC, TAEG, EPI in different ways?</w:t>
            </w:r>
          </w:p>
        </w:tc>
        <w:tc>
          <w:tcPr>
            <w:tcW w:w="2835" w:type="dxa"/>
          </w:tcPr>
          <w:p w14:paraId="5120A95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Number of participants at different phases each program (e.g. commenced program, mid-program, completed program)</w:t>
            </w:r>
          </w:p>
        </w:tc>
        <w:tc>
          <w:tcPr>
            <w:tcW w:w="1843" w:type="dxa"/>
          </w:tcPr>
          <w:p w14:paraId="6D0DC20D"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Activities; Short-; Medium-; Long-term outcomes (VTEC, TAEG, EPI)</w:t>
            </w:r>
          </w:p>
        </w:tc>
        <w:tc>
          <w:tcPr>
            <w:tcW w:w="1984" w:type="dxa"/>
          </w:tcPr>
          <w:p w14:paraId="43DA5D31"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Program documentation detailing participant numbers and milestone reporting </w:t>
            </w:r>
          </w:p>
        </w:tc>
        <w:tc>
          <w:tcPr>
            <w:tcW w:w="2335" w:type="dxa"/>
          </w:tcPr>
          <w:p w14:paraId="2B35ED01"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Descriptive analysis of participant numbers </w:t>
            </w:r>
          </w:p>
        </w:tc>
      </w:tr>
      <w:tr w:rsidR="00C1765C" w:rsidRPr="00820C89" w14:paraId="3D3EE8E2" w14:textId="77777777" w:rsidTr="006D2536">
        <w:trPr>
          <w:trHeight w:val="652"/>
        </w:trPr>
        <w:tc>
          <w:tcPr>
            <w:tcW w:w="1701" w:type="dxa"/>
            <w:vMerge/>
          </w:tcPr>
          <w:p w14:paraId="6B8E2389" w14:textId="77777777" w:rsidR="00C1765C" w:rsidRPr="00820C89" w:rsidRDefault="00C1765C" w:rsidP="006D2536">
            <w:pPr>
              <w:rPr>
                <w:rFonts w:eastAsia="Verdana" w:cs="Times New Roman"/>
                <w:sz w:val="14"/>
              </w:rPr>
            </w:pPr>
          </w:p>
        </w:tc>
        <w:tc>
          <w:tcPr>
            <w:tcW w:w="2552" w:type="dxa"/>
            <w:vMerge w:val="restart"/>
          </w:tcPr>
          <w:p w14:paraId="46F63BE6"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What are the characteristics of participants within each of VTEC, </w:t>
            </w:r>
            <w:r w:rsidRPr="00820C89">
              <w:rPr>
                <w:rFonts w:eastAsia="Verdana" w:cs="Verdana"/>
                <w:bCs/>
                <w:color w:val="000000"/>
                <w:sz w:val="14"/>
              </w:rPr>
              <w:lastRenderedPageBreak/>
              <w:t>TAEG, EPI (including age, gender, level of disadvantage, whether relationship with Jobactive/CDP/ Centrelink)?</w:t>
            </w:r>
          </w:p>
        </w:tc>
        <w:tc>
          <w:tcPr>
            <w:tcW w:w="2835" w:type="dxa"/>
            <w:vMerge w:val="restart"/>
          </w:tcPr>
          <w:p w14:paraId="6F64CD94"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lastRenderedPageBreak/>
              <w:t>Participant characteristics (e.g. age, gender, job readiness)</w:t>
            </w:r>
          </w:p>
        </w:tc>
        <w:tc>
          <w:tcPr>
            <w:tcW w:w="1843" w:type="dxa"/>
            <w:vMerge w:val="restart"/>
          </w:tcPr>
          <w:p w14:paraId="092F9D9B"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Outputs; Short-term outcomes (VTEC, TAEG, EPI) </w:t>
            </w:r>
          </w:p>
        </w:tc>
        <w:tc>
          <w:tcPr>
            <w:tcW w:w="1984" w:type="dxa"/>
          </w:tcPr>
          <w:p w14:paraId="02BDFA16"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Program data detailing participant characteristics </w:t>
            </w:r>
            <w:r w:rsidRPr="00820C89">
              <w:rPr>
                <w:rFonts w:eastAsia="Verdana" w:cs="Verdana"/>
                <w:bCs/>
                <w:sz w:val="14"/>
              </w:rPr>
              <w:lastRenderedPageBreak/>
              <w:t>(e.g. age, gender, JSCI classification)</w:t>
            </w:r>
          </w:p>
        </w:tc>
        <w:tc>
          <w:tcPr>
            <w:tcW w:w="2335" w:type="dxa"/>
          </w:tcPr>
          <w:p w14:paraId="4D2FC900" w14:textId="77777777" w:rsidR="00C1765C" w:rsidRPr="00820C89" w:rsidRDefault="00C1765C" w:rsidP="006D2536">
            <w:pPr>
              <w:ind w:left="0"/>
              <w:contextualSpacing/>
              <w:rPr>
                <w:rFonts w:eastAsia="Verdana" w:cs="Verdana"/>
                <w:bCs/>
                <w:sz w:val="14"/>
              </w:rPr>
            </w:pPr>
            <w:r w:rsidRPr="00820C89">
              <w:rPr>
                <w:rFonts w:eastAsia="Verdana" w:cs="Verdana"/>
                <w:bCs/>
                <w:sz w:val="14"/>
              </w:rPr>
              <w:lastRenderedPageBreak/>
              <w:t xml:space="preserve">- Descriptive analysis of participant characteristics  </w:t>
            </w:r>
          </w:p>
        </w:tc>
      </w:tr>
      <w:tr w:rsidR="00C1765C" w:rsidRPr="00820C89" w14:paraId="0573C129" w14:textId="77777777" w:rsidTr="006D2536">
        <w:trPr>
          <w:trHeight w:val="652"/>
        </w:trPr>
        <w:tc>
          <w:tcPr>
            <w:tcW w:w="1701" w:type="dxa"/>
            <w:vMerge/>
          </w:tcPr>
          <w:p w14:paraId="3178F574" w14:textId="77777777" w:rsidR="00C1765C" w:rsidRPr="00820C89" w:rsidRDefault="00C1765C" w:rsidP="006D2536">
            <w:pPr>
              <w:rPr>
                <w:rFonts w:eastAsia="Verdana" w:cs="Times New Roman"/>
                <w:sz w:val="14"/>
              </w:rPr>
            </w:pPr>
          </w:p>
        </w:tc>
        <w:tc>
          <w:tcPr>
            <w:tcW w:w="2552" w:type="dxa"/>
            <w:vMerge/>
          </w:tcPr>
          <w:p w14:paraId="086D2455" w14:textId="77777777" w:rsidR="00C1765C" w:rsidRPr="00820C89" w:rsidRDefault="00C1765C" w:rsidP="006D2536">
            <w:pPr>
              <w:contextualSpacing/>
              <w:rPr>
                <w:rFonts w:eastAsia="Verdana" w:cs="Verdana"/>
                <w:bCs/>
                <w:color w:val="000000"/>
                <w:sz w:val="14"/>
              </w:rPr>
            </w:pPr>
          </w:p>
        </w:tc>
        <w:tc>
          <w:tcPr>
            <w:tcW w:w="2835" w:type="dxa"/>
            <w:vMerge/>
          </w:tcPr>
          <w:p w14:paraId="5E178567" w14:textId="77777777" w:rsidR="00C1765C" w:rsidRPr="00820C89" w:rsidRDefault="00C1765C" w:rsidP="006D2536">
            <w:pPr>
              <w:contextualSpacing/>
              <w:rPr>
                <w:rFonts w:eastAsia="Verdana" w:cs="Verdana"/>
                <w:bCs/>
                <w:color w:val="000000"/>
                <w:sz w:val="14"/>
              </w:rPr>
            </w:pPr>
          </w:p>
        </w:tc>
        <w:tc>
          <w:tcPr>
            <w:tcW w:w="1843" w:type="dxa"/>
            <w:vMerge/>
          </w:tcPr>
          <w:p w14:paraId="4765A6EB" w14:textId="77777777" w:rsidR="00C1765C" w:rsidRPr="00820C89" w:rsidRDefault="00C1765C" w:rsidP="006D2536">
            <w:pPr>
              <w:contextualSpacing/>
              <w:rPr>
                <w:rFonts w:eastAsia="Verdana" w:cs="Verdana"/>
                <w:bCs/>
                <w:color w:val="000000"/>
                <w:sz w:val="14"/>
              </w:rPr>
            </w:pPr>
          </w:p>
        </w:tc>
        <w:tc>
          <w:tcPr>
            <w:tcW w:w="1984" w:type="dxa"/>
          </w:tcPr>
          <w:p w14:paraId="21C171CB"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Jobactive/CDP data (to link with program data if necessary) </w:t>
            </w:r>
          </w:p>
        </w:tc>
        <w:tc>
          <w:tcPr>
            <w:tcW w:w="2335" w:type="dxa"/>
          </w:tcPr>
          <w:p w14:paraId="15374C38"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Descriptive analysis of participant characteristics  </w:t>
            </w:r>
          </w:p>
        </w:tc>
      </w:tr>
      <w:tr w:rsidR="00C1765C" w:rsidRPr="00820C89" w14:paraId="6617A6CF" w14:textId="77777777" w:rsidTr="006D2536">
        <w:trPr>
          <w:trHeight w:val="751"/>
        </w:trPr>
        <w:tc>
          <w:tcPr>
            <w:tcW w:w="1701" w:type="dxa"/>
            <w:vMerge w:val="restart"/>
          </w:tcPr>
          <w:p w14:paraId="44C5F9F1" w14:textId="77777777" w:rsidR="00C1765C" w:rsidRPr="00820C89" w:rsidRDefault="00C1765C" w:rsidP="006D2536">
            <w:pPr>
              <w:ind w:left="0"/>
              <w:rPr>
                <w:rFonts w:eastAsia="Verdana" w:cs="Times New Roman"/>
                <w:sz w:val="14"/>
              </w:rPr>
            </w:pPr>
            <w:r w:rsidRPr="00820C89">
              <w:rPr>
                <w:rFonts w:eastAsia="Verdana" w:cs="Times New Roman"/>
                <w:sz w:val="14"/>
              </w:rPr>
              <w:t xml:space="preserve">To what extent have the programs been delivered in a respectful, strengths-based and place-based way?  </w:t>
            </w:r>
          </w:p>
          <w:p w14:paraId="7A12674B" w14:textId="77777777" w:rsidR="00C1765C" w:rsidRPr="00820C89" w:rsidRDefault="00C1765C" w:rsidP="006D2536">
            <w:pPr>
              <w:rPr>
                <w:rFonts w:eastAsia="Verdana" w:cs="Times New Roman"/>
                <w:sz w:val="14"/>
              </w:rPr>
            </w:pPr>
            <w:r w:rsidRPr="00820C89">
              <w:rPr>
                <w:rFonts w:eastAsia="Verdana" w:cs="Times New Roman"/>
                <w:sz w:val="14"/>
              </w:rPr>
              <w:t xml:space="preserve"> </w:t>
            </w:r>
          </w:p>
        </w:tc>
        <w:tc>
          <w:tcPr>
            <w:tcW w:w="2552" w:type="dxa"/>
            <w:vMerge w:val="restart"/>
          </w:tcPr>
          <w:p w14:paraId="2F1192CC" w14:textId="77777777" w:rsidR="00C1765C" w:rsidRPr="00820C89" w:rsidRDefault="00C1765C" w:rsidP="006D2536">
            <w:pPr>
              <w:ind w:left="0"/>
              <w:contextualSpacing/>
              <w:rPr>
                <w:rFonts w:eastAsia="Verdana" w:cs="Verdana"/>
                <w:bCs/>
                <w:color w:val="FF0000"/>
                <w:sz w:val="14"/>
              </w:rPr>
            </w:pPr>
            <w:r w:rsidRPr="00820C89">
              <w:rPr>
                <w:rFonts w:eastAsia="Verdana" w:cs="Verdana"/>
                <w:bCs/>
                <w:color w:val="000000"/>
                <w:sz w:val="14"/>
              </w:rPr>
              <w:t>Are there observable differences in how the program is delivered between different types of VTEC and TAEG providers and EPI partners?</w:t>
            </w:r>
          </w:p>
          <w:p w14:paraId="50395AF9" w14:textId="77777777" w:rsidR="00C1765C" w:rsidRPr="00820C89" w:rsidRDefault="00C1765C" w:rsidP="006D2536">
            <w:pPr>
              <w:contextualSpacing/>
              <w:rPr>
                <w:rFonts w:eastAsia="Verdana" w:cs="Verdana"/>
                <w:bCs/>
                <w:color w:val="FF0000"/>
                <w:sz w:val="14"/>
              </w:rPr>
            </w:pPr>
          </w:p>
        </w:tc>
        <w:tc>
          <w:tcPr>
            <w:tcW w:w="2835" w:type="dxa"/>
            <w:vMerge w:val="restart"/>
          </w:tcPr>
          <w:p w14:paraId="4363EB82" w14:textId="77777777" w:rsidR="00C1765C" w:rsidRPr="00820C89" w:rsidRDefault="00C1765C" w:rsidP="006D2536">
            <w:pPr>
              <w:ind w:left="0"/>
              <w:contextualSpacing/>
              <w:rPr>
                <w:rFonts w:eastAsia="Verdana" w:cs="Verdana"/>
                <w:bCs/>
                <w:color w:val="FF0000"/>
                <w:sz w:val="14"/>
              </w:rPr>
            </w:pPr>
            <w:r w:rsidRPr="00820C89">
              <w:rPr>
                <w:rFonts w:eastAsia="Verdana" w:cs="Verdana"/>
                <w:bCs/>
                <w:color w:val="000000"/>
                <w:sz w:val="14"/>
              </w:rPr>
              <w:t xml:space="preserve">Perspectives on the context for, and factors affecting, delivery of the program </w:t>
            </w:r>
          </w:p>
          <w:p w14:paraId="6B4EA707" w14:textId="77777777" w:rsidR="00C1765C" w:rsidRPr="00820C89" w:rsidRDefault="00C1765C" w:rsidP="006D2536">
            <w:pPr>
              <w:contextualSpacing/>
              <w:rPr>
                <w:rFonts w:eastAsia="Verdana" w:cs="Verdana"/>
                <w:bCs/>
                <w:color w:val="FF0000"/>
                <w:sz w:val="14"/>
              </w:rPr>
            </w:pPr>
          </w:p>
        </w:tc>
        <w:tc>
          <w:tcPr>
            <w:tcW w:w="1843" w:type="dxa"/>
            <w:vMerge w:val="restart"/>
          </w:tcPr>
          <w:p w14:paraId="436A985A"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 xml:space="preserve">Short-; Medium-; Long-term outcomes </w:t>
            </w:r>
            <w:r w:rsidRPr="00820C89">
              <w:rPr>
                <w:rFonts w:eastAsia="Verdana" w:cs="Verdana"/>
                <w:bCs/>
                <w:sz w:val="14"/>
              </w:rPr>
              <w:t xml:space="preserve">(VTEC, TAEG, EPI) </w:t>
            </w:r>
          </w:p>
          <w:p w14:paraId="6B63823E" w14:textId="77777777" w:rsidR="00C1765C" w:rsidRPr="00820C89" w:rsidRDefault="00C1765C" w:rsidP="006D2536">
            <w:pPr>
              <w:ind w:left="0"/>
              <w:contextualSpacing/>
              <w:rPr>
                <w:rFonts w:eastAsia="Verdana" w:cs="Verdana"/>
                <w:bCs/>
                <w:color w:val="FF0000"/>
                <w:sz w:val="14"/>
              </w:rPr>
            </w:pPr>
          </w:p>
          <w:p w14:paraId="638884A6" w14:textId="77777777" w:rsidR="00C1765C" w:rsidRPr="00820C89" w:rsidRDefault="00C1765C" w:rsidP="006D2536">
            <w:pPr>
              <w:contextualSpacing/>
              <w:rPr>
                <w:rFonts w:eastAsia="Verdana" w:cs="Verdana"/>
                <w:bCs/>
                <w:color w:val="FF0000"/>
                <w:sz w:val="14"/>
              </w:rPr>
            </w:pPr>
          </w:p>
        </w:tc>
        <w:tc>
          <w:tcPr>
            <w:tcW w:w="1984" w:type="dxa"/>
          </w:tcPr>
          <w:p w14:paraId="0755C586" w14:textId="77777777" w:rsidR="00C1765C" w:rsidRPr="00820C89" w:rsidRDefault="00C1765C" w:rsidP="006D2536">
            <w:pPr>
              <w:ind w:left="0"/>
              <w:contextualSpacing/>
              <w:rPr>
                <w:rFonts w:eastAsia="Verdana" w:cs="Verdana"/>
                <w:bCs/>
                <w:color w:val="FF0000"/>
                <w:sz w:val="14"/>
              </w:rPr>
            </w:pPr>
            <w:r w:rsidRPr="00820C89">
              <w:rPr>
                <w:rFonts w:eastAsia="Verdana" w:cs="Verdana"/>
                <w:bCs/>
                <w:color w:val="000000"/>
                <w:sz w:val="14"/>
              </w:rPr>
              <w:t xml:space="preserve">- Initial stakeholder consultations </w:t>
            </w:r>
            <w:r w:rsidRPr="00820C89">
              <w:rPr>
                <w:rFonts w:eastAsia="Verdana" w:cs="Verdana"/>
                <w:bCs/>
                <w:color w:val="000000"/>
                <w:sz w:val="14"/>
              </w:rPr>
              <w:br/>
            </w:r>
          </w:p>
        </w:tc>
        <w:tc>
          <w:tcPr>
            <w:tcW w:w="2335" w:type="dxa"/>
          </w:tcPr>
          <w:p w14:paraId="00876AC5" w14:textId="77777777" w:rsidR="00C1765C" w:rsidRPr="00820C89" w:rsidRDefault="00C1765C" w:rsidP="006D2536">
            <w:pPr>
              <w:ind w:left="0"/>
              <w:contextualSpacing/>
              <w:rPr>
                <w:rFonts w:eastAsia="Verdana" w:cs="Verdana"/>
                <w:bCs/>
                <w:color w:val="FF0000"/>
                <w:sz w:val="14"/>
              </w:rPr>
            </w:pPr>
            <w:r w:rsidRPr="00820C89">
              <w:rPr>
                <w:rFonts w:eastAsia="Verdana" w:cs="Verdana"/>
                <w:bCs/>
                <w:sz w:val="14"/>
              </w:rPr>
              <w:t>- Thematic analysis – high-level understanding of important contextual factors</w:t>
            </w:r>
          </w:p>
        </w:tc>
      </w:tr>
      <w:tr w:rsidR="00C1765C" w:rsidRPr="00820C89" w14:paraId="72FCD5F5" w14:textId="77777777" w:rsidTr="006D2536">
        <w:trPr>
          <w:trHeight w:val="282"/>
        </w:trPr>
        <w:tc>
          <w:tcPr>
            <w:tcW w:w="1701" w:type="dxa"/>
            <w:vMerge/>
          </w:tcPr>
          <w:p w14:paraId="34674997" w14:textId="77777777" w:rsidR="00C1765C" w:rsidRPr="00820C89" w:rsidRDefault="00C1765C" w:rsidP="006D2536">
            <w:pPr>
              <w:rPr>
                <w:rFonts w:eastAsia="Verdana" w:cs="Verdana"/>
                <w:bCs/>
                <w:sz w:val="14"/>
              </w:rPr>
            </w:pPr>
          </w:p>
        </w:tc>
        <w:tc>
          <w:tcPr>
            <w:tcW w:w="2552" w:type="dxa"/>
            <w:vMerge/>
          </w:tcPr>
          <w:p w14:paraId="797EE47E" w14:textId="77777777" w:rsidR="00C1765C" w:rsidRPr="00820C89" w:rsidRDefault="00C1765C" w:rsidP="006D2536">
            <w:pPr>
              <w:contextualSpacing/>
              <w:rPr>
                <w:rFonts w:eastAsia="Verdana" w:cs="Verdana"/>
                <w:bCs/>
                <w:color w:val="000000"/>
                <w:sz w:val="14"/>
              </w:rPr>
            </w:pPr>
          </w:p>
        </w:tc>
        <w:tc>
          <w:tcPr>
            <w:tcW w:w="2835" w:type="dxa"/>
            <w:vMerge/>
          </w:tcPr>
          <w:p w14:paraId="1410B049" w14:textId="77777777" w:rsidR="00C1765C" w:rsidRPr="00820C89" w:rsidRDefault="00C1765C" w:rsidP="006D2536">
            <w:pPr>
              <w:contextualSpacing/>
              <w:rPr>
                <w:rFonts w:eastAsia="Verdana" w:cs="Verdana"/>
                <w:bCs/>
                <w:color w:val="000000"/>
                <w:sz w:val="14"/>
              </w:rPr>
            </w:pPr>
          </w:p>
        </w:tc>
        <w:tc>
          <w:tcPr>
            <w:tcW w:w="1843" w:type="dxa"/>
            <w:vMerge/>
          </w:tcPr>
          <w:p w14:paraId="5F479365" w14:textId="77777777" w:rsidR="00C1765C" w:rsidRPr="00820C89" w:rsidRDefault="00C1765C" w:rsidP="006D2536">
            <w:pPr>
              <w:contextualSpacing/>
              <w:rPr>
                <w:rFonts w:eastAsia="Verdana" w:cs="Verdana"/>
                <w:bCs/>
                <w:color w:val="000000"/>
                <w:sz w:val="14"/>
              </w:rPr>
            </w:pPr>
          </w:p>
        </w:tc>
        <w:tc>
          <w:tcPr>
            <w:tcW w:w="1984" w:type="dxa"/>
          </w:tcPr>
          <w:p w14:paraId="57EE7058"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Regional consultations</w:t>
            </w:r>
          </w:p>
        </w:tc>
        <w:tc>
          <w:tcPr>
            <w:tcW w:w="2335" w:type="dxa"/>
          </w:tcPr>
          <w:p w14:paraId="7158B3F6"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 Case studies that establish an ecosystem of perspectives</w:t>
            </w:r>
          </w:p>
        </w:tc>
      </w:tr>
      <w:tr w:rsidR="00C1765C" w:rsidRPr="00820C89" w14:paraId="310569D3" w14:textId="77777777" w:rsidTr="006D2536">
        <w:trPr>
          <w:trHeight w:val="436"/>
        </w:trPr>
        <w:tc>
          <w:tcPr>
            <w:tcW w:w="1701" w:type="dxa"/>
            <w:vMerge/>
          </w:tcPr>
          <w:p w14:paraId="68A8FFED" w14:textId="77777777" w:rsidR="00C1765C" w:rsidRPr="00820C89" w:rsidRDefault="00C1765C" w:rsidP="006D2536">
            <w:pPr>
              <w:rPr>
                <w:rFonts w:eastAsia="Verdana" w:cs="Verdana"/>
                <w:bCs/>
                <w:sz w:val="14"/>
              </w:rPr>
            </w:pPr>
          </w:p>
        </w:tc>
        <w:tc>
          <w:tcPr>
            <w:tcW w:w="2552" w:type="dxa"/>
            <w:vMerge/>
          </w:tcPr>
          <w:p w14:paraId="366F24E7" w14:textId="77777777" w:rsidR="00C1765C" w:rsidRPr="00820C89" w:rsidRDefault="00C1765C" w:rsidP="006D2536">
            <w:pPr>
              <w:contextualSpacing/>
              <w:rPr>
                <w:rFonts w:eastAsia="Verdana" w:cs="Verdana"/>
                <w:bCs/>
                <w:color w:val="000000"/>
                <w:sz w:val="14"/>
              </w:rPr>
            </w:pPr>
          </w:p>
        </w:tc>
        <w:tc>
          <w:tcPr>
            <w:tcW w:w="2835" w:type="dxa"/>
            <w:vMerge/>
          </w:tcPr>
          <w:p w14:paraId="60E78AC8" w14:textId="77777777" w:rsidR="00C1765C" w:rsidRPr="00820C89" w:rsidRDefault="00C1765C" w:rsidP="006D2536">
            <w:pPr>
              <w:contextualSpacing/>
              <w:rPr>
                <w:rFonts w:eastAsia="Verdana" w:cs="Verdana"/>
                <w:bCs/>
                <w:color w:val="000000"/>
                <w:sz w:val="14"/>
              </w:rPr>
            </w:pPr>
          </w:p>
        </w:tc>
        <w:tc>
          <w:tcPr>
            <w:tcW w:w="1843" w:type="dxa"/>
            <w:vMerge/>
          </w:tcPr>
          <w:p w14:paraId="2DC404D5" w14:textId="77777777" w:rsidR="00C1765C" w:rsidRPr="00820C89" w:rsidRDefault="00C1765C" w:rsidP="006D2536">
            <w:pPr>
              <w:contextualSpacing/>
              <w:rPr>
                <w:rFonts w:eastAsia="Verdana" w:cs="Verdana"/>
                <w:bCs/>
                <w:color w:val="000000"/>
                <w:sz w:val="14"/>
              </w:rPr>
            </w:pPr>
          </w:p>
        </w:tc>
        <w:tc>
          <w:tcPr>
            <w:tcW w:w="1984" w:type="dxa"/>
          </w:tcPr>
          <w:p w14:paraId="53FA219D"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 Provider survey </w:t>
            </w:r>
          </w:p>
        </w:tc>
        <w:tc>
          <w:tcPr>
            <w:tcW w:w="2335" w:type="dxa"/>
          </w:tcPr>
          <w:p w14:paraId="3DE873C1"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Thematic analysis of key differences</w:t>
            </w:r>
          </w:p>
          <w:p w14:paraId="19AD8649"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Descriptive analysis of response to related ten-point scale questions</w:t>
            </w:r>
          </w:p>
        </w:tc>
      </w:tr>
      <w:tr w:rsidR="00C1765C" w:rsidRPr="00820C89" w14:paraId="1DA9851D" w14:textId="77777777" w:rsidTr="006D2536">
        <w:trPr>
          <w:trHeight w:val="1018"/>
        </w:trPr>
        <w:tc>
          <w:tcPr>
            <w:tcW w:w="1701" w:type="dxa"/>
            <w:vMerge/>
          </w:tcPr>
          <w:p w14:paraId="37B98C2F" w14:textId="77777777" w:rsidR="00C1765C" w:rsidRPr="00820C89" w:rsidRDefault="00C1765C" w:rsidP="006D2536">
            <w:pPr>
              <w:rPr>
                <w:rFonts w:eastAsia="Verdana" w:cs="Times New Roman"/>
                <w:sz w:val="14"/>
              </w:rPr>
            </w:pPr>
          </w:p>
        </w:tc>
        <w:tc>
          <w:tcPr>
            <w:tcW w:w="2552" w:type="dxa"/>
          </w:tcPr>
          <w:p w14:paraId="6443BA51"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do participants feel that VTEC, TAEG and EPI are respectful, and based on strengths?</w:t>
            </w:r>
          </w:p>
        </w:tc>
        <w:tc>
          <w:tcPr>
            <w:tcW w:w="2835" w:type="dxa"/>
          </w:tcPr>
          <w:p w14:paraId="154FAE1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Participant perspectives on program delivery </w:t>
            </w:r>
          </w:p>
        </w:tc>
        <w:tc>
          <w:tcPr>
            <w:tcW w:w="1843" w:type="dxa"/>
          </w:tcPr>
          <w:p w14:paraId="2CD56039"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 xml:space="preserve">Short-; Medium-; Long-term outcomes </w:t>
            </w:r>
            <w:r w:rsidRPr="00820C89">
              <w:rPr>
                <w:rFonts w:eastAsia="Verdana" w:cs="Verdana"/>
                <w:bCs/>
                <w:sz w:val="14"/>
              </w:rPr>
              <w:t xml:space="preserve">(VTEC, TAEG, EPI) </w:t>
            </w:r>
          </w:p>
        </w:tc>
        <w:tc>
          <w:tcPr>
            <w:tcW w:w="1984" w:type="dxa"/>
          </w:tcPr>
          <w:p w14:paraId="10D93E55"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Regional consultations</w:t>
            </w:r>
          </w:p>
          <w:p w14:paraId="7938EB43" w14:textId="77777777" w:rsidR="00C1765C" w:rsidRPr="00820C89" w:rsidRDefault="00C1765C" w:rsidP="006D2536">
            <w:pPr>
              <w:ind w:left="0"/>
              <w:contextualSpacing/>
              <w:rPr>
                <w:rFonts w:eastAsia="Verdana" w:cs="Verdana"/>
                <w:bCs/>
                <w:color w:val="000000"/>
                <w:sz w:val="14"/>
              </w:rPr>
            </w:pPr>
          </w:p>
        </w:tc>
        <w:tc>
          <w:tcPr>
            <w:tcW w:w="2335" w:type="dxa"/>
          </w:tcPr>
          <w:p w14:paraId="17A665E0"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659EF1A7" w14:textId="77777777" w:rsidR="00C1765C" w:rsidRPr="00820C89" w:rsidRDefault="00C1765C" w:rsidP="006D2536">
            <w:pPr>
              <w:ind w:left="0"/>
              <w:contextualSpacing/>
              <w:rPr>
                <w:rFonts w:eastAsia="Verdana" w:cs="Verdana"/>
                <w:bCs/>
                <w:i/>
                <w:sz w:val="14"/>
              </w:rPr>
            </w:pPr>
            <w:r w:rsidRPr="00820C89">
              <w:rPr>
                <w:rFonts w:eastAsia="Verdana" w:cs="Verdana"/>
                <w:bCs/>
                <w:color w:val="000000"/>
                <w:sz w:val="14"/>
              </w:rPr>
              <w:t>- Case studies that establish an ecosystem of perspectives</w:t>
            </w:r>
          </w:p>
        </w:tc>
      </w:tr>
      <w:tr w:rsidR="00C1765C" w:rsidRPr="00820C89" w14:paraId="2A6896E9" w14:textId="77777777" w:rsidTr="006D2536">
        <w:trPr>
          <w:trHeight w:val="497"/>
        </w:trPr>
        <w:tc>
          <w:tcPr>
            <w:tcW w:w="1701" w:type="dxa"/>
            <w:vMerge/>
          </w:tcPr>
          <w:p w14:paraId="0B645D2A" w14:textId="77777777" w:rsidR="00C1765C" w:rsidRPr="00820C89" w:rsidRDefault="00C1765C" w:rsidP="006D2536">
            <w:pPr>
              <w:rPr>
                <w:rFonts w:eastAsia="Verdana" w:cs="Times New Roman"/>
                <w:sz w:val="14"/>
              </w:rPr>
            </w:pPr>
          </w:p>
        </w:tc>
        <w:tc>
          <w:tcPr>
            <w:tcW w:w="2552" w:type="dxa"/>
          </w:tcPr>
          <w:p w14:paraId="2456CD81"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do other Indigenous Australians (non-participants) feel the suite of programs is respectful, and based on strengths?</w:t>
            </w:r>
          </w:p>
        </w:tc>
        <w:tc>
          <w:tcPr>
            <w:tcW w:w="2835" w:type="dxa"/>
          </w:tcPr>
          <w:p w14:paraId="31169F0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Indigenous Australian expert group perspectives on program delivery </w:t>
            </w:r>
          </w:p>
        </w:tc>
        <w:tc>
          <w:tcPr>
            <w:tcW w:w="1843" w:type="dxa"/>
          </w:tcPr>
          <w:p w14:paraId="4BDF051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Short-; Medium-; Long-term outcomes </w:t>
            </w:r>
          </w:p>
        </w:tc>
        <w:tc>
          <w:tcPr>
            <w:tcW w:w="1984" w:type="dxa"/>
          </w:tcPr>
          <w:p w14:paraId="45D221E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Regional consultations</w:t>
            </w:r>
          </w:p>
          <w:p w14:paraId="296ACA99" w14:textId="77777777" w:rsidR="00C1765C" w:rsidRPr="00820C89" w:rsidRDefault="00C1765C" w:rsidP="006D2536">
            <w:pPr>
              <w:contextualSpacing/>
              <w:rPr>
                <w:rFonts w:eastAsia="Verdana" w:cs="Verdana"/>
                <w:bCs/>
                <w:color w:val="000000"/>
                <w:sz w:val="14"/>
              </w:rPr>
            </w:pPr>
          </w:p>
        </w:tc>
        <w:tc>
          <w:tcPr>
            <w:tcW w:w="2335" w:type="dxa"/>
          </w:tcPr>
          <w:p w14:paraId="00EB0DDA"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547F157F"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 Case studies that establish an ecosystem of perspectives</w:t>
            </w:r>
          </w:p>
        </w:tc>
      </w:tr>
      <w:tr w:rsidR="00C1765C" w:rsidRPr="00820C89" w14:paraId="180F6996" w14:textId="77777777" w:rsidTr="006D2536">
        <w:trPr>
          <w:trHeight w:val="497"/>
        </w:trPr>
        <w:tc>
          <w:tcPr>
            <w:tcW w:w="1701" w:type="dxa"/>
            <w:vMerge/>
          </w:tcPr>
          <w:p w14:paraId="09722B8F" w14:textId="77777777" w:rsidR="00C1765C" w:rsidRPr="00820C89" w:rsidRDefault="00C1765C" w:rsidP="006D2536">
            <w:pPr>
              <w:rPr>
                <w:rFonts w:eastAsia="Verdana" w:cs="Times New Roman"/>
                <w:sz w:val="14"/>
              </w:rPr>
            </w:pPr>
          </w:p>
        </w:tc>
        <w:tc>
          <w:tcPr>
            <w:tcW w:w="2552" w:type="dxa"/>
          </w:tcPr>
          <w:p w14:paraId="7BFDC84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To what extent do other Indigenous Australians (non-participants) feel the VTEC, TAEG </w:t>
            </w:r>
            <w:r w:rsidRPr="00820C89">
              <w:rPr>
                <w:rFonts w:eastAsia="Verdana" w:cs="Verdana"/>
                <w:bCs/>
                <w:color w:val="000000"/>
                <w:sz w:val="14"/>
              </w:rPr>
              <w:lastRenderedPageBreak/>
              <w:t>and EPI are respectful, and based on strengths?</w:t>
            </w:r>
          </w:p>
        </w:tc>
        <w:tc>
          <w:tcPr>
            <w:tcW w:w="2835" w:type="dxa"/>
          </w:tcPr>
          <w:p w14:paraId="51F9B9B1"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lastRenderedPageBreak/>
              <w:t xml:space="preserve">Indigenous Australian expert group perspectives on program delivery </w:t>
            </w:r>
          </w:p>
        </w:tc>
        <w:tc>
          <w:tcPr>
            <w:tcW w:w="1843" w:type="dxa"/>
          </w:tcPr>
          <w:p w14:paraId="74558A0C"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Short-; Medium-; Long-term outcomes </w:t>
            </w:r>
            <w:r w:rsidRPr="00820C89">
              <w:rPr>
                <w:rFonts w:eastAsia="Verdana" w:cs="Verdana"/>
                <w:bCs/>
                <w:sz w:val="14"/>
              </w:rPr>
              <w:t>(VTEC, TAEG, EPI)</w:t>
            </w:r>
          </w:p>
        </w:tc>
        <w:tc>
          <w:tcPr>
            <w:tcW w:w="1984" w:type="dxa"/>
          </w:tcPr>
          <w:p w14:paraId="109DEAE5"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Regional consultations</w:t>
            </w:r>
          </w:p>
          <w:p w14:paraId="15490279" w14:textId="77777777" w:rsidR="00C1765C" w:rsidRPr="00820C89" w:rsidRDefault="00C1765C" w:rsidP="006D2536">
            <w:pPr>
              <w:contextualSpacing/>
              <w:rPr>
                <w:rFonts w:eastAsia="Verdana" w:cs="Verdana"/>
                <w:bCs/>
                <w:color w:val="000000"/>
                <w:sz w:val="14"/>
              </w:rPr>
            </w:pPr>
          </w:p>
        </w:tc>
        <w:tc>
          <w:tcPr>
            <w:tcW w:w="2335" w:type="dxa"/>
          </w:tcPr>
          <w:p w14:paraId="2CF0A709"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2744DE43" w14:textId="77777777" w:rsidR="00C1765C" w:rsidRPr="00820C89" w:rsidRDefault="00C1765C" w:rsidP="006D2536">
            <w:pPr>
              <w:ind w:left="0"/>
              <w:contextualSpacing/>
              <w:rPr>
                <w:rFonts w:eastAsia="Verdana" w:cs="Verdana"/>
                <w:bCs/>
                <w:i/>
                <w:sz w:val="14"/>
              </w:rPr>
            </w:pPr>
            <w:r w:rsidRPr="00820C89">
              <w:rPr>
                <w:rFonts w:eastAsia="Verdana" w:cs="Verdana"/>
                <w:bCs/>
                <w:color w:val="000000"/>
                <w:sz w:val="14"/>
              </w:rPr>
              <w:t>- Case studies that establish an ecosystem of perspectives</w:t>
            </w:r>
          </w:p>
        </w:tc>
      </w:tr>
      <w:tr w:rsidR="00C1765C" w:rsidRPr="00820C89" w14:paraId="4FB8128D" w14:textId="77777777" w:rsidTr="006D2536">
        <w:trPr>
          <w:trHeight w:val="259"/>
        </w:trPr>
        <w:tc>
          <w:tcPr>
            <w:tcW w:w="13250" w:type="dxa"/>
            <w:gridSpan w:val="6"/>
          </w:tcPr>
          <w:p w14:paraId="225270A4" w14:textId="77777777" w:rsidR="00C1765C" w:rsidRPr="00820C89" w:rsidRDefault="00C1765C" w:rsidP="006D2536">
            <w:pPr>
              <w:rPr>
                <w:rFonts w:eastAsia="Verdana" w:cs="Verdana"/>
                <w:bCs/>
                <w:color w:val="000000" w:themeColor="text1"/>
                <w:sz w:val="14"/>
              </w:rPr>
            </w:pPr>
            <w:r w:rsidRPr="00820C89">
              <w:rPr>
                <w:rFonts w:eastAsia="Verdana" w:cs="Verdana"/>
                <w:b/>
                <w:bCs/>
                <w:color w:val="000000" w:themeColor="text1"/>
                <w:sz w:val="14"/>
              </w:rPr>
              <w:t xml:space="preserve">2. Program effectiveness and impact </w:t>
            </w:r>
          </w:p>
        </w:tc>
      </w:tr>
      <w:tr w:rsidR="00C1765C" w:rsidRPr="00820C89" w14:paraId="12D54C4D" w14:textId="77777777" w:rsidTr="006D2536">
        <w:trPr>
          <w:trHeight w:val="252"/>
        </w:trPr>
        <w:tc>
          <w:tcPr>
            <w:tcW w:w="1701" w:type="dxa"/>
            <w:vMerge w:val="restart"/>
          </w:tcPr>
          <w:p w14:paraId="63AC964B" w14:textId="77777777" w:rsidR="00C1765C" w:rsidRPr="00820C89" w:rsidRDefault="00C1765C" w:rsidP="006D2536">
            <w:pPr>
              <w:ind w:left="0"/>
              <w:rPr>
                <w:rFonts w:eastAsia="Verdana" w:cs="Verdana"/>
                <w:bCs/>
                <w:color w:val="000000"/>
                <w:sz w:val="14"/>
              </w:rPr>
            </w:pPr>
            <w:r w:rsidRPr="00820C89">
              <w:rPr>
                <w:rFonts w:eastAsia="Verdana" w:cs="Times New Roman"/>
                <w:sz w:val="14"/>
              </w:rPr>
              <w:t>To what extent are the activities achieving their intended outcomes, in the short, medium and long term?</w:t>
            </w:r>
          </w:p>
          <w:p w14:paraId="6F0EAABD" w14:textId="77777777" w:rsidR="00C1765C" w:rsidRPr="00820C89" w:rsidRDefault="00C1765C" w:rsidP="006D2536">
            <w:pPr>
              <w:rPr>
                <w:rFonts w:eastAsia="Verdana" w:cs="Verdana"/>
                <w:bCs/>
                <w:color w:val="000000"/>
                <w:sz w:val="14"/>
              </w:rPr>
            </w:pPr>
          </w:p>
        </w:tc>
        <w:tc>
          <w:tcPr>
            <w:tcW w:w="2552" w:type="dxa"/>
            <w:vMerge w:val="restart"/>
          </w:tcPr>
          <w:p w14:paraId="20B8F94B" w14:textId="77777777" w:rsidR="00C1765C" w:rsidRPr="00820C89" w:rsidRDefault="00C1765C" w:rsidP="006D2536">
            <w:pPr>
              <w:ind w:left="0"/>
              <w:rPr>
                <w:rFonts w:eastAsia="Verdana" w:cs="Verdana"/>
                <w:bCs/>
                <w:sz w:val="14"/>
              </w:rPr>
            </w:pPr>
            <w:r w:rsidRPr="00820C89">
              <w:rPr>
                <w:rFonts w:eastAsia="Verdana" w:cs="Verdana"/>
                <w:bCs/>
                <w:sz w:val="14"/>
              </w:rPr>
              <w:t>To what extent are VTEC, TAEG and EPI participants meeting program milestones?</w:t>
            </w:r>
          </w:p>
          <w:p w14:paraId="7340639F" w14:textId="77777777" w:rsidR="00C1765C" w:rsidRPr="00820C89" w:rsidRDefault="00C1765C" w:rsidP="006D2536">
            <w:pPr>
              <w:rPr>
                <w:rFonts w:eastAsia="Verdana" w:cs="Verdana"/>
                <w:bCs/>
                <w:sz w:val="14"/>
              </w:rPr>
            </w:pPr>
          </w:p>
        </w:tc>
        <w:tc>
          <w:tcPr>
            <w:tcW w:w="2835" w:type="dxa"/>
            <w:vMerge w:val="restart"/>
          </w:tcPr>
          <w:p w14:paraId="083ABF81"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Proportion of participants (and characteristics of participants) who complete the program (i.e. meet certain milestones)</w:t>
            </w:r>
          </w:p>
        </w:tc>
        <w:tc>
          <w:tcPr>
            <w:tcW w:w="1843" w:type="dxa"/>
            <w:vMerge w:val="restart"/>
          </w:tcPr>
          <w:p w14:paraId="50D16B57"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Short-; Medium-outcomes </w:t>
            </w:r>
            <w:r w:rsidRPr="00820C89">
              <w:rPr>
                <w:rFonts w:eastAsia="Verdana" w:cs="Verdana"/>
                <w:bCs/>
                <w:sz w:val="14"/>
              </w:rPr>
              <w:t>(VTEC, TAEG, EPI)</w:t>
            </w:r>
          </w:p>
        </w:tc>
        <w:tc>
          <w:tcPr>
            <w:tcW w:w="1984" w:type="dxa"/>
          </w:tcPr>
          <w:p w14:paraId="0D0FBA48" w14:textId="77777777" w:rsidR="00C1765C" w:rsidRPr="00820C89" w:rsidRDefault="00C1765C" w:rsidP="006D2536">
            <w:pPr>
              <w:ind w:left="0"/>
              <w:contextualSpacing/>
              <w:rPr>
                <w:rFonts w:eastAsia="Verdana" w:cs="Verdana"/>
                <w:bCs/>
                <w:sz w:val="14"/>
              </w:rPr>
            </w:pPr>
            <w:r w:rsidRPr="00820C89">
              <w:rPr>
                <w:rFonts w:eastAsia="Verdana" w:cs="Verdana"/>
                <w:bCs/>
                <w:sz w:val="14"/>
              </w:rPr>
              <w:t>- ESS data</w:t>
            </w:r>
          </w:p>
        </w:tc>
        <w:tc>
          <w:tcPr>
            <w:tcW w:w="2335" w:type="dxa"/>
          </w:tcPr>
          <w:p w14:paraId="2F6A0F2F" w14:textId="77777777" w:rsidR="00C1765C" w:rsidRPr="00820C89" w:rsidRDefault="00C1765C" w:rsidP="006D2536">
            <w:pPr>
              <w:ind w:left="0"/>
              <w:contextualSpacing/>
              <w:rPr>
                <w:rFonts w:asciiTheme="minorHAnsi" w:eastAsia="Verdana" w:hAnsiTheme="minorHAnsi" w:cs="Verdana"/>
                <w:bCs/>
                <w:color w:val="000000" w:themeColor="text1"/>
                <w:sz w:val="14"/>
                <w:szCs w:val="22"/>
              </w:rPr>
            </w:pPr>
            <w:r w:rsidRPr="00820C89">
              <w:rPr>
                <w:rFonts w:eastAsia="Verdana" w:cs="Verdana"/>
                <w:bCs/>
                <w:color w:val="000000" w:themeColor="text1"/>
                <w:sz w:val="14"/>
              </w:rPr>
              <w:t>- Descriptive analysis</w:t>
            </w:r>
          </w:p>
        </w:tc>
      </w:tr>
      <w:tr w:rsidR="00C1765C" w:rsidRPr="00820C89" w14:paraId="3813E685" w14:textId="77777777" w:rsidTr="006D2536">
        <w:trPr>
          <w:trHeight w:val="346"/>
        </w:trPr>
        <w:tc>
          <w:tcPr>
            <w:tcW w:w="1701" w:type="dxa"/>
            <w:vMerge/>
          </w:tcPr>
          <w:p w14:paraId="1BDCF1BA" w14:textId="77777777" w:rsidR="00C1765C" w:rsidRPr="00820C89" w:rsidRDefault="00C1765C" w:rsidP="006D2536">
            <w:pPr>
              <w:rPr>
                <w:rFonts w:eastAsia="Verdana" w:cs="Times New Roman"/>
                <w:sz w:val="14"/>
              </w:rPr>
            </w:pPr>
          </w:p>
        </w:tc>
        <w:tc>
          <w:tcPr>
            <w:tcW w:w="2552" w:type="dxa"/>
            <w:vMerge/>
          </w:tcPr>
          <w:p w14:paraId="0632388D" w14:textId="77777777" w:rsidR="00C1765C" w:rsidRPr="00820C89" w:rsidRDefault="00C1765C" w:rsidP="006D2536">
            <w:pPr>
              <w:rPr>
                <w:rFonts w:eastAsia="Verdana" w:cs="Verdana"/>
                <w:bCs/>
                <w:sz w:val="14"/>
              </w:rPr>
            </w:pPr>
          </w:p>
        </w:tc>
        <w:tc>
          <w:tcPr>
            <w:tcW w:w="2835" w:type="dxa"/>
            <w:vMerge/>
          </w:tcPr>
          <w:p w14:paraId="4FB033BE" w14:textId="77777777" w:rsidR="00C1765C" w:rsidRPr="00820C89" w:rsidRDefault="00C1765C" w:rsidP="006D2536">
            <w:pPr>
              <w:contextualSpacing/>
              <w:rPr>
                <w:rFonts w:eastAsia="Verdana" w:cs="Verdana"/>
                <w:bCs/>
                <w:color w:val="000000"/>
                <w:sz w:val="14"/>
              </w:rPr>
            </w:pPr>
          </w:p>
        </w:tc>
        <w:tc>
          <w:tcPr>
            <w:tcW w:w="1843" w:type="dxa"/>
            <w:vMerge/>
          </w:tcPr>
          <w:p w14:paraId="35BDD48B" w14:textId="77777777" w:rsidR="00C1765C" w:rsidRPr="00820C89" w:rsidRDefault="00C1765C" w:rsidP="006D2536">
            <w:pPr>
              <w:contextualSpacing/>
              <w:rPr>
                <w:rFonts w:eastAsia="Verdana" w:cs="Verdana"/>
                <w:bCs/>
                <w:color w:val="000000"/>
                <w:sz w:val="14"/>
              </w:rPr>
            </w:pPr>
          </w:p>
        </w:tc>
        <w:tc>
          <w:tcPr>
            <w:tcW w:w="1984" w:type="dxa"/>
          </w:tcPr>
          <w:p w14:paraId="4E8FAE23" w14:textId="77777777" w:rsidR="00C1765C" w:rsidRPr="00820C89" w:rsidRDefault="00C1765C" w:rsidP="006D2536">
            <w:pPr>
              <w:ind w:left="0"/>
              <w:contextualSpacing/>
              <w:rPr>
                <w:rFonts w:eastAsia="Verdana" w:cs="Verdana"/>
                <w:bCs/>
                <w:sz w:val="14"/>
              </w:rPr>
            </w:pPr>
            <w:r w:rsidRPr="00820C89">
              <w:rPr>
                <w:rFonts w:eastAsia="Verdana" w:cs="Verdana"/>
                <w:bCs/>
                <w:sz w:val="14"/>
              </w:rPr>
              <w:t>- Program documentation</w:t>
            </w:r>
          </w:p>
        </w:tc>
        <w:tc>
          <w:tcPr>
            <w:tcW w:w="2335" w:type="dxa"/>
          </w:tcPr>
          <w:p w14:paraId="79186627"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 analysis</w:t>
            </w:r>
          </w:p>
        </w:tc>
      </w:tr>
      <w:tr w:rsidR="00C1765C" w:rsidRPr="00820C89" w14:paraId="150A97AF" w14:textId="77777777" w:rsidTr="006D2536">
        <w:trPr>
          <w:trHeight w:val="768"/>
        </w:trPr>
        <w:tc>
          <w:tcPr>
            <w:tcW w:w="1701" w:type="dxa"/>
            <w:vMerge/>
          </w:tcPr>
          <w:p w14:paraId="6E7F5BFF" w14:textId="77777777" w:rsidR="00C1765C" w:rsidRPr="00820C89" w:rsidRDefault="00C1765C" w:rsidP="006D2536">
            <w:pPr>
              <w:rPr>
                <w:rFonts w:eastAsia="Verdana" w:cs="Times New Roman"/>
                <w:sz w:val="14"/>
              </w:rPr>
            </w:pPr>
          </w:p>
        </w:tc>
        <w:tc>
          <w:tcPr>
            <w:tcW w:w="2552" w:type="dxa"/>
            <w:vMerge/>
          </w:tcPr>
          <w:p w14:paraId="26F9441E" w14:textId="77777777" w:rsidR="00C1765C" w:rsidRPr="00820C89" w:rsidRDefault="00C1765C" w:rsidP="006D2536">
            <w:pPr>
              <w:contextualSpacing/>
              <w:rPr>
                <w:rFonts w:eastAsia="Verdana" w:cs="Verdana"/>
                <w:bCs/>
                <w:sz w:val="14"/>
              </w:rPr>
            </w:pPr>
          </w:p>
        </w:tc>
        <w:tc>
          <w:tcPr>
            <w:tcW w:w="2835" w:type="dxa"/>
            <w:tcBorders>
              <w:bottom w:val="single" w:sz="4" w:space="0" w:color="000000"/>
            </w:tcBorders>
          </w:tcPr>
          <w:p w14:paraId="43B6FDC0"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Proportion of providers who report that the short- and medium- outcomes have been met</w:t>
            </w:r>
          </w:p>
        </w:tc>
        <w:tc>
          <w:tcPr>
            <w:tcW w:w="1843" w:type="dxa"/>
          </w:tcPr>
          <w:p w14:paraId="5E319A32"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 xml:space="preserve">Short-; Medium-term outcomes </w:t>
            </w:r>
            <w:r w:rsidRPr="00820C89">
              <w:rPr>
                <w:rFonts w:eastAsia="Verdana" w:cs="Verdana"/>
                <w:bCs/>
                <w:sz w:val="14"/>
              </w:rPr>
              <w:t>(VTEC, TAEG, EPI)</w:t>
            </w:r>
          </w:p>
        </w:tc>
        <w:tc>
          <w:tcPr>
            <w:tcW w:w="1984" w:type="dxa"/>
          </w:tcPr>
          <w:p w14:paraId="2FF55C2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Provider survey</w:t>
            </w:r>
          </w:p>
          <w:p w14:paraId="72DC7ABC" w14:textId="77777777" w:rsidR="00C1765C" w:rsidRPr="00820C89" w:rsidRDefault="00C1765C" w:rsidP="006D2536">
            <w:pPr>
              <w:contextualSpacing/>
              <w:rPr>
                <w:rFonts w:eastAsia="Verdana" w:cs="Verdana"/>
                <w:bCs/>
                <w:sz w:val="14"/>
              </w:rPr>
            </w:pPr>
          </w:p>
        </w:tc>
        <w:tc>
          <w:tcPr>
            <w:tcW w:w="2335" w:type="dxa"/>
          </w:tcPr>
          <w:p w14:paraId="0F5D7E34"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w:t>
            </w:r>
          </w:p>
          <w:p w14:paraId="10BF46C4" w14:textId="77777777" w:rsidR="00C1765C" w:rsidRPr="00820C89" w:rsidRDefault="00C1765C" w:rsidP="006D2536">
            <w:pPr>
              <w:ind w:left="0"/>
              <w:contextualSpacing/>
              <w:rPr>
                <w:rFonts w:eastAsia="Verdana" w:cs="Verdana"/>
                <w:bCs/>
                <w:color w:val="FF0000"/>
                <w:sz w:val="14"/>
              </w:rPr>
            </w:pPr>
          </w:p>
        </w:tc>
      </w:tr>
      <w:tr w:rsidR="00C1765C" w:rsidRPr="00820C89" w14:paraId="0C1E15CA" w14:textId="77777777" w:rsidTr="006D2536">
        <w:trPr>
          <w:trHeight w:val="383"/>
        </w:trPr>
        <w:tc>
          <w:tcPr>
            <w:tcW w:w="1701" w:type="dxa"/>
            <w:vMerge/>
          </w:tcPr>
          <w:p w14:paraId="5269DD2E" w14:textId="77777777" w:rsidR="00C1765C" w:rsidRPr="00820C89" w:rsidRDefault="00C1765C" w:rsidP="006D2536">
            <w:pPr>
              <w:rPr>
                <w:rFonts w:eastAsia="Verdana" w:cs="Times New Roman"/>
                <w:sz w:val="14"/>
              </w:rPr>
            </w:pPr>
          </w:p>
        </w:tc>
        <w:tc>
          <w:tcPr>
            <w:tcW w:w="2552" w:type="dxa"/>
            <w:vMerge w:val="restart"/>
            <w:tcBorders>
              <w:top w:val="single" w:sz="4" w:space="0" w:color="000000"/>
            </w:tcBorders>
          </w:tcPr>
          <w:p w14:paraId="425707ED" w14:textId="77777777" w:rsidR="00C1765C" w:rsidRPr="00820C89" w:rsidRDefault="00C1765C" w:rsidP="006D2536">
            <w:pPr>
              <w:ind w:left="0"/>
              <w:rPr>
                <w:rFonts w:eastAsia="Verdana" w:cs="Verdana"/>
                <w:bCs/>
                <w:sz w:val="14"/>
              </w:rPr>
            </w:pPr>
            <w:r w:rsidRPr="00820C89">
              <w:rPr>
                <w:rFonts w:eastAsia="Verdana" w:cs="Verdana"/>
                <w:bCs/>
                <w:sz w:val="14"/>
              </w:rPr>
              <w:t>What evidence (or early indication) is there that activities for each of VTEC, TAEG or EPI have (or will) lead to medium-and long-term intended outcomes?</w:t>
            </w:r>
          </w:p>
        </w:tc>
        <w:tc>
          <w:tcPr>
            <w:tcW w:w="2835" w:type="dxa"/>
            <w:tcBorders>
              <w:top w:val="single" w:sz="4" w:space="0" w:color="000000"/>
            </w:tcBorders>
          </w:tcPr>
          <w:p w14:paraId="1FD7DD4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Participant and employer perspectives on the nature of outcomes realised, and the extent of these outcomes</w:t>
            </w:r>
          </w:p>
        </w:tc>
        <w:tc>
          <w:tcPr>
            <w:tcW w:w="1843" w:type="dxa"/>
          </w:tcPr>
          <w:p w14:paraId="374FA509"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Short-; Medium-term outcomes </w:t>
            </w:r>
            <w:r w:rsidRPr="00820C89">
              <w:rPr>
                <w:rFonts w:eastAsia="Verdana" w:cs="Verdana"/>
                <w:bCs/>
                <w:sz w:val="14"/>
              </w:rPr>
              <w:t>(VTEC, TAEG, EPI)</w:t>
            </w:r>
          </w:p>
        </w:tc>
        <w:tc>
          <w:tcPr>
            <w:tcW w:w="1984" w:type="dxa"/>
          </w:tcPr>
          <w:p w14:paraId="057B1A5F" w14:textId="77777777" w:rsidR="00C1765C" w:rsidRPr="00820C89" w:rsidRDefault="00C1765C" w:rsidP="006D2536">
            <w:pPr>
              <w:contextualSpacing/>
              <w:rPr>
                <w:rFonts w:eastAsia="Verdana" w:cs="Verdana"/>
                <w:bCs/>
                <w:sz w:val="14"/>
              </w:rPr>
            </w:pPr>
            <w:r w:rsidRPr="00820C89">
              <w:rPr>
                <w:rFonts w:eastAsia="Verdana" w:cs="Verdana"/>
                <w:bCs/>
                <w:sz w:val="14"/>
              </w:rPr>
              <w:t>- Regional consultations</w:t>
            </w:r>
          </w:p>
        </w:tc>
        <w:tc>
          <w:tcPr>
            <w:tcW w:w="2335" w:type="dxa"/>
          </w:tcPr>
          <w:p w14:paraId="5EAF68A8"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w:t>
            </w:r>
          </w:p>
          <w:p w14:paraId="0A4ECD13"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sz w:val="14"/>
              </w:rPr>
              <w:t>- Case studies that establish an ecosystem of perspectives</w:t>
            </w:r>
          </w:p>
        </w:tc>
      </w:tr>
      <w:tr w:rsidR="00C1765C" w:rsidRPr="00820C89" w14:paraId="56A79427" w14:textId="77777777" w:rsidTr="006D2536">
        <w:trPr>
          <w:trHeight w:val="383"/>
        </w:trPr>
        <w:tc>
          <w:tcPr>
            <w:tcW w:w="1701" w:type="dxa"/>
            <w:vMerge/>
          </w:tcPr>
          <w:p w14:paraId="7936AF96" w14:textId="77777777" w:rsidR="00C1765C" w:rsidRPr="00820C89" w:rsidRDefault="00C1765C" w:rsidP="006D2536">
            <w:pPr>
              <w:rPr>
                <w:rFonts w:eastAsia="Verdana" w:cs="Times New Roman"/>
                <w:sz w:val="14"/>
              </w:rPr>
            </w:pPr>
          </w:p>
        </w:tc>
        <w:tc>
          <w:tcPr>
            <w:tcW w:w="2552" w:type="dxa"/>
            <w:vMerge/>
          </w:tcPr>
          <w:p w14:paraId="41FAF917" w14:textId="77777777" w:rsidR="00C1765C" w:rsidRPr="00820C89" w:rsidRDefault="00C1765C" w:rsidP="006D2536">
            <w:pPr>
              <w:rPr>
                <w:rFonts w:eastAsia="Verdana" w:cs="Verdana"/>
                <w:bCs/>
                <w:sz w:val="14"/>
              </w:rPr>
            </w:pPr>
          </w:p>
        </w:tc>
        <w:tc>
          <w:tcPr>
            <w:tcW w:w="2835" w:type="dxa"/>
            <w:tcBorders>
              <w:top w:val="single" w:sz="4" w:space="0" w:color="000000"/>
            </w:tcBorders>
          </w:tcPr>
          <w:p w14:paraId="5432BAE6"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Proportion of participants who are employed a period of time after completing the program </w:t>
            </w:r>
          </w:p>
        </w:tc>
        <w:tc>
          <w:tcPr>
            <w:tcW w:w="1843" w:type="dxa"/>
          </w:tcPr>
          <w:p w14:paraId="3938F7B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Long-term outcomes </w:t>
            </w:r>
            <w:r w:rsidRPr="00820C89">
              <w:rPr>
                <w:rFonts w:eastAsia="Verdana" w:cs="Verdana"/>
                <w:bCs/>
                <w:sz w:val="14"/>
              </w:rPr>
              <w:t>(VTEC, TAEG, EPI)</w:t>
            </w:r>
          </w:p>
        </w:tc>
        <w:tc>
          <w:tcPr>
            <w:tcW w:w="1984" w:type="dxa"/>
          </w:tcPr>
          <w:p w14:paraId="59836851" w14:textId="77777777" w:rsidR="00C1765C" w:rsidRPr="00820C89" w:rsidRDefault="00C1765C" w:rsidP="006D2536">
            <w:pPr>
              <w:ind w:left="0"/>
              <w:contextualSpacing/>
              <w:rPr>
                <w:rFonts w:eastAsia="Verdana" w:cs="Verdana"/>
                <w:bCs/>
                <w:color w:val="FF0000"/>
                <w:sz w:val="14"/>
              </w:rPr>
            </w:pPr>
            <w:r w:rsidRPr="00820C89">
              <w:rPr>
                <w:rFonts w:eastAsia="Verdana" w:cs="Verdana"/>
                <w:bCs/>
                <w:sz w:val="14"/>
              </w:rPr>
              <w:t xml:space="preserve">- ESS data </w:t>
            </w:r>
          </w:p>
        </w:tc>
        <w:tc>
          <w:tcPr>
            <w:tcW w:w="2335" w:type="dxa"/>
          </w:tcPr>
          <w:p w14:paraId="2145C08C"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w:t>
            </w:r>
          </w:p>
          <w:p w14:paraId="0BF87B8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sz w:val="14"/>
              </w:rPr>
              <w:t>- Mapping against employment outcomes for different provider types (i.e. geographical location/rurality, provider size)</w:t>
            </w:r>
          </w:p>
        </w:tc>
      </w:tr>
      <w:tr w:rsidR="00C1765C" w:rsidRPr="00820C89" w14:paraId="481CE2A3" w14:textId="77777777" w:rsidTr="006D2536">
        <w:trPr>
          <w:trHeight w:val="326"/>
        </w:trPr>
        <w:tc>
          <w:tcPr>
            <w:tcW w:w="1701" w:type="dxa"/>
            <w:vMerge/>
          </w:tcPr>
          <w:p w14:paraId="75EB7927" w14:textId="77777777" w:rsidR="00C1765C" w:rsidRPr="00820C89" w:rsidRDefault="00C1765C" w:rsidP="006D2536">
            <w:pPr>
              <w:rPr>
                <w:rFonts w:eastAsia="Verdana" w:cs="Times New Roman"/>
                <w:sz w:val="14"/>
              </w:rPr>
            </w:pPr>
          </w:p>
        </w:tc>
        <w:tc>
          <w:tcPr>
            <w:tcW w:w="2552" w:type="dxa"/>
            <w:vMerge/>
          </w:tcPr>
          <w:p w14:paraId="6593B6F7" w14:textId="77777777" w:rsidR="00C1765C" w:rsidRPr="00820C89" w:rsidRDefault="00C1765C" w:rsidP="006D2536">
            <w:pPr>
              <w:rPr>
                <w:rFonts w:eastAsia="Verdana" w:cs="Verdana"/>
                <w:bCs/>
                <w:sz w:val="14"/>
              </w:rPr>
            </w:pPr>
          </w:p>
        </w:tc>
        <w:tc>
          <w:tcPr>
            <w:tcW w:w="2835" w:type="dxa"/>
            <w:tcBorders>
              <w:top w:val="single" w:sz="4" w:space="0" w:color="000000"/>
            </w:tcBorders>
          </w:tcPr>
          <w:p w14:paraId="6EDF0DD9" w14:textId="77777777" w:rsidR="00C1765C" w:rsidRPr="00820C89" w:rsidRDefault="00C1765C" w:rsidP="006D2536">
            <w:pPr>
              <w:ind w:left="0"/>
              <w:contextualSpacing/>
              <w:rPr>
                <w:rFonts w:eastAsia="Verdana" w:cs="Verdana"/>
                <w:bCs/>
                <w:sz w:val="14"/>
              </w:rPr>
            </w:pPr>
            <w:r w:rsidRPr="00820C89">
              <w:rPr>
                <w:rFonts w:eastAsia="Verdana" w:cs="Verdana"/>
                <w:bCs/>
                <w:sz w:val="14"/>
              </w:rPr>
              <w:t>Proportion of participants who have demonstrated other long-term outcomes (i.e. improved work readiness, job skills and wellbeing)</w:t>
            </w:r>
          </w:p>
        </w:tc>
        <w:tc>
          <w:tcPr>
            <w:tcW w:w="1843" w:type="dxa"/>
          </w:tcPr>
          <w:p w14:paraId="7E234227" w14:textId="77777777" w:rsidR="00C1765C" w:rsidRPr="00820C89" w:rsidRDefault="00C1765C" w:rsidP="006D2536">
            <w:pPr>
              <w:ind w:left="0"/>
              <w:contextualSpacing/>
              <w:rPr>
                <w:rFonts w:eastAsia="Verdana" w:cs="Verdana"/>
                <w:bCs/>
                <w:sz w:val="14"/>
              </w:rPr>
            </w:pPr>
            <w:r w:rsidRPr="00820C89">
              <w:rPr>
                <w:rFonts w:eastAsia="Verdana" w:cs="Verdana"/>
                <w:bCs/>
                <w:sz w:val="14"/>
              </w:rPr>
              <w:t>Long-term outcomes (VTEC, TAEG, EPI)</w:t>
            </w:r>
          </w:p>
        </w:tc>
        <w:tc>
          <w:tcPr>
            <w:tcW w:w="1984" w:type="dxa"/>
          </w:tcPr>
          <w:p w14:paraId="29ADC9FB"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(participants, providers, employers)</w:t>
            </w:r>
          </w:p>
        </w:tc>
        <w:tc>
          <w:tcPr>
            <w:tcW w:w="2335" w:type="dxa"/>
          </w:tcPr>
          <w:p w14:paraId="0B2A66B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74B46894"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 that establish an ecosystem of perspectives</w:t>
            </w:r>
          </w:p>
        </w:tc>
      </w:tr>
      <w:tr w:rsidR="00C1765C" w:rsidRPr="00820C89" w14:paraId="3D833C9D" w14:textId="77777777" w:rsidTr="006D2536">
        <w:trPr>
          <w:trHeight w:val="326"/>
        </w:trPr>
        <w:tc>
          <w:tcPr>
            <w:tcW w:w="1701" w:type="dxa"/>
            <w:vMerge/>
          </w:tcPr>
          <w:p w14:paraId="172F5E36" w14:textId="77777777" w:rsidR="00C1765C" w:rsidRPr="00820C89" w:rsidRDefault="00C1765C" w:rsidP="006D2536">
            <w:pPr>
              <w:rPr>
                <w:rFonts w:eastAsia="Verdana" w:cs="Times New Roman"/>
                <w:sz w:val="14"/>
              </w:rPr>
            </w:pPr>
          </w:p>
        </w:tc>
        <w:tc>
          <w:tcPr>
            <w:tcW w:w="2552" w:type="dxa"/>
            <w:vMerge/>
          </w:tcPr>
          <w:p w14:paraId="0F3DECAD" w14:textId="77777777" w:rsidR="00C1765C" w:rsidRPr="00820C89" w:rsidRDefault="00C1765C" w:rsidP="006D2536">
            <w:pPr>
              <w:rPr>
                <w:rFonts w:eastAsia="Verdana" w:cs="Verdana"/>
                <w:bCs/>
                <w:sz w:val="14"/>
              </w:rPr>
            </w:pPr>
          </w:p>
        </w:tc>
        <w:tc>
          <w:tcPr>
            <w:tcW w:w="2835" w:type="dxa"/>
            <w:vMerge w:val="restart"/>
            <w:tcBorders>
              <w:top w:val="single" w:sz="4" w:space="0" w:color="000000"/>
            </w:tcBorders>
          </w:tcPr>
          <w:p w14:paraId="55AD5F05"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Proportion of companies who have delivered and embedded new strategies </w:t>
            </w:r>
          </w:p>
        </w:tc>
        <w:tc>
          <w:tcPr>
            <w:tcW w:w="1843" w:type="dxa"/>
            <w:vMerge w:val="restart"/>
          </w:tcPr>
          <w:p w14:paraId="7723292A" w14:textId="77777777" w:rsidR="00C1765C" w:rsidRPr="00820C89" w:rsidRDefault="00C1765C" w:rsidP="006D2536">
            <w:pPr>
              <w:ind w:left="0"/>
              <w:contextualSpacing/>
              <w:rPr>
                <w:rFonts w:eastAsia="Verdana" w:cs="Verdana"/>
                <w:bCs/>
                <w:sz w:val="14"/>
              </w:rPr>
            </w:pPr>
            <w:r w:rsidRPr="00820C89">
              <w:rPr>
                <w:rFonts w:eastAsia="Verdana" w:cs="Verdana"/>
                <w:bCs/>
                <w:sz w:val="14"/>
              </w:rPr>
              <w:t>Long-term outcomes (VTEC, TAEG, EPI)</w:t>
            </w:r>
          </w:p>
        </w:tc>
        <w:tc>
          <w:tcPr>
            <w:tcW w:w="1984" w:type="dxa"/>
          </w:tcPr>
          <w:p w14:paraId="1AEF351C"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Program documentation (if available)  </w:t>
            </w:r>
          </w:p>
        </w:tc>
        <w:tc>
          <w:tcPr>
            <w:tcW w:w="2335" w:type="dxa"/>
          </w:tcPr>
          <w:p w14:paraId="65D52898"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 analysis</w:t>
            </w:r>
          </w:p>
        </w:tc>
      </w:tr>
      <w:tr w:rsidR="00C1765C" w:rsidRPr="00820C89" w14:paraId="352C77CC" w14:textId="77777777" w:rsidTr="006D2536">
        <w:trPr>
          <w:trHeight w:val="326"/>
        </w:trPr>
        <w:tc>
          <w:tcPr>
            <w:tcW w:w="1701" w:type="dxa"/>
            <w:vMerge/>
          </w:tcPr>
          <w:p w14:paraId="6EB9345D" w14:textId="77777777" w:rsidR="00C1765C" w:rsidRPr="00820C89" w:rsidRDefault="00C1765C" w:rsidP="006D2536">
            <w:pPr>
              <w:rPr>
                <w:rFonts w:eastAsia="Verdana" w:cs="Times New Roman"/>
                <w:sz w:val="14"/>
              </w:rPr>
            </w:pPr>
          </w:p>
        </w:tc>
        <w:tc>
          <w:tcPr>
            <w:tcW w:w="2552" w:type="dxa"/>
            <w:vMerge/>
          </w:tcPr>
          <w:p w14:paraId="521AD21D" w14:textId="77777777" w:rsidR="00C1765C" w:rsidRPr="00820C89" w:rsidRDefault="00C1765C" w:rsidP="006D2536">
            <w:pPr>
              <w:rPr>
                <w:rFonts w:eastAsia="Verdana" w:cs="Verdana"/>
                <w:bCs/>
                <w:sz w:val="14"/>
              </w:rPr>
            </w:pPr>
          </w:p>
        </w:tc>
        <w:tc>
          <w:tcPr>
            <w:tcW w:w="2835" w:type="dxa"/>
            <w:vMerge/>
          </w:tcPr>
          <w:p w14:paraId="69FB85F6" w14:textId="77777777" w:rsidR="00C1765C" w:rsidRPr="00820C89" w:rsidRDefault="00C1765C" w:rsidP="006D2536">
            <w:pPr>
              <w:contextualSpacing/>
              <w:rPr>
                <w:rFonts w:eastAsia="Verdana" w:cs="Verdana"/>
                <w:bCs/>
                <w:sz w:val="14"/>
              </w:rPr>
            </w:pPr>
          </w:p>
        </w:tc>
        <w:tc>
          <w:tcPr>
            <w:tcW w:w="1843" w:type="dxa"/>
            <w:vMerge/>
          </w:tcPr>
          <w:p w14:paraId="714F2FFE" w14:textId="77777777" w:rsidR="00C1765C" w:rsidRPr="00820C89" w:rsidRDefault="00C1765C" w:rsidP="006D2536">
            <w:pPr>
              <w:contextualSpacing/>
              <w:rPr>
                <w:rFonts w:eastAsia="Verdana" w:cs="Verdana"/>
                <w:bCs/>
                <w:sz w:val="14"/>
              </w:rPr>
            </w:pPr>
          </w:p>
        </w:tc>
        <w:tc>
          <w:tcPr>
            <w:tcW w:w="1984" w:type="dxa"/>
          </w:tcPr>
          <w:p w14:paraId="05F10642"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(providers, employers)</w:t>
            </w:r>
          </w:p>
        </w:tc>
        <w:tc>
          <w:tcPr>
            <w:tcW w:w="2335" w:type="dxa"/>
          </w:tcPr>
          <w:p w14:paraId="0A89C382"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621E082C"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 that establish an ecosystem of perspectives</w:t>
            </w:r>
          </w:p>
        </w:tc>
      </w:tr>
      <w:tr w:rsidR="00C1765C" w:rsidRPr="00820C89" w14:paraId="233B5942" w14:textId="77777777" w:rsidTr="006D2536">
        <w:trPr>
          <w:trHeight w:val="383"/>
        </w:trPr>
        <w:tc>
          <w:tcPr>
            <w:tcW w:w="1701" w:type="dxa"/>
            <w:vMerge/>
          </w:tcPr>
          <w:p w14:paraId="05FC9199" w14:textId="77777777" w:rsidR="00C1765C" w:rsidRPr="00820C89" w:rsidRDefault="00C1765C" w:rsidP="006D2536">
            <w:pPr>
              <w:rPr>
                <w:rFonts w:eastAsia="Verdana" w:cs="Times New Roman"/>
                <w:sz w:val="14"/>
              </w:rPr>
            </w:pPr>
          </w:p>
        </w:tc>
        <w:tc>
          <w:tcPr>
            <w:tcW w:w="2552" w:type="dxa"/>
            <w:vMerge w:val="restart"/>
            <w:tcBorders>
              <w:top w:val="single" w:sz="4" w:space="0" w:color="000000"/>
            </w:tcBorders>
          </w:tcPr>
          <w:p w14:paraId="456A4ECF" w14:textId="77777777" w:rsidR="00C1765C" w:rsidRPr="00820C89" w:rsidRDefault="00C1765C" w:rsidP="006D2536">
            <w:pPr>
              <w:contextualSpacing/>
              <w:rPr>
                <w:rFonts w:eastAsia="Verdana" w:cs="Verdana"/>
                <w:bCs/>
                <w:sz w:val="14"/>
              </w:rPr>
            </w:pPr>
            <w:r w:rsidRPr="00820C89">
              <w:rPr>
                <w:rFonts w:eastAsia="Verdana" w:cs="Verdana"/>
                <w:bCs/>
                <w:sz w:val="14"/>
              </w:rPr>
              <w:t xml:space="preserve">To what extent have outcomes for VTEC, TAEG and EPI participants improved over time? </w:t>
            </w:r>
          </w:p>
          <w:p w14:paraId="1A5E25D5" w14:textId="77777777" w:rsidR="00C1765C" w:rsidRPr="00820C89" w:rsidRDefault="00C1765C" w:rsidP="006D2536">
            <w:pPr>
              <w:contextualSpacing/>
              <w:rPr>
                <w:rFonts w:eastAsia="Verdana" w:cs="Verdana"/>
                <w:bCs/>
                <w:sz w:val="14"/>
              </w:rPr>
            </w:pPr>
          </w:p>
        </w:tc>
        <w:tc>
          <w:tcPr>
            <w:tcW w:w="2835" w:type="dxa"/>
            <w:vMerge w:val="restart"/>
            <w:tcBorders>
              <w:top w:val="single" w:sz="4" w:space="0" w:color="000000"/>
            </w:tcBorders>
          </w:tcPr>
          <w:p w14:paraId="28DE0C8F"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Time-series of program completion rates  </w:t>
            </w:r>
          </w:p>
        </w:tc>
        <w:tc>
          <w:tcPr>
            <w:tcW w:w="1843" w:type="dxa"/>
            <w:vMerge w:val="restart"/>
          </w:tcPr>
          <w:p w14:paraId="69949BEB" w14:textId="77777777" w:rsidR="00C1765C" w:rsidRPr="00820C89" w:rsidRDefault="00C1765C" w:rsidP="006D2536">
            <w:pPr>
              <w:ind w:left="0"/>
              <w:contextualSpacing/>
              <w:rPr>
                <w:rFonts w:eastAsia="Verdana" w:cs="Verdana"/>
                <w:bCs/>
                <w:sz w:val="14"/>
              </w:rPr>
            </w:pPr>
            <w:r w:rsidRPr="00820C89">
              <w:rPr>
                <w:rFonts w:eastAsia="Verdana" w:cs="Verdana"/>
                <w:bCs/>
                <w:sz w:val="14"/>
              </w:rPr>
              <w:t>Long-term outcomes (VTEC, TAEG, EPI)</w:t>
            </w:r>
          </w:p>
        </w:tc>
        <w:tc>
          <w:tcPr>
            <w:tcW w:w="1984" w:type="dxa"/>
          </w:tcPr>
          <w:p w14:paraId="052E7BA3" w14:textId="77777777" w:rsidR="00C1765C" w:rsidRPr="00820C89" w:rsidRDefault="00C1765C" w:rsidP="006D2536">
            <w:pPr>
              <w:ind w:left="0"/>
              <w:contextualSpacing/>
              <w:rPr>
                <w:rFonts w:eastAsia="Verdana" w:cs="Verdana"/>
                <w:bCs/>
                <w:sz w:val="14"/>
              </w:rPr>
            </w:pPr>
            <w:r w:rsidRPr="00820C89">
              <w:rPr>
                <w:rFonts w:eastAsia="Verdana" w:cs="Verdana"/>
                <w:bCs/>
                <w:sz w:val="14"/>
              </w:rPr>
              <w:t>- ESS data</w:t>
            </w:r>
          </w:p>
        </w:tc>
        <w:tc>
          <w:tcPr>
            <w:tcW w:w="2335" w:type="dxa"/>
          </w:tcPr>
          <w:p w14:paraId="6349D9F4"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Descriptive/regression analysis</w:t>
            </w:r>
          </w:p>
        </w:tc>
      </w:tr>
      <w:tr w:rsidR="00C1765C" w:rsidRPr="00820C89" w14:paraId="53F3B50B" w14:textId="77777777" w:rsidTr="006D2536">
        <w:trPr>
          <w:trHeight w:val="382"/>
        </w:trPr>
        <w:tc>
          <w:tcPr>
            <w:tcW w:w="1701" w:type="dxa"/>
            <w:vMerge/>
          </w:tcPr>
          <w:p w14:paraId="36DBF6DE" w14:textId="77777777" w:rsidR="00C1765C" w:rsidRPr="00820C89" w:rsidRDefault="00C1765C" w:rsidP="006D2536">
            <w:pPr>
              <w:rPr>
                <w:rFonts w:eastAsia="Verdana" w:cs="Times New Roman"/>
                <w:sz w:val="14"/>
              </w:rPr>
            </w:pPr>
          </w:p>
        </w:tc>
        <w:tc>
          <w:tcPr>
            <w:tcW w:w="2552" w:type="dxa"/>
            <w:vMerge/>
          </w:tcPr>
          <w:p w14:paraId="2F9A7DD6" w14:textId="77777777" w:rsidR="00C1765C" w:rsidRPr="00820C89" w:rsidRDefault="00C1765C" w:rsidP="006D2536">
            <w:pPr>
              <w:contextualSpacing/>
              <w:rPr>
                <w:rFonts w:eastAsia="Verdana" w:cs="Verdana"/>
                <w:bCs/>
                <w:sz w:val="14"/>
              </w:rPr>
            </w:pPr>
          </w:p>
        </w:tc>
        <w:tc>
          <w:tcPr>
            <w:tcW w:w="2835" w:type="dxa"/>
            <w:vMerge/>
            <w:tcBorders>
              <w:top w:val="single" w:sz="4" w:space="0" w:color="000000"/>
            </w:tcBorders>
          </w:tcPr>
          <w:p w14:paraId="54DA56C1" w14:textId="77777777" w:rsidR="00C1765C" w:rsidRPr="00820C89" w:rsidRDefault="00C1765C" w:rsidP="006D2536">
            <w:pPr>
              <w:contextualSpacing/>
              <w:rPr>
                <w:rFonts w:eastAsia="Verdana" w:cs="Verdana"/>
                <w:bCs/>
                <w:sz w:val="14"/>
              </w:rPr>
            </w:pPr>
          </w:p>
        </w:tc>
        <w:tc>
          <w:tcPr>
            <w:tcW w:w="1843" w:type="dxa"/>
            <w:vMerge/>
          </w:tcPr>
          <w:p w14:paraId="573F060D" w14:textId="77777777" w:rsidR="00C1765C" w:rsidRPr="00820C89" w:rsidRDefault="00C1765C" w:rsidP="006D2536">
            <w:pPr>
              <w:contextualSpacing/>
              <w:rPr>
                <w:rFonts w:eastAsia="Verdana" w:cs="Verdana"/>
                <w:bCs/>
                <w:sz w:val="14"/>
              </w:rPr>
            </w:pPr>
          </w:p>
        </w:tc>
        <w:tc>
          <w:tcPr>
            <w:tcW w:w="1984" w:type="dxa"/>
          </w:tcPr>
          <w:p w14:paraId="27D7F5B1" w14:textId="77777777" w:rsidR="00C1765C" w:rsidRPr="00820C89" w:rsidRDefault="00C1765C" w:rsidP="006D2536">
            <w:pPr>
              <w:ind w:left="0"/>
              <w:contextualSpacing/>
              <w:rPr>
                <w:rFonts w:eastAsia="Verdana" w:cs="Verdana"/>
                <w:bCs/>
                <w:sz w:val="14"/>
              </w:rPr>
            </w:pPr>
            <w:r w:rsidRPr="00820C89">
              <w:rPr>
                <w:rFonts w:eastAsia="Verdana" w:cs="Verdana"/>
                <w:bCs/>
                <w:sz w:val="14"/>
              </w:rPr>
              <w:t>- Jobactive and CDP data</w:t>
            </w:r>
          </w:p>
        </w:tc>
        <w:tc>
          <w:tcPr>
            <w:tcW w:w="2335" w:type="dxa"/>
          </w:tcPr>
          <w:p w14:paraId="22F96065"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Descriptive/regression analysis</w:t>
            </w:r>
          </w:p>
        </w:tc>
      </w:tr>
      <w:tr w:rsidR="00C1765C" w:rsidRPr="00820C89" w14:paraId="0806924B" w14:textId="77777777" w:rsidTr="006D2536">
        <w:trPr>
          <w:trHeight w:val="383"/>
        </w:trPr>
        <w:tc>
          <w:tcPr>
            <w:tcW w:w="1701" w:type="dxa"/>
            <w:vMerge/>
          </w:tcPr>
          <w:p w14:paraId="4775433C" w14:textId="77777777" w:rsidR="00C1765C" w:rsidRPr="00820C89" w:rsidRDefault="00C1765C" w:rsidP="006D2536">
            <w:pPr>
              <w:rPr>
                <w:rFonts w:eastAsia="Verdana" w:cs="Times New Roman"/>
                <w:sz w:val="14"/>
              </w:rPr>
            </w:pPr>
          </w:p>
        </w:tc>
        <w:tc>
          <w:tcPr>
            <w:tcW w:w="2552" w:type="dxa"/>
            <w:vMerge/>
          </w:tcPr>
          <w:p w14:paraId="78A11F46" w14:textId="77777777" w:rsidR="00C1765C" w:rsidRPr="00820C89" w:rsidRDefault="00C1765C" w:rsidP="006D2536">
            <w:pPr>
              <w:contextualSpacing/>
              <w:rPr>
                <w:rFonts w:eastAsia="Verdana" w:cs="Verdana"/>
                <w:bCs/>
                <w:color w:val="000000"/>
                <w:sz w:val="14"/>
              </w:rPr>
            </w:pPr>
          </w:p>
        </w:tc>
        <w:tc>
          <w:tcPr>
            <w:tcW w:w="2835" w:type="dxa"/>
            <w:vMerge w:val="restart"/>
            <w:tcBorders>
              <w:top w:val="single" w:sz="4" w:space="0" w:color="000000"/>
            </w:tcBorders>
          </w:tcPr>
          <w:p w14:paraId="5839AF66" w14:textId="77777777" w:rsidR="00C1765C" w:rsidRPr="00820C89" w:rsidRDefault="00C1765C" w:rsidP="006D2536">
            <w:pPr>
              <w:ind w:left="0"/>
              <w:contextualSpacing/>
              <w:rPr>
                <w:rFonts w:eastAsia="Verdana" w:cs="Verdana"/>
                <w:bCs/>
                <w:sz w:val="14"/>
              </w:rPr>
            </w:pPr>
            <w:r w:rsidRPr="00820C89">
              <w:rPr>
                <w:rFonts w:eastAsia="Verdana" w:cs="Verdana"/>
                <w:bCs/>
                <w:sz w:val="14"/>
              </w:rPr>
              <w:t>Time-series of employment outcomes</w:t>
            </w:r>
          </w:p>
        </w:tc>
        <w:tc>
          <w:tcPr>
            <w:tcW w:w="1843" w:type="dxa"/>
            <w:vMerge w:val="restart"/>
          </w:tcPr>
          <w:p w14:paraId="380AB658" w14:textId="77777777" w:rsidR="00C1765C" w:rsidRPr="00820C89" w:rsidRDefault="00C1765C" w:rsidP="006D2536">
            <w:pPr>
              <w:ind w:left="0"/>
              <w:contextualSpacing/>
              <w:rPr>
                <w:rFonts w:eastAsia="Verdana" w:cs="Verdana"/>
                <w:bCs/>
                <w:sz w:val="14"/>
              </w:rPr>
            </w:pPr>
            <w:r w:rsidRPr="00820C89">
              <w:rPr>
                <w:rFonts w:eastAsia="Verdana" w:cs="Verdana"/>
                <w:bCs/>
                <w:sz w:val="14"/>
              </w:rPr>
              <w:t>Long-term outcomes (VTEC, TAEG, EPI)</w:t>
            </w:r>
          </w:p>
        </w:tc>
        <w:tc>
          <w:tcPr>
            <w:tcW w:w="1984" w:type="dxa"/>
          </w:tcPr>
          <w:p w14:paraId="0E022317" w14:textId="77777777" w:rsidR="00C1765C" w:rsidRPr="00820C89" w:rsidRDefault="00C1765C" w:rsidP="006D2536">
            <w:pPr>
              <w:ind w:left="0"/>
              <w:contextualSpacing/>
              <w:rPr>
                <w:rFonts w:eastAsia="Verdana" w:cs="Verdana"/>
                <w:bCs/>
                <w:sz w:val="14"/>
              </w:rPr>
            </w:pPr>
            <w:r w:rsidRPr="00820C89">
              <w:rPr>
                <w:rFonts w:eastAsia="Verdana" w:cs="Verdana"/>
                <w:bCs/>
                <w:sz w:val="14"/>
              </w:rPr>
              <w:t>- ESS data</w:t>
            </w:r>
          </w:p>
        </w:tc>
        <w:tc>
          <w:tcPr>
            <w:tcW w:w="2335" w:type="dxa"/>
          </w:tcPr>
          <w:p w14:paraId="0308EA06" w14:textId="77777777" w:rsidR="00C1765C" w:rsidRPr="00820C89" w:rsidRDefault="00C1765C" w:rsidP="006D2536">
            <w:pPr>
              <w:ind w:left="0"/>
              <w:contextualSpacing/>
              <w:rPr>
                <w:rFonts w:eastAsia="Verdana" w:cs="Verdana"/>
                <w:bCs/>
                <w:i/>
                <w:sz w:val="14"/>
              </w:rPr>
            </w:pPr>
            <w:r w:rsidRPr="00820C89">
              <w:rPr>
                <w:rFonts w:eastAsia="Verdana" w:cs="Verdana"/>
                <w:bCs/>
                <w:sz w:val="14"/>
              </w:rPr>
              <w:t>- Descriptive/regression analysis</w:t>
            </w:r>
          </w:p>
        </w:tc>
      </w:tr>
      <w:tr w:rsidR="00C1765C" w:rsidRPr="00820C89" w14:paraId="2F965552" w14:textId="77777777" w:rsidTr="006D2536">
        <w:trPr>
          <w:trHeight w:val="382"/>
        </w:trPr>
        <w:tc>
          <w:tcPr>
            <w:tcW w:w="1701" w:type="dxa"/>
            <w:vMerge/>
          </w:tcPr>
          <w:p w14:paraId="7F26FDDE" w14:textId="77777777" w:rsidR="00C1765C" w:rsidRPr="00820C89" w:rsidRDefault="00C1765C" w:rsidP="006D2536">
            <w:pPr>
              <w:rPr>
                <w:rFonts w:eastAsia="Verdana" w:cs="Times New Roman"/>
                <w:sz w:val="14"/>
              </w:rPr>
            </w:pPr>
          </w:p>
        </w:tc>
        <w:tc>
          <w:tcPr>
            <w:tcW w:w="2552" w:type="dxa"/>
            <w:vMerge/>
          </w:tcPr>
          <w:p w14:paraId="15E62E72" w14:textId="77777777" w:rsidR="00C1765C" w:rsidRPr="00820C89" w:rsidRDefault="00C1765C" w:rsidP="006D2536">
            <w:pPr>
              <w:contextualSpacing/>
              <w:rPr>
                <w:rFonts w:eastAsia="Verdana" w:cs="Verdana"/>
                <w:bCs/>
                <w:color w:val="000000"/>
                <w:sz w:val="14"/>
              </w:rPr>
            </w:pPr>
          </w:p>
        </w:tc>
        <w:tc>
          <w:tcPr>
            <w:tcW w:w="2835" w:type="dxa"/>
            <w:vMerge/>
            <w:tcBorders>
              <w:top w:val="single" w:sz="4" w:space="0" w:color="000000"/>
            </w:tcBorders>
          </w:tcPr>
          <w:p w14:paraId="3A9078E5" w14:textId="77777777" w:rsidR="00C1765C" w:rsidRPr="00820C89" w:rsidRDefault="00C1765C" w:rsidP="006D2536">
            <w:pPr>
              <w:contextualSpacing/>
              <w:rPr>
                <w:rFonts w:eastAsia="Verdana" w:cs="Verdana"/>
                <w:bCs/>
                <w:sz w:val="14"/>
              </w:rPr>
            </w:pPr>
          </w:p>
        </w:tc>
        <w:tc>
          <w:tcPr>
            <w:tcW w:w="1843" w:type="dxa"/>
            <w:vMerge/>
          </w:tcPr>
          <w:p w14:paraId="537ACCD8" w14:textId="77777777" w:rsidR="00C1765C" w:rsidRPr="00820C89" w:rsidRDefault="00C1765C" w:rsidP="006D2536">
            <w:pPr>
              <w:contextualSpacing/>
              <w:rPr>
                <w:rFonts w:eastAsia="Verdana" w:cs="Verdana"/>
                <w:bCs/>
                <w:sz w:val="14"/>
              </w:rPr>
            </w:pPr>
          </w:p>
        </w:tc>
        <w:tc>
          <w:tcPr>
            <w:tcW w:w="1984" w:type="dxa"/>
          </w:tcPr>
          <w:p w14:paraId="29116AA3" w14:textId="77777777" w:rsidR="00C1765C" w:rsidRPr="00820C89" w:rsidRDefault="00C1765C" w:rsidP="006D2536">
            <w:pPr>
              <w:ind w:left="0"/>
              <w:contextualSpacing/>
              <w:rPr>
                <w:rFonts w:eastAsia="Verdana" w:cs="Verdana"/>
                <w:bCs/>
                <w:sz w:val="14"/>
              </w:rPr>
            </w:pPr>
            <w:r w:rsidRPr="00820C89">
              <w:rPr>
                <w:rFonts w:eastAsia="Verdana" w:cs="Verdana"/>
                <w:bCs/>
                <w:sz w:val="14"/>
              </w:rPr>
              <w:t>- PPM survey</w:t>
            </w:r>
          </w:p>
        </w:tc>
        <w:tc>
          <w:tcPr>
            <w:tcW w:w="2335" w:type="dxa"/>
          </w:tcPr>
          <w:p w14:paraId="1C34C5D6"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Descriptive/regression analysis</w:t>
            </w:r>
          </w:p>
        </w:tc>
      </w:tr>
      <w:tr w:rsidR="00C1765C" w:rsidRPr="00820C89" w14:paraId="51737811" w14:textId="77777777" w:rsidTr="006D2536">
        <w:trPr>
          <w:trHeight w:val="382"/>
        </w:trPr>
        <w:tc>
          <w:tcPr>
            <w:tcW w:w="1701" w:type="dxa"/>
            <w:vMerge/>
          </w:tcPr>
          <w:p w14:paraId="3553F592" w14:textId="77777777" w:rsidR="00C1765C" w:rsidRPr="00820C89" w:rsidRDefault="00C1765C" w:rsidP="006D2536">
            <w:pPr>
              <w:rPr>
                <w:rFonts w:eastAsia="Verdana" w:cs="Times New Roman"/>
                <w:sz w:val="14"/>
              </w:rPr>
            </w:pPr>
          </w:p>
        </w:tc>
        <w:tc>
          <w:tcPr>
            <w:tcW w:w="2552" w:type="dxa"/>
            <w:vMerge/>
          </w:tcPr>
          <w:p w14:paraId="7100A027" w14:textId="77777777" w:rsidR="00C1765C" w:rsidRPr="00820C89" w:rsidRDefault="00C1765C" w:rsidP="006D2536">
            <w:pPr>
              <w:contextualSpacing/>
              <w:rPr>
                <w:rFonts w:eastAsia="Verdana" w:cs="Verdana"/>
                <w:bCs/>
                <w:color w:val="000000"/>
                <w:sz w:val="14"/>
              </w:rPr>
            </w:pPr>
          </w:p>
        </w:tc>
        <w:tc>
          <w:tcPr>
            <w:tcW w:w="2835" w:type="dxa"/>
            <w:tcBorders>
              <w:top w:val="single" w:sz="4" w:space="0" w:color="000000"/>
            </w:tcBorders>
          </w:tcPr>
          <w:p w14:paraId="400CE84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Provider and NIAA asked to share their perspectives on explanations for pattern of outcome achievement over time </w:t>
            </w:r>
          </w:p>
        </w:tc>
        <w:tc>
          <w:tcPr>
            <w:tcW w:w="1843" w:type="dxa"/>
          </w:tcPr>
          <w:p w14:paraId="4A3721FD" w14:textId="77777777" w:rsidR="00C1765C" w:rsidRPr="00820C89" w:rsidRDefault="00C1765C" w:rsidP="006D2536">
            <w:pPr>
              <w:ind w:left="0"/>
              <w:contextualSpacing/>
              <w:rPr>
                <w:rFonts w:eastAsia="Verdana" w:cs="Verdana"/>
                <w:bCs/>
                <w:sz w:val="14"/>
              </w:rPr>
            </w:pPr>
            <w:r w:rsidRPr="00820C89">
              <w:rPr>
                <w:rFonts w:eastAsia="Verdana" w:cs="Verdana"/>
                <w:bCs/>
                <w:sz w:val="14"/>
              </w:rPr>
              <w:t>Long-term outcomes (VTEC, TAEG, EPI)</w:t>
            </w:r>
          </w:p>
        </w:tc>
        <w:tc>
          <w:tcPr>
            <w:tcW w:w="1984" w:type="dxa"/>
          </w:tcPr>
          <w:p w14:paraId="401FC3F9"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(providers)</w:t>
            </w:r>
          </w:p>
        </w:tc>
        <w:tc>
          <w:tcPr>
            <w:tcW w:w="2335" w:type="dxa"/>
          </w:tcPr>
          <w:p w14:paraId="1DADF1DD"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35246CEC"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 that establish an ecosystem of perspectives</w:t>
            </w:r>
          </w:p>
        </w:tc>
      </w:tr>
      <w:tr w:rsidR="00C1765C" w:rsidRPr="00820C89" w14:paraId="51A94FA2" w14:textId="77777777" w:rsidTr="006D2536">
        <w:trPr>
          <w:trHeight w:val="401"/>
        </w:trPr>
        <w:tc>
          <w:tcPr>
            <w:tcW w:w="1701" w:type="dxa"/>
            <w:vMerge/>
          </w:tcPr>
          <w:p w14:paraId="55D21850" w14:textId="77777777" w:rsidR="00C1765C" w:rsidRPr="00820C89" w:rsidRDefault="00C1765C" w:rsidP="006D2536">
            <w:pPr>
              <w:rPr>
                <w:rFonts w:eastAsia="Verdana" w:cs="Times New Roman"/>
                <w:sz w:val="14"/>
              </w:rPr>
            </w:pPr>
          </w:p>
        </w:tc>
        <w:tc>
          <w:tcPr>
            <w:tcW w:w="2552" w:type="dxa"/>
            <w:vMerge w:val="restart"/>
            <w:tcBorders>
              <w:top w:val="single" w:sz="4" w:space="0" w:color="000000"/>
            </w:tcBorders>
          </w:tcPr>
          <w:p w14:paraId="77FBA3BA"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 xml:space="preserve">Were the dosage, frequency and duration of activities sufficient to achieve the outcomes for each of VTEC, TAEG and EPI?  </w:t>
            </w:r>
          </w:p>
          <w:p w14:paraId="0BC521A4" w14:textId="77777777" w:rsidR="00C1765C" w:rsidRPr="00820C89" w:rsidRDefault="00C1765C" w:rsidP="006D2536">
            <w:pPr>
              <w:contextualSpacing/>
              <w:rPr>
                <w:rFonts w:eastAsia="Verdana" w:cs="Verdana"/>
                <w:bCs/>
                <w:color w:val="000000"/>
                <w:sz w:val="14"/>
              </w:rPr>
            </w:pPr>
          </w:p>
        </w:tc>
        <w:tc>
          <w:tcPr>
            <w:tcW w:w="2835" w:type="dxa"/>
            <w:vMerge w:val="restart"/>
            <w:tcBorders>
              <w:top w:val="single" w:sz="4" w:space="0" w:color="000000"/>
            </w:tcBorders>
          </w:tcPr>
          <w:p w14:paraId="24A848DA"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Providers, employers and participants asked to share their perspectives on appropriateness of dosage, frequency and duration of activities that influence achievement of outcomes </w:t>
            </w:r>
          </w:p>
          <w:p w14:paraId="66FF967B" w14:textId="77777777" w:rsidR="00C1765C" w:rsidRPr="00820C89" w:rsidRDefault="00C1765C" w:rsidP="006D2536">
            <w:pPr>
              <w:contextualSpacing/>
              <w:rPr>
                <w:rFonts w:eastAsia="Verdana" w:cs="Verdana"/>
                <w:bCs/>
                <w:sz w:val="14"/>
              </w:rPr>
            </w:pPr>
          </w:p>
        </w:tc>
        <w:tc>
          <w:tcPr>
            <w:tcW w:w="1843" w:type="dxa"/>
            <w:vMerge w:val="restart"/>
          </w:tcPr>
          <w:p w14:paraId="763CCADE" w14:textId="77777777" w:rsidR="00C1765C" w:rsidRPr="00820C89" w:rsidRDefault="00C1765C" w:rsidP="006D2536">
            <w:pPr>
              <w:ind w:left="0"/>
              <w:contextualSpacing/>
              <w:rPr>
                <w:rFonts w:eastAsia="Verdana" w:cs="Verdana"/>
                <w:bCs/>
                <w:sz w:val="14"/>
              </w:rPr>
            </w:pPr>
            <w:r w:rsidRPr="00820C89">
              <w:rPr>
                <w:rFonts w:eastAsia="Verdana" w:cs="Verdana"/>
                <w:bCs/>
                <w:sz w:val="14"/>
              </w:rPr>
              <w:t>All (VTEC, TAEG, EPI)</w:t>
            </w:r>
          </w:p>
          <w:p w14:paraId="153F8CDB" w14:textId="77777777" w:rsidR="00C1765C" w:rsidRPr="00820C89" w:rsidRDefault="00C1765C" w:rsidP="006D2536">
            <w:pPr>
              <w:contextualSpacing/>
              <w:rPr>
                <w:rFonts w:eastAsia="Verdana" w:cs="Verdana"/>
                <w:bCs/>
                <w:sz w:val="14"/>
              </w:rPr>
            </w:pPr>
          </w:p>
        </w:tc>
        <w:tc>
          <w:tcPr>
            <w:tcW w:w="1984" w:type="dxa"/>
          </w:tcPr>
          <w:p w14:paraId="420B57BE" w14:textId="77777777" w:rsidR="00C1765C" w:rsidRPr="00820C89" w:rsidRDefault="00C1765C" w:rsidP="006D2536">
            <w:pPr>
              <w:ind w:left="0"/>
              <w:contextualSpacing/>
              <w:rPr>
                <w:rFonts w:eastAsia="Verdana" w:cs="Verdana"/>
                <w:bCs/>
                <w:sz w:val="14"/>
              </w:rPr>
            </w:pPr>
            <w:r w:rsidRPr="00820C89">
              <w:rPr>
                <w:rFonts w:eastAsia="Verdana" w:cs="Verdana"/>
                <w:bCs/>
                <w:sz w:val="14"/>
              </w:rPr>
              <w:t>- Provider survey</w:t>
            </w:r>
          </w:p>
          <w:p w14:paraId="4831F7FA"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w:t>
            </w:r>
          </w:p>
        </w:tc>
        <w:tc>
          <w:tcPr>
            <w:tcW w:w="2335" w:type="dxa"/>
          </w:tcPr>
          <w:p w14:paraId="40031780"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Descriptive analysis of ten-point scale responses </w:t>
            </w:r>
          </w:p>
        </w:tc>
      </w:tr>
      <w:tr w:rsidR="00C1765C" w:rsidRPr="00820C89" w14:paraId="4032914F" w14:textId="77777777" w:rsidTr="006D2536">
        <w:trPr>
          <w:trHeight w:val="400"/>
        </w:trPr>
        <w:tc>
          <w:tcPr>
            <w:tcW w:w="1701" w:type="dxa"/>
            <w:vMerge/>
          </w:tcPr>
          <w:p w14:paraId="6760D44A" w14:textId="77777777" w:rsidR="00C1765C" w:rsidRPr="00820C89" w:rsidRDefault="00C1765C" w:rsidP="006D2536">
            <w:pPr>
              <w:rPr>
                <w:rFonts w:eastAsia="Verdana" w:cs="Times New Roman"/>
                <w:sz w:val="14"/>
              </w:rPr>
            </w:pPr>
          </w:p>
        </w:tc>
        <w:tc>
          <w:tcPr>
            <w:tcW w:w="2552" w:type="dxa"/>
            <w:vMerge/>
          </w:tcPr>
          <w:p w14:paraId="08BCFDF1" w14:textId="77777777" w:rsidR="00C1765C" w:rsidRPr="00820C89" w:rsidRDefault="00C1765C" w:rsidP="006D2536">
            <w:pPr>
              <w:contextualSpacing/>
              <w:rPr>
                <w:rFonts w:eastAsia="Verdana" w:cs="Verdana"/>
                <w:bCs/>
                <w:color w:val="000000"/>
                <w:sz w:val="14"/>
              </w:rPr>
            </w:pPr>
          </w:p>
        </w:tc>
        <w:tc>
          <w:tcPr>
            <w:tcW w:w="2835" w:type="dxa"/>
            <w:vMerge/>
          </w:tcPr>
          <w:p w14:paraId="5566BEF9" w14:textId="77777777" w:rsidR="00C1765C" w:rsidRPr="00820C89" w:rsidRDefault="00C1765C" w:rsidP="006D2536">
            <w:pPr>
              <w:contextualSpacing/>
              <w:rPr>
                <w:rFonts w:eastAsia="Verdana" w:cs="Verdana"/>
                <w:bCs/>
                <w:sz w:val="14"/>
              </w:rPr>
            </w:pPr>
          </w:p>
        </w:tc>
        <w:tc>
          <w:tcPr>
            <w:tcW w:w="1843" w:type="dxa"/>
            <w:vMerge/>
          </w:tcPr>
          <w:p w14:paraId="61B927AD" w14:textId="77777777" w:rsidR="00C1765C" w:rsidRPr="00820C89" w:rsidRDefault="00C1765C" w:rsidP="006D2536">
            <w:pPr>
              <w:contextualSpacing/>
              <w:rPr>
                <w:rFonts w:eastAsia="Verdana" w:cs="Verdana"/>
                <w:bCs/>
                <w:sz w:val="14"/>
              </w:rPr>
            </w:pPr>
          </w:p>
        </w:tc>
        <w:tc>
          <w:tcPr>
            <w:tcW w:w="1984" w:type="dxa"/>
          </w:tcPr>
          <w:p w14:paraId="17341428"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Regional consultations (providers, employers, participants) </w:t>
            </w:r>
          </w:p>
        </w:tc>
        <w:tc>
          <w:tcPr>
            <w:tcW w:w="2335" w:type="dxa"/>
          </w:tcPr>
          <w:p w14:paraId="43F6031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4FE285C4"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 that establish an ecosystem of perspectives</w:t>
            </w:r>
          </w:p>
        </w:tc>
      </w:tr>
      <w:tr w:rsidR="00C1765C" w:rsidRPr="00820C89" w14:paraId="7D611995" w14:textId="77777777" w:rsidTr="006D2536">
        <w:trPr>
          <w:trHeight w:val="400"/>
        </w:trPr>
        <w:tc>
          <w:tcPr>
            <w:tcW w:w="1701" w:type="dxa"/>
            <w:vMerge/>
          </w:tcPr>
          <w:p w14:paraId="6EFD6D1F" w14:textId="77777777" w:rsidR="00C1765C" w:rsidRPr="00820C89" w:rsidRDefault="00C1765C" w:rsidP="006D2536">
            <w:pPr>
              <w:rPr>
                <w:rFonts w:eastAsia="Verdana" w:cs="Times New Roman"/>
                <w:sz w:val="14"/>
              </w:rPr>
            </w:pPr>
          </w:p>
        </w:tc>
        <w:tc>
          <w:tcPr>
            <w:tcW w:w="2552" w:type="dxa"/>
            <w:vMerge/>
          </w:tcPr>
          <w:p w14:paraId="0B502DE9" w14:textId="77777777" w:rsidR="00C1765C" w:rsidRPr="00820C89" w:rsidRDefault="00C1765C" w:rsidP="006D2536">
            <w:pPr>
              <w:contextualSpacing/>
              <w:rPr>
                <w:rFonts w:eastAsia="Verdana" w:cs="Verdana"/>
                <w:bCs/>
                <w:color w:val="000000"/>
                <w:sz w:val="14"/>
              </w:rPr>
            </w:pPr>
          </w:p>
        </w:tc>
        <w:tc>
          <w:tcPr>
            <w:tcW w:w="2835" w:type="dxa"/>
            <w:vMerge/>
          </w:tcPr>
          <w:p w14:paraId="1DFDE9A3" w14:textId="77777777" w:rsidR="00C1765C" w:rsidRPr="00820C89" w:rsidRDefault="00C1765C" w:rsidP="006D2536">
            <w:pPr>
              <w:contextualSpacing/>
              <w:rPr>
                <w:rFonts w:eastAsia="Verdana" w:cs="Verdana"/>
                <w:bCs/>
                <w:sz w:val="14"/>
              </w:rPr>
            </w:pPr>
          </w:p>
        </w:tc>
        <w:tc>
          <w:tcPr>
            <w:tcW w:w="1843" w:type="dxa"/>
            <w:vMerge/>
          </w:tcPr>
          <w:p w14:paraId="30F8C937" w14:textId="77777777" w:rsidR="00C1765C" w:rsidRPr="00820C89" w:rsidRDefault="00C1765C" w:rsidP="006D2536">
            <w:pPr>
              <w:contextualSpacing/>
              <w:rPr>
                <w:rFonts w:eastAsia="Verdana" w:cs="Verdana"/>
                <w:bCs/>
                <w:sz w:val="14"/>
              </w:rPr>
            </w:pPr>
          </w:p>
        </w:tc>
        <w:tc>
          <w:tcPr>
            <w:tcW w:w="1984" w:type="dxa"/>
          </w:tcPr>
          <w:p w14:paraId="534C02E5"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Literature review </w:t>
            </w:r>
          </w:p>
        </w:tc>
        <w:tc>
          <w:tcPr>
            <w:tcW w:w="2335" w:type="dxa"/>
          </w:tcPr>
          <w:p w14:paraId="2617E2B6"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tc>
      </w:tr>
      <w:tr w:rsidR="00C1765C" w:rsidRPr="00820C89" w14:paraId="36872AB4" w14:textId="77777777" w:rsidTr="006D2536">
        <w:trPr>
          <w:trHeight w:val="400"/>
        </w:trPr>
        <w:tc>
          <w:tcPr>
            <w:tcW w:w="1701" w:type="dxa"/>
            <w:vMerge/>
          </w:tcPr>
          <w:p w14:paraId="111F758C" w14:textId="77777777" w:rsidR="00C1765C" w:rsidRPr="00820C89" w:rsidRDefault="00C1765C" w:rsidP="006D2536">
            <w:pPr>
              <w:rPr>
                <w:rFonts w:eastAsia="Verdana" w:cs="Times New Roman"/>
                <w:sz w:val="14"/>
              </w:rPr>
            </w:pPr>
          </w:p>
        </w:tc>
        <w:tc>
          <w:tcPr>
            <w:tcW w:w="2552" w:type="dxa"/>
            <w:vMerge/>
          </w:tcPr>
          <w:p w14:paraId="7EED3E9E" w14:textId="77777777" w:rsidR="00C1765C" w:rsidRPr="00820C89" w:rsidRDefault="00C1765C" w:rsidP="006D2536">
            <w:pPr>
              <w:contextualSpacing/>
              <w:rPr>
                <w:rFonts w:eastAsia="Verdana" w:cs="Verdana"/>
                <w:bCs/>
                <w:color w:val="000000"/>
                <w:sz w:val="14"/>
              </w:rPr>
            </w:pPr>
          </w:p>
        </w:tc>
        <w:tc>
          <w:tcPr>
            <w:tcW w:w="2835" w:type="dxa"/>
            <w:vMerge/>
          </w:tcPr>
          <w:p w14:paraId="6E882D87" w14:textId="77777777" w:rsidR="00C1765C" w:rsidRPr="00820C89" w:rsidRDefault="00C1765C" w:rsidP="006D2536">
            <w:pPr>
              <w:contextualSpacing/>
              <w:rPr>
                <w:rFonts w:eastAsia="Verdana" w:cs="Verdana"/>
                <w:bCs/>
                <w:sz w:val="14"/>
              </w:rPr>
            </w:pPr>
          </w:p>
        </w:tc>
        <w:tc>
          <w:tcPr>
            <w:tcW w:w="1843" w:type="dxa"/>
            <w:vMerge/>
          </w:tcPr>
          <w:p w14:paraId="7947973D" w14:textId="77777777" w:rsidR="00C1765C" w:rsidRPr="00820C89" w:rsidRDefault="00C1765C" w:rsidP="006D2536">
            <w:pPr>
              <w:contextualSpacing/>
              <w:rPr>
                <w:rFonts w:eastAsia="Verdana" w:cs="Verdana"/>
                <w:bCs/>
                <w:sz w:val="14"/>
              </w:rPr>
            </w:pPr>
          </w:p>
        </w:tc>
        <w:tc>
          <w:tcPr>
            <w:tcW w:w="1984" w:type="dxa"/>
          </w:tcPr>
          <w:p w14:paraId="4A820176"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Document review </w:t>
            </w:r>
          </w:p>
        </w:tc>
        <w:tc>
          <w:tcPr>
            <w:tcW w:w="2335" w:type="dxa"/>
          </w:tcPr>
          <w:p w14:paraId="787EE0E8"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Data analysis (i.e. length of programs/activities) </w:t>
            </w:r>
          </w:p>
        </w:tc>
      </w:tr>
      <w:tr w:rsidR="00C1765C" w:rsidRPr="00820C89" w14:paraId="342EDBDE" w14:textId="77777777" w:rsidTr="006D2536">
        <w:trPr>
          <w:trHeight w:val="896"/>
        </w:trPr>
        <w:tc>
          <w:tcPr>
            <w:tcW w:w="1701" w:type="dxa"/>
            <w:vMerge/>
          </w:tcPr>
          <w:p w14:paraId="7A7E1022" w14:textId="77777777" w:rsidR="00C1765C" w:rsidRPr="00820C89" w:rsidRDefault="00C1765C" w:rsidP="006D2536">
            <w:pPr>
              <w:rPr>
                <w:rFonts w:eastAsia="Verdana" w:cs="Times New Roman"/>
                <w:sz w:val="14"/>
              </w:rPr>
            </w:pPr>
          </w:p>
        </w:tc>
        <w:tc>
          <w:tcPr>
            <w:tcW w:w="2552" w:type="dxa"/>
            <w:tcBorders>
              <w:top w:val="single" w:sz="4" w:space="0" w:color="000000"/>
            </w:tcBorders>
          </w:tcPr>
          <w:p w14:paraId="513DD2E6"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What factors caused participants to leave each of VTEC, TAEG and EPI before milestones are completed?</w:t>
            </w:r>
          </w:p>
          <w:p w14:paraId="4BD0A6C8" w14:textId="77777777" w:rsidR="00C1765C" w:rsidRPr="00820C89" w:rsidRDefault="00C1765C" w:rsidP="006D2536">
            <w:pPr>
              <w:contextualSpacing/>
              <w:rPr>
                <w:rFonts w:eastAsia="Verdana" w:cs="Verdana"/>
                <w:bCs/>
                <w:color w:val="000000"/>
                <w:sz w:val="14"/>
              </w:rPr>
            </w:pPr>
          </w:p>
        </w:tc>
        <w:tc>
          <w:tcPr>
            <w:tcW w:w="2835" w:type="dxa"/>
            <w:tcBorders>
              <w:top w:val="single" w:sz="4" w:space="0" w:color="000000"/>
            </w:tcBorders>
          </w:tcPr>
          <w:p w14:paraId="1E9B2FB5" w14:textId="77777777" w:rsidR="00C1765C" w:rsidRPr="00820C89" w:rsidRDefault="00C1765C" w:rsidP="006D2536">
            <w:pPr>
              <w:ind w:left="0"/>
              <w:contextualSpacing/>
              <w:rPr>
                <w:rFonts w:eastAsia="Verdana" w:cs="Verdana"/>
                <w:bCs/>
                <w:sz w:val="14"/>
              </w:rPr>
            </w:pPr>
            <w:r w:rsidRPr="00820C89">
              <w:rPr>
                <w:rFonts w:eastAsia="Verdana" w:cs="Verdana"/>
                <w:bCs/>
                <w:sz w:val="14"/>
              </w:rPr>
              <w:t>Providers, employers and participants asked to share their perspectives on factors influencing completion of program</w:t>
            </w:r>
          </w:p>
          <w:p w14:paraId="4281FF8E" w14:textId="77777777" w:rsidR="00C1765C" w:rsidRPr="00820C89" w:rsidRDefault="00C1765C" w:rsidP="006D2536">
            <w:pPr>
              <w:contextualSpacing/>
              <w:rPr>
                <w:rFonts w:eastAsia="Verdana" w:cs="Verdana"/>
                <w:bCs/>
                <w:sz w:val="14"/>
              </w:rPr>
            </w:pPr>
          </w:p>
        </w:tc>
        <w:tc>
          <w:tcPr>
            <w:tcW w:w="1843" w:type="dxa"/>
          </w:tcPr>
          <w:p w14:paraId="1035CB66" w14:textId="77777777" w:rsidR="00C1765C" w:rsidRPr="00820C89" w:rsidRDefault="00C1765C" w:rsidP="006D2536">
            <w:pPr>
              <w:ind w:left="0"/>
              <w:contextualSpacing/>
              <w:rPr>
                <w:rFonts w:eastAsia="Verdana" w:cs="Verdana"/>
                <w:bCs/>
                <w:sz w:val="14"/>
              </w:rPr>
            </w:pPr>
            <w:r w:rsidRPr="00820C89">
              <w:rPr>
                <w:rFonts w:eastAsia="Verdana" w:cs="Verdana"/>
                <w:bCs/>
                <w:sz w:val="14"/>
              </w:rPr>
              <w:t>Short-, medium-, long-term outcomes (VTEC, TAEG, EPI)</w:t>
            </w:r>
          </w:p>
          <w:p w14:paraId="7AC8AF3D" w14:textId="77777777" w:rsidR="00C1765C" w:rsidRPr="00820C89" w:rsidRDefault="00C1765C" w:rsidP="006D2536">
            <w:pPr>
              <w:contextualSpacing/>
              <w:rPr>
                <w:rFonts w:eastAsia="Verdana" w:cs="Verdana"/>
                <w:bCs/>
                <w:sz w:val="14"/>
              </w:rPr>
            </w:pPr>
          </w:p>
        </w:tc>
        <w:tc>
          <w:tcPr>
            <w:tcW w:w="1984" w:type="dxa"/>
          </w:tcPr>
          <w:p w14:paraId="7FF7B749"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Regional consultations (participants, employer, provider) </w:t>
            </w:r>
          </w:p>
          <w:p w14:paraId="5D3F5CBC" w14:textId="77777777" w:rsidR="00C1765C" w:rsidRPr="00820C89" w:rsidRDefault="00C1765C" w:rsidP="006D2536">
            <w:pPr>
              <w:contextualSpacing/>
              <w:rPr>
                <w:rFonts w:eastAsia="Verdana" w:cs="Verdana"/>
                <w:bCs/>
                <w:sz w:val="14"/>
              </w:rPr>
            </w:pPr>
          </w:p>
        </w:tc>
        <w:tc>
          <w:tcPr>
            <w:tcW w:w="2335" w:type="dxa"/>
          </w:tcPr>
          <w:p w14:paraId="62D583D1"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r w:rsidRPr="00820C89">
              <w:rPr>
                <w:rFonts w:eastAsia="Verdana" w:cs="Verdana"/>
                <w:bCs/>
                <w:sz w:val="14"/>
              </w:rPr>
              <w:br/>
              <w:t>- Case studies/ journey analysis</w:t>
            </w:r>
          </w:p>
        </w:tc>
      </w:tr>
      <w:tr w:rsidR="00C1765C" w:rsidRPr="00820C89" w14:paraId="440F3819" w14:textId="77777777" w:rsidTr="006D2536">
        <w:trPr>
          <w:trHeight w:val="507"/>
        </w:trPr>
        <w:tc>
          <w:tcPr>
            <w:tcW w:w="1701" w:type="dxa"/>
            <w:vMerge w:val="restart"/>
            <w:tcBorders>
              <w:top w:val="single" w:sz="4" w:space="0" w:color="auto"/>
            </w:tcBorders>
          </w:tcPr>
          <w:p w14:paraId="04B59F8E" w14:textId="77777777" w:rsidR="00C1765C" w:rsidRPr="00820C89" w:rsidRDefault="00C1765C" w:rsidP="006D2536">
            <w:pPr>
              <w:rPr>
                <w:rFonts w:eastAsia="Verdana" w:cs="Times New Roman"/>
                <w:sz w:val="14"/>
              </w:rPr>
            </w:pPr>
          </w:p>
          <w:p w14:paraId="46B6BE23" w14:textId="77777777" w:rsidR="00C1765C" w:rsidRPr="00820C89" w:rsidRDefault="00C1765C" w:rsidP="006D2536">
            <w:pPr>
              <w:rPr>
                <w:rFonts w:eastAsia="Verdana" w:cs="Times New Roman"/>
                <w:sz w:val="14"/>
              </w:rPr>
            </w:pPr>
          </w:p>
          <w:p w14:paraId="6BA91D5A" w14:textId="77777777" w:rsidR="00C1765C" w:rsidRPr="00820C89" w:rsidRDefault="00C1765C" w:rsidP="006D2536">
            <w:pPr>
              <w:rPr>
                <w:rFonts w:eastAsia="Verdana" w:cs="Times New Roman"/>
                <w:sz w:val="14"/>
              </w:rPr>
            </w:pPr>
          </w:p>
        </w:tc>
        <w:tc>
          <w:tcPr>
            <w:tcW w:w="2552" w:type="dxa"/>
            <w:vMerge w:val="restart"/>
            <w:tcBorders>
              <w:top w:val="single" w:sz="4" w:space="0" w:color="auto"/>
            </w:tcBorders>
          </w:tcPr>
          <w:p w14:paraId="51D80154"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lastRenderedPageBreak/>
              <w:t xml:space="preserve">What challenges have VTEC and TAEG providers and EPI partners </w:t>
            </w:r>
            <w:r w:rsidRPr="00820C89">
              <w:rPr>
                <w:rFonts w:eastAsia="Verdana" w:cs="Verdana"/>
                <w:bCs/>
                <w:color w:val="000000"/>
                <w:sz w:val="14"/>
              </w:rPr>
              <w:lastRenderedPageBreak/>
              <w:t>encountered in delivering the program?</w:t>
            </w:r>
          </w:p>
        </w:tc>
        <w:tc>
          <w:tcPr>
            <w:tcW w:w="2835" w:type="dxa"/>
            <w:vMerge w:val="restart"/>
            <w:tcBorders>
              <w:top w:val="single" w:sz="4" w:space="0" w:color="auto"/>
            </w:tcBorders>
          </w:tcPr>
          <w:p w14:paraId="66B7C243" w14:textId="77777777" w:rsidR="00C1765C" w:rsidRPr="00820C89" w:rsidRDefault="00C1765C" w:rsidP="006D2536">
            <w:pPr>
              <w:ind w:left="0"/>
              <w:contextualSpacing/>
              <w:rPr>
                <w:rFonts w:eastAsia="Verdana" w:cs="Verdana"/>
                <w:bCs/>
                <w:sz w:val="14"/>
              </w:rPr>
            </w:pPr>
            <w:r w:rsidRPr="00820C89">
              <w:rPr>
                <w:rFonts w:eastAsia="Verdana" w:cs="Verdana"/>
                <w:bCs/>
                <w:sz w:val="14"/>
              </w:rPr>
              <w:lastRenderedPageBreak/>
              <w:t>Providers asked to share their perspectives on challenges in the delivering program</w:t>
            </w:r>
          </w:p>
        </w:tc>
        <w:tc>
          <w:tcPr>
            <w:tcW w:w="1843" w:type="dxa"/>
            <w:vMerge w:val="restart"/>
          </w:tcPr>
          <w:p w14:paraId="32A480DF" w14:textId="77777777" w:rsidR="00C1765C" w:rsidRPr="00820C89" w:rsidRDefault="00C1765C" w:rsidP="006D2536">
            <w:pPr>
              <w:ind w:left="0"/>
              <w:contextualSpacing/>
              <w:rPr>
                <w:rFonts w:eastAsia="Verdana" w:cs="Verdana"/>
                <w:bCs/>
                <w:sz w:val="14"/>
              </w:rPr>
            </w:pPr>
            <w:r w:rsidRPr="00820C89">
              <w:rPr>
                <w:rFonts w:eastAsia="Verdana" w:cs="Verdana"/>
                <w:bCs/>
                <w:sz w:val="14"/>
              </w:rPr>
              <w:t>All (VTEC, TAEG, EPI)</w:t>
            </w:r>
          </w:p>
          <w:p w14:paraId="6BF0C081" w14:textId="77777777" w:rsidR="00C1765C" w:rsidRPr="00820C89" w:rsidRDefault="00C1765C" w:rsidP="006D2536">
            <w:pPr>
              <w:contextualSpacing/>
              <w:rPr>
                <w:rFonts w:eastAsia="Verdana" w:cs="Verdana"/>
                <w:bCs/>
                <w:sz w:val="14"/>
              </w:rPr>
            </w:pPr>
          </w:p>
        </w:tc>
        <w:tc>
          <w:tcPr>
            <w:tcW w:w="1984" w:type="dxa"/>
          </w:tcPr>
          <w:p w14:paraId="0E15F85F" w14:textId="77777777" w:rsidR="00C1765C" w:rsidRPr="00820C89" w:rsidRDefault="00C1765C" w:rsidP="006D2536">
            <w:pPr>
              <w:ind w:left="0"/>
              <w:contextualSpacing/>
              <w:rPr>
                <w:rFonts w:eastAsia="Verdana" w:cs="Verdana"/>
                <w:bCs/>
                <w:sz w:val="14"/>
              </w:rPr>
            </w:pPr>
            <w:r w:rsidRPr="00820C89">
              <w:rPr>
                <w:rFonts w:eastAsia="Verdana" w:cs="Verdana"/>
                <w:bCs/>
                <w:sz w:val="14"/>
              </w:rPr>
              <w:t>- Provider survey</w:t>
            </w:r>
          </w:p>
        </w:tc>
        <w:tc>
          <w:tcPr>
            <w:tcW w:w="2335" w:type="dxa"/>
          </w:tcPr>
          <w:p w14:paraId="7BE61060"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 analysis of ten-point scale responses</w:t>
            </w:r>
          </w:p>
        </w:tc>
      </w:tr>
      <w:tr w:rsidR="00C1765C" w:rsidRPr="00820C89" w14:paraId="33164261" w14:textId="77777777" w:rsidTr="006D2536">
        <w:trPr>
          <w:trHeight w:val="507"/>
        </w:trPr>
        <w:tc>
          <w:tcPr>
            <w:tcW w:w="1701" w:type="dxa"/>
            <w:vMerge/>
          </w:tcPr>
          <w:p w14:paraId="16E7EF6D" w14:textId="77777777" w:rsidR="00C1765C" w:rsidRPr="00820C89" w:rsidRDefault="00C1765C" w:rsidP="006D2536">
            <w:pPr>
              <w:rPr>
                <w:rFonts w:eastAsia="Verdana" w:cs="Times New Roman"/>
                <w:sz w:val="14"/>
              </w:rPr>
            </w:pPr>
          </w:p>
        </w:tc>
        <w:tc>
          <w:tcPr>
            <w:tcW w:w="2552" w:type="dxa"/>
            <w:vMerge/>
          </w:tcPr>
          <w:p w14:paraId="5AD8E1FE" w14:textId="77777777" w:rsidR="00C1765C" w:rsidRPr="00820C89" w:rsidRDefault="00C1765C" w:rsidP="006D2536">
            <w:pPr>
              <w:contextualSpacing/>
              <w:rPr>
                <w:rFonts w:eastAsia="Verdana" w:cs="Verdana"/>
                <w:bCs/>
                <w:color w:val="000000"/>
                <w:sz w:val="14"/>
              </w:rPr>
            </w:pPr>
          </w:p>
        </w:tc>
        <w:tc>
          <w:tcPr>
            <w:tcW w:w="2835" w:type="dxa"/>
            <w:vMerge/>
          </w:tcPr>
          <w:p w14:paraId="4D62AC5B" w14:textId="77777777" w:rsidR="00C1765C" w:rsidRPr="00820C89" w:rsidRDefault="00C1765C" w:rsidP="006D2536">
            <w:pPr>
              <w:contextualSpacing/>
              <w:rPr>
                <w:rFonts w:eastAsia="Verdana" w:cs="Verdana"/>
                <w:bCs/>
                <w:sz w:val="14"/>
              </w:rPr>
            </w:pPr>
          </w:p>
        </w:tc>
        <w:tc>
          <w:tcPr>
            <w:tcW w:w="1843" w:type="dxa"/>
            <w:vMerge/>
          </w:tcPr>
          <w:p w14:paraId="5D7B0C27" w14:textId="77777777" w:rsidR="00C1765C" w:rsidRPr="00820C89" w:rsidRDefault="00C1765C" w:rsidP="006D2536">
            <w:pPr>
              <w:contextualSpacing/>
              <w:rPr>
                <w:rFonts w:eastAsia="Verdana" w:cs="Verdana"/>
                <w:bCs/>
                <w:sz w:val="14"/>
              </w:rPr>
            </w:pPr>
          </w:p>
        </w:tc>
        <w:tc>
          <w:tcPr>
            <w:tcW w:w="1984" w:type="dxa"/>
          </w:tcPr>
          <w:p w14:paraId="548E1FFD"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(providers)</w:t>
            </w:r>
          </w:p>
        </w:tc>
        <w:tc>
          <w:tcPr>
            <w:tcW w:w="2335" w:type="dxa"/>
          </w:tcPr>
          <w:p w14:paraId="6B6E155C"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79364C33"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5EB5AE81" w14:textId="77777777" w:rsidTr="006D2536">
        <w:trPr>
          <w:trHeight w:val="480"/>
        </w:trPr>
        <w:tc>
          <w:tcPr>
            <w:tcW w:w="1701" w:type="dxa"/>
            <w:vMerge/>
          </w:tcPr>
          <w:p w14:paraId="77FD54D5" w14:textId="77777777" w:rsidR="00C1765C" w:rsidRPr="00820C89" w:rsidRDefault="00C1765C" w:rsidP="006D2536">
            <w:pPr>
              <w:rPr>
                <w:rFonts w:eastAsia="Verdana" w:cs="Times New Roman"/>
                <w:sz w:val="14"/>
              </w:rPr>
            </w:pPr>
          </w:p>
        </w:tc>
        <w:tc>
          <w:tcPr>
            <w:tcW w:w="2552" w:type="dxa"/>
            <w:tcBorders>
              <w:top w:val="single" w:sz="4" w:space="0" w:color="auto"/>
            </w:tcBorders>
          </w:tcPr>
          <w:p w14:paraId="4CAC682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What unintended outcomes have occurred as a result of the delivery of VTEC, TAEG and EPI (positive or negative)? </w:t>
            </w:r>
          </w:p>
        </w:tc>
        <w:tc>
          <w:tcPr>
            <w:tcW w:w="2835" w:type="dxa"/>
            <w:tcBorders>
              <w:top w:val="single" w:sz="4" w:space="0" w:color="auto"/>
            </w:tcBorders>
          </w:tcPr>
          <w:p w14:paraId="0D24E59C"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Identification of unintended outcomes </w:t>
            </w:r>
          </w:p>
        </w:tc>
        <w:tc>
          <w:tcPr>
            <w:tcW w:w="1843" w:type="dxa"/>
          </w:tcPr>
          <w:p w14:paraId="5B8936AF" w14:textId="77777777" w:rsidR="00C1765C" w:rsidRPr="00820C89" w:rsidRDefault="00C1765C" w:rsidP="006D2536">
            <w:pPr>
              <w:ind w:left="0"/>
              <w:contextualSpacing/>
              <w:rPr>
                <w:rFonts w:eastAsia="Verdana" w:cs="Verdana"/>
                <w:bCs/>
                <w:sz w:val="14"/>
              </w:rPr>
            </w:pPr>
            <w:r w:rsidRPr="00820C89">
              <w:rPr>
                <w:rFonts w:eastAsia="Verdana" w:cs="Verdana"/>
                <w:bCs/>
                <w:sz w:val="14"/>
              </w:rPr>
              <w:t>N/A</w:t>
            </w:r>
          </w:p>
        </w:tc>
        <w:tc>
          <w:tcPr>
            <w:tcW w:w="1984" w:type="dxa"/>
          </w:tcPr>
          <w:p w14:paraId="3A03CD70"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w:t>
            </w:r>
          </w:p>
        </w:tc>
        <w:tc>
          <w:tcPr>
            <w:tcW w:w="2335" w:type="dxa"/>
          </w:tcPr>
          <w:p w14:paraId="3EED10D0"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27AACE36"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0E82CB26" w14:textId="77777777" w:rsidTr="006D2536">
        <w:trPr>
          <w:trHeight w:val="411"/>
        </w:trPr>
        <w:tc>
          <w:tcPr>
            <w:tcW w:w="13250" w:type="dxa"/>
            <w:gridSpan w:val="6"/>
          </w:tcPr>
          <w:p w14:paraId="7AF4703D" w14:textId="77777777" w:rsidR="00C1765C" w:rsidRPr="00820C89" w:rsidRDefault="00C1765C" w:rsidP="006D2536">
            <w:pPr>
              <w:rPr>
                <w:rFonts w:eastAsia="Verdana" w:cs="Verdana"/>
                <w:bCs/>
                <w:sz w:val="14"/>
              </w:rPr>
            </w:pPr>
            <w:r w:rsidRPr="00820C89">
              <w:rPr>
                <w:rFonts w:eastAsia="Verdana" w:cs="Times New Roman"/>
                <w:b/>
                <w:sz w:val="14"/>
              </w:rPr>
              <w:t>3. Policy implications and potential for future impact</w:t>
            </w:r>
          </w:p>
        </w:tc>
      </w:tr>
      <w:tr w:rsidR="00C1765C" w:rsidRPr="00820C89" w14:paraId="3915C9C5" w14:textId="77777777" w:rsidTr="006D2536">
        <w:trPr>
          <w:trHeight w:val="411"/>
        </w:trPr>
        <w:tc>
          <w:tcPr>
            <w:tcW w:w="1701" w:type="dxa"/>
            <w:vMerge w:val="restart"/>
          </w:tcPr>
          <w:p w14:paraId="4AB8355D" w14:textId="77777777" w:rsidR="00C1765C" w:rsidRPr="00820C89" w:rsidRDefault="00C1765C" w:rsidP="006D2536">
            <w:pPr>
              <w:rPr>
                <w:rFonts w:eastAsia="Verdana" w:cs="Times New Roman"/>
                <w:sz w:val="14"/>
              </w:rPr>
            </w:pPr>
            <w:r w:rsidRPr="00820C89">
              <w:rPr>
                <w:rFonts w:eastAsia="Verdana" w:cs="Times New Roman"/>
                <w:sz w:val="14"/>
              </w:rPr>
              <w:t>What do program outcomes tell us about effective and ineffective investment?</w:t>
            </w:r>
          </w:p>
          <w:p w14:paraId="17E41258" w14:textId="77777777" w:rsidR="00C1765C" w:rsidRPr="00820C89" w:rsidRDefault="00C1765C" w:rsidP="006D2536">
            <w:pPr>
              <w:rPr>
                <w:rFonts w:eastAsia="Verdana" w:cs="Times New Roman"/>
                <w:sz w:val="14"/>
              </w:rPr>
            </w:pPr>
          </w:p>
        </w:tc>
        <w:tc>
          <w:tcPr>
            <w:tcW w:w="2552" w:type="dxa"/>
            <w:vMerge w:val="restart"/>
          </w:tcPr>
          <w:p w14:paraId="23A0807A" w14:textId="77777777" w:rsidR="00C1765C" w:rsidRPr="00820C89" w:rsidRDefault="00C1765C" w:rsidP="006D2536">
            <w:pPr>
              <w:ind w:left="0"/>
              <w:contextualSpacing/>
              <w:rPr>
                <w:rFonts w:eastAsia="Verdana" w:cs="Verdana"/>
                <w:bCs/>
                <w:sz w:val="14"/>
              </w:rPr>
            </w:pPr>
            <w:r w:rsidRPr="00820C89">
              <w:rPr>
                <w:rFonts w:eastAsia="Verdana" w:cs="Verdana"/>
                <w:bCs/>
                <w:sz w:val="14"/>
              </w:rPr>
              <w:t>Are each of VTEC, TAEG and EPI achieving employment outcomes in a cost-effective manner?</w:t>
            </w:r>
          </w:p>
          <w:p w14:paraId="5F6D9F3C" w14:textId="77777777" w:rsidR="00C1765C" w:rsidRPr="00820C89" w:rsidRDefault="00C1765C" w:rsidP="006D2536">
            <w:pPr>
              <w:contextualSpacing/>
              <w:rPr>
                <w:rFonts w:eastAsia="Verdana" w:cs="Verdana"/>
                <w:bCs/>
                <w:sz w:val="14"/>
              </w:rPr>
            </w:pPr>
          </w:p>
        </w:tc>
        <w:tc>
          <w:tcPr>
            <w:tcW w:w="2835" w:type="dxa"/>
            <w:vMerge w:val="restart"/>
          </w:tcPr>
          <w:p w14:paraId="0B82B59D"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Cost per positive employment outcome, and how this compares to similar programs </w:t>
            </w:r>
          </w:p>
          <w:p w14:paraId="307E0255" w14:textId="77777777" w:rsidR="00C1765C" w:rsidRPr="00820C89" w:rsidRDefault="00C1765C" w:rsidP="006D2536">
            <w:pPr>
              <w:contextualSpacing/>
              <w:rPr>
                <w:rFonts w:eastAsia="Verdana" w:cs="Verdana"/>
                <w:bCs/>
                <w:sz w:val="14"/>
              </w:rPr>
            </w:pPr>
          </w:p>
        </w:tc>
        <w:tc>
          <w:tcPr>
            <w:tcW w:w="1843" w:type="dxa"/>
            <w:vMerge w:val="restart"/>
          </w:tcPr>
          <w:p w14:paraId="6D2C367E" w14:textId="77777777" w:rsidR="00C1765C" w:rsidRPr="00820C89" w:rsidRDefault="00C1765C" w:rsidP="006D2536">
            <w:pPr>
              <w:ind w:left="0"/>
              <w:contextualSpacing/>
              <w:rPr>
                <w:rFonts w:eastAsia="Verdana" w:cs="Verdana"/>
                <w:bCs/>
                <w:sz w:val="14"/>
              </w:rPr>
            </w:pPr>
            <w:r w:rsidRPr="00820C89">
              <w:rPr>
                <w:rFonts w:eastAsia="Verdana" w:cs="Verdana"/>
                <w:bCs/>
                <w:sz w:val="14"/>
              </w:rPr>
              <w:t>Inputs; Short-; Medium-; Long-term outcomes (VTEC, TAEG, EPI)</w:t>
            </w:r>
          </w:p>
          <w:p w14:paraId="543361C7" w14:textId="77777777" w:rsidR="00C1765C" w:rsidRPr="00820C89" w:rsidRDefault="00C1765C" w:rsidP="006D2536">
            <w:pPr>
              <w:contextualSpacing/>
              <w:rPr>
                <w:rFonts w:eastAsia="Verdana" w:cs="Verdana"/>
                <w:bCs/>
                <w:sz w:val="14"/>
              </w:rPr>
            </w:pPr>
          </w:p>
        </w:tc>
        <w:tc>
          <w:tcPr>
            <w:tcW w:w="1984" w:type="dxa"/>
          </w:tcPr>
          <w:p w14:paraId="523AFF9C" w14:textId="77777777" w:rsidR="00C1765C" w:rsidRPr="00820C89" w:rsidRDefault="00C1765C" w:rsidP="006D2536">
            <w:pPr>
              <w:ind w:left="0"/>
              <w:contextualSpacing/>
              <w:rPr>
                <w:rFonts w:eastAsia="Verdana" w:cs="Verdana"/>
                <w:bCs/>
                <w:sz w:val="14"/>
              </w:rPr>
            </w:pPr>
            <w:r w:rsidRPr="00820C89">
              <w:rPr>
                <w:rFonts w:eastAsia="Verdana" w:cs="Verdana"/>
                <w:bCs/>
                <w:sz w:val="14"/>
              </w:rPr>
              <w:t>- Findings from the first two domains</w:t>
            </w:r>
          </w:p>
        </w:tc>
        <w:tc>
          <w:tcPr>
            <w:tcW w:w="2335" w:type="dxa"/>
          </w:tcPr>
          <w:p w14:paraId="3C6CE83A"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Descriptive/regression analysis</w:t>
            </w:r>
          </w:p>
        </w:tc>
      </w:tr>
      <w:tr w:rsidR="00C1765C" w:rsidRPr="00820C89" w14:paraId="44D7F8E7" w14:textId="77777777" w:rsidTr="006D2536">
        <w:trPr>
          <w:trHeight w:val="411"/>
        </w:trPr>
        <w:tc>
          <w:tcPr>
            <w:tcW w:w="1701" w:type="dxa"/>
            <w:vMerge/>
          </w:tcPr>
          <w:p w14:paraId="13EA5619" w14:textId="77777777" w:rsidR="00C1765C" w:rsidRPr="00820C89" w:rsidRDefault="00C1765C" w:rsidP="006D2536">
            <w:pPr>
              <w:rPr>
                <w:rFonts w:eastAsia="Verdana" w:cs="Times New Roman"/>
                <w:sz w:val="14"/>
              </w:rPr>
            </w:pPr>
          </w:p>
        </w:tc>
        <w:tc>
          <w:tcPr>
            <w:tcW w:w="2552" w:type="dxa"/>
            <w:vMerge/>
          </w:tcPr>
          <w:p w14:paraId="1FF5B428" w14:textId="77777777" w:rsidR="00C1765C" w:rsidRPr="00820C89" w:rsidRDefault="00C1765C" w:rsidP="006D2536">
            <w:pPr>
              <w:contextualSpacing/>
              <w:rPr>
                <w:rFonts w:eastAsia="Verdana" w:cs="Verdana"/>
                <w:bCs/>
                <w:sz w:val="14"/>
              </w:rPr>
            </w:pPr>
          </w:p>
        </w:tc>
        <w:tc>
          <w:tcPr>
            <w:tcW w:w="2835" w:type="dxa"/>
            <w:vMerge/>
          </w:tcPr>
          <w:p w14:paraId="300D296A" w14:textId="77777777" w:rsidR="00C1765C" w:rsidRPr="00820C89" w:rsidRDefault="00C1765C" w:rsidP="006D2536">
            <w:pPr>
              <w:contextualSpacing/>
              <w:rPr>
                <w:rFonts w:eastAsia="Verdana" w:cs="Verdana"/>
                <w:bCs/>
                <w:sz w:val="14"/>
              </w:rPr>
            </w:pPr>
          </w:p>
        </w:tc>
        <w:tc>
          <w:tcPr>
            <w:tcW w:w="1843" w:type="dxa"/>
            <w:vMerge/>
          </w:tcPr>
          <w:p w14:paraId="03FA9AE8" w14:textId="77777777" w:rsidR="00C1765C" w:rsidRPr="00820C89" w:rsidRDefault="00C1765C" w:rsidP="006D2536">
            <w:pPr>
              <w:contextualSpacing/>
              <w:rPr>
                <w:rFonts w:eastAsia="Verdana" w:cs="Verdana"/>
                <w:bCs/>
                <w:sz w:val="14"/>
              </w:rPr>
            </w:pPr>
          </w:p>
        </w:tc>
        <w:tc>
          <w:tcPr>
            <w:tcW w:w="1984" w:type="dxa"/>
          </w:tcPr>
          <w:p w14:paraId="40157020" w14:textId="77777777" w:rsidR="00C1765C" w:rsidRPr="00820C89" w:rsidRDefault="00C1765C" w:rsidP="006D2536">
            <w:pPr>
              <w:ind w:left="0"/>
              <w:contextualSpacing/>
              <w:rPr>
                <w:rFonts w:eastAsia="Verdana" w:cs="Verdana"/>
                <w:bCs/>
                <w:sz w:val="14"/>
              </w:rPr>
            </w:pPr>
            <w:r w:rsidRPr="00820C89">
              <w:rPr>
                <w:rFonts w:eastAsia="Verdana" w:cs="Verdana"/>
                <w:bCs/>
                <w:sz w:val="14"/>
              </w:rPr>
              <w:t>- Program documentation (i.e. financial data, outcomes reporting)</w:t>
            </w:r>
          </w:p>
        </w:tc>
        <w:tc>
          <w:tcPr>
            <w:tcW w:w="2335" w:type="dxa"/>
          </w:tcPr>
          <w:p w14:paraId="117B5E29" w14:textId="77777777" w:rsidR="00C1765C" w:rsidRPr="00820C89" w:rsidRDefault="00C1765C" w:rsidP="006D2536">
            <w:pPr>
              <w:ind w:left="0"/>
              <w:contextualSpacing/>
              <w:rPr>
                <w:rFonts w:eastAsia="Verdana" w:cs="Verdana"/>
                <w:bCs/>
                <w:sz w:val="14"/>
              </w:rPr>
            </w:pPr>
            <w:r w:rsidRPr="00820C89">
              <w:rPr>
                <w:rFonts w:eastAsia="Verdana" w:cs="Verdana"/>
                <w:bCs/>
                <w:sz w:val="14"/>
              </w:rPr>
              <w:t>- Benchmarking</w:t>
            </w:r>
          </w:p>
        </w:tc>
      </w:tr>
      <w:tr w:rsidR="00C1765C" w:rsidRPr="00820C89" w14:paraId="262F0CD0" w14:textId="77777777" w:rsidTr="006D2536">
        <w:trPr>
          <w:trHeight w:val="372"/>
        </w:trPr>
        <w:tc>
          <w:tcPr>
            <w:tcW w:w="1701" w:type="dxa"/>
            <w:vMerge/>
          </w:tcPr>
          <w:p w14:paraId="2C747DA0" w14:textId="77777777" w:rsidR="00C1765C" w:rsidRPr="00820C89" w:rsidRDefault="00C1765C" w:rsidP="006D2536">
            <w:pPr>
              <w:rPr>
                <w:rFonts w:eastAsia="Verdana" w:cs="Times New Roman"/>
                <w:sz w:val="14"/>
              </w:rPr>
            </w:pPr>
          </w:p>
        </w:tc>
        <w:tc>
          <w:tcPr>
            <w:tcW w:w="2552" w:type="dxa"/>
            <w:vMerge w:val="restart"/>
          </w:tcPr>
          <w:p w14:paraId="0C043673" w14:textId="77777777" w:rsidR="00C1765C" w:rsidRPr="00820C89" w:rsidRDefault="00C1765C" w:rsidP="006D2536">
            <w:pPr>
              <w:contextualSpacing/>
              <w:rPr>
                <w:rFonts w:eastAsia="Verdana" w:cs="Verdana"/>
                <w:bCs/>
                <w:sz w:val="14"/>
              </w:rPr>
            </w:pPr>
            <w:r w:rsidRPr="00820C89">
              <w:rPr>
                <w:rFonts w:eastAsia="Verdana" w:cs="Verdana"/>
                <w:bCs/>
                <w:sz w:val="14"/>
              </w:rPr>
              <w:t xml:space="preserve">How sustainable are program outcomes for each of VTEC, TAEG and EPI? </w:t>
            </w:r>
          </w:p>
        </w:tc>
        <w:tc>
          <w:tcPr>
            <w:tcW w:w="2835" w:type="dxa"/>
            <w:vMerge w:val="restart"/>
          </w:tcPr>
          <w:p w14:paraId="18A98CA8" w14:textId="77777777" w:rsidR="00C1765C" w:rsidRPr="00820C89" w:rsidRDefault="00C1765C" w:rsidP="006D2536">
            <w:pPr>
              <w:ind w:left="0"/>
              <w:contextualSpacing/>
              <w:rPr>
                <w:rFonts w:eastAsia="Verdana" w:cs="Verdana"/>
                <w:bCs/>
                <w:sz w:val="14"/>
              </w:rPr>
            </w:pPr>
            <w:r w:rsidRPr="00820C89">
              <w:rPr>
                <w:rFonts w:eastAsia="Verdana" w:cs="Verdana"/>
                <w:bCs/>
                <w:sz w:val="14"/>
              </w:rPr>
              <w:t>Identification of features of activities related to sustainable program outcomes</w:t>
            </w:r>
          </w:p>
        </w:tc>
        <w:tc>
          <w:tcPr>
            <w:tcW w:w="1843" w:type="dxa"/>
            <w:vMerge w:val="restart"/>
          </w:tcPr>
          <w:p w14:paraId="3B85C952"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Activities; Long-term outcomes (VTEC, TAEG, EPI) </w:t>
            </w:r>
          </w:p>
        </w:tc>
        <w:tc>
          <w:tcPr>
            <w:tcW w:w="1984" w:type="dxa"/>
          </w:tcPr>
          <w:p w14:paraId="168922C9" w14:textId="77777777" w:rsidR="00C1765C" w:rsidRPr="00820C89" w:rsidRDefault="00C1765C" w:rsidP="006D2536">
            <w:pPr>
              <w:ind w:left="0"/>
              <w:contextualSpacing/>
              <w:rPr>
                <w:rFonts w:eastAsia="Verdana" w:cs="Verdana"/>
                <w:bCs/>
                <w:sz w:val="14"/>
              </w:rPr>
            </w:pPr>
            <w:r w:rsidRPr="00820C89">
              <w:rPr>
                <w:rFonts w:eastAsia="Verdana" w:cs="Verdana"/>
                <w:bCs/>
                <w:sz w:val="14"/>
              </w:rPr>
              <w:t>- Literature review</w:t>
            </w:r>
          </w:p>
        </w:tc>
        <w:tc>
          <w:tcPr>
            <w:tcW w:w="2335" w:type="dxa"/>
          </w:tcPr>
          <w:p w14:paraId="26084440" w14:textId="77777777" w:rsidR="00C1765C" w:rsidRPr="00820C89" w:rsidRDefault="00C1765C" w:rsidP="006D2536">
            <w:pPr>
              <w:ind w:left="0"/>
              <w:contextualSpacing/>
              <w:rPr>
                <w:rFonts w:eastAsia="Verdana" w:cs="Verdana"/>
                <w:bCs/>
                <w:i/>
                <w:sz w:val="14"/>
              </w:rPr>
            </w:pPr>
            <w:r w:rsidRPr="00820C89">
              <w:rPr>
                <w:rFonts w:eastAsia="Verdana" w:cs="Verdana"/>
                <w:bCs/>
                <w:sz w:val="14"/>
              </w:rPr>
              <w:t>- Thematic analysis</w:t>
            </w:r>
          </w:p>
        </w:tc>
      </w:tr>
      <w:tr w:rsidR="00C1765C" w:rsidRPr="00820C89" w14:paraId="498A4D93" w14:textId="77777777" w:rsidTr="006D2536">
        <w:trPr>
          <w:trHeight w:val="371"/>
        </w:trPr>
        <w:tc>
          <w:tcPr>
            <w:tcW w:w="1701" w:type="dxa"/>
            <w:vMerge/>
          </w:tcPr>
          <w:p w14:paraId="760B5EED" w14:textId="77777777" w:rsidR="00C1765C" w:rsidRPr="00820C89" w:rsidRDefault="00C1765C" w:rsidP="006D2536">
            <w:pPr>
              <w:rPr>
                <w:rFonts w:eastAsia="Verdana" w:cs="Times New Roman"/>
                <w:sz w:val="14"/>
              </w:rPr>
            </w:pPr>
          </w:p>
        </w:tc>
        <w:tc>
          <w:tcPr>
            <w:tcW w:w="2552" w:type="dxa"/>
            <w:vMerge/>
          </w:tcPr>
          <w:p w14:paraId="2D45A25C" w14:textId="77777777" w:rsidR="00C1765C" w:rsidRPr="00820C89" w:rsidRDefault="00C1765C" w:rsidP="006D2536">
            <w:pPr>
              <w:contextualSpacing/>
              <w:rPr>
                <w:rFonts w:eastAsia="Verdana" w:cs="Verdana"/>
                <w:bCs/>
                <w:color w:val="FF0000"/>
                <w:sz w:val="14"/>
              </w:rPr>
            </w:pPr>
          </w:p>
        </w:tc>
        <w:tc>
          <w:tcPr>
            <w:tcW w:w="2835" w:type="dxa"/>
            <w:vMerge/>
          </w:tcPr>
          <w:p w14:paraId="63726B6D" w14:textId="77777777" w:rsidR="00C1765C" w:rsidRPr="00820C89" w:rsidRDefault="00C1765C" w:rsidP="006D2536">
            <w:pPr>
              <w:contextualSpacing/>
              <w:rPr>
                <w:rFonts w:eastAsia="Verdana" w:cs="Verdana"/>
                <w:bCs/>
                <w:sz w:val="14"/>
              </w:rPr>
            </w:pPr>
          </w:p>
        </w:tc>
        <w:tc>
          <w:tcPr>
            <w:tcW w:w="1843" w:type="dxa"/>
            <w:vMerge/>
          </w:tcPr>
          <w:p w14:paraId="379023CB" w14:textId="77777777" w:rsidR="00C1765C" w:rsidRPr="00820C89" w:rsidRDefault="00C1765C" w:rsidP="006D2536">
            <w:pPr>
              <w:contextualSpacing/>
              <w:rPr>
                <w:rFonts w:eastAsia="Verdana" w:cs="Verdana"/>
                <w:bCs/>
                <w:sz w:val="14"/>
              </w:rPr>
            </w:pPr>
          </w:p>
        </w:tc>
        <w:tc>
          <w:tcPr>
            <w:tcW w:w="1984" w:type="dxa"/>
          </w:tcPr>
          <w:p w14:paraId="2FB9EB81"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(NIAA program staff)</w:t>
            </w:r>
          </w:p>
        </w:tc>
        <w:tc>
          <w:tcPr>
            <w:tcW w:w="2335" w:type="dxa"/>
          </w:tcPr>
          <w:p w14:paraId="0A8C75A7"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r w:rsidRPr="00820C89">
              <w:rPr>
                <w:rFonts w:eastAsia="Verdana" w:cs="Verdana"/>
                <w:bCs/>
                <w:sz w:val="14"/>
              </w:rPr>
              <w:br/>
              <w:t>- Case studies</w:t>
            </w:r>
          </w:p>
        </w:tc>
      </w:tr>
      <w:tr w:rsidR="00C1765C" w:rsidRPr="00820C89" w14:paraId="1FF6A7D3" w14:textId="77777777" w:rsidTr="006D2536">
        <w:trPr>
          <w:trHeight w:val="1085"/>
        </w:trPr>
        <w:tc>
          <w:tcPr>
            <w:tcW w:w="1701" w:type="dxa"/>
            <w:vMerge/>
          </w:tcPr>
          <w:p w14:paraId="59CEEC4C" w14:textId="77777777" w:rsidR="00C1765C" w:rsidRPr="00820C89" w:rsidRDefault="00C1765C" w:rsidP="006D2536">
            <w:pPr>
              <w:rPr>
                <w:rFonts w:eastAsia="Verdana" w:cs="Times New Roman"/>
                <w:sz w:val="14"/>
              </w:rPr>
            </w:pPr>
          </w:p>
        </w:tc>
        <w:tc>
          <w:tcPr>
            <w:tcW w:w="2552" w:type="dxa"/>
          </w:tcPr>
          <w:p w14:paraId="724C0F06"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have outcomes differed by cohort for VTEC, TAEG and EPI participants (e.g. by JSCI stream, gender, disability)?</w:t>
            </w:r>
          </w:p>
        </w:tc>
        <w:tc>
          <w:tcPr>
            <w:tcW w:w="2835" w:type="dxa"/>
          </w:tcPr>
          <w:p w14:paraId="6AE95D3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The extent to which outcomes systematically differ across defined cohorts </w:t>
            </w:r>
          </w:p>
        </w:tc>
        <w:tc>
          <w:tcPr>
            <w:tcW w:w="1843" w:type="dxa"/>
          </w:tcPr>
          <w:p w14:paraId="15A96FD5" w14:textId="77777777" w:rsidR="00C1765C" w:rsidRPr="00820C89" w:rsidRDefault="00C1765C" w:rsidP="006D2536">
            <w:pPr>
              <w:ind w:left="0"/>
              <w:contextualSpacing/>
              <w:rPr>
                <w:rFonts w:eastAsia="Verdana" w:cs="Verdana"/>
                <w:bCs/>
                <w:sz w:val="14"/>
              </w:rPr>
            </w:pPr>
            <w:r w:rsidRPr="00820C89">
              <w:rPr>
                <w:rFonts w:eastAsia="Verdana" w:cs="Verdana"/>
                <w:bCs/>
                <w:sz w:val="14"/>
              </w:rPr>
              <w:t>Outputs; Short-term; Medium-; Long-term outcomes (VTEC, TAEG, EPI)</w:t>
            </w:r>
          </w:p>
        </w:tc>
        <w:tc>
          <w:tcPr>
            <w:tcW w:w="1984" w:type="dxa"/>
          </w:tcPr>
          <w:p w14:paraId="2033ED10" w14:textId="77777777" w:rsidR="00C1765C" w:rsidRPr="00820C89" w:rsidRDefault="00C1765C" w:rsidP="006D2536">
            <w:pPr>
              <w:ind w:left="0"/>
              <w:contextualSpacing/>
              <w:rPr>
                <w:rFonts w:eastAsia="Verdana" w:cs="Verdana"/>
                <w:bCs/>
                <w:sz w:val="14"/>
              </w:rPr>
            </w:pPr>
            <w:r w:rsidRPr="00820C89">
              <w:rPr>
                <w:rFonts w:eastAsia="Verdana" w:cs="Verdana"/>
                <w:bCs/>
                <w:sz w:val="14"/>
              </w:rPr>
              <w:t>- DES data</w:t>
            </w:r>
            <w:r w:rsidRPr="00820C89">
              <w:rPr>
                <w:rFonts w:eastAsia="Verdana" w:cs="Verdana"/>
                <w:bCs/>
                <w:sz w:val="14"/>
              </w:rPr>
              <w:br/>
              <w:t>- Program documentation detailing participant characteristics (e.g. provider reporting)</w:t>
            </w:r>
            <w:r w:rsidRPr="00820C89">
              <w:rPr>
                <w:rFonts w:eastAsia="Verdana" w:cs="Verdana"/>
                <w:bCs/>
                <w:sz w:val="14"/>
              </w:rPr>
              <w:br/>
            </w:r>
            <w:r w:rsidRPr="00820C89">
              <w:rPr>
                <w:rFonts w:eastAsia="Verdana" w:cs="Verdana"/>
                <w:bCs/>
                <w:sz w:val="14"/>
              </w:rPr>
              <w:br/>
            </w:r>
          </w:p>
        </w:tc>
        <w:tc>
          <w:tcPr>
            <w:tcW w:w="2335" w:type="dxa"/>
          </w:tcPr>
          <w:p w14:paraId="031A3883"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Descriptive/regression analysis</w:t>
            </w:r>
          </w:p>
        </w:tc>
      </w:tr>
      <w:tr w:rsidR="00C1765C" w:rsidRPr="00820C89" w14:paraId="54988DC3" w14:textId="77777777" w:rsidTr="006D2536">
        <w:trPr>
          <w:trHeight w:val="480"/>
        </w:trPr>
        <w:tc>
          <w:tcPr>
            <w:tcW w:w="1701" w:type="dxa"/>
            <w:vMerge/>
          </w:tcPr>
          <w:p w14:paraId="5490FFE7" w14:textId="77777777" w:rsidR="00C1765C" w:rsidRPr="00820C89" w:rsidRDefault="00C1765C" w:rsidP="006D2536">
            <w:pPr>
              <w:rPr>
                <w:rFonts w:eastAsia="Verdana" w:cs="Times New Roman"/>
                <w:sz w:val="14"/>
              </w:rPr>
            </w:pPr>
          </w:p>
        </w:tc>
        <w:tc>
          <w:tcPr>
            <w:tcW w:w="2552" w:type="dxa"/>
            <w:vMerge w:val="restart"/>
          </w:tcPr>
          <w:p w14:paraId="59B61EE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have outcomes differed by program for participants?</w:t>
            </w:r>
          </w:p>
        </w:tc>
        <w:tc>
          <w:tcPr>
            <w:tcW w:w="2835" w:type="dxa"/>
            <w:vMerge w:val="restart"/>
          </w:tcPr>
          <w:p w14:paraId="3ACB6F09"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The extent to which participant outcomes systematically differ across programs </w:t>
            </w:r>
          </w:p>
        </w:tc>
        <w:tc>
          <w:tcPr>
            <w:tcW w:w="1843" w:type="dxa"/>
            <w:vMerge w:val="restart"/>
          </w:tcPr>
          <w:p w14:paraId="296F892F" w14:textId="77777777" w:rsidR="00C1765C" w:rsidRPr="00820C89" w:rsidRDefault="00C1765C" w:rsidP="006D2536">
            <w:pPr>
              <w:ind w:left="0"/>
              <w:contextualSpacing/>
              <w:rPr>
                <w:rFonts w:eastAsia="Verdana" w:cs="Verdana"/>
                <w:bCs/>
                <w:sz w:val="14"/>
              </w:rPr>
            </w:pPr>
            <w:r w:rsidRPr="00820C89">
              <w:rPr>
                <w:rFonts w:eastAsia="Verdana" w:cs="Verdana"/>
                <w:bCs/>
                <w:sz w:val="14"/>
              </w:rPr>
              <w:t>Short-; Medium-; Long-term outcomes (VTEC, TAEG, EPI)</w:t>
            </w:r>
          </w:p>
        </w:tc>
        <w:tc>
          <w:tcPr>
            <w:tcW w:w="1984" w:type="dxa"/>
          </w:tcPr>
          <w:p w14:paraId="36EE8C8B"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Regional consultations (participants) </w:t>
            </w:r>
            <w:r w:rsidRPr="00820C89">
              <w:rPr>
                <w:rFonts w:eastAsia="Verdana" w:cs="Verdana"/>
                <w:bCs/>
                <w:sz w:val="14"/>
              </w:rPr>
              <w:br/>
            </w:r>
          </w:p>
        </w:tc>
        <w:tc>
          <w:tcPr>
            <w:tcW w:w="2335" w:type="dxa"/>
          </w:tcPr>
          <w:p w14:paraId="78927A5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266D9276" w14:textId="77777777" w:rsidR="00C1765C" w:rsidRPr="00820C89" w:rsidRDefault="00C1765C" w:rsidP="006D2536">
            <w:pPr>
              <w:contextualSpacing/>
              <w:rPr>
                <w:rFonts w:eastAsia="Verdana" w:cs="Verdana"/>
                <w:bCs/>
                <w:sz w:val="14"/>
              </w:rPr>
            </w:pPr>
            <w:r w:rsidRPr="00820C89">
              <w:rPr>
                <w:rFonts w:eastAsia="Verdana" w:cs="Verdana"/>
                <w:bCs/>
                <w:sz w:val="14"/>
              </w:rPr>
              <w:t>- Case studies that establish an ecosystem of perspectives</w:t>
            </w:r>
          </w:p>
        </w:tc>
      </w:tr>
      <w:tr w:rsidR="00C1765C" w:rsidRPr="00820C89" w14:paraId="671CA3E6" w14:textId="77777777" w:rsidTr="006D2536">
        <w:trPr>
          <w:trHeight w:val="480"/>
        </w:trPr>
        <w:tc>
          <w:tcPr>
            <w:tcW w:w="1701" w:type="dxa"/>
            <w:vMerge/>
          </w:tcPr>
          <w:p w14:paraId="7B8343F5" w14:textId="77777777" w:rsidR="00C1765C" w:rsidRPr="00820C89" w:rsidRDefault="00C1765C" w:rsidP="006D2536">
            <w:pPr>
              <w:rPr>
                <w:rFonts w:eastAsia="Verdana" w:cs="Times New Roman"/>
                <w:sz w:val="14"/>
              </w:rPr>
            </w:pPr>
          </w:p>
        </w:tc>
        <w:tc>
          <w:tcPr>
            <w:tcW w:w="2552" w:type="dxa"/>
            <w:vMerge/>
          </w:tcPr>
          <w:p w14:paraId="75D31133" w14:textId="77777777" w:rsidR="00C1765C" w:rsidRPr="00820C89" w:rsidRDefault="00C1765C" w:rsidP="006D2536">
            <w:pPr>
              <w:contextualSpacing/>
              <w:rPr>
                <w:rFonts w:eastAsia="Verdana" w:cs="Verdana"/>
                <w:bCs/>
                <w:color w:val="000000"/>
                <w:sz w:val="14"/>
              </w:rPr>
            </w:pPr>
          </w:p>
        </w:tc>
        <w:tc>
          <w:tcPr>
            <w:tcW w:w="2835" w:type="dxa"/>
            <w:vMerge/>
          </w:tcPr>
          <w:p w14:paraId="3D47D3D4" w14:textId="77777777" w:rsidR="00C1765C" w:rsidRPr="00820C89" w:rsidRDefault="00C1765C" w:rsidP="006D2536">
            <w:pPr>
              <w:contextualSpacing/>
              <w:rPr>
                <w:rFonts w:eastAsia="Verdana" w:cs="Verdana"/>
                <w:bCs/>
                <w:sz w:val="14"/>
              </w:rPr>
            </w:pPr>
          </w:p>
        </w:tc>
        <w:tc>
          <w:tcPr>
            <w:tcW w:w="1843" w:type="dxa"/>
            <w:vMerge/>
          </w:tcPr>
          <w:p w14:paraId="07964110" w14:textId="77777777" w:rsidR="00C1765C" w:rsidRPr="00820C89" w:rsidRDefault="00C1765C" w:rsidP="006D2536">
            <w:pPr>
              <w:contextualSpacing/>
              <w:rPr>
                <w:rFonts w:eastAsia="Verdana" w:cs="Verdana"/>
                <w:bCs/>
                <w:sz w:val="14"/>
              </w:rPr>
            </w:pPr>
          </w:p>
        </w:tc>
        <w:tc>
          <w:tcPr>
            <w:tcW w:w="1984" w:type="dxa"/>
          </w:tcPr>
          <w:p w14:paraId="2A4ABC82" w14:textId="77777777" w:rsidR="00C1765C" w:rsidRPr="00820C89" w:rsidRDefault="00C1765C" w:rsidP="006D2536">
            <w:pPr>
              <w:ind w:left="0"/>
              <w:contextualSpacing/>
              <w:rPr>
                <w:rFonts w:eastAsia="Verdana" w:cs="Verdana"/>
                <w:bCs/>
                <w:sz w:val="14"/>
              </w:rPr>
            </w:pPr>
            <w:r w:rsidRPr="00820C89">
              <w:rPr>
                <w:rFonts w:eastAsia="Verdana" w:cs="Verdana"/>
                <w:bCs/>
                <w:sz w:val="14"/>
              </w:rPr>
              <w:t>- PPM survey</w:t>
            </w:r>
          </w:p>
        </w:tc>
        <w:tc>
          <w:tcPr>
            <w:tcW w:w="2335" w:type="dxa"/>
          </w:tcPr>
          <w:p w14:paraId="102E9BD3"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r w:rsidRPr="00820C89">
              <w:rPr>
                <w:rFonts w:eastAsia="Verdana" w:cs="Verdana"/>
                <w:bCs/>
                <w:sz w:val="14"/>
              </w:rPr>
              <w:br/>
              <w:t>- Descriptive analysis (where data allows)</w:t>
            </w:r>
          </w:p>
        </w:tc>
      </w:tr>
      <w:tr w:rsidR="00C1765C" w:rsidRPr="00820C89" w14:paraId="77E628B2" w14:textId="77777777" w:rsidTr="006D2536">
        <w:trPr>
          <w:trHeight w:val="267"/>
        </w:trPr>
        <w:tc>
          <w:tcPr>
            <w:tcW w:w="1701" w:type="dxa"/>
            <w:vMerge/>
          </w:tcPr>
          <w:p w14:paraId="50C89BE0" w14:textId="77777777" w:rsidR="00C1765C" w:rsidRPr="00820C89" w:rsidRDefault="00C1765C" w:rsidP="006D2536">
            <w:pPr>
              <w:rPr>
                <w:rFonts w:eastAsia="Verdana" w:cs="Times New Roman"/>
                <w:sz w:val="14"/>
              </w:rPr>
            </w:pPr>
          </w:p>
        </w:tc>
        <w:tc>
          <w:tcPr>
            <w:tcW w:w="2552" w:type="dxa"/>
            <w:vMerge w:val="restart"/>
          </w:tcPr>
          <w:p w14:paraId="3B10BABD" w14:textId="77777777" w:rsidR="00C1765C" w:rsidRPr="00820C89" w:rsidRDefault="00C1765C" w:rsidP="006D2536">
            <w:pPr>
              <w:ind w:left="0"/>
              <w:contextualSpacing/>
              <w:rPr>
                <w:rFonts w:eastAsia="Verdana" w:cs="Verdana"/>
                <w:bCs/>
                <w:color w:val="000000"/>
                <w:sz w:val="14"/>
              </w:rPr>
            </w:pPr>
            <w:r w:rsidRPr="00820C89">
              <w:rPr>
                <w:rFonts w:eastAsia="Verdana" w:cs="Verdana"/>
                <w:bCs/>
                <w:sz w:val="14"/>
              </w:rPr>
              <w:t xml:space="preserve">What program features are correlated with improved outcomes for each of TAEG, VTEC or EPI? </w:t>
            </w:r>
          </w:p>
        </w:tc>
        <w:tc>
          <w:tcPr>
            <w:tcW w:w="2835" w:type="dxa"/>
            <w:vMerge w:val="restart"/>
          </w:tcPr>
          <w:p w14:paraId="0BD8C0C0"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Assessment of the extent to which different providers for each of TAEG, VTEC or EPI have delivered on their outcomes </w:t>
            </w:r>
          </w:p>
        </w:tc>
        <w:tc>
          <w:tcPr>
            <w:tcW w:w="1843" w:type="dxa"/>
            <w:vMerge w:val="restart"/>
          </w:tcPr>
          <w:p w14:paraId="1567424C" w14:textId="77777777" w:rsidR="00C1765C" w:rsidRPr="00820C89" w:rsidRDefault="00C1765C" w:rsidP="006D2536">
            <w:pPr>
              <w:ind w:left="0"/>
              <w:contextualSpacing/>
              <w:rPr>
                <w:rFonts w:eastAsia="Verdana" w:cs="Verdana"/>
                <w:bCs/>
                <w:sz w:val="14"/>
              </w:rPr>
            </w:pPr>
            <w:r w:rsidRPr="00820C89">
              <w:rPr>
                <w:rFonts w:eastAsia="Verdana" w:cs="Verdana"/>
                <w:bCs/>
                <w:sz w:val="14"/>
              </w:rPr>
              <w:t>All (VTEC, TAEG, EPI)</w:t>
            </w:r>
          </w:p>
        </w:tc>
        <w:tc>
          <w:tcPr>
            <w:tcW w:w="1984" w:type="dxa"/>
          </w:tcPr>
          <w:p w14:paraId="35670818" w14:textId="77777777" w:rsidR="00C1765C" w:rsidRPr="00820C89" w:rsidRDefault="00C1765C" w:rsidP="006D2536">
            <w:pPr>
              <w:contextualSpacing/>
              <w:rPr>
                <w:rFonts w:eastAsia="Verdana" w:cs="Verdana"/>
                <w:bCs/>
                <w:sz w:val="14"/>
              </w:rPr>
            </w:pPr>
            <w:r w:rsidRPr="00820C89">
              <w:rPr>
                <w:rFonts w:eastAsia="Verdana" w:cs="Verdana"/>
                <w:bCs/>
                <w:sz w:val="14"/>
              </w:rPr>
              <w:t>- Provider survey</w:t>
            </w:r>
          </w:p>
        </w:tc>
        <w:tc>
          <w:tcPr>
            <w:tcW w:w="2335" w:type="dxa"/>
          </w:tcPr>
          <w:p w14:paraId="4CAE5A2F"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 analysis of ten-point scale responses</w:t>
            </w:r>
          </w:p>
          <w:p w14:paraId="57C69244" w14:textId="77777777" w:rsidR="00C1765C" w:rsidRPr="00820C89" w:rsidRDefault="00C1765C" w:rsidP="006D2536">
            <w:pPr>
              <w:contextualSpacing/>
              <w:rPr>
                <w:rFonts w:eastAsia="Verdana" w:cs="Verdana"/>
                <w:bCs/>
                <w:sz w:val="14"/>
              </w:rPr>
            </w:pPr>
            <w:r w:rsidRPr="00820C89">
              <w:rPr>
                <w:rFonts w:eastAsia="Verdana" w:cs="Verdana"/>
                <w:bCs/>
                <w:sz w:val="14"/>
              </w:rPr>
              <w:t xml:space="preserve">- Thematic analysis </w:t>
            </w:r>
          </w:p>
        </w:tc>
      </w:tr>
      <w:tr w:rsidR="00C1765C" w:rsidRPr="00820C89" w14:paraId="05182F9E" w14:textId="77777777" w:rsidTr="006D2536">
        <w:trPr>
          <w:trHeight w:val="267"/>
        </w:trPr>
        <w:tc>
          <w:tcPr>
            <w:tcW w:w="1701" w:type="dxa"/>
            <w:vMerge/>
          </w:tcPr>
          <w:p w14:paraId="53B42761" w14:textId="77777777" w:rsidR="00C1765C" w:rsidRPr="00820C89" w:rsidRDefault="00C1765C" w:rsidP="006D2536">
            <w:pPr>
              <w:rPr>
                <w:rFonts w:eastAsia="Verdana" w:cs="Times New Roman"/>
                <w:sz w:val="14"/>
              </w:rPr>
            </w:pPr>
          </w:p>
        </w:tc>
        <w:tc>
          <w:tcPr>
            <w:tcW w:w="2552" w:type="dxa"/>
            <w:vMerge/>
          </w:tcPr>
          <w:p w14:paraId="415791AD" w14:textId="77777777" w:rsidR="00C1765C" w:rsidRPr="00820C89" w:rsidRDefault="00C1765C" w:rsidP="006D2536">
            <w:pPr>
              <w:contextualSpacing/>
              <w:rPr>
                <w:rFonts w:eastAsia="Verdana" w:cs="Verdana"/>
                <w:bCs/>
                <w:sz w:val="14"/>
              </w:rPr>
            </w:pPr>
          </w:p>
        </w:tc>
        <w:tc>
          <w:tcPr>
            <w:tcW w:w="2835" w:type="dxa"/>
            <w:vMerge/>
          </w:tcPr>
          <w:p w14:paraId="577C60BB" w14:textId="77777777" w:rsidR="00C1765C" w:rsidRPr="00820C89" w:rsidRDefault="00C1765C" w:rsidP="006D2536">
            <w:pPr>
              <w:contextualSpacing/>
              <w:rPr>
                <w:rFonts w:eastAsia="Verdana" w:cs="Verdana"/>
                <w:bCs/>
                <w:sz w:val="14"/>
              </w:rPr>
            </w:pPr>
          </w:p>
        </w:tc>
        <w:tc>
          <w:tcPr>
            <w:tcW w:w="1843" w:type="dxa"/>
            <w:vMerge/>
          </w:tcPr>
          <w:p w14:paraId="5997B954" w14:textId="77777777" w:rsidR="00C1765C" w:rsidRPr="00820C89" w:rsidRDefault="00C1765C" w:rsidP="006D2536">
            <w:pPr>
              <w:contextualSpacing/>
              <w:rPr>
                <w:rFonts w:eastAsia="Verdana" w:cs="Verdana"/>
                <w:bCs/>
                <w:sz w:val="14"/>
              </w:rPr>
            </w:pPr>
          </w:p>
        </w:tc>
        <w:tc>
          <w:tcPr>
            <w:tcW w:w="1984" w:type="dxa"/>
          </w:tcPr>
          <w:p w14:paraId="2CADABBA" w14:textId="77777777" w:rsidR="00C1765C" w:rsidRPr="00820C89" w:rsidRDefault="00C1765C" w:rsidP="006D2536">
            <w:pPr>
              <w:contextualSpacing/>
              <w:rPr>
                <w:rFonts w:eastAsia="Verdana" w:cs="Verdana"/>
                <w:bCs/>
                <w:sz w:val="14"/>
              </w:rPr>
            </w:pPr>
            <w:r w:rsidRPr="00820C89">
              <w:rPr>
                <w:rFonts w:eastAsia="Verdana" w:cs="Verdana"/>
                <w:bCs/>
                <w:sz w:val="14"/>
              </w:rPr>
              <w:t>- Regional consultations</w:t>
            </w:r>
          </w:p>
        </w:tc>
        <w:tc>
          <w:tcPr>
            <w:tcW w:w="2335" w:type="dxa"/>
          </w:tcPr>
          <w:p w14:paraId="1DA1BABD"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6085B907"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0E5B0A79" w14:textId="77777777" w:rsidTr="006D2536">
        <w:trPr>
          <w:trHeight w:val="267"/>
        </w:trPr>
        <w:tc>
          <w:tcPr>
            <w:tcW w:w="1701" w:type="dxa"/>
            <w:vMerge/>
          </w:tcPr>
          <w:p w14:paraId="0BE76D5C" w14:textId="77777777" w:rsidR="00C1765C" w:rsidRPr="00820C89" w:rsidRDefault="00C1765C" w:rsidP="006D2536">
            <w:pPr>
              <w:rPr>
                <w:rFonts w:eastAsia="Verdana" w:cs="Times New Roman"/>
                <w:sz w:val="14"/>
              </w:rPr>
            </w:pPr>
          </w:p>
        </w:tc>
        <w:tc>
          <w:tcPr>
            <w:tcW w:w="2552" w:type="dxa"/>
            <w:vMerge/>
          </w:tcPr>
          <w:p w14:paraId="485B154C" w14:textId="77777777" w:rsidR="00C1765C" w:rsidRPr="00820C89" w:rsidRDefault="00C1765C" w:rsidP="006D2536">
            <w:pPr>
              <w:contextualSpacing/>
              <w:rPr>
                <w:rFonts w:eastAsia="Verdana" w:cs="Verdana"/>
                <w:bCs/>
                <w:sz w:val="14"/>
              </w:rPr>
            </w:pPr>
          </w:p>
        </w:tc>
        <w:tc>
          <w:tcPr>
            <w:tcW w:w="2835" w:type="dxa"/>
            <w:vMerge/>
          </w:tcPr>
          <w:p w14:paraId="694CEB42" w14:textId="77777777" w:rsidR="00C1765C" w:rsidRPr="00820C89" w:rsidRDefault="00C1765C" w:rsidP="006D2536">
            <w:pPr>
              <w:contextualSpacing/>
              <w:rPr>
                <w:rFonts w:eastAsia="Verdana" w:cs="Verdana"/>
                <w:bCs/>
                <w:sz w:val="14"/>
              </w:rPr>
            </w:pPr>
          </w:p>
        </w:tc>
        <w:tc>
          <w:tcPr>
            <w:tcW w:w="1843" w:type="dxa"/>
            <w:vMerge/>
          </w:tcPr>
          <w:p w14:paraId="46EA3D56" w14:textId="77777777" w:rsidR="00C1765C" w:rsidRPr="00820C89" w:rsidRDefault="00C1765C" w:rsidP="006D2536">
            <w:pPr>
              <w:contextualSpacing/>
              <w:rPr>
                <w:rFonts w:eastAsia="Verdana" w:cs="Verdana"/>
                <w:bCs/>
                <w:sz w:val="14"/>
              </w:rPr>
            </w:pPr>
          </w:p>
        </w:tc>
        <w:tc>
          <w:tcPr>
            <w:tcW w:w="1984" w:type="dxa"/>
          </w:tcPr>
          <w:p w14:paraId="233FD779" w14:textId="77777777" w:rsidR="00C1765C" w:rsidRPr="00820C89" w:rsidRDefault="00C1765C" w:rsidP="006D2536">
            <w:pPr>
              <w:contextualSpacing/>
              <w:rPr>
                <w:rFonts w:eastAsia="Verdana" w:cs="Verdana"/>
                <w:bCs/>
                <w:sz w:val="14"/>
              </w:rPr>
            </w:pPr>
            <w:r w:rsidRPr="00820C89">
              <w:rPr>
                <w:rFonts w:eastAsia="Verdana" w:cs="Verdana"/>
                <w:bCs/>
                <w:sz w:val="14"/>
              </w:rPr>
              <w:t xml:space="preserve">- Program documentation </w:t>
            </w:r>
          </w:p>
        </w:tc>
        <w:tc>
          <w:tcPr>
            <w:tcW w:w="2335" w:type="dxa"/>
          </w:tcPr>
          <w:p w14:paraId="6339FE84"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 analysis (where data allows)</w:t>
            </w:r>
          </w:p>
          <w:p w14:paraId="42E60BA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tc>
      </w:tr>
      <w:tr w:rsidR="00C1765C" w:rsidRPr="00820C89" w14:paraId="43326CBC" w14:textId="77777777" w:rsidTr="006D2536">
        <w:trPr>
          <w:trHeight w:val="1085"/>
        </w:trPr>
        <w:tc>
          <w:tcPr>
            <w:tcW w:w="1701" w:type="dxa"/>
            <w:vMerge/>
          </w:tcPr>
          <w:p w14:paraId="55AD8BE3" w14:textId="77777777" w:rsidR="00C1765C" w:rsidRPr="00820C89" w:rsidRDefault="00C1765C" w:rsidP="006D2536">
            <w:pPr>
              <w:rPr>
                <w:rFonts w:eastAsia="Verdana" w:cs="Times New Roman"/>
                <w:sz w:val="14"/>
              </w:rPr>
            </w:pPr>
          </w:p>
        </w:tc>
        <w:tc>
          <w:tcPr>
            <w:tcW w:w="2552" w:type="dxa"/>
          </w:tcPr>
          <w:p w14:paraId="7DDC6BB0" w14:textId="77777777" w:rsidR="00C1765C" w:rsidRPr="00820C89" w:rsidRDefault="00C1765C" w:rsidP="006D2536">
            <w:pPr>
              <w:ind w:left="0"/>
              <w:contextualSpacing/>
              <w:rPr>
                <w:rFonts w:eastAsia="Verdana" w:cs="Verdana"/>
                <w:bCs/>
                <w:color w:val="FF0000"/>
                <w:sz w:val="14"/>
              </w:rPr>
            </w:pPr>
            <w:r w:rsidRPr="00820C89">
              <w:rPr>
                <w:rFonts w:eastAsia="Verdana" w:cs="Verdana"/>
                <w:bCs/>
                <w:sz w:val="14"/>
              </w:rPr>
              <w:t xml:space="preserve">To what extent did funded activities contribute to outcomes for each of EPI, TAEG and VTEC? </w:t>
            </w:r>
          </w:p>
        </w:tc>
        <w:tc>
          <w:tcPr>
            <w:tcW w:w="2835" w:type="dxa"/>
          </w:tcPr>
          <w:p w14:paraId="0C1C322E"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The extent to which program outcomes can be attributed to program participation, for each program and compared to mainstream programs </w:t>
            </w:r>
          </w:p>
        </w:tc>
        <w:tc>
          <w:tcPr>
            <w:tcW w:w="1843" w:type="dxa"/>
          </w:tcPr>
          <w:p w14:paraId="30BDD046" w14:textId="77777777" w:rsidR="00C1765C" w:rsidRPr="00820C89" w:rsidRDefault="00C1765C" w:rsidP="006D2536">
            <w:pPr>
              <w:ind w:left="0"/>
              <w:contextualSpacing/>
              <w:rPr>
                <w:rFonts w:eastAsia="Verdana" w:cs="Verdana"/>
                <w:bCs/>
                <w:sz w:val="14"/>
              </w:rPr>
            </w:pPr>
            <w:r w:rsidRPr="00820C89">
              <w:rPr>
                <w:rFonts w:eastAsia="Verdana" w:cs="Verdana"/>
                <w:bCs/>
                <w:sz w:val="14"/>
              </w:rPr>
              <w:t>Short-; Medium-; Long-term outcomes (VTEC, TAEG, EPI)</w:t>
            </w:r>
          </w:p>
        </w:tc>
        <w:tc>
          <w:tcPr>
            <w:tcW w:w="1984" w:type="dxa"/>
          </w:tcPr>
          <w:p w14:paraId="7CEBE4CB" w14:textId="77777777" w:rsidR="00C1765C" w:rsidRPr="00820C89" w:rsidRDefault="00C1765C" w:rsidP="006D2536">
            <w:pPr>
              <w:ind w:left="0"/>
              <w:contextualSpacing/>
              <w:rPr>
                <w:rFonts w:eastAsia="Verdana" w:cs="Verdana"/>
                <w:bCs/>
                <w:sz w:val="14"/>
              </w:rPr>
            </w:pPr>
            <w:r w:rsidRPr="00820C89">
              <w:rPr>
                <w:rFonts w:eastAsia="Verdana" w:cs="Verdana"/>
                <w:bCs/>
                <w:sz w:val="14"/>
              </w:rPr>
              <w:t>- ESS data</w:t>
            </w:r>
            <w:r w:rsidRPr="00820C89">
              <w:rPr>
                <w:rFonts w:eastAsia="Verdana" w:cs="Verdana"/>
                <w:bCs/>
                <w:sz w:val="14"/>
              </w:rPr>
              <w:br/>
              <w:t>- jobactive data</w:t>
            </w:r>
          </w:p>
        </w:tc>
        <w:tc>
          <w:tcPr>
            <w:tcW w:w="2335" w:type="dxa"/>
          </w:tcPr>
          <w:p w14:paraId="00B53803" w14:textId="77777777" w:rsidR="00C1765C" w:rsidRPr="00820C89" w:rsidRDefault="00C1765C" w:rsidP="006D2536">
            <w:pPr>
              <w:ind w:left="0"/>
              <w:contextualSpacing/>
              <w:rPr>
                <w:rFonts w:eastAsia="Verdana" w:cs="Verdana"/>
                <w:bCs/>
                <w:i/>
                <w:sz w:val="14"/>
              </w:rPr>
            </w:pPr>
            <w:r w:rsidRPr="00820C89">
              <w:rPr>
                <w:rFonts w:eastAsia="Verdana" w:cs="Verdana"/>
                <w:bCs/>
                <w:sz w:val="14"/>
              </w:rPr>
              <w:t>- Econometric analysis: controlling for participant, regional differences</w:t>
            </w:r>
          </w:p>
        </w:tc>
      </w:tr>
      <w:tr w:rsidR="00C1765C" w:rsidRPr="00820C89" w14:paraId="749D4173" w14:textId="77777777" w:rsidTr="006D2536">
        <w:trPr>
          <w:trHeight w:val="750"/>
        </w:trPr>
        <w:tc>
          <w:tcPr>
            <w:tcW w:w="1701" w:type="dxa"/>
            <w:vMerge/>
          </w:tcPr>
          <w:p w14:paraId="00823122" w14:textId="77777777" w:rsidR="00C1765C" w:rsidRPr="00820C89" w:rsidRDefault="00C1765C" w:rsidP="006D2536">
            <w:pPr>
              <w:rPr>
                <w:rFonts w:eastAsia="Verdana" w:cs="Times New Roman"/>
                <w:sz w:val="14"/>
              </w:rPr>
            </w:pPr>
          </w:p>
        </w:tc>
        <w:tc>
          <w:tcPr>
            <w:tcW w:w="2552" w:type="dxa"/>
            <w:vMerge w:val="restart"/>
          </w:tcPr>
          <w:p w14:paraId="1DA39336"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have outcomes for each of VTEC, TAEG and EPI differed across different regions and industries/employment markets?</w:t>
            </w:r>
          </w:p>
        </w:tc>
        <w:tc>
          <w:tcPr>
            <w:tcW w:w="2835" w:type="dxa"/>
            <w:vMerge w:val="restart"/>
          </w:tcPr>
          <w:p w14:paraId="27533864" w14:textId="77777777" w:rsidR="00C1765C" w:rsidRPr="00820C89" w:rsidRDefault="00C1765C" w:rsidP="006D2536">
            <w:pPr>
              <w:ind w:left="0"/>
              <w:contextualSpacing/>
              <w:rPr>
                <w:rFonts w:eastAsia="Verdana" w:cs="Verdana"/>
                <w:bCs/>
                <w:sz w:val="14"/>
              </w:rPr>
            </w:pPr>
            <w:r w:rsidRPr="00820C89">
              <w:rPr>
                <w:rFonts w:eastAsia="Verdana" w:cs="Verdana"/>
                <w:bCs/>
                <w:sz w:val="14"/>
              </w:rPr>
              <w:t>Assessment of the extent to which the program is delivering on its outcomes</w:t>
            </w:r>
          </w:p>
        </w:tc>
        <w:tc>
          <w:tcPr>
            <w:tcW w:w="1843" w:type="dxa"/>
            <w:vMerge w:val="restart"/>
          </w:tcPr>
          <w:p w14:paraId="3EA71507" w14:textId="77777777" w:rsidR="00C1765C" w:rsidRPr="00820C89" w:rsidRDefault="00C1765C" w:rsidP="006D2536">
            <w:pPr>
              <w:ind w:left="0"/>
              <w:contextualSpacing/>
              <w:rPr>
                <w:rFonts w:eastAsia="Verdana" w:cs="Verdana"/>
                <w:bCs/>
                <w:sz w:val="14"/>
              </w:rPr>
            </w:pPr>
            <w:r w:rsidRPr="00820C89">
              <w:rPr>
                <w:rFonts w:eastAsia="Verdana" w:cs="Verdana"/>
                <w:bCs/>
                <w:sz w:val="14"/>
              </w:rPr>
              <w:t>Outputs; Short-;  Medium-; Long-term outcomes (VTEC, TAEG, EPI)</w:t>
            </w:r>
          </w:p>
        </w:tc>
        <w:tc>
          <w:tcPr>
            <w:tcW w:w="1984" w:type="dxa"/>
          </w:tcPr>
          <w:p w14:paraId="2ADE94AF"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Provider survey </w:t>
            </w:r>
          </w:p>
          <w:p w14:paraId="37FAC55B" w14:textId="77777777" w:rsidR="00C1765C" w:rsidRPr="00820C89" w:rsidRDefault="00C1765C" w:rsidP="006D2536">
            <w:pPr>
              <w:ind w:left="0"/>
              <w:contextualSpacing/>
              <w:rPr>
                <w:rFonts w:eastAsia="Verdana" w:cs="Verdana"/>
                <w:bCs/>
                <w:i/>
                <w:sz w:val="14"/>
              </w:rPr>
            </w:pPr>
            <w:r w:rsidRPr="00820C89">
              <w:rPr>
                <w:rFonts w:eastAsia="Verdana" w:cs="Verdana"/>
                <w:bCs/>
                <w:sz w:val="14"/>
              </w:rPr>
              <w:t xml:space="preserve">- Thematic analysis: effective/ ineffective program components </w:t>
            </w:r>
            <w:r w:rsidRPr="00820C89">
              <w:rPr>
                <w:rFonts w:eastAsia="Verdana" w:cs="Verdana"/>
                <w:bCs/>
                <w:sz w:val="14"/>
              </w:rPr>
              <w:br/>
            </w:r>
          </w:p>
        </w:tc>
        <w:tc>
          <w:tcPr>
            <w:tcW w:w="2335" w:type="dxa"/>
          </w:tcPr>
          <w:p w14:paraId="2A720E59" w14:textId="77777777" w:rsidR="00C1765C" w:rsidRPr="00820C89" w:rsidRDefault="00C1765C" w:rsidP="006D2536">
            <w:pPr>
              <w:ind w:left="0"/>
              <w:contextualSpacing/>
              <w:rPr>
                <w:rFonts w:eastAsia="Verdana" w:cs="Verdana"/>
                <w:bCs/>
                <w:i/>
                <w:sz w:val="14"/>
              </w:rPr>
            </w:pPr>
            <w:r w:rsidRPr="00820C89">
              <w:rPr>
                <w:rFonts w:eastAsia="Verdana" w:cs="Verdana"/>
                <w:bCs/>
                <w:sz w:val="14"/>
              </w:rPr>
              <w:t>- Regression analysis</w:t>
            </w:r>
            <w:r w:rsidRPr="00820C89">
              <w:rPr>
                <w:rFonts w:eastAsia="Verdana" w:cs="Verdana"/>
                <w:bCs/>
                <w:sz w:val="14"/>
              </w:rPr>
              <w:br/>
              <w:t>- Mapping against time and financial cost of delivering discussed activities</w:t>
            </w:r>
          </w:p>
        </w:tc>
      </w:tr>
      <w:tr w:rsidR="00C1765C" w:rsidRPr="00820C89" w14:paraId="2DAD38FD" w14:textId="77777777" w:rsidTr="006D2536">
        <w:trPr>
          <w:trHeight w:val="750"/>
        </w:trPr>
        <w:tc>
          <w:tcPr>
            <w:tcW w:w="1701" w:type="dxa"/>
            <w:vMerge/>
          </w:tcPr>
          <w:p w14:paraId="4FE4BFCE" w14:textId="77777777" w:rsidR="00C1765C" w:rsidRPr="00820C89" w:rsidRDefault="00C1765C" w:rsidP="006D2536">
            <w:pPr>
              <w:rPr>
                <w:rFonts w:eastAsia="Verdana" w:cs="Times New Roman"/>
                <w:sz w:val="14"/>
              </w:rPr>
            </w:pPr>
          </w:p>
        </w:tc>
        <w:tc>
          <w:tcPr>
            <w:tcW w:w="2552" w:type="dxa"/>
            <w:vMerge/>
          </w:tcPr>
          <w:p w14:paraId="159F1263" w14:textId="77777777" w:rsidR="00C1765C" w:rsidRPr="00820C89" w:rsidRDefault="00C1765C" w:rsidP="006D2536">
            <w:pPr>
              <w:contextualSpacing/>
              <w:rPr>
                <w:rFonts w:eastAsia="Verdana" w:cs="Verdana"/>
                <w:bCs/>
                <w:color w:val="000000"/>
                <w:sz w:val="14"/>
              </w:rPr>
            </w:pPr>
          </w:p>
        </w:tc>
        <w:tc>
          <w:tcPr>
            <w:tcW w:w="2835" w:type="dxa"/>
            <w:vMerge/>
          </w:tcPr>
          <w:p w14:paraId="12911D8F" w14:textId="77777777" w:rsidR="00C1765C" w:rsidRPr="00820C89" w:rsidRDefault="00C1765C" w:rsidP="006D2536">
            <w:pPr>
              <w:contextualSpacing/>
              <w:rPr>
                <w:rFonts w:eastAsia="Verdana" w:cs="Verdana"/>
                <w:bCs/>
                <w:sz w:val="14"/>
              </w:rPr>
            </w:pPr>
          </w:p>
        </w:tc>
        <w:tc>
          <w:tcPr>
            <w:tcW w:w="1843" w:type="dxa"/>
            <w:vMerge/>
          </w:tcPr>
          <w:p w14:paraId="6427B643" w14:textId="77777777" w:rsidR="00C1765C" w:rsidRPr="00820C89" w:rsidRDefault="00C1765C" w:rsidP="006D2536">
            <w:pPr>
              <w:contextualSpacing/>
              <w:rPr>
                <w:rFonts w:eastAsia="Verdana" w:cs="Verdana"/>
                <w:bCs/>
                <w:sz w:val="14"/>
              </w:rPr>
            </w:pPr>
          </w:p>
        </w:tc>
        <w:tc>
          <w:tcPr>
            <w:tcW w:w="1984" w:type="dxa"/>
          </w:tcPr>
          <w:p w14:paraId="628814D6"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(providers)</w:t>
            </w:r>
          </w:p>
        </w:tc>
        <w:tc>
          <w:tcPr>
            <w:tcW w:w="2335" w:type="dxa"/>
          </w:tcPr>
          <w:p w14:paraId="1994302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650937C4"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00A80601" w14:textId="77777777" w:rsidTr="006D2536">
        <w:trPr>
          <w:trHeight w:val="750"/>
        </w:trPr>
        <w:tc>
          <w:tcPr>
            <w:tcW w:w="1701" w:type="dxa"/>
            <w:vMerge w:val="restart"/>
          </w:tcPr>
          <w:p w14:paraId="69701321" w14:textId="77777777" w:rsidR="00C1765C" w:rsidRPr="00820C89" w:rsidRDefault="00C1765C" w:rsidP="006D2536">
            <w:pPr>
              <w:rPr>
                <w:rFonts w:eastAsia="Verdana" w:cs="Times New Roman"/>
                <w:sz w:val="14"/>
              </w:rPr>
            </w:pPr>
          </w:p>
        </w:tc>
        <w:tc>
          <w:tcPr>
            <w:tcW w:w="2552" w:type="dxa"/>
            <w:vMerge w:val="restart"/>
          </w:tcPr>
          <w:p w14:paraId="0B9AD54C"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have outcomes for the IEPs differed across different regions and industries/employment markets?</w:t>
            </w:r>
          </w:p>
        </w:tc>
        <w:tc>
          <w:tcPr>
            <w:tcW w:w="2835" w:type="dxa"/>
            <w:vMerge w:val="restart"/>
          </w:tcPr>
          <w:p w14:paraId="4DF58532" w14:textId="77777777" w:rsidR="00C1765C" w:rsidRPr="00820C89" w:rsidRDefault="00C1765C" w:rsidP="006D2536">
            <w:pPr>
              <w:ind w:left="0"/>
              <w:contextualSpacing/>
              <w:rPr>
                <w:rFonts w:eastAsia="Verdana" w:cs="Verdana"/>
                <w:bCs/>
                <w:sz w:val="14"/>
              </w:rPr>
            </w:pPr>
            <w:r w:rsidRPr="00820C89">
              <w:rPr>
                <w:rFonts w:eastAsia="Verdana" w:cs="Verdana"/>
                <w:bCs/>
                <w:sz w:val="14"/>
              </w:rPr>
              <w:t>Providers asked to share their observations on program effectiveness (i.e. achievement of outcomes)</w:t>
            </w:r>
          </w:p>
        </w:tc>
        <w:tc>
          <w:tcPr>
            <w:tcW w:w="1843" w:type="dxa"/>
            <w:vMerge w:val="restart"/>
          </w:tcPr>
          <w:p w14:paraId="5F03BF08" w14:textId="77777777" w:rsidR="00C1765C" w:rsidRPr="00820C89" w:rsidRDefault="00C1765C" w:rsidP="006D2536">
            <w:pPr>
              <w:ind w:left="0"/>
              <w:contextualSpacing/>
              <w:rPr>
                <w:rFonts w:eastAsia="Verdana" w:cs="Verdana"/>
                <w:bCs/>
                <w:sz w:val="14"/>
              </w:rPr>
            </w:pPr>
            <w:r w:rsidRPr="00820C89">
              <w:rPr>
                <w:rFonts w:eastAsia="Verdana" w:cs="Verdana"/>
                <w:bCs/>
                <w:sz w:val="14"/>
              </w:rPr>
              <w:t>Outputs; Short-;  Medium-; Long-term outcomes</w:t>
            </w:r>
          </w:p>
        </w:tc>
        <w:tc>
          <w:tcPr>
            <w:tcW w:w="1984" w:type="dxa"/>
          </w:tcPr>
          <w:p w14:paraId="2DC47704"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Provider survey </w:t>
            </w:r>
          </w:p>
          <w:p w14:paraId="6516978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effective/ ineffective program components </w:t>
            </w:r>
            <w:r w:rsidRPr="00820C89">
              <w:rPr>
                <w:rFonts w:eastAsia="Verdana" w:cs="Verdana"/>
                <w:bCs/>
                <w:sz w:val="14"/>
              </w:rPr>
              <w:br/>
            </w:r>
          </w:p>
        </w:tc>
        <w:tc>
          <w:tcPr>
            <w:tcW w:w="2335" w:type="dxa"/>
          </w:tcPr>
          <w:p w14:paraId="2EBF6C3C" w14:textId="77777777" w:rsidR="00C1765C" w:rsidRPr="00820C89" w:rsidRDefault="00C1765C" w:rsidP="006D2536">
            <w:pPr>
              <w:ind w:left="0"/>
              <w:contextualSpacing/>
              <w:rPr>
                <w:rFonts w:eastAsia="Verdana" w:cs="Verdana"/>
                <w:bCs/>
                <w:sz w:val="14"/>
              </w:rPr>
            </w:pPr>
            <w:r w:rsidRPr="00820C89">
              <w:rPr>
                <w:rFonts w:eastAsia="Verdana" w:cs="Verdana"/>
                <w:bCs/>
                <w:sz w:val="14"/>
              </w:rPr>
              <w:t>- Regression analysis</w:t>
            </w:r>
            <w:r w:rsidRPr="00820C89">
              <w:rPr>
                <w:rFonts w:eastAsia="Verdana" w:cs="Verdana"/>
                <w:bCs/>
                <w:sz w:val="14"/>
              </w:rPr>
              <w:br/>
              <w:t>- Mapping against time and financial cost of delivering discussed activities</w:t>
            </w:r>
          </w:p>
        </w:tc>
      </w:tr>
      <w:tr w:rsidR="00C1765C" w:rsidRPr="00820C89" w14:paraId="2C0E436B" w14:textId="77777777" w:rsidTr="006D2536">
        <w:trPr>
          <w:trHeight w:val="750"/>
        </w:trPr>
        <w:tc>
          <w:tcPr>
            <w:tcW w:w="1701" w:type="dxa"/>
            <w:vMerge/>
          </w:tcPr>
          <w:p w14:paraId="48FAFD6C" w14:textId="77777777" w:rsidR="00C1765C" w:rsidRPr="00820C89" w:rsidRDefault="00C1765C" w:rsidP="006D2536">
            <w:pPr>
              <w:rPr>
                <w:rFonts w:eastAsia="Verdana" w:cs="Times New Roman"/>
                <w:sz w:val="14"/>
              </w:rPr>
            </w:pPr>
          </w:p>
        </w:tc>
        <w:tc>
          <w:tcPr>
            <w:tcW w:w="2552" w:type="dxa"/>
            <w:vMerge/>
          </w:tcPr>
          <w:p w14:paraId="5FD906C1" w14:textId="77777777" w:rsidR="00C1765C" w:rsidRPr="00820C89" w:rsidRDefault="00C1765C" w:rsidP="006D2536">
            <w:pPr>
              <w:contextualSpacing/>
              <w:rPr>
                <w:rFonts w:eastAsia="Verdana" w:cs="Verdana"/>
                <w:bCs/>
                <w:color w:val="000000"/>
                <w:sz w:val="14"/>
              </w:rPr>
            </w:pPr>
          </w:p>
        </w:tc>
        <w:tc>
          <w:tcPr>
            <w:tcW w:w="2835" w:type="dxa"/>
            <w:vMerge/>
          </w:tcPr>
          <w:p w14:paraId="23E4FC59" w14:textId="77777777" w:rsidR="00C1765C" w:rsidRPr="00820C89" w:rsidRDefault="00C1765C" w:rsidP="006D2536">
            <w:pPr>
              <w:contextualSpacing/>
              <w:rPr>
                <w:rFonts w:eastAsia="Verdana" w:cs="Verdana"/>
                <w:bCs/>
                <w:sz w:val="14"/>
              </w:rPr>
            </w:pPr>
          </w:p>
        </w:tc>
        <w:tc>
          <w:tcPr>
            <w:tcW w:w="1843" w:type="dxa"/>
            <w:vMerge/>
          </w:tcPr>
          <w:p w14:paraId="22B19AD5" w14:textId="77777777" w:rsidR="00C1765C" w:rsidRPr="00820C89" w:rsidRDefault="00C1765C" w:rsidP="006D2536">
            <w:pPr>
              <w:contextualSpacing/>
              <w:rPr>
                <w:rFonts w:eastAsia="Verdana" w:cs="Verdana"/>
                <w:bCs/>
                <w:sz w:val="14"/>
              </w:rPr>
            </w:pPr>
          </w:p>
        </w:tc>
        <w:tc>
          <w:tcPr>
            <w:tcW w:w="1984" w:type="dxa"/>
          </w:tcPr>
          <w:p w14:paraId="128D8F36" w14:textId="77777777" w:rsidR="00C1765C" w:rsidRPr="00820C89" w:rsidRDefault="00C1765C" w:rsidP="006D2536">
            <w:pPr>
              <w:contextualSpacing/>
              <w:rPr>
                <w:rFonts w:eastAsia="Verdana" w:cs="Verdana"/>
                <w:bCs/>
                <w:sz w:val="14"/>
              </w:rPr>
            </w:pPr>
            <w:r w:rsidRPr="00820C89">
              <w:rPr>
                <w:rFonts w:eastAsia="Verdana" w:cs="Verdana"/>
                <w:bCs/>
                <w:sz w:val="14"/>
              </w:rPr>
              <w:t>- Regional consultations (providers)</w:t>
            </w:r>
          </w:p>
        </w:tc>
        <w:tc>
          <w:tcPr>
            <w:tcW w:w="2335" w:type="dxa"/>
          </w:tcPr>
          <w:p w14:paraId="5BBBB613"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4B44DE3A"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60EBD7DF" w14:textId="77777777" w:rsidTr="006D2536">
        <w:trPr>
          <w:trHeight w:val="723"/>
        </w:trPr>
        <w:tc>
          <w:tcPr>
            <w:tcW w:w="1701" w:type="dxa"/>
            <w:vMerge w:val="restart"/>
          </w:tcPr>
          <w:p w14:paraId="3A3D2C60" w14:textId="77777777" w:rsidR="00C1765C" w:rsidRPr="00820C89" w:rsidRDefault="00C1765C" w:rsidP="006D2536">
            <w:pPr>
              <w:rPr>
                <w:rFonts w:eastAsia="Verdana" w:cs="Times New Roman"/>
                <w:sz w:val="14"/>
              </w:rPr>
            </w:pPr>
            <w:r w:rsidRPr="00820C89">
              <w:rPr>
                <w:rFonts w:eastAsia="Verdana" w:cs="Times New Roman"/>
                <w:sz w:val="14"/>
              </w:rPr>
              <w:t>How can the value of each program be optimised within the broader IEP and other employment assistance programs?</w:t>
            </w:r>
          </w:p>
          <w:p w14:paraId="57DC23CF" w14:textId="77777777" w:rsidR="00C1765C" w:rsidRPr="00820C89" w:rsidRDefault="00C1765C" w:rsidP="006D2536">
            <w:pPr>
              <w:rPr>
                <w:rFonts w:eastAsia="Verdana" w:cs="Times New Roman"/>
                <w:sz w:val="14"/>
              </w:rPr>
            </w:pPr>
          </w:p>
        </w:tc>
        <w:tc>
          <w:tcPr>
            <w:tcW w:w="2552" w:type="dxa"/>
            <w:vMerge w:val="restart"/>
          </w:tcPr>
          <w:p w14:paraId="33569A3C" w14:textId="77777777" w:rsidR="00C1765C" w:rsidRPr="00820C89" w:rsidRDefault="00C1765C" w:rsidP="006D2536">
            <w:pPr>
              <w:ind w:left="0"/>
              <w:contextualSpacing/>
              <w:rPr>
                <w:rFonts w:eastAsia="Verdana" w:cs="Verdana"/>
                <w:sz w:val="14"/>
              </w:rPr>
            </w:pPr>
            <w:r w:rsidRPr="00820C89">
              <w:rPr>
                <w:rFonts w:eastAsia="Verdana" w:cs="Verdana"/>
                <w:bCs/>
                <w:color w:val="000000"/>
                <w:sz w:val="14"/>
              </w:rPr>
              <w:t>What are the most effective uses of funding for each of VTEC, TAEG and EPI, in the context of other similar programs?</w:t>
            </w:r>
          </w:p>
        </w:tc>
        <w:tc>
          <w:tcPr>
            <w:tcW w:w="2835" w:type="dxa"/>
            <w:vMerge w:val="restart"/>
          </w:tcPr>
          <w:p w14:paraId="1C67C811" w14:textId="77777777" w:rsidR="00C1765C" w:rsidRPr="00820C89" w:rsidRDefault="00C1765C" w:rsidP="006D2536">
            <w:pPr>
              <w:ind w:left="0"/>
              <w:contextualSpacing/>
              <w:rPr>
                <w:rFonts w:eastAsia="Verdana" w:cs="Verdana"/>
                <w:bCs/>
                <w:sz w:val="14"/>
              </w:rPr>
            </w:pPr>
            <w:r w:rsidRPr="00820C89">
              <w:rPr>
                <w:rFonts w:eastAsia="Verdana" w:cs="Verdana"/>
                <w:bCs/>
                <w:sz w:val="14"/>
              </w:rPr>
              <w:t>Providers and employers asked to share their perspectives on overlap or comparative advantage with alternative employment assistance programs</w:t>
            </w:r>
          </w:p>
          <w:p w14:paraId="5472E69A" w14:textId="77777777" w:rsidR="00C1765C" w:rsidRPr="00820C89" w:rsidRDefault="00C1765C" w:rsidP="006D2536">
            <w:pPr>
              <w:contextualSpacing/>
              <w:rPr>
                <w:rFonts w:eastAsia="Verdana" w:cs="Verdana"/>
                <w:bCs/>
                <w:sz w:val="14"/>
              </w:rPr>
            </w:pPr>
          </w:p>
        </w:tc>
        <w:tc>
          <w:tcPr>
            <w:tcW w:w="1843" w:type="dxa"/>
            <w:vMerge w:val="restart"/>
          </w:tcPr>
          <w:p w14:paraId="57058526" w14:textId="77777777" w:rsidR="00C1765C" w:rsidRPr="00820C89" w:rsidRDefault="00C1765C" w:rsidP="006D2536">
            <w:pPr>
              <w:ind w:left="0"/>
              <w:contextualSpacing/>
              <w:rPr>
                <w:rFonts w:eastAsia="Verdana" w:cs="Verdana"/>
                <w:bCs/>
                <w:sz w:val="14"/>
              </w:rPr>
            </w:pPr>
            <w:r w:rsidRPr="00820C89">
              <w:rPr>
                <w:rFonts w:eastAsia="Verdana" w:cs="Verdana"/>
                <w:bCs/>
                <w:sz w:val="14"/>
              </w:rPr>
              <w:t>Activities (VTEC, TAEG, EPI)</w:t>
            </w:r>
          </w:p>
        </w:tc>
        <w:tc>
          <w:tcPr>
            <w:tcW w:w="1984" w:type="dxa"/>
          </w:tcPr>
          <w:p w14:paraId="09D1EF87" w14:textId="77777777" w:rsidR="00C1765C" w:rsidRPr="00820C89" w:rsidRDefault="00C1765C" w:rsidP="006D2536">
            <w:pPr>
              <w:ind w:left="0"/>
              <w:contextualSpacing/>
              <w:rPr>
                <w:rFonts w:eastAsia="Verdana" w:cs="Verdana"/>
                <w:bCs/>
                <w:sz w:val="14"/>
              </w:rPr>
            </w:pPr>
            <w:r w:rsidRPr="00820C89">
              <w:rPr>
                <w:rFonts w:eastAsia="Verdana" w:cs="Verdana"/>
                <w:bCs/>
                <w:sz w:val="14"/>
              </w:rPr>
              <w:t>Findings from the first two domains</w:t>
            </w:r>
            <w:r w:rsidRPr="00820C89">
              <w:rPr>
                <w:rFonts w:eastAsia="Verdana" w:cs="Verdana"/>
                <w:bCs/>
                <w:sz w:val="14"/>
              </w:rPr>
              <w:br/>
            </w:r>
          </w:p>
        </w:tc>
        <w:tc>
          <w:tcPr>
            <w:tcW w:w="2335" w:type="dxa"/>
          </w:tcPr>
          <w:p w14:paraId="55DED706" w14:textId="77777777" w:rsidR="00C1765C" w:rsidRPr="00820C89" w:rsidRDefault="00C1765C" w:rsidP="006D2536">
            <w:pPr>
              <w:ind w:left="0"/>
              <w:contextualSpacing/>
              <w:rPr>
                <w:rFonts w:eastAsia="Verdana" w:cs="Verdana"/>
                <w:bCs/>
                <w:sz w:val="14"/>
              </w:rPr>
            </w:pPr>
            <w:r w:rsidRPr="00820C89">
              <w:rPr>
                <w:rFonts w:eastAsia="Verdana" w:cs="Verdana"/>
                <w:bCs/>
                <w:sz w:val="14"/>
              </w:rPr>
              <w:t>N/A</w:t>
            </w:r>
          </w:p>
        </w:tc>
      </w:tr>
      <w:tr w:rsidR="00C1765C" w:rsidRPr="00820C89" w14:paraId="040737F8" w14:textId="77777777" w:rsidTr="006D2536">
        <w:trPr>
          <w:trHeight w:val="251"/>
        </w:trPr>
        <w:tc>
          <w:tcPr>
            <w:tcW w:w="1701" w:type="dxa"/>
            <w:vMerge/>
          </w:tcPr>
          <w:p w14:paraId="52C565EB" w14:textId="77777777" w:rsidR="00C1765C" w:rsidRPr="00820C89" w:rsidRDefault="00C1765C" w:rsidP="006D2536">
            <w:pPr>
              <w:rPr>
                <w:rFonts w:eastAsia="Verdana" w:cs="Times New Roman"/>
                <w:sz w:val="14"/>
              </w:rPr>
            </w:pPr>
          </w:p>
        </w:tc>
        <w:tc>
          <w:tcPr>
            <w:tcW w:w="2552" w:type="dxa"/>
            <w:vMerge/>
          </w:tcPr>
          <w:p w14:paraId="79E3D563" w14:textId="77777777" w:rsidR="00C1765C" w:rsidRPr="00820C89" w:rsidRDefault="00C1765C" w:rsidP="006D2536">
            <w:pPr>
              <w:contextualSpacing/>
              <w:rPr>
                <w:rFonts w:eastAsia="Verdana" w:cs="Verdana"/>
                <w:bCs/>
                <w:color w:val="000000"/>
                <w:sz w:val="14"/>
              </w:rPr>
            </w:pPr>
          </w:p>
        </w:tc>
        <w:tc>
          <w:tcPr>
            <w:tcW w:w="2835" w:type="dxa"/>
            <w:vMerge/>
          </w:tcPr>
          <w:p w14:paraId="347E422F" w14:textId="77777777" w:rsidR="00C1765C" w:rsidRPr="00820C89" w:rsidRDefault="00C1765C" w:rsidP="006D2536">
            <w:pPr>
              <w:contextualSpacing/>
              <w:rPr>
                <w:rFonts w:eastAsia="Verdana" w:cs="Verdana"/>
                <w:bCs/>
                <w:sz w:val="14"/>
              </w:rPr>
            </w:pPr>
          </w:p>
        </w:tc>
        <w:tc>
          <w:tcPr>
            <w:tcW w:w="1843" w:type="dxa"/>
            <w:vMerge/>
          </w:tcPr>
          <w:p w14:paraId="6ABDCB6E" w14:textId="77777777" w:rsidR="00C1765C" w:rsidRPr="00820C89" w:rsidRDefault="00C1765C" w:rsidP="006D2536">
            <w:pPr>
              <w:contextualSpacing/>
              <w:rPr>
                <w:rFonts w:eastAsia="Verdana" w:cs="Verdana"/>
                <w:bCs/>
                <w:sz w:val="14"/>
              </w:rPr>
            </w:pPr>
          </w:p>
        </w:tc>
        <w:tc>
          <w:tcPr>
            <w:tcW w:w="1984" w:type="dxa"/>
          </w:tcPr>
          <w:p w14:paraId="0E322A4F" w14:textId="77777777" w:rsidR="00C1765C" w:rsidRPr="00820C89" w:rsidRDefault="00C1765C" w:rsidP="006D2536">
            <w:pPr>
              <w:ind w:left="0"/>
              <w:contextualSpacing/>
              <w:rPr>
                <w:rFonts w:eastAsia="Verdana" w:cs="Verdana"/>
                <w:bCs/>
                <w:sz w:val="14"/>
              </w:rPr>
            </w:pPr>
            <w:r w:rsidRPr="00820C89">
              <w:rPr>
                <w:rFonts w:eastAsia="Verdana" w:cs="Verdana"/>
                <w:bCs/>
                <w:sz w:val="14"/>
              </w:rPr>
              <w:t>Initial consultations</w:t>
            </w:r>
          </w:p>
          <w:p w14:paraId="358DC907" w14:textId="77777777" w:rsidR="00C1765C" w:rsidRPr="00820C89" w:rsidRDefault="00C1765C" w:rsidP="006D2536">
            <w:pPr>
              <w:ind w:left="0"/>
              <w:contextualSpacing/>
              <w:rPr>
                <w:rFonts w:eastAsia="Verdana" w:cs="Verdana"/>
                <w:bCs/>
                <w:sz w:val="14"/>
              </w:rPr>
            </w:pPr>
          </w:p>
        </w:tc>
        <w:tc>
          <w:tcPr>
            <w:tcW w:w="2335" w:type="dxa"/>
          </w:tcPr>
          <w:p w14:paraId="1B65F174"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30ECB5CD"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7D946F6B" w14:textId="77777777" w:rsidTr="006D2536">
        <w:trPr>
          <w:trHeight w:val="250"/>
        </w:trPr>
        <w:tc>
          <w:tcPr>
            <w:tcW w:w="1701" w:type="dxa"/>
            <w:vMerge/>
          </w:tcPr>
          <w:p w14:paraId="23FAC4F1" w14:textId="77777777" w:rsidR="00C1765C" w:rsidRPr="00820C89" w:rsidRDefault="00C1765C" w:rsidP="006D2536">
            <w:pPr>
              <w:rPr>
                <w:rFonts w:eastAsia="Verdana" w:cs="Times New Roman"/>
                <w:sz w:val="14"/>
              </w:rPr>
            </w:pPr>
          </w:p>
        </w:tc>
        <w:tc>
          <w:tcPr>
            <w:tcW w:w="2552" w:type="dxa"/>
            <w:vMerge/>
          </w:tcPr>
          <w:p w14:paraId="66620C98" w14:textId="77777777" w:rsidR="00C1765C" w:rsidRPr="00820C89" w:rsidRDefault="00C1765C" w:rsidP="006D2536">
            <w:pPr>
              <w:contextualSpacing/>
              <w:rPr>
                <w:rFonts w:eastAsia="Verdana" w:cs="Verdana"/>
                <w:bCs/>
                <w:color w:val="000000"/>
                <w:sz w:val="14"/>
              </w:rPr>
            </w:pPr>
          </w:p>
        </w:tc>
        <w:tc>
          <w:tcPr>
            <w:tcW w:w="2835" w:type="dxa"/>
            <w:vMerge/>
          </w:tcPr>
          <w:p w14:paraId="5A8A0227" w14:textId="77777777" w:rsidR="00C1765C" w:rsidRPr="00820C89" w:rsidRDefault="00C1765C" w:rsidP="006D2536">
            <w:pPr>
              <w:contextualSpacing/>
              <w:rPr>
                <w:rFonts w:eastAsia="Verdana" w:cs="Verdana"/>
                <w:bCs/>
                <w:color w:val="000000"/>
                <w:sz w:val="14"/>
              </w:rPr>
            </w:pPr>
          </w:p>
        </w:tc>
        <w:tc>
          <w:tcPr>
            <w:tcW w:w="1843" w:type="dxa"/>
            <w:vMerge/>
          </w:tcPr>
          <w:p w14:paraId="7B817153" w14:textId="77777777" w:rsidR="00C1765C" w:rsidRPr="00820C89" w:rsidRDefault="00C1765C" w:rsidP="006D2536">
            <w:pPr>
              <w:contextualSpacing/>
              <w:rPr>
                <w:rFonts w:eastAsia="Verdana" w:cs="Verdana"/>
                <w:bCs/>
                <w:color w:val="000000"/>
                <w:sz w:val="14"/>
              </w:rPr>
            </w:pPr>
          </w:p>
        </w:tc>
        <w:tc>
          <w:tcPr>
            <w:tcW w:w="1984" w:type="dxa"/>
          </w:tcPr>
          <w:p w14:paraId="2FE57138"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Regional consultations (including CDP and jobactive)</w:t>
            </w:r>
          </w:p>
        </w:tc>
        <w:tc>
          <w:tcPr>
            <w:tcW w:w="2335" w:type="dxa"/>
          </w:tcPr>
          <w:p w14:paraId="103532C2"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Thematic analysis</w:t>
            </w:r>
          </w:p>
          <w:p w14:paraId="63E905E8"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Case studies</w:t>
            </w:r>
          </w:p>
        </w:tc>
      </w:tr>
      <w:tr w:rsidR="00C1765C" w:rsidRPr="00820C89" w14:paraId="38F31574" w14:textId="77777777" w:rsidTr="006D2536">
        <w:trPr>
          <w:trHeight w:val="394"/>
        </w:trPr>
        <w:tc>
          <w:tcPr>
            <w:tcW w:w="1701" w:type="dxa"/>
            <w:vMerge/>
          </w:tcPr>
          <w:p w14:paraId="4283496B" w14:textId="77777777" w:rsidR="00C1765C" w:rsidRPr="00820C89" w:rsidRDefault="00C1765C" w:rsidP="006D2536">
            <w:pPr>
              <w:rPr>
                <w:rFonts w:eastAsia="Verdana" w:cs="Times New Roman"/>
                <w:sz w:val="14"/>
              </w:rPr>
            </w:pPr>
          </w:p>
        </w:tc>
        <w:tc>
          <w:tcPr>
            <w:tcW w:w="2552" w:type="dxa"/>
            <w:vMerge w:val="restart"/>
          </w:tcPr>
          <w:p w14:paraId="41A456ED"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What changes or enhancements to each program would enable delivery of better outcomes?</w:t>
            </w:r>
          </w:p>
        </w:tc>
        <w:tc>
          <w:tcPr>
            <w:tcW w:w="2835" w:type="dxa"/>
            <w:vMerge w:val="restart"/>
          </w:tcPr>
          <w:p w14:paraId="58A79FC2"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Providers, employers and participants asked to share their perspectives on improvement areas </w:t>
            </w:r>
          </w:p>
        </w:tc>
        <w:tc>
          <w:tcPr>
            <w:tcW w:w="1843" w:type="dxa"/>
            <w:vMerge w:val="restart"/>
          </w:tcPr>
          <w:p w14:paraId="31A8B144"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All </w:t>
            </w:r>
          </w:p>
        </w:tc>
        <w:tc>
          <w:tcPr>
            <w:tcW w:w="1984" w:type="dxa"/>
          </w:tcPr>
          <w:p w14:paraId="2FA544BD" w14:textId="77777777" w:rsidR="00C1765C" w:rsidRPr="00820C89" w:rsidRDefault="00C1765C" w:rsidP="006D2536">
            <w:pPr>
              <w:ind w:left="0"/>
              <w:contextualSpacing/>
              <w:rPr>
                <w:rFonts w:eastAsia="Verdana" w:cs="Verdana"/>
                <w:bCs/>
                <w:sz w:val="14"/>
              </w:rPr>
            </w:pPr>
            <w:r w:rsidRPr="00820C89">
              <w:rPr>
                <w:rFonts w:eastAsia="Verdana" w:cs="Verdana"/>
                <w:bCs/>
                <w:sz w:val="14"/>
              </w:rPr>
              <w:t>Provider survey</w:t>
            </w:r>
          </w:p>
        </w:tc>
        <w:tc>
          <w:tcPr>
            <w:tcW w:w="2335" w:type="dxa"/>
          </w:tcPr>
          <w:p w14:paraId="724AC1A0"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tc>
      </w:tr>
      <w:tr w:rsidR="00C1765C" w:rsidRPr="00820C89" w14:paraId="49B5A087" w14:textId="77777777" w:rsidTr="006D2536">
        <w:trPr>
          <w:trHeight w:val="20"/>
        </w:trPr>
        <w:tc>
          <w:tcPr>
            <w:tcW w:w="1701" w:type="dxa"/>
            <w:vMerge/>
          </w:tcPr>
          <w:p w14:paraId="608AE692" w14:textId="77777777" w:rsidR="00C1765C" w:rsidRPr="00820C89" w:rsidRDefault="00C1765C" w:rsidP="006D2536">
            <w:pPr>
              <w:rPr>
                <w:rFonts w:eastAsia="Verdana" w:cs="Times New Roman"/>
                <w:sz w:val="14"/>
              </w:rPr>
            </w:pPr>
          </w:p>
        </w:tc>
        <w:tc>
          <w:tcPr>
            <w:tcW w:w="2552" w:type="dxa"/>
            <w:vMerge/>
          </w:tcPr>
          <w:p w14:paraId="4BBC4A4D" w14:textId="77777777" w:rsidR="00C1765C" w:rsidRPr="00820C89" w:rsidRDefault="00C1765C" w:rsidP="006D2536">
            <w:pPr>
              <w:contextualSpacing/>
              <w:rPr>
                <w:rFonts w:eastAsia="Verdana" w:cs="Verdana"/>
                <w:bCs/>
                <w:color w:val="000000"/>
                <w:sz w:val="14"/>
              </w:rPr>
            </w:pPr>
          </w:p>
        </w:tc>
        <w:tc>
          <w:tcPr>
            <w:tcW w:w="2835" w:type="dxa"/>
            <w:vMerge/>
          </w:tcPr>
          <w:p w14:paraId="117B4EF5" w14:textId="77777777" w:rsidR="00C1765C" w:rsidRPr="00820C89" w:rsidRDefault="00C1765C" w:rsidP="006D2536">
            <w:pPr>
              <w:contextualSpacing/>
              <w:rPr>
                <w:rFonts w:eastAsia="Verdana" w:cs="Verdana"/>
                <w:bCs/>
                <w:color w:val="000000"/>
                <w:sz w:val="14"/>
              </w:rPr>
            </w:pPr>
          </w:p>
        </w:tc>
        <w:tc>
          <w:tcPr>
            <w:tcW w:w="1843" w:type="dxa"/>
            <w:vMerge/>
          </w:tcPr>
          <w:p w14:paraId="4290BE75" w14:textId="77777777" w:rsidR="00C1765C" w:rsidRPr="00820C89" w:rsidRDefault="00C1765C" w:rsidP="006D2536">
            <w:pPr>
              <w:contextualSpacing/>
              <w:rPr>
                <w:rFonts w:eastAsia="Verdana" w:cs="Verdana"/>
                <w:bCs/>
                <w:color w:val="000000"/>
                <w:sz w:val="14"/>
              </w:rPr>
            </w:pPr>
          </w:p>
        </w:tc>
        <w:tc>
          <w:tcPr>
            <w:tcW w:w="1984" w:type="dxa"/>
          </w:tcPr>
          <w:p w14:paraId="45E763D9" w14:textId="77777777" w:rsidR="00C1765C" w:rsidRPr="00820C89" w:rsidRDefault="00C1765C" w:rsidP="006D2536">
            <w:pPr>
              <w:ind w:left="0"/>
              <w:contextualSpacing/>
              <w:rPr>
                <w:rFonts w:eastAsia="Verdana" w:cs="Verdana"/>
                <w:bCs/>
                <w:sz w:val="14"/>
              </w:rPr>
            </w:pPr>
            <w:r w:rsidRPr="00820C89">
              <w:rPr>
                <w:rFonts w:eastAsia="Verdana" w:cs="Verdana"/>
                <w:bCs/>
                <w:sz w:val="14"/>
              </w:rPr>
              <w:t>Regional consultations</w:t>
            </w:r>
          </w:p>
        </w:tc>
        <w:tc>
          <w:tcPr>
            <w:tcW w:w="2335" w:type="dxa"/>
          </w:tcPr>
          <w:p w14:paraId="58EE5166"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tc>
      </w:tr>
      <w:tr w:rsidR="00C1765C" w:rsidRPr="00820C89" w14:paraId="5E88FEAC" w14:textId="77777777" w:rsidTr="006D2536">
        <w:trPr>
          <w:trHeight w:val="718"/>
        </w:trPr>
        <w:tc>
          <w:tcPr>
            <w:tcW w:w="1701" w:type="dxa"/>
            <w:vMerge/>
          </w:tcPr>
          <w:p w14:paraId="57DC3927" w14:textId="77777777" w:rsidR="00C1765C" w:rsidRPr="00820C89" w:rsidRDefault="00C1765C" w:rsidP="006D2536">
            <w:pPr>
              <w:rPr>
                <w:rFonts w:eastAsia="Verdana" w:cs="Times New Roman"/>
                <w:sz w:val="14"/>
              </w:rPr>
            </w:pPr>
          </w:p>
        </w:tc>
        <w:tc>
          <w:tcPr>
            <w:tcW w:w="2552" w:type="dxa"/>
            <w:vMerge/>
          </w:tcPr>
          <w:p w14:paraId="36896C67" w14:textId="77777777" w:rsidR="00C1765C" w:rsidRPr="00820C89" w:rsidRDefault="00C1765C" w:rsidP="006D2536">
            <w:pPr>
              <w:contextualSpacing/>
              <w:rPr>
                <w:rFonts w:eastAsia="Verdana" w:cs="Verdana"/>
                <w:bCs/>
                <w:color w:val="000000"/>
                <w:sz w:val="14"/>
              </w:rPr>
            </w:pPr>
          </w:p>
        </w:tc>
        <w:tc>
          <w:tcPr>
            <w:tcW w:w="2835" w:type="dxa"/>
          </w:tcPr>
          <w:p w14:paraId="51108016"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Consolidation of above findings </w:t>
            </w:r>
          </w:p>
        </w:tc>
        <w:tc>
          <w:tcPr>
            <w:tcW w:w="1843" w:type="dxa"/>
          </w:tcPr>
          <w:p w14:paraId="010EAF9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All </w:t>
            </w:r>
          </w:p>
        </w:tc>
        <w:tc>
          <w:tcPr>
            <w:tcW w:w="1984" w:type="dxa"/>
          </w:tcPr>
          <w:p w14:paraId="2B725D3D"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Evaluation findings </w:t>
            </w:r>
          </w:p>
        </w:tc>
        <w:tc>
          <w:tcPr>
            <w:tcW w:w="2335" w:type="dxa"/>
          </w:tcPr>
          <w:p w14:paraId="5D6FC7E6"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2454A6A0" w14:textId="77777777" w:rsidR="00C1765C" w:rsidRPr="00820C89" w:rsidRDefault="00C1765C" w:rsidP="006D2536">
            <w:pPr>
              <w:ind w:left="0"/>
              <w:contextualSpacing/>
              <w:rPr>
                <w:rFonts w:eastAsia="Verdana" w:cs="Verdana"/>
                <w:bCs/>
                <w:sz w:val="14"/>
              </w:rPr>
            </w:pPr>
            <w:r w:rsidRPr="00820C89">
              <w:rPr>
                <w:rFonts w:eastAsia="Verdana" w:cs="Verdana"/>
                <w:bCs/>
                <w:sz w:val="14"/>
              </w:rPr>
              <w:t>- Literature scan</w:t>
            </w:r>
          </w:p>
        </w:tc>
      </w:tr>
      <w:tr w:rsidR="00C1765C" w:rsidRPr="00820C89" w14:paraId="7BE5BDFC" w14:textId="77777777" w:rsidTr="006D2536">
        <w:trPr>
          <w:trHeight w:val="718"/>
        </w:trPr>
        <w:tc>
          <w:tcPr>
            <w:tcW w:w="1701" w:type="dxa"/>
            <w:vMerge/>
          </w:tcPr>
          <w:p w14:paraId="489EEF51" w14:textId="77777777" w:rsidR="00C1765C" w:rsidRPr="00820C89" w:rsidRDefault="00C1765C" w:rsidP="006D2536">
            <w:pPr>
              <w:rPr>
                <w:rFonts w:eastAsia="Verdana" w:cs="Times New Roman"/>
                <w:sz w:val="14"/>
              </w:rPr>
            </w:pPr>
          </w:p>
        </w:tc>
        <w:tc>
          <w:tcPr>
            <w:tcW w:w="2552" w:type="dxa"/>
          </w:tcPr>
          <w:p w14:paraId="144FC04F"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How could these learnings be leveraged to drive better outcomes for Indigenous Australians more broadly?  </w:t>
            </w:r>
          </w:p>
        </w:tc>
        <w:tc>
          <w:tcPr>
            <w:tcW w:w="2835" w:type="dxa"/>
          </w:tcPr>
          <w:p w14:paraId="52914DEC"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Consolidation of above findings </w:t>
            </w:r>
          </w:p>
        </w:tc>
        <w:tc>
          <w:tcPr>
            <w:tcW w:w="1843" w:type="dxa"/>
          </w:tcPr>
          <w:p w14:paraId="2B672B8E"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 xml:space="preserve">All </w:t>
            </w:r>
          </w:p>
        </w:tc>
        <w:tc>
          <w:tcPr>
            <w:tcW w:w="1984" w:type="dxa"/>
          </w:tcPr>
          <w:p w14:paraId="2FFEB1BE"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Evaluation findings </w:t>
            </w:r>
          </w:p>
        </w:tc>
        <w:tc>
          <w:tcPr>
            <w:tcW w:w="2335" w:type="dxa"/>
          </w:tcPr>
          <w:p w14:paraId="58F5809E"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5D5408E2" w14:textId="77777777" w:rsidR="00C1765C" w:rsidRPr="00820C89" w:rsidRDefault="00C1765C" w:rsidP="006D2536">
            <w:pPr>
              <w:ind w:left="0"/>
              <w:contextualSpacing/>
              <w:rPr>
                <w:rFonts w:eastAsia="Verdana" w:cs="Verdana"/>
                <w:bCs/>
                <w:sz w:val="14"/>
              </w:rPr>
            </w:pPr>
            <w:r w:rsidRPr="00820C89">
              <w:rPr>
                <w:rFonts w:eastAsia="Verdana" w:cs="Verdana"/>
                <w:bCs/>
                <w:sz w:val="14"/>
              </w:rPr>
              <w:t>- Literature scan</w:t>
            </w:r>
          </w:p>
        </w:tc>
      </w:tr>
    </w:tbl>
    <w:p w14:paraId="37B65E5D" w14:textId="77777777" w:rsidR="00C1765C" w:rsidRPr="00820C89" w:rsidRDefault="00C1765C" w:rsidP="00C1765C">
      <w:pPr>
        <w:rPr>
          <w:lang w:val="en-US" w:eastAsia="en-AU"/>
        </w:rPr>
        <w:sectPr w:rsidR="00C1765C" w:rsidRPr="00820C89" w:rsidSect="0095405D">
          <w:pgSz w:w="16838" w:h="11906" w:orient="landscape" w:code="9"/>
          <w:pgMar w:top="1440" w:right="1440" w:bottom="1440" w:left="1440" w:header="680" w:footer="425" w:gutter="0"/>
          <w:cols w:space="284"/>
          <w:docGrid w:linePitch="360"/>
        </w:sectPr>
      </w:pPr>
    </w:p>
    <w:p w14:paraId="6A4EEC53" w14:textId="77777777" w:rsidR="00C1765C" w:rsidRPr="00820C89" w:rsidRDefault="00C1765C" w:rsidP="00C1765C">
      <w:pPr>
        <w:pStyle w:val="Appendixhead1"/>
        <w:spacing w:before="170"/>
        <w:ind w:left="0" w:firstLine="0"/>
      </w:pPr>
      <w:bookmarkStart w:id="502" w:name="_Toc37177397"/>
      <w:bookmarkStart w:id="503" w:name="_Ref37247617"/>
      <w:bookmarkStart w:id="504" w:name="_Ref37261643"/>
      <w:bookmarkStart w:id="505" w:name="_Toc45206359"/>
      <w:r w:rsidRPr="00820C89">
        <w:lastRenderedPageBreak/>
        <w:t>Data collection tools</w:t>
      </w:r>
      <w:bookmarkEnd w:id="502"/>
      <w:bookmarkEnd w:id="503"/>
      <w:bookmarkEnd w:id="504"/>
      <w:bookmarkEnd w:id="505"/>
    </w:p>
    <w:p w14:paraId="70CD247C" w14:textId="77777777" w:rsidR="00C1765C" w:rsidRPr="00820C89" w:rsidRDefault="00C1765C" w:rsidP="00C1765C">
      <w:r w:rsidRPr="00820C89">
        <w:t xml:space="preserve">This Appendix contains the following draft products: </w:t>
      </w:r>
    </w:p>
    <w:p w14:paraId="08FD9E50" w14:textId="77777777" w:rsidR="00C1765C" w:rsidRPr="00820C89" w:rsidRDefault="00C1765C" w:rsidP="00C1765C">
      <w:r w:rsidRPr="00820C89">
        <w:t xml:space="preserve">Data collection tools for </w:t>
      </w:r>
      <w:r w:rsidRPr="00820C89">
        <w:rPr>
          <w:b/>
          <w:bCs/>
        </w:rPr>
        <w:t>NIAA regional staff</w:t>
      </w:r>
      <w:r w:rsidRPr="00820C89">
        <w:t xml:space="preserve"> stakeholder engagement </w:t>
      </w:r>
    </w:p>
    <w:p w14:paraId="04AF20E2" w14:textId="77777777" w:rsidR="00C1765C" w:rsidRPr="00820C89" w:rsidRDefault="00C1765C" w:rsidP="00715F70">
      <w:pPr>
        <w:pStyle w:val="ListParagraph"/>
        <w:numPr>
          <w:ilvl w:val="0"/>
          <w:numId w:val="187"/>
        </w:numPr>
        <w:spacing w:before="170"/>
        <w:ind w:left="426" w:hanging="426"/>
      </w:pPr>
      <w:r w:rsidRPr="00820C89">
        <w:t>semi-structured interview information sheet and consent form</w:t>
      </w:r>
    </w:p>
    <w:p w14:paraId="4D8D2BF5" w14:textId="77777777" w:rsidR="00C1765C" w:rsidRPr="00820C89" w:rsidRDefault="00C1765C" w:rsidP="00715F70">
      <w:pPr>
        <w:pStyle w:val="ListParagraph"/>
        <w:numPr>
          <w:ilvl w:val="0"/>
          <w:numId w:val="187"/>
        </w:numPr>
        <w:spacing w:before="170"/>
        <w:ind w:left="426" w:hanging="426"/>
      </w:pPr>
      <w:r w:rsidRPr="00820C89">
        <w:t xml:space="preserve">initial consultation interview questions </w:t>
      </w:r>
    </w:p>
    <w:p w14:paraId="3BDC3623" w14:textId="77777777" w:rsidR="00C1765C" w:rsidRPr="00820C89" w:rsidRDefault="00C1765C" w:rsidP="00715F70">
      <w:pPr>
        <w:pStyle w:val="ListParagraph"/>
        <w:numPr>
          <w:ilvl w:val="0"/>
          <w:numId w:val="187"/>
        </w:numPr>
        <w:spacing w:before="170"/>
        <w:ind w:left="426" w:hanging="426"/>
      </w:pPr>
      <w:r w:rsidRPr="00820C89">
        <w:t xml:space="preserve">regional consultation interview questions </w:t>
      </w:r>
    </w:p>
    <w:p w14:paraId="0A15B848" w14:textId="77777777" w:rsidR="00C1765C" w:rsidRPr="00820C89" w:rsidRDefault="00C1765C" w:rsidP="00C1765C">
      <w:r w:rsidRPr="00820C89">
        <w:t xml:space="preserve">Data collection tools for </w:t>
      </w:r>
      <w:r w:rsidRPr="00820C89">
        <w:rPr>
          <w:b/>
          <w:bCs/>
        </w:rPr>
        <w:t>Indigenous representative</w:t>
      </w:r>
      <w:r w:rsidRPr="00820C89">
        <w:t xml:space="preserve"> stakeholder engagement </w:t>
      </w:r>
    </w:p>
    <w:p w14:paraId="7E4B5448" w14:textId="77777777" w:rsidR="00C1765C" w:rsidRPr="00820C89" w:rsidRDefault="00C1765C" w:rsidP="00715F70">
      <w:pPr>
        <w:pStyle w:val="ListParagraph"/>
        <w:numPr>
          <w:ilvl w:val="0"/>
          <w:numId w:val="188"/>
        </w:numPr>
        <w:spacing w:before="170"/>
        <w:ind w:left="420" w:hanging="406"/>
      </w:pPr>
      <w:r w:rsidRPr="00820C89">
        <w:t>semi-structured interview information sheet and consent form</w:t>
      </w:r>
    </w:p>
    <w:p w14:paraId="2AED3BDA" w14:textId="77777777" w:rsidR="00C1765C" w:rsidRPr="00820C89" w:rsidRDefault="00C1765C" w:rsidP="00715F70">
      <w:pPr>
        <w:pStyle w:val="ListParagraph"/>
        <w:numPr>
          <w:ilvl w:val="0"/>
          <w:numId w:val="188"/>
        </w:numPr>
        <w:spacing w:before="170"/>
        <w:ind w:left="420" w:hanging="406"/>
      </w:pPr>
      <w:r w:rsidRPr="00820C89">
        <w:t xml:space="preserve">regional consultation interview questions </w:t>
      </w:r>
    </w:p>
    <w:p w14:paraId="6A1DF109" w14:textId="77777777" w:rsidR="00C1765C" w:rsidRPr="00820C89" w:rsidRDefault="00C1765C" w:rsidP="00C1765C">
      <w:r w:rsidRPr="00820C89">
        <w:t xml:space="preserve">Data collection tools for </w:t>
      </w:r>
      <w:r w:rsidRPr="00820C89">
        <w:rPr>
          <w:b/>
          <w:bCs/>
        </w:rPr>
        <w:t>state and territory government</w:t>
      </w:r>
      <w:r w:rsidRPr="00820C89">
        <w:t xml:space="preserve"> stakeholder engagement </w:t>
      </w:r>
    </w:p>
    <w:p w14:paraId="19B4D41E" w14:textId="77777777" w:rsidR="00C1765C" w:rsidRPr="00820C89" w:rsidRDefault="00C1765C" w:rsidP="00715F70">
      <w:pPr>
        <w:pStyle w:val="ListParagraph"/>
        <w:numPr>
          <w:ilvl w:val="0"/>
          <w:numId w:val="189"/>
        </w:numPr>
        <w:spacing w:before="170"/>
        <w:ind w:left="350" w:hanging="350"/>
      </w:pPr>
      <w:r w:rsidRPr="00820C89">
        <w:t>semi-structured interview information sheet and consent form</w:t>
      </w:r>
    </w:p>
    <w:p w14:paraId="493A4150" w14:textId="77777777" w:rsidR="00C1765C" w:rsidRPr="00820C89" w:rsidRDefault="00C1765C" w:rsidP="00715F70">
      <w:pPr>
        <w:pStyle w:val="ListParagraph"/>
        <w:numPr>
          <w:ilvl w:val="0"/>
          <w:numId w:val="189"/>
        </w:numPr>
        <w:spacing w:before="170"/>
        <w:ind w:left="350" w:hanging="350"/>
      </w:pPr>
      <w:r w:rsidRPr="00820C89">
        <w:t>regional consultation interview questions</w:t>
      </w:r>
    </w:p>
    <w:p w14:paraId="5AE87FAA" w14:textId="77777777" w:rsidR="00C1765C" w:rsidRPr="00820C89" w:rsidRDefault="00C1765C" w:rsidP="00C1765C">
      <w:r w:rsidRPr="00820C89">
        <w:t xml:space="preserve">Data collection tools for </w:t>
      </w:r>
      <w:r w:rsidRPr="00820C89">
        <w:rPr>
          <w:b/>
          <w:bCs/>
        </w:rPr>
        <w:t>provider and employer</w:t>
      </w:r>
      <w:r w:rsidRPr="00820C89">
        <w:t xml:space="preserve"> stakeholder engagement </w:t>
      </w:r>
    </w:p>
    <w:p w14:paraId="2476824A" w14:textId="77777777" w:rsidR="00C1765C" w:rsidRPr="00820C89" w:rsidRDefault="00C1765C" w:rsidP="00715F70">
      <w:pPr>
        <w:pStyle w:val="ListParagraph"/>
        <w:numPr>
          <w:ilvl w:val="0"/>
          <w:numId w:val="182"/>
        </w:numPr>
        <w:spacing w:before="170"/>
      </w:pPr>
      <w:r w:rsidRPr="00820C89">
        <w:t>TAEG and VTEC provider survey information and consent sheet</w:t>
      </w:r>
    </w:p>
    <w:p w14:paraId="71710914" w14:textId="77777777" w:rsidR="00C1765C" w:rsidRPr="00820C89" w:rsidRDefault="00C1765C" w:rsidP="00715F70">
      <w:pPr>
        <w:pStyle w:val="ListParagraph"/>
        <w:numPr>
          <w:ilvl w:val="0"/>
          <w:numId w:val="182"/>
        </w:numPr>
        <w:spacing w:before="170"/>
      </w:pPr>
      <w:r w:rsidRPr="00820C89">
        <w:t>TAEG and VTEC provider survey</w:t>
      </w:r>
    </w:p>
    <w:p w14:paraId="187626F3" w14:textId="77777777" w:rsidR="00C1765C" w:rsidRPr="00820C89" w:rsidRDefault="00C1765C" w:rsidP="00715F70">
      <w:pPr>
        <w:pStyle w:val="ListParagraph"/>
        <w:numPr>
          <w:ilvl w:val="0"/>
          <w:numId w:val="182"/>
        </w:numPr>
        <w:spacing w:before="170"/>
      </w:pPr>
      <w:r w:rsidRPr="00820C89">
        <w:t>providers and employers semi-structured interview information sheet and consent form</w:t>
      </w:r>
    </w:p>
    <w:p w14:paraId="07C0F44C" w14:textId="77777777" w:rsidR="00C1765C" w:rsidRPr="00820C89" w:rsidRDefault="00C1765C" w:rsidP="00715F70">
      <w:pPr>
        <w:pStyle w:val="ListParagraph"/>
        <w:numPr>
          <w:ilvl w:val="0"/>
          <w:numId w:val="182"/>
        </w:numPr>
        <w:spacing w:before="170"/>
      </w:pPr>
      <w:r w:rsidRPr="00820C89">
        <w:t xml:space="preserve">providers (not employers) regional interview questions </w:t>
      </w:r>
    </w:p>
    <w:p w14:paraId="1068CE0C" w14:textId="77777777" w:rsidR="00C1765C" w:rsidRPr="00820C89" w:rsidRDefault="00C1765C" w:rsidP="00715F70">
      <w:pPr>
        <w:pStyle w:val="ListParagraph"/>
        <w:numPr>
          <w:ilvl w:val="0"/>
          <w:numId w:val="182"/>
        </w:numPr>
        <w:spacing w:before="170"/>
      </w:pPr>
      <w:r w:rsidRPr="00820C89">
        <w:t xml:space="preserve">employers regional interview questions                       </w:t>
      </w:r>
    </w:p>
    <w:p w14:paraId="1FB54BF2" w14:textId="77777777" w:rsidR="00C1765C" w:rsidRPr="00820C89" w:rsidRDefault="00C1765C" w:rsidP="00C1765C">
      <w:r w:rsidRPr="00820C89">
        <w:t xml:space="preserve">Data collection tools for </w:t>
      </w:r>
      <w:r w:rsidRPr="00820C89">
        <w:rPr>
          <w:b/>
          <w:bCs/>
        </w:rPr>
        <w:t>program participants/employee</w:t>
      </w:r>
      <w:r w:rsidRPr="00820C89">
        <w:t xml:space="preserve"> stakeholder engagement </w:t>
      </w:r>
    </w:p>
    <w:p w14:paraId="092F557D" w14:textId="77777777" w:rsidR="00C1765C" w:rsidRPr="00820C89" w:rsidRDefault="00C1765C" w:rsidP="00715F70">
      <w:pPr>
        <w:pStyle w:val="ListParagraph"/>
        <w:numPr>
          <w:ilvl w:val="0"/>
          <w:numId w:val="182"/>
        </w:numPr>
        <w:spacing w:before="170"/>
      </w:pPr>
      <w:r w:rsidRPr="00820C89">
        <w:t xml:space="preserve">focus group information sheet and consent form </w:t>
      </w:r>
    </w:p>
    <w:p w14:paraId="43B96FB4" w14:textId="02D569CE" w:rsidR="00C1765C" w:rsidRPr="00820C89" w:rsidRDefault="00C1765C" w:rsidP="00715F70">
      <w:pPr>
        <w:pStyle w:val="ListParagraph"/>
        <w:numPr>
          <w:ilvl w:val="0"/>
          <w:numId w:val="182"/>
        </w:numPr>
        <w:spacing w:before="170"/>
      </w:pPr>
      <w:r w:rsidRPr="00820C89">
        <w:t>regional consultation interview questions</w:t>
      </w:r>
      <w:bookmarkStart w:id="506" w:name="_Toc37402770"/>
      <w:bookmarkStart w:id="507" w:name="_Toc45206369"/>
      <w:bookmarkStart w:id="508" w:name="_Toc45206410"/>
    </w:p>
    <w:p w14:paraId="3BFF1479" w14:textId="77777777" w:rsidR="00C1765C" w:rsidRPr="00820C89" w:rsidRDefault="00C1765C" w:rsidP="00C1765C">
      <w:pPr>
        <w:rPr>
          <w:rFonts w:eastAsiaTheme="majorEastAsia" w:cstheme="majorBidi"/>
          <w:color w:val="62B5E5" w:themeColor="accent3"/>
          <w:sz w:val="22"/>
          <w:szCs w:val="26"/>
        </w:rPr>
      </w:pPr>
      <w:r w:rsidRPr="00820C89">
        <w:br w:type="page"/>
      </w:r>
    </w:p>
    <w:p w14:paraId="43C135C1" w14:textId="77777777" w:rsidR="00C1765C" w:rsidRPr="00820C89" w:rsidRDefault="00C1765C" w:rsidP="00C1765C">
      <w:pPr>
        <w:pStyle w:val="Heading2un-numbered"/>
      </w:pPr>
      <w:bookmarkStart w:id="509" w:name="_Toc82694521"/>
      <w:bookmarkStart w:id="510" w:name="_Toc82710820"/>
      <w:bookmarkStart w:id="511" w:name="_Toc101343345"/>
      <w:r w:rsidRPr="00820C89">
        <w:lastRenderedPageBreak/>
        <w:t>Regional NIAA network staff initial semi-structured interview participant sheet</w:t>
      </w:r>
      <w:bookmarkEnd w:id="506"/>
      <w:bookmarkEnd w:id="507"/>
      <w:bookmarkEnd w:id="508"/>
      <w:bookmarkEnd w:id="509"/>
      <w:bookmarkEnd w:id="510"/>
      <w:bookmarkEnd w:id="511"/>
      <w:r w:rsidRPr="00820C89">
        <w:t xml:space="preserve"> </w:t>
      </w:r>
    </w:p>
    <w:p w14:paraId="6638181C" w14:textId="77777777" w:rsidR="00C1765C" w:rsidRPr="00820C89" w:rsidRDefault="00C1765C" w:rsidP="00C1765C">
      <w:pPr>
        <w:pStyle w:val="NoSpacing"/>
        <w:rPr>
          <w:rStyle w:val="normaltextrun"/>
          <w:b/>
          <w:bCs/>
        </w:rPr>
      </w:pPr>
      <w:bookmarkStart w:id="512" w:name="_Toc37402771"/>
    </w:p>
    <w:p w14:paraId="1101D2B3" w14:textId="77777777" w:rsidR="00C1765C" w:rsidRPr="00820C89" w:rsidRDefault="00C1765C" w:rsidP="00C1765C">
      <w:pPr>
        <w:pStyle w:val="NoSpacing"/>
        <w:rPr>
          <w:rStyle w:val="eop"/>
          <w:b/>
        </w:rPr>
      </w:pPr>
      <w:r w:rsidRPr="00820C89">
        <w:rPr>
          <w:rStyle w:val="normaltextrun"/>
          <w:b/>
        </w:rPr>
        <w:t>Introduction</w:t>
      </w:r>
      <w:bookmarkEnd w:id="512"/>
      <w:r w:rsidRPr="00820C89">
        <w:rPr>
          <w:rStyle w:val="normaltextrun"/>
          <w:b/>
        </w:rPr>
        <w:t> </w:t>
      </w:r>
      <w:r w:rsidRPr="00820C89">
        <w:rPr>
          <w:rStyle w:val="eop"/>
          <w:b/>
        </w:rPr>
        <w:t> </w:t>
      </w:r>
    </w:p>
    <w:p w14:paraId="0DFCDF6B" w14:textId="77777777" w:rsidR="00C1765C" w:rsidRPr="00820C89" w:rsidRDefault="00C1765C" w:rsidP="00C1765C">
      <w:pPr>
        <w:rPr>
          <w:rStyle w:val="normaltextrun"/>
          <w:rFonts w:cs="Segoe UI"/>
          <w:b/>
          <w:lang w:val="da-DK"/>
        </w:rPr>
      </w:pPr>
      <w:bookmarkStart w:id="513" w:name="_Toc37402772"/>
      <w:r w:rsidRPr="00820C89">
        <w:rPr>
          <w:rStyle w:val="normaltextrun"/>
          <w:rFonts w:cs="Segoe UI"/>
          <w:lang w:val="da-DK"/>
        </w:rPr>
        <w:t xml:space="preserve">Deloitte Access Economics has been engaged to undertake an evaluation of three Indigenous Employment Programs (IEPs) funded by the National Indigenous Australians Agency (NIAA) – the Employment Parity Initiative (EPI), </w:t>
      </w:r>
      <w:r w:rsidRPr="00820C89">
        <w:rPr>
          <w:rStyle w:val="normaltextrun"/>
          <w:rFonts w:cs="Segoe UI"/>
          <w:b/>
          <w:lang w:val="da-DK"/>
        </w:rPr>
        <w:t>Vocational Training and Employment Centres (VTECs) and Tailored Employment Assistance Grants – Employment (TAEG).</w:t>
      </w:r>
      <w:bookmarkEnd w:id="513"/>
      <w:r w:rsidRPr="00820C89">
        <w:rPr>
          <w:rStyle w:val="normaltextrun"/>
          <w:rFonts w:cs="Segoe UI"/>
          <w:b/>
          <w:lang w:val="da-DK"/>
        </w:rPr>
        <w:t> </w:t>
      </w:r>
    </w:p>
    <w:p w14:paraId="3913BCCD" w14:textId="77777777" w:rsidR="00C1765C" w:rsidRPr="00820C89" w:rsidRDefault="00C1765C" w:rsidP="00C1765C">
      <w:pPr>
        <w:rPr>
          <w:rStyle w:val="eop"/>
          <w:rFonts w:cs="Segoe UI"/>
        </w:rPr>
      </w:pPr>
      <w:bookmarkStart w:id="514" w:name="_Toc37402773"/>
      <w:r w:rsidRPr="00820C89">
        <w:rPr>
          <w:rStyle w:val="normaltextrun"/>
          <w:rFonts w:cs="Segoe UI"/>
          <w:lang w:val="da-DK"/>
        </w:rPr>
        <w:t>In conducting this research, Deloitte Access Economics is undertaking extensive stakeholder engagement with various stakeholder gro</w:t>
      </w:r>
      <w:r w:rsidRPr="00820C89">
        <w:rPr>
          <w:rStyle w:val="normaltextrun"/>
          <w:rFonts w:cs="Segoe UI"/>
          <w:b/>
          <w:lang w:val="da-DK"/>
        </w:rPr>
        <w:t>ups, including government representatives, representatives of the Indigenous Australian community, VTEC and TAEG providers, EPI partners, employers, and IEP participants. This stakeholder engagement process also involves consultations with representatives from each of the NIAA regional offices.</w:t>
      </w:r>
      <w:bookmarkEnd w:id="514"/>
      <w:r w:rsidRPr="00820C89">
        <w:rPr>
          <w:rStyle w:val="normaltextrun"/>
          <w:rFonts w:cs="Segoe UI"/>
          <w:b/>
          <w:lang w:val="da-DK"/>
        </w:rPr>
        <w:t> </w:t>
      </w:r>
      <w:r w:rsidRPr="00820C89">
        <w:rPr>
          <w:rStyle w:val="eop"/>
          <w:rFonts w:cs="Segoe UI"/>
          <w:b/>
        </w:rPr>
        <w:t> </w:t>
      </w:r>
    </w:p>
    <w:p w14:paraId="453ECF67" w14:textId="77777777" w:rsidR="00C1765C" w:rsidRPr="00820C89" w:rsidRDefault="00C1765C" w:rsidP="00C1765C">
      <w:pPr>
        <w:rPr>
          <w:rStyle w:val="eop"/>
          <w:rFonts w:cs="Segoe UI"/>
        </w:rPr>
      </w:pPr>
      <w:bookmarkStart w:id="515" w:name="_Toc37402774"/>
      <w:r w:rsidRPr="00820C89">
        <w:rPr>
          <w:rStyle w:val="normaltextrun"/>
          <w:rFonts w:cs="Segoe UI"/>
          <w:lang w:val="da-DK"/>
        </w:rPr>
        <w:t>This consultation will be a </w:t>
      </w:r>
      <w:r w:rsidRPr="00820C89">
        <w:rPr>
          <w:rStyle w:val="normaltextrun"/>
          <w:rFonts w:cs="Segoe UI"/>
          <w:bCs/>
          <w:lang w:val="da-DK"/>
        </w:rPr>
        <w:t>60 minute semi-structured interview</w:t>
      </w:r>
      <w:r w:rsidRPr="00820C89">
        <w:rPr>
          <w:rStyle w:val="normaltextrun"/>
          <w:rFonts w:cs="Segoe UI"/>
          <w:b/>
          <w:lang w:val="da-DK"/>
        </w:rPr>
        <w:t> with yourself held via teleconference.</w:t>
      </w:r>
      <w:bookmarkEnd w:id="515"/>
      <w:r w:rsidRPr="00820C89">
        <w:rPr>
          <w:rStyle w:val="normaltextrun"/>
          <w:rFonts w:cs="Segoe UI"/>
          <w:b/>
          <w:lang w:val="da-DK"/>
        </w:rPr>
        <w:t>  </w:t>
      </w:r>
      <w:r w:rsidRPr="00820C89">
        <w:rPr>
          <w:rStyle w:val="eop"/>
          <w:rFonts w:cs="Segoe UI"/>
          <w:b/>
        </w:rPr>
        <w:t> </w:t>
      </w:r>
    </w:p>
    <w:p w14:paraId="15A76E79" w14:textId="77777777" w:rsidR="00C1765C" w:rsidRPr="00820C89" w:rsidRDefault="00C1765C" w:rsidP="00C1765C">
      <w:pPr>
        <w:rPr>
          <w:rFonts w:ascii="Segoe UI" w:hAnsi="Segoe UI" w:cs="Segoe UI"/>
        </w:rPr>
      </w:pPr>
      <w:bookmarkStart w:id="516" w:name="_Toc37402775"/>
      <w:r w:rsidRPr="00820C89">
        <w:rPr>
          <w:rStyle w:val="normaltextrun"/>
          <w:rFonts w:cs="Segoe UI"/>
        </w:rPr>
        <w:t>In support of these consultations, this document comprises a guide for our discussion with you and your staff. It includes:</w:t>
      </w:r>
      <w:bookmarkEnd w:id="516"/>
      <w:r w:rsidRPr="00820C89">
        <w:rPr>
          <w:rStyle w:val="normaltextrun"/>
          <w:rFonts w:cs="Segoe UI"/>
        </w:rPr>
        <w:t> </w:t>
      </w:r>
      <w:r w:rsidRPr="00820C89">
        <w:rPr>
          <w:rStyle w:val="eop"/>
          <w:rFonts w:cs="Segoe UI"/>
          <w:b/>
        </w:rPr>
        <w:t> </w:t>
      </w:r>
    </w:p>
    <w:p w14:paraId="5345D972" w14:textId="77777777" w:rsidR="00C1765C" w:rsidRPr="00820C89" w:rsidRDefault="00C1765C" w:rsidP="00715F70">
      <w:pPr>
        <w:pStyle w:val="ListParagraph"/>
        <w:numPr>
          <w:ilvl w:val="0"/>
          <w:numId w:val="120"/>
        </w:numPr>
        <w:spacing w:before="170"/>
        <w:rPr>
          <w:lang w:eastAsia="en-AU"/>
        </w:rPr>
      </w:pPr>
      <w:r w:rsidRPr="00820C89">
        <w:rPr>
          <w:lang w:eastAsia="en-AU"/>
        </w:rPr>
        <w:t>background information about the purpose of this research and topics to be covered in consultations. </w:t>
      </w:r>
    </w:p>
    <w:p w14:paraId="39B3BAD0" w14:textId="77777777" w:rsidR="00C1765C" w:rsidRPr="00820C89" w:rsidRDefault="00C1765C" w:rsidP="00715F70">
      <w:pPr>
        <w:pStyle w:val="ListParagraph"/>
        <w:numPr>
          <w:ilvl w:val="0"/>
          <w:numId w:val="120"/>
        </w:numPr>
        <w:spacing w:before="170"/>
        <w:rPr>
          <w:lang w:eastAsia="en-AU"/>
        </w:rPr>
      </w:pPr>
      <w:r w:rsidRPr="00820C89">
        <w:rPr>
          <w:lang w:eastAsia="en-AU"/>
        </w:rPr>
        <w:t>information regarding our consultation with you, including matters relating to privacy and confidentiality  </w:t>
      </w:r>
    </w:p>
    <w:p w14:paraId="3F129395" w14:textId="77777777" w:rsidR="00C1765C" w:rsidRPr="00820C89" w:rsidRDefault="00C1765C" w:rsidP="00715F70">
      <w:pPr>
        <w:pStyle w:val="ListParagraph"/>
        <w:numPr>
          <w:ilvl w:val="0"/>
          <w:numId w:val="120"/>
        </w:numPr>
        <w:spacing w:before="170"/>
        <w:rPr>
          <w:lang w:eastAsia="en-AU"/>
        </w:rPr>
      </w:pPr>
      <w:r w:rsidRPr="00820C89">
        <w:rPr>
          <w:lang w:eastAsia="en-AU"/>
        </w:rPr>
        <w:t>a short list of consultation questions which we will use to guide our conversation with you. </w:t>
      </w:r>
    </w:p>
    <w:p w14:paraId="46B482AF" w14:textId="77777777" w:rsidR="00C1765C" w:rsidRPr="00820C89" w:rsidRDefault="00C1765C" w:rsidP="00C1765C">
      <w:pPr>
        <w:pStyle w:val="NoSpacing"/>
        <w:rPr>
          <w:rStyle w:val="normaltextrun"/>
          <w:b/>
        </w:rPr>
      </w:pPr>
      <w:bookmarkStart w:id="517" w:name="_Toc37402776"/>
      <w:r w:rsidRPr="00820C89">
        <w:rPr>
          <w:rStyle w:val="normaltextrun"/>
          <w:b/>
        </w:rPr>
        <w:t>Purpose and topics for consultations</w:t>
      </w:r>
      <w:bookmarkEnd w:id="517"/>
      <w:r w:rsidRPr="00820C89">
        <w:rPr>
          <w:rStyle w:val="normaltextrun"/>
        </w:rPr>
        <w:t> </w:t>
      </w:r>
    </w:p>
    <w:p w14:paraId="16065F53" w14:textId="77777777" w:rsidR="00C1765C" w:rsidRPr="00820C89" w:rsidRDefault="00C1765C" w:rsidP="00C1765C">
      <w:pPr>
        <w:rPr>
          <w:rStyle w:val="eop"/>
          <w:rFonts w:cs="Segoe UI"/>
          <w:b/>
        </w:rPr>
      </w:pPr>
      <w:r w:rsidRPr="00820C89">
        <w:rPr>
          <w:rStyle w:val="normaltextrun"/>
          <w:rFonts w:cs="Segoe UI"/>
        </w:rPr>
        <w:t>The purpose of this evaluation is to provide the NIAA with evidence-based policy advice as to the effectiveness of the programs’ implementation, whether it is meeting the programs’ objectives and to inform policy makers about possible improvements and direction. </w:t>
      </w:r>
      <w:r w:rsidRPr="00820C89">
        <w:rPr>
          <w:rStyle w:val="eop"/>
          <w:rFonts w:cs="Segoe UI"/>
        </w:rPr>
        <w:t> </w:t>
      </w:r>
    </w:p>
    <w:p w14:paraId="0D83AE46" w14:textId="77777777" w:rsidR="00C1765C" w:rsidRPr="00820C89" w:rsidRDefault="00C1765C" w:rsidP="00C1765C">
      <w:pPr>
        <w:rPr>
          <w:b/>
        </w:rPr>
      </w:pPr>
      <w:r w:rsidRPr="00820C89">
        <w:rPr>
          <w:rStyle w:val="normaltextrun"/>
          <w:rFonts w:cs="Segoe UI"/>
        </w:rPr>
        <w:t>Consultations with regional NIAA offices have been designed to understand different regional contexts and to test the proposed stakeholder engagement approach for planned community consultations. Specifically, we are interested to hear your views in relation to the following topics: </w:t>
      </w:r>
      <w:r w:rsidRPr="00820C89">
        <w:rPr>
          <w:rStyle w:val="eop"/>
          <w:rFonts w:cs="Segoe UI"/>
        </w:rPr>
        <w:t> </w:t>
      </w:r>
    </w:p>
    <w:p w14:paraId="0FC172F9" w14:textId="77777777" w:rsidR="00C1765C" w:rsidRPr="00820C89" w:rsidRDefault="00C1765C" w:rsidP="00715F70">
      <w:pPr>
        <w:pStyle w:val="ListParagraph"/>
        <w:numPr>
          <w:ilvl w:val="0"/>
          <w:numId w:val="120"/>
        </w:numPr>
        <w:spacing w:before="170"/>
        <w:rPr>
          <w:lang w:eastAsia="en-AU"/>
        </w:rPr>
      </w:pPr>
      <w:r w:rsidRPr="00820C89">
        <w:rPr>
          <w:lang w:eastAsia="en-AU"/>
        </w:rPr>
        <w:t xml:space="preserve">the context of the region you are based in </w:t>
      </w:r>
    </w:p>
    <w:p w14:paraId="0B646F23" w14:textId="77777777" w:rsidR="00C1765C" w:rsidRPr="00820C89" w:rsidRDefault="00C1765C" w:rsidP="00715F70">
      <w:pPr>
        <w:pStyle w:val="ListParagraph"/>
        <w:numPr>
          <w:ilvl w:val="0"/>
          <w:numId w:val="120"/>
        </w:numPr>
        <w:spacing w:before="170"/>
        <w:rPr>
          <w:lang w:eastAsia="en-AU"/>
        </w:rPr>
      </w:pPr>
      <w:r w:rsidRPr="00820C89">
        <w:rPr>
          <w:lang w:eastAsia="en-AU"/>
        </w:rPr>
        <w:t>any perspectives you have on the communities that could be selected for regional consultations</w:t>
      </w:r>
    </w:p>
    <w:p w14:paraId="2708396E" w14:textId="77777777" w:rsidR="00C1765C" w:rsidRPr="00820C89" w:rsidRDefault="00C1765C" w:rsidP="00715F70">
      <w:pPr>
        <w:pStyle w:val="ListParagraph"/>
        <w:numPr>
          <w:ilvl w:val="0"/>
          <w:numId w:val="120"/>
        </w:numPr>
        <w:spacing w:before="170"/>
        <w:rPr>
          <w:lang w:eastAsia="en-AU"/>
        </w:rPr>
      </w:pPr>
      <w:r w:rsidRPr="00820C89">
        <w:rPr>
          <w:lang w:eastAsia="en-AU"/>
        </w:rPr>
        <w:t>recommendations for the way in which we may undertake regional consultations.</w:t>
      </w:r>
    </w:p>
    <w:p w14:paraId="018FEEC8" w14:textId="77777777" w:rsidR="00C1765C" w:rsidRPr="00820C89" w:rsidRDefault="00C1765C" w:rsidP="00C1765C">
      <w:pPr>
        <w:pStyle w:val="NoSpacing"/>
        <w:rPr>
          <w:rStyle w:val="normaltextrun"/>
          <w:b/>
        </w:rPr>
      </w:pPr>
      <w:bookmarkStart w:id="518" w:name="_Toc37402777"/>
      <w:r w:rsidRPr="00820C89">
        <w:rPr>
          <w:rStyle w:val="normaltextrun"/>
          <w:b/>
        </w:rPr>
        <w:t>Privacy</w:t>
      </w:r>
      <w:bookmarkEnd w:id="518"/>
      <w:r w:rsidRPr="00820C89">
        <w:rPr>
          <w:rStyle w:val="normaltextrun"/>
          <w:b/>
        </w:rPr>
        <w:t> </w:t>
      </w:r>
      <w:r w:rsidRPr="00820C89">
        <w:rPr>
          <w:rStyle w:val="normaltextrun"/>
        </w:rPr>
        <w:t> </w:t>
      </w:r>
    </w:p>
    <w:p w14:paraId="09C81C84" w14:textId="77777777" w:rsidR="00C1765C" w:rsidRPr="00820C89" w:rsidRDefault="00C1765C" w:rsidP="00C1765C">
      <w:pPr>
        <w:rPr>
          <w:rStyle w:val="normaltextrun"/>
          <w:rFonts w:cs="Segoe UI"/>
          <w:color w:val="000000"/>
        </w:rPr>
      </w:pPr>
      <w:r w:rsidRPr="00820C89">
        <w:rPr>
          <w:rStyle w:val="normaltextrun"/>
          <w:rFonts w:cs="Segoe UI"/>
          <w:color w:val="000000"/>
        </w:rPr>
        <w:t xml:space="preserve">Participation in the consultation is entirely voluntary. However, if you choose to participate, we will collect information about you including your name, contact details and organisation-related information. However, no identified information will be passed on to the NIAA. All information will be thematically analysed and de-identified for reporting purposes. If we have a quote or case study we wish to attribute to your consultation, we will seek permission from you prior to the report being sent to NIAA. </w:t>
      </w:r>
    </w:p>
    <w:p w14:paraId="5CFAADB9" w14:textId="77777777" w:rsidR="00C1765C" w:rsidRPr="00820C89" w:rsidRDefault="00C1765C" w:rsidP="00C1765C">
      <w:pPr>
        <w:rPr>
          <w:rStyle w:val="eop"/>
          <w:rFonts w:cs="Segoe UI"/>
          <w:b/>
          <w:color w:val="000000"/>
        </w:rPr>
      </w:pPr>
      <w:r w:rsidRPr="00820C89">
        <w:rPr>
          <w:rStyle w:val="normaltextrun"/>
          <w:rFonts w:cs="Segoe UI"/>
          <w:color w:val="000000"/>
        </w:rPr>
        <w:t>We will protect your personal information to the same standards that we use to protect our information at Deloitte. This information may be shared with an Australian transcription service, OutScribe Transcription Services, to assist in the transcription of sound recordings. Importantly, your information will be continued to be protected. </w:t>
      </w:r>
      <w:r w:rsidRPr="00820C89">
        <w:rPr>
          <w:rStyle w:val="eop"/>
          <w:rFonts w:cs="Segoe UI"/>
          <w:color w:val="000000"/>
        </w:rPr>
        <w:t> </w:t>
      </w:r>
    </w:p>
    <w:p w14:paraId="17E77946" w14:textId="77777777" w:rsidR="00C1765C" w:rsidRPr="00820C89" w:rsidRDefault="00C1765C" w:rsidP="00C1765C">
      <w:pPr>
        <w:rPr>
          <w:rStyle w:val="eop"/>
          <w:rFonts w:cs="Segoe UI"/>
          <w:b/>
          <w:color w:val="000000"/>
        </w:rPr>
      </w:pPr>
      <w:r w:rsidRPr="00820C89">
        <w:rPr>
          <w:rStyle w:val="normaltextrun"/>
          <w:rFonts w:cs="Segoe UI"/>
          <w:color w:val="000000"/>
        </w:rPr>
        <w:t>More information about how we will handle your personal information, how you can lodge a complaint, how you can contact us and how you may access and seek correction of your information are set out in our privacy policy at </w:t>
      </w:r>
      <w:hyperlink r:id="rId114" w:tgtFrame="_blank" w:history="1">
        <w:r w:rsidRPr="00820C89">
          <w:rPr>
            <w:rStyle w:val="normaltextrun"/>
            <w:rFonts w:cs="Segoe UI"/>
            <w:color w:val="0070C0"/>
            <w:u w:val="single"/>
          </w:rPr>
          <w:t>https://www2.deloitte.com/au/en/legal/privacy.html</w:t>
        </w:r>
      </w:hyperlink>
      <w:r w:rsidRPr="00820C89">
        <w:rPr>
          <w:rStyle w:val="normaltextrun"/>
          <w:rFonts w:cs="Segoe UI"/>
          <w:color w:val="000000"/>
        </w:rPr>
        <w:t> </w:t>
      </w:r>
      <w:r w:rsidRPr="00820C89">
        <w:rPr>
          <w:rStyle w:val="eop"/>
          <w:rFonts w:cs="Segoe UI"/>
          <w:color w:val="000000"/>
        </w:rPr>
        <w:t> </w:t>
      </w:r>
    </w:p>
    <w:p w14:paraId="2624332B" w14:textId="77777777" w:rsidR="00C1765C" w:rsidRPr="00820C89" w:rsidRDefault="00C1765C" w:rsidP="00C1765C">
      <w:pPr>
        <w:rPr>
          <w:rStyle w:val="normaltextrun"/>
          <w:rFonts w:cs="Segoe UI"/>
          <w:b/>
        </w:rPr>
      </w:pPr>
      <w:bookmarkStart w:id="519" w:name="_Toc37402778"/>
      <w:r w:rsidRPr="00820C89">
        <w:rPr>
          <w:rStyle w:val="normaltextrun"/>
          <w:rFonts w:cs="Segoe UI"/>
        </w:rPr>
        <w:t xml:space="preserve">For any other enquiries, you may contact Deloitte at </w:t>
      </w:r>
      <w:hyperlink r:id="rId115" w:history="1">
        <w:r w:rsidRPr="00820C89">
          <w:rPr>
            <w:rStyle w:val="Hyperlink"/>
            <w:rFonts w:cs="Segoe UI"/>
            <w:b/>
          </w:rPr>
          <w:t>privacy@deloitte.com.au</w:t>
        </w:r>
        <w:bookmarkEnd w:id="519"/>
      </w:hyperlink>
    </w:p>
    <w:p w14:paraId="55CBD010" w14:textId="77777777" w:rsidR="00C1765C" w:rsidRPr="00820C89" w:rsidRDefault="00C1765C" w:rsidP="00C1765C">
      <w:pPr>
        <w:pStyle w:val="NoSpacing"/>
        <w:rPr>
          <w:rStyle w:val="normaltextrun"/>
        </w:rPr>
      </w:pPr>
      <w:bookmarkStart w:id="520" w:name="_Toc37402779"/>
      <w:r w:rsidRPr="00820C89">
        <w:rPr>
          <w:rStyle w:val="normaltextrun"/>
          <w:b/>
        </w:rPr>
        <w:lastRenderedPageBreak/>
        <w:t>How we will protect your information</w:t>
      </w:r>
      <w:bookmarkEnd w:id="520"/>
    </w:p>
    <w:p w14:paraId="06F9CEAE" w14:textId="77777777" w:rsidR="00C1765C" w:rsidRPr="00820C89" w:rsidRDefault="00C1765C" w:rsidP="00C1765C">
      <w:r w:rsidRPr="00820C89">
        <w:t xml:space="preserve">With your consent, we will be digitally recording parts of the consultations, with these recordings transcribed through internal services within Deloitte. We will also take notes to support the accurate collection of information. We will record names and site location on our notes that will be securely stored (hard copy) or in a secure computer file requiring password access (digital). </w:t>
      </w:r>
    </w:p>
    <w:p w14:paraId="387AAD06" w14:textId="77777777" w:rsidR="00C1765C" w:rsidRPr="00820C89" w:rsidRDefault="00C1765C" w:rsidP="00C1765C">
      <w:r w:rsidRPr="00820C89">
        <w:t xml:space="preserve">The purpose of recording the consultations is to ensure that we use the most accurate record of our consultations available, and to undertake analysis of consultation notes in bulk. </w:t>
      </w:r>
    </w:p>
    <w:p w14:paraId="554C816A" w14:textId="77777777" w:rsidR="00C1765C" w:rsidRPr="00820C89" w:rsidRDefault="00C1765C" w:rsidP="00C1765C">
      <w:r w:rsidRPr="00820C89">
        <w:t xml:space="preserve">We will never reveal your name or your personal details. Due to the nature of this analysis, we may provide the name of your region and administrative area to the Department. Any summary consultations content, or direct quotations from the consultations that are made available to the Department will be anonymised, and we will take utmost care to ensure that other information in the consultation that could identify yourself is not revealed. However, we cannot guarantee that your opinions will not be identified (e.g. by your colleagues). </w:t>
      </w:r>
    </w:p>
    <w:p w14:paraId="730DAF39" w14:textId="77777777" w:rsidR="00C1765C" w:rsidRPr="00820C89" w:rsidRDefault="00C1765C" w:rsidP="00C1765C">
      <w:r w:rsidRPr="00820C89">
        <w:t xml:space="preserve">Any personal information that is provided to Deloitte Access Economics, such as name and contact details, will be destroyed following the completion of the project with the Department. </w:t>
      </w:r>
    </w:p>
    <w:p w14:paraId="6F08173D" w14:textId="77777777" w:rsidR="00C1765C" w:rsidRPr="00820C89" w:rsidRDefault="00C1765C" w:rsidP="00C1765C">
      <w:r w:rsidRPr="00820C89">
        <w:t xml:space="preserve">Other material relating to the project including sound recordings and transcripts will be destroyed after seven years. </w:t>
      </w:r>
    </w:p>
    <w:p w14:paraId="247070FA" w14:textId="77777777" w:rsidR="00C1765C" w:rsidRPr="00820C89" w:rsidRDefault="00C1765C" w:rsidP="00C1765C">
      <w:r w:rsidRPr="00820C89">
        <w:t>Individual notes from the consultations or transcripts of the recorded sections of the interviews can be provided upon request.</w:t>
      </w:r>
    </w:p>
    <w:p w14:paraId="08AAFD5E" w14:textId="77777777" w:rsidR="00C1765C" w:rsidRPr="00820C89" w:rsidRDefault="00C1765C" w:rsidP="00C1765C">
      <w:pPr>
        <w:pStyle w:val="NoSpacing"/>
        <w:rPr>
          <w:rStyle w:val="normaltextrun"/>
        </w:rPr>
      </w:pPr>
      <w:bookmarkStart w:id="521" w:name="_Toc37402780"/>
      <w:r w:rsidRPr="00820C89">
        <w:rPr>
          <w:rStyle w:val="normaltextrun"/>
          <w:b/>
        </w:rPr>
        <w:t>Questions</w:t>
      </w:r>
      <w:bookmarkEnd w:id="521"/>
    </w:p>
    <w:p w14:paraId="3A91A360" w14:textId="43BDCED8" w:rsidR="00C1765C" w:rsidRPr="00820C89" w:rsidRDefault="00C1765C" w:rsidP="00C1765C">
      <w:pPr>
        <w:rPr>
          <w:lang w:eastAsia="zh-CN"/>
        </w:rPr>
      </w:pPr>
      <w:r w:rsidRPr="00820C89">
        <w:rPr>
          <w:lang w:eastAsia="zh-CN"/>
        </w:rPr>
        <w:t xml:space="preserve">For all other general enquiries about the IEP evaluation, please contact NIAA’s evaluation team at </w:t>
      </w:r>
      <w:hyperlink r:id="rId116" w:history="1">
        <w:r w:rsidRPr="00820C89">
          <w:rPr>
            <w:rStyle w:val="Hyperlink"/>
          </w:rPr>
          <w:t>IEPevaluation@deloitte.com.au</w:t>
        </w:r>
      </w:hyperlink>
      <w:r w:rsidRPr="00820C89">
        <w:t xml:space="preserve"> </w:t>
      </w:r>
    </w:p>
    <w:p w14:paraId="00357DFC" w14:textId="77777777" w:rsidR="00C1765C" w:rsidRPr="00820C89" w:rsidRDefault="00C1765C" w:rsidP="00C1765C">
      <w:pPr>
        <w:pStyle w:val="Heading2un-numbered"/>
      </w:pPr>
      <w:r w:rsidRPr="00820C89">
        <w:br w:type="page"/>
      </w:r>
    </w:p>
    <w:p w14:paraId="1F2ED370" w14:textId="77777777" w:rsidR="00C1765C" w:rsidRPr="00820C89" w:rsidRDefault="00C1765C" w:rsidP="00C1765C">
      <w:pPr>
        <w:pStyle w:val="Heading2un-numbered"/>
        <w:pageBreakBefore/>
      </w:pPr>
      <w:bookmarkStart w:id="522" w:name="_Toc45206370"/>
      <w:bookmarkStart w:id="523" w:name="_Toc45206411"/>
      <w:bookmarkStart w:id="524" w:name="_Toc82694522"/>
      <w:bookmarkStart w:id="525" w:name="_Toc82710821"/>
      <w:bookmarkStart w:id="526" w:name="_Toc101343346"/>
      <w:bookmarkStart w:id="527" w:name="_Toc37402781"/>
      <w:r w:rsidRPr="00820C89">
        <w:lastRenderedPageBreak/>
        <w:t>NIAA regional network staff initial semi-structured interview questions – initial consultations</w:t>
      </w:r>
      <w:bookmarkEnd w:id="522"/>
      <w:bookmarkEnd w:id="523"/>
      <w:bookmarkEnd w:id="524"/>
      <w:bookmarkEnd w:id="525"/>
      <w:bookmarkEnd w:id="526"/>
    </w:p>
    <w:p w14:paraId="62722D94" w14:textId="77777777" w:rsidR="00C1765C" w:rsidRPr="00820C89" w:rsidRDefault="00C1765C" w:rsidP="00C1765C">
      <w:pPr>
        <w:rPr>
          <w:b/>
        </w:rPr>
      </w:pPr>
      <w:r w:rsidRPr="00820C89">
        <w:rPr>
          <w:b/>
        </w:rPr>
        <w:t xml:space="preserve">Background </w:t>
      </w:r>
    </w:p>
    <w:p w14:paraId="514B7057" w14:textId="77777777" w:rsidR="00C1765C" w:rsidRPr="00820C89" w:rsidRDefault="00C1765C" w:rsidP="00715F70">
      <w:pPr>
        <w:pStyle w:val="ListParagraph"/>
        <w:numPr>
          <w:ilvl w:val="0"/>
          <w:numId w:val="126"/>
        </w:numPr>
        <w:spacing w:after="160" w:line="259" w:lineRule="auto"/>
      </w:pPr>
      <w:r w:rsidRPr="00820C89">
        <w:t>In order to best understand your perspective, I’d like to get to know you a bit better.</w:t>
      </w:r>
    </w:p>
    <w:p w14:paraId="562190D2" w14:textId="77777777" w:rsidR="00C1765C" w:rsidRPr="00820C89" w:rsidRDefault="00C1765C" w:rsidP="00715F70">
      <w:pPr>
        <w:pStyle w:val="ListParagraph"/>
        <w:numPr>
          <w:ilvl w:val="1"/>
          <w:numId w:val="126"/>
        </w:numPr>
        <w:spacing w:after="160" w:line="259" w:lineRule="auto"/>
      </w:pPr>
      <w:r w:rsidRPr="00820C89">
        <w:t xml:space="preserve">How would you describe your experience at NIAA? </w:t>
      </w:r>
    </w:p>
    <w:p w14:paraId="60BDB29C" w14:textId="77777777" w:rsidR="00C1765C" w:rsidRPr="00820C89" w:rsidRDefault="00C1765C" w:rsidP="00715F70">
      <w:pPr>
        <w:pStyle w:val="ListParagraph"/>
        <w:numPr>
          <w:ilvl w:val="1"/>
          <w:numId w:val="126"/>
        </w:numPr>
        <w:spacing w:after="160" w:line="259" w:lineRule="auto"/>
      </w:pPr>
      <w:r w:rsidRPr="00820C89">
        <w:t>How would you describe your experiences with the TAEG, VTEC and EPI programs or other employment programs / service providers?</w:t>
      </w:r>
    </w:p>
    <w:p w14:paraId="687A0135" w14:textId="77777777" w:rsidR="00C1765C" w:rsidRPr="00820C89" w:rsidRDefault="00C1765C" w:rsidP="00C1765C">
      <w:pPr>
        <w:rPr>
          <w:b/>
        </w:rPr>
      </w:pPr>
      <w:r w:rsidRPr="00820C89">
        <w:rPr>
          <w:b/>
        </w:rPr>
        <w:t>Regional context</w:t>
      </w:r>
    </w:p>
    <w:p w14:paraId="2B8D35BB" w14:textId="77777777" w:rsidR="00C1765C" w:rsidRPr="00820C89" w:rsidRDefault="00C1765C" w:rsidP="00715F70">
      <w:pPr>
        <w:pStyle w:val="ListParagraph"/>
        <w:numPr>
          <w:ilvl w:val="0"/>
          <w:numId w:val="126"/>
        </w:numPr>
        <w:spacing w:after="160" w:line="259" w:lineRule="auto"/>
      </w:pPr>
      <w:r w:rsidRPr="00820C89">
        <w:t xml:space="preserve">What can you tell us about NIAA’s work in the region? </w:t>
      </w:r>
    </w:p>
    <w:p w14:paraId="63531ADA" w14:textId="77777777" w:rsidR="00C1765C" w:rsidRPr="00820C89" w:rsidRDefault="00C1765C" w:rsidP="00715F70">
      <w:pPr>
        <w:pStyle w:val="ListParagraph"/>
        <w:numPr>
          <w:ilvl w:val="0"/>
          <w:numId w:val="149"/>
        </w:numPr>
        <w:spacing w:after="160" w:line="259" w:lineRule="auto"/>
      </w:pPr>
      <w:r w:rsidRPr="00820C89">
        <w:t>What can you tell us about the history of the NIAA in the region?</w:t>
      </w:r>
    </w:p>
    <w:p w14:paraId="063A07D2" w14:textId="77777777" w:rsidR="00C1765C" w:rsidRPr="00820C89" w:rsidRDefault="00C1765C" w:rsidP="00715F70">
      <w:pPr>
        <w:pStyle w:val="ListParagraph"/>
        <w:numPr>
          <w:ilvl w:val="0"/>
          <w:numId w:val="149"/>
        </w:numPr>
        <w:spacing w:after="160" w:line="259" w:lineRule="auto"/>
      </w:pPr>
      <w:r w:rsidRPr="00820C89">
        <w:t>How would you describe the main activities that the NIAA undertakes in this region?</w:t>
      </w:r>
    </w:p>
    <w:p w14:paraId="7B4AC8F8" w14:textId="77777777" w:rsidR="00C1765C" w:rsidRPr="00820C89" w:rsidRDefault="00C1765C" w:rsidP="00715F70">
      <w:pPr>
        <w:pStyle w:val="ListParagraph"/>
        <w:numPr>
          <w:ilvl w:val="0"/>
          <w:numId w:val="126"/>
        </w:numPr>
        <w:spacing w:after="160" w:line="259" w:lineRule="auto"/>
      </w:pPr>
      <w:r w:rsidRPr="00820C89">
        <w:t>Can you tell us a bit more about employment in your region?</w:t>
      </w:r>
    </w:p>
    <w:p w14:paraId="7F0CCF72" w14:textId="77777777" w:rsidR="00C1765C" w:rsidRPr="00820C89" w:rsidRDefault="00C1765C" w:rsidP="00715F70">
      <w:pPr>
        <w:pStyle w:val="ListParagraph"/>
        <w:numPr>
          <w:ilvl w:val="0"/>
          <w:numId w:val="150"/>
        </w:numPr>
        <w:spacing w:after="160" w:line="259" w:lineRule="auto"/>
      </w:pPr>
      <w:r w:rsidRPr="00820C89">
        <w:t xml:space="preserve">What can you tell us about the main industries and jobs available in the region? </w:t>
      </w:r>
    </w:p>
    <w:p w14:paraId="297F4446" w14:textId="77777777" w:rsidR="00C1765C" w:rsidRPr="00820C89" w:rsidRDefault="00C1765C" w:rsidP="00715F70">
      <w:pPr>
        <w:pStyle w:val="ListParagraph"/>
        <w:numPr>
          <w:ilvl w:val="0"/>
          <w:numId w:val="150"/>
        </w:numPr>
        <w:spacing w:after="160" w:line="259" w:lineRule="auto"/>
      </w:pPr>
      <w:r w:rsidRPr="00820C89">
        <w:t xml:space="preserve">What other non-IAS programs exist in the region that are similar to the EPI, VTEC and TAEG programs? </w:t>
      </w:r>
    </w:p>
    <w:p w14:paraId="126AEEA6" w14:textId="77777777" w:rsidR="00C1765C" w:rsidRPr="00820C89" w:rsidRDefault="00C1765C" w:rsidP="00C1765C">
      <w:pPr>
        <w:rPr>
          <w:b/>
        </w:rPr>
      </w:pPr>
      <w:r w:rsidRPr="00820C89">
        <w:rPr>
          <w:b/>
        </w:rPr>
        <w:t>Community context</w:t>
      </w:r>
    </w:p>
    <w:p w14:paraId="2B521924" w14:textId="77777777" w:rsidR="00C1765C" w:rsidRPr="00820C89" w:rsidRDefault="00C1765C" w:rsidP="00715F70">
      <w:pPr>
        <w:pStyle w:val="ListParagraph"/>
        <w:numPr>
          <w:ilvl w:val="0"/>
          <w:numId w:val="126"/>
        </w:numPr>
        <w:spacing w:after="160" w:line="259" w:lineRule="auto"/>
      </w:pPr>
      <w:r w:rsidRPr="00820C89">
        <w:t>What can you tell us about the specific community we have selected for this study?</w:t>
      </w:r>
    </w:p>
    <w:p w14:paraId="079B54D2" w14:textId="77777777" w:rsidR="00C1765C" w:rsidRPr="00820C89" w:rsidRDefault="00C1765C" w:rsidP="00715F70">
      <w:pPr>
        <w:pStyle w:val="ListParagraph"/>
        <w:numPr>
          <w:ilvl w:val="0"/>
          <w:numId w:val="151"/>
        </w:numPr>
        <w:spacing w:after="160" w:line="259" w:lineRule="auto"/>
      </w:pPr>
      <w:r w:rsidRPr="00820C89">
        <w:t xml:space="preserve">What social, cultural or political considerations at the community level should the evaluation team be sensitive to? </w:t>
      </w:r>
    </w:p>
    <w:p w14:paraId="6D11AE7D" w14:textId="77777777" w:rsidR="00C1765C" w:rsidRPr="00820C89" w:rsidRDefault="00C1765C" w:rsidP="00715F70">
      <w:pPr>
        <w:pStyle w:val="ListParagraph"/>
        <w:numPr>
          <w:ilvl w:val="0"/>
          <w:numId w:val="151"/>
        </w:numPr>
        <w:spacing w:after="160" w:line="259" w:lineRule="auto"/>
      </w:pPr>
      <w:r w:rsidRPr="00820C89">
        <w:t>What do you think we would learn from visiting this community in comparison with other communities in your region?</w:t>
      </w:r>
    </w:p>
    <w:p w14:paraId="5A5FE612" w14:textId="77777777" w:rsidR="00C1765C" w:rsidRPr="00820C89" w:rsidRDefault="00C1765C" w:rsidP="00715F70">
      <w:pPr>
        <w:pStyle w:val="ListParagraph"/>
        <w:numPr>
          <w:ilvl w:val="0"/>
          <w:numId w:val="126"/>
        </w:numPr>
        <w:spacing w:after="160" w:line="259" w:lineRule="auto"/>
      </w:pPr>
      <w:r w:rsidRPr="00820C89">
        <w:t>What can you tell us about the programs within this community?</w:t>
      </w:r>
    </w:p>
    <w:p w14:paraId="2C0A39B3" w14:textId="77777777" w:rsidR="00C1765C" w:rsidRPr="00820C89" w:rsidRDefault="00C1765C" w:rsidP="00715F70">
      <w:pPr>
        <w:pStyle w:val="ListParagraph"/>
        <w:numPr>
          <w:ilvl w:val="0"/>
          <w:numId w:val="152"/>
        </w:numPr>
        <w:spacing w:after="160" w:line="259" w:lineRule="auto"/>
      </w:pPr>
      <w:r w:rsidRPr="00820C89">
        <w:t>How long have the programs been running in this community?</w:t>
      </w:r>
    </w:p>
    <w:p w14:paraId="1F5456DB" w14:textId="77777777" w:rsidR="00C1765C" w:rsidRPr="00820C89" w:rsidRDefault="00C1765C" w:rsidP="00715F70">
      <w:pPr>
        <w:pStyle w:val="ListParagraph"/>
        <w:numPr>
          <w:ilvl w:val="0"/>
          <w:numId w:val="152"/>
        </w:numPr>
        <w:spacing w:after="160" w:line="259" w:lineRule="auto"/>
      </w:pPr>
      <w:r w:rsidRPr="00820C89">
        <w:t xml:space="preserve">How well have the programs been implemented in this community? </w:t>
      </w:r>
    </w:p>
    <w:p w14:paraId="0194C656" w14:textId="77777777" w:rsidR="00C1765C" w:rsidRPr="00820C89" w:rsidRDefault="00C1765C" w:rsidP="00715F70">
      <w:pPr>
        <w:pStyle w:val="ListParagraph"/>
        <w:numPr>
          <w:ilvl w:val="0"/>
          <w:numId w:val="152"/>
        </w:numPr>
        <w:spacing w:after="160" w:line="259" w:lineRule="auto"/>
      </w:pPr>
      <w:r w:rsidRPr="00820C89">
        <w:t xml:space="preserve">How are providers/ TAEG employers/EPI partners working together in this community? </w:t>
      </w:r>
    </w:p>
    <w:p w14:paraId="43897C40" w14:textId="77777777" w:rsidR="00C1765C" w:rsidRPr="00820C89" w:rsidRDefault="00C1765C" w:rsidP="00715F70">
      <w:pPr>
        <w:pStyle w:val="ListParagraph"/>
        <w:numPr>
          <w:ilvl w:val="0"/>
          <w:numId w:val="152"/>
        </w:numPr>
        <w:spacing w:after="160" w:line="259" w:lineRule="auto"/>
      </w:pPr>
      <w:r w:rsidRPr="00820C89">
        <w:t xml:space="preserve">Are some providers working more effectively than others? </w:t>
      </w:r>
    </w:p>
    <w:p w14:paraId="0C708722" w14:textId="77777777" w:rsidR="00C1765C" w:rsidRPr="00820C89" w:rsidRDefault="00C1765C" w:rsidP="00715F70">
      <w:pPr>
        <w:pStyle w:val="ListParagraph"/>
        <w:numPr>
          <w:ilvl w:val="0"/>
          <w:numId w:val="152"/>
        </w:numPr>
        <w:spacing w:after="160" w:line="259" w:lineRule="auto"/>
      </w:pPr>
      <w:r w:rsidRPr="00820C89">
        <w:t xml:space="preserve">What do you see as the ingredients to success for program implementation? </w:t>
      </w:r>
    </w:p>
    <w:p w14:paraId="53FCE729" w14:textId="77777777" w:rsidR="00C1765C" w:rsidRPr="00820C89" w:rsidRDefault="00C1765C" w:rsidP="00715F70">
      <w:pPr>
        <w:pStyle w:val="ListParagraph"/>
        <w:numPr>
          <w:ilvl w:val="0"/>
          <w:numId w:val="152"/>
        </w:numPr>
        <w:spacing w:after="160" w:line="259" w:lineRule="auto"/>
      </w:pPr>
      <w:r w:rsidRPr="00820C89">
        <w:t xml:space="preserve">What other similar programs exist in this community? </w:t>
      </w:r>
    </w:p>
    <w:p w14:paraId="283CF87F" w14:textId="77777777" w:rsidR="00C1765C" w:rsidRPr="00820C89" w:rsidRDefault="00C1765C" w:rsidP="00715F70">
      <w:pPr>
        <w:pStyle w:val="ListParagraph"/>
        <w:numPr>
          <w:ilvl w:val="0"/>
          <w:numId w:val="152"/>
        </w:numPr>
        <w:spacing w:after="160" w:line="259" w:lineRule="auto"/>
      </w:pPr>
      <w:r w:rsidRPr="00820C89">
        <w:t>How are providers/ TAEG employers/EPI partners working with other programs in this community?</w:t>
      </w:r>
    </w:p>
    <w:p w14:paraId="4615E97E" w14:textId="77777777" w:rsidR="00C1765C" w:rsidRPr="00820C89" w:rsidRDefault="00C1765C" w:rsidP="00C1765C">
      <w:pPr>
        <w:rPr>
          <w:b/>
        </w:rPr>
      </w:pPr>
      <w:r w:rsidRPr="00820C89">
        <w:rPr>
          <w:b/>
        </w:rPr>
        <w:t xml:space="preserve">Consultation logistics </w:t>
      </w:r>
    </w:p>
    <w:p w14:paraId="51AB59F1" w14:textId="77777777" w:rsidR="00C1765C" w:rsidRPr="00820C89" w:rsidRDefault="00C1765C" w:rsidP="00C1765C">
      <w:r w:rsidRPr="00820C89">
        <w:rPr>
          <w:i/>
        </w:rPr>
        <w:t xml:space="preserve">Deloitte to give an overview of the information they are seeking to gather from regional consultations. </w:t>
      </w:r>
    </w:p>
    <w:p w14:paraId="35A66438" w14:textId="77777777" w:rsidR="00C1765C" w:rsidRPr="00820C89" w:rsidRDefault="00C1765C" w:rsidP="00715F70">
      <w:pPr>
        <w:pStyle w:val="ListParagraph"/>
        <w:numPr>
          <w:ilvl w:val="0"/>
          <w:numId w:val="126"/>
        </w:numPr>
        <w:spacing w:after="160" w:line="259" w:lineRule="auto"/>
      </w:pPr>
      <w:r w:rsidRPr="00820C89">
        <w:t xml:space="preserve">What is your opinion on how we would best run these regional consultations? </w:t>
      </w:r>
    </w:p>
    <w:p w14:paraId="4B5F80E0" w14:textId="77777777" w:rsidR="00C1765C" w:rsidRPr="00820C89" w:rsidRDefault="00C1765C" w:rsidP="00715F70">
      <w:pPr>
        <w:pStyle w:val="ListParagraph"/>
        <w:numPr>
          <w:ilvl w:val="0"/>
          <w:numId w:val="153"/>
        </w:numPr>
        <w:spacing w:after="160" w:line="259" w:lineRule="auto"/>
      </w:pPr>
      <w:r w:rsidRPr="00820C89">
        <w:t xml:space="preserve">Who are the influential people in the community that could help us understand who to speak with? </w:t>
      </w:r>
    </w:p>
    <w:p w14:paraId="29DFE49F" w14:textId="77777777" w:rsidR="00C1765C" w:rsidRPr="00820C89" w:rsidRDefault="00C1765C" w:rsidP="00715F70">
      <w:pPr>
        <w:pStyle w:val="ListParagraph"/>
        <w:numPr>
          <w:ilvl w:val="0"/>
          <w:numId w:val="153"/>
        </w:numPr>
        <w:spacing w:after="160" w:line="259" w:lineRule="auto"/>
      </w:pPr>
      <w:r w:rsidRPr="00820C89">
        <w:t>How should the evaluation team best engage with these stakeholder groups (i.e. face to face, Skype)?</w:t>
      </w:r>
    </w:p>
    <w:p w14:paraId="0D527A09" w14:textId="77777777" w:rsidR="00C1765C" w:rsidRPr="00820C89" w:rsidRDefault="00C1765C" w:rsidP="00715F70">
      <w:pPr>
        <w:pStyle w:val="ListParagraph"/>
        <w:numPr>
          <w:ilvl w:val="0"/>
          <w:numId w:val="153"/>
        </w:numPr>
        <w:spacing w:after="160" w:line="259" w:lineRule="auto"/>
      </w:pPr>
      <w:r w:rsidRPr="00820C89">
        <w:t xml:space="preserve">What sensitivities should the evaluation team should be aware of when consulting with these stakeholder groups? </w:t>
      </w:r>
    </w:p>
    <w:p w14:paraId="676939D4" w14:textId="24E50B5C" w:rsidR="00C1765C" w:rsidRPr="00820C89" w:rsidRDefault="00C1765C" w:rsidP="00C1765C">
      <w:pPr>
        <w:pStyle w:val="ListParagraph"/>
        <w:numPr>
          <w:ilvl w:val="0"/>
          <w:numId w:val="153"/>
        </w:numPr>
        <w:spacing w:after="160" w:line="259" w:lineRule="auto"/>
      </w:pPr>
      <w:r w:rsidRPr="00820C89">
        <w:t xml:space="preserve">How do you think we could best identify individuals who have not participated in the program or not found success in it? </w:t>
      </w:r>
    </w:p>
    <w:p w14:paraId="4ADC6F21" w14:textId="77777777" w:rsidR="00C1765C" w:rsidRPr="00820C89" w:rsidRDefault="00C1765C" w:rsidP="00C1765C">
      <w:pPr>
        <w:spacing w:after="0"/>
      </w:pPr>
      <w:r w:rsidRPr="00820C89">
        <w:br w:type="page"/>
      </w:r>
    </w:p>
    <w:p w14:paraId="05A01B29" w14:textId="77777777" w:rsidR="00C1765C" w:rsidRPr="00820C89" w:rsidRDefault="00C1765C" w:rsidP="00C1765C">
      <w:pPr>
        <w:pStyle w:val="Heading2un-numbered"/>
      </w:pPr>
      <w:bookmarkStart w:id="528" w:name="_Toc82694523"/>
      <w:bookmarkStart w:id="529" w:name="_Toc82710822"/>
      <w:bookmarkStart w:id="530" w:name="_Toc101343347"/>
      <w:r w:rsidRPr="00820C89">
        <w:lastRenderedPageBreak/>
        <w:t>NIAA program and policy staff semi-structured interview questions</w:t>
      </w:r>
      <w:bookmarkEnd w:id="528"/>
      <w:bookmarkEnd w:id="529"/>
      <w:bookmarkEnd w:id="530"/>
      <w:r w:rsidRPr="00820C89">
        <w:t xml:space="preserve"> </w:t>
      </w:r>
    </w:p>
    <w:p w14:paraId="6A3EA306" w14:textId="77777777" w:rsidR="00C1765C" w:rsidRPr="00820C89" w:rsidRDefault="00C1765C" w:rsidP="00C1765C">
      <w:pPr>
        <w:rPr>
          <w:b/>
        </w:rPr>
      </w:pPr>
      <w:r w:rsidRPr="00820C89">
        <w:rPr>
          <w:b/>
        </w:rPr>
        <w:t>Background</w:t>
      </w:r>
    </w:p>
    <w:p w14:paraId="000100B0" w14:textId="77777777" w:rsidR="00C1765C" w:rsidRPr="00820C89" w:rsidRDefault="00C1765C" w:rsidP="00715F70">
      <w:pPr>
        <w:pStyle w:val="ListParagraph"/>
        <w:numPr>
          <w:ilvl w:val="0"/>
          <w:numId w:val="158"/>
        </w:numPr>
        <w:spacing w:after="160" w:line="259" w:lineRule="auto"/>
      </w:pPr>
      <w:r w:rsidRPr="00820C89">
        <w:t>In order to best understand your perspective, I’d like to get to know you a bit better.</w:t>
      </w:r>
    </w:p>
    <w:p w14:paraId="41841BCE" w14:textId="77777777" w:rsidR="00C1765C" w:rsidRPr="00820C89" w:rsidRDefault="00C1765C" w:rsidP="00715F70">
      <w:pPr>
        <w:pStyle w:val="ListParagraph"/>
        <w:numPr>
          <w:ilvl w:val="0"/>
          <w:numId w:val="160"/>
        </w:numPr>
        <w:spacing w:after="160" w:line="259" w:lineRule="auto"/>
      </w:pPr>
      <w:r w:rsidRPr="00820C89">
        <w:t xml:space="preserve">How would you describe your background and experiences? </w:t>
      </w:r>
    </w:p>
    <w:p w14:paraId="042B8CB3" w14:textId="77777777" w:rsidR="00C1765C" w:rsidRPr="00820C89" w:rsidRDefault="00C1765C" w:rsidP="00715F70">
      <w:pPr>
        <w:pStyle w:val="ListParagraph"/>
        <w:numPr>
          <w:ilvl w:val="0"/>
          <w:numId w:val="160"/>
        </w:numPr>
        <w:spacing w:after="160" w:line="259" w:lineRule="auto"/>
      </w:pPr>
      <w:r w:rsidRPr="00820C89">
        <w:t>How would you describe your role in NIAA?</w:t>
      </w:r>
    </w:p>
    <w:p w14:paraId="15C16EB8" w14:textId="77777777" w:rsidR="00C1765C" w:rsidRPr="00820C89" w:rsidRDefault="00C1765C" w:rsidP="00715F70">
      <w:pPr>
        <w:pStyle w:val="ListParagraph"/>
        <w:numPr>
          <w:ilvl w:val="0"/>
          <w:numId w:val="160"/>
        </w:numPr>
        <w:spacing w:before="170"/>
      </w:pPr>
      <w:r w:rsidRPr="00820C89">
        <w:t xml:space="preserve">How would you describe your involvement in the design of the programs? </w:t>
      </w:r>
    </w:p>
    <w:p w14:paraId="38C14B75" w14:textId="77777777" w:rsidR="00C1765C" w:rsidRPr="00820C89" w:rsidRDefault="00C1765C" w:rsidP="00C1765C">
      <w:pPr>
        <w:rPr>
          <w:b/>
        </w:rPr>
      </w:pPr>
      <w:r w:rsidRPr="00820C89">
        <w:rPr>
          <w:b/>
        </w:rPr>
        <w:t>Evidence-based design</w:t>
      </w:r>
    </w:p>
    <w:p w14:paraId="6A788D56" w14:textId="77777777" w:rsidR="00C1765C" w:rsidRPr="00820C89" w:rsidRDefault="00C1765C" w:rsidP="00715F70">
      <w:pPr>
        <w:pStyle w:val="ListParagraph"/>
        <w:numPr>
          <w:ilvl w:val="0"/>
          <w:numId w:val="158"/>
        </w:numPr>
        <w:spacing w:after="160" w:line="259" w:lineRule="auto"/>
      </w:pPr>
      <w:r w:rsidRPr="00820C89">
        <w:t>What can you tell us about the history of these programs?</w:t>
      </w:r>
    </w:p>
    <w:p w14:paraId="2DD3012C" w14:textId="77777777" w:rsidR="00C1765C" w:rsidRPr="00820C89" w:rsidRDefault="00C1765C" w:rsidP="00715F70">
      <w:pPr>
        <w:pStyle w:val="ListParagraph"/>
        <w:numPr>
          <w:ilvl w:val="1"/>
          <w:numId w:val="158"/>
        </w:numPr>
        <w:spacing w:after="160" w:line="259" w:lineRule="auto"/>
      </w:pPr>
      <w:r w:rsidRPr="00820C89">
        <w:t>How have these programs evolved over time?</w:t>
      </w:r>
    </w:p>
    <w:p w14:paraId="12E0C22A" w14:textId="77777777" w:rsidR="00C1765C" w:rsidRPr="00820C89" w:rsidRDefault="00C1765C" w:rsidP="00715F70">
      <w:pPr>
        <w:pStyle w:val="ListParagraph"/>
        <w:numPr>
          <w:ilvl w:val="1"/>
          <w:numId w:val="158"/>
        </w:numPr>
        <w:spacing w:after="160" w:line="259" w:lineRule="auto"/>
      </w:pPr>
      <w:r w:rsidRPr="00820C89">
        <w:t>How have these programs been influenced by changing policies?</w:t>
      </w:r>
    </w:p>
    <w:p w14:paraId="53857C2E" w14:textId="77777777" w:rsidR="00C1765C" w:rsidRPr="00820C89" w:rsidRDefault="00C1765C" w:rsidP="00715F70">
      <w:pPr>
        <w:pStyle w:val="ListParagraph"/>
        <w:numPr>
          <w:ilvl w:val="0"/>
          <w:numId w:val="158"/>
        </w:numPr>
        <w:spacing w:after="160" w:line="259" w:lineRule="auto"/>
      </w:pPr>
      <w:r w:rsidRPr="00820C89">
        <w:t>What can you tell us about the process of designing these programs?</w:t>
      </w:r>
    </w:p>
    <w:p w14:paraId="42F9D005" w14:textId="77777777" w:rsidR="00C1765C" w:rsidRPr="00820C89" w:rsidRDefault="00C1765C" w:rsidP="00715F70">
      <w:pPr>
        <w:pStyle w:val="ListParagraph"/>
        <w:numPr>
          <w:ilvl w:val="1"/>
          <w:numId w:val="158"/>
        </w:numPr>
        <w:spacing w:after="160" w:line="259" w:lineRule="auto"/>
      </w:pPr>
      <w:r w:rsidRPr="00820C89">
        <w:t>What engagement was undertaken with Indigenous people when designing the program(s)? How did this impact on the program design?</w:t>
      </w:r>
    </w:p>
    <w:p w14:paraId="04AE2B75" w14:textId="77777777" w:rsidR="00C1765C" w:rsidRPr="00820C89" w:rsidRDefault="00C1765C" w:rsidP="00715F70">
      <w:pPr>
        <w:pStyle w:val="ListParagraph"/>
        <w:numPr>
          <w:ilvl w:val="1"/>
          <w:numId w:val="158"/>
        </w:numPr>
        <w:spacing w:after="160" w:line="259" w:lineRule="auto"/>
      </w:pPr>
      <w:r w:rsidRPr="00820C89">
        <w:t>What other research was undertaken when designing the program(s)? How did this impact on the program design?</w:t>
      </w:r>
    </w:p>
    <w:p w14:paraId="28C5E09A" w14:textId="77777777" w:rsidR="00C1765C" w:rsidRPr="00820C89" w:rsidRDefault="00C1765C" w:rsidP="00715F70">
      <w:pPr>
        <w:pStyle w:val="ListParagraph"/>
        <w:numPr>
          <w:ilvl w:val="1"/>
          <w:numId w:val="158"/>
        </w:numPr>
        <w:spacing w:after="160" w:line="259" w:lineRule="auto"/>
      </w:pPr>
      <w:r w:rsidRPr="00820C89">
        <w:t>How did you decide which aspects of the program design to keep? Were there any trade-offs?</w:t>
      </w:r>
    </w:p>
    <w:p w14:paraId="4A463728" w14:textId="77777777" w:rsidR="00C1765C" w:rsidRPr="00820C89" w:rsidRDefault="00C1765C" w:rsidP="00715F70">
      <w:pPr>
        <w:pStyle w:val="ListParagraph"/>
        <w:numPr>
          <w:ilvl w:val="0"/>
          <w:numId w:val="158"/>
        </w:numPr>
        <w:spacing w:after="160" w:line="259" w:lineRule="auto"/>
      </w:pPr>
      <w:r w:rsidRPr="00820C89">
        <w:t>How do these programs continue to change?</w:t>
      </w:r>
    </w:p>
    <w:p w14:paraId="02BED0C0" w14:textId="77777777" w:rsidR="00C1765C" w:rsidRPr="00820C89" w:rsidRDefault="00C1765C" w:rsidP="00715F70">
      <w:pPr>
        <w:pStyle w:val="ListParagraph"/>
        <w:numPr>
          <w:ilvl w:val="1"/>
          <w:numId w:val="158"/>
        </w:numPr>
        <w:spacing w:after="160" w:line="259" w:lineRule="auto"/>
      </w:pPr>
      <w:r w:rsidRPr="00820C89">
        <w:t>What evidence is used to make these decisions?</w:t>
      </w:r>
    </w:p>
    <w:p w14:paraId="6D5B19B5" w14:textId="77777777" w:rsidR="00C1765C" w:rsidRPr="00820C89" w:rsidRDefault="00C1765C" w:rsidP="00715F70">
      <w:pPr>
        <w:pStyle w:val="ListParagraph"/>
        <w:numPr>
          <w:ilvl w:val="0"/>
          <w:numId w:val="158"/>
        </w:numPr>
        <w:spacing w:after="160" w:line="259" w:lineRule="auto"/>
      </w:pPr>
      <w:r w:rsidRPr="00820C89">
        <w:t>What aspects of the program design to you think are effective?</w:t>
      </w:r>
    </w:p>
    <w:p w14:paraId="5AF62B4B" w14:textId="77777777" w:rsidR="00C1765C" w:rsidRPr="00820C89" w:rsidRDefault="00C1765C" w:rsidP="00715F70">
      <w:pPr>
        <w:pStyle w:val="ListParagraph"/>
        <w:numPr>
          <w:ilvl w:val="0"/>
          <w:numId w:val="158"/>
        </w:numPr>
        <w:spacing w:after="160" w:line="259" w:lineRule="auto"/>
      </w:pPr>
      <w:r w:rsidRPr="00820C89">
        <w:t>What aspects of the program design would you like to change?</w:t>
      </w:r>
    </w:p>
    <w:p w14:paraId="30E7B470" w14:textId="77777777" w:rsidR="00C1765C" w:rsidRPr="00820C89" w:rsidRDefault="00C1765C" w:rsidP="00C1765C">
      <w:pPr>
        <w:rPr>
          <w:b/>
        </w:rPr>
      </w:pPr>
      <w:r w:rsidRPr="00820C89">
        <w:rPr>
          <w:b/>
        </w:rPr>
        <w:t>Strategic design</w:t>
      </w:r>
    </w:p>
    <w:p w14:paraId="4401FE82" w14:textId="77777777" w:rsidR="00C1765C" w:rsidRPr="00820C89" w:rsidRDefault="00C1765C" w:rsidP="00715F70">
      <w:pPr>
        <w:pStyle w:val="ListParagraph"/>
        <w:numPr>
          <w:ilvl w:val="0"/>
          <w:numId w:val="158"/>
        </w:numPr>
        <w:spacing w:after="160" w:line="259" w:lineRule="auto"/>
      </w:pPr>
      <w:r w:rsidRPr="00820C89">
        <w:t xml:space="preserve">To what extent were the programs designed as a collective, compared to a standalone program? (i.e. how do you imagine the programs working together?) </w:t>
      </w:r>
    </w:p>
    <w:p w14:paraId="1B8DA88E" w14:textId="77777777" w:rsidR="00C1765C" w:rsidRPr="00820C89" w:rsidRDefault="00C1765C" w:rsidP="00715F70">
      <w:pPr>
        <w:pStyle w:val="ListParagraph"/>
        <w:numPr>
          <w:ilvl w:val="0"/>
          <w:numId w:val="158"/>
        </w:numPr>
        <w:spacing w:after="160" w:line="259" w:lineRule="auto"/>
      </w:pPr>
      <w:r w:rsidRPr="00820C89">
        <w:t xml:space="preserve">To what extent were the programs designed with consideration of existing employment programs? </w:t>
      </w:r>
    </w:p>
    <w:p w14:paraId="24881592" w14:textId="77777777" w:rsidR="00C1765C" w:rsidRPr="00820C89" w:rsidRDefault="00C1765C" w:rsidP="00C1765C">
      <w:pPr>
        <w:rPr>
          <w:b/>
        </w:rPr>
      </w:pPr>
      <w:r w:rsidRPr="00820C89">
        <w:rPr>
          <w:b/>
        </w:rPr>
        <w:t>Program implementation</w:t>
      </w:r>
    </w:p>
    <w:p w14:paraId="13B04E8B" w14:textId="77777777" w:rsidR="00C1765C" w:rsidRPr="00820C89" w:rsidRDefault="00C1765C" w:rsidP="00715F70">
      <w:pPr>
        <w:pStyle w:val="ListParagraph"/>
        <w:numPr>
          <w:ilvl w:val="0"/>
          <w:numId w:val="158"/>
        </w:numPr>
        <w:spacing w:after="160" w:line="259" w:lineRule="auto"/>
      </w:pPr>
      <w:r w:rsidRPr="00820C89">
        <w:t xml:space="preserve">To what extent has the program(s) has been implemented in line with its intended design? </w:t>
      </w:r>
    </w:p>
    <w:p w14:paraId="6DC1EF6D" w14:textId="77777777" w:rsidR="00C1765C" w:rsidRPr="00820C89" w:rsidRDefault="00C1765C" w:rsidP="00715F70">
      <w:pPr>
        <w:pStyle w:val="ListParagraph"/>
        <w:numPr>
          <w:ilvl w:val="1"/>
          <w:numId w:val="158"/>
        </w:numPr>
        <w:spacing w:after="160" w:line="259" w:lineRule="auto"/>
      </w:pPr>
      <w:r w:rsidRPr="00820C89">
        <w:t>Why is it that some aspects have changed during implementation? What is the cause?</w:t>
      </w:r>
    </w:p>
    <w:p w14:paraId="440B2CFF" w14:textId="77777777" w:rsidR="00C1765C" w:rsidRPr="00820C89" w:rsidRDefault="00C1765C" w:rsidP="00715F70">
      <w:pPr>
        <w:pStyle w:val="ListParagraph"/>
        <w:numPr>
          <w:ilvl w:val="1"/>
          <w:numId w:val="158"/>
        </w:numPr>
        <w:spacing w:after="160" w:line="259" w:lineRule="auto"/>
      </w:pPr>
      <w:r w:rsidRPr="00820C89">
        <w:t xml:space="preserve">What factors impacted how the programs were implemented? </w:t>
      </w:r>
    </w:p>
    <w:p w14:paraId="7BCA0AF9" w14:textId="77777777" w:rsidR="00C1765C" w:rsidRPr="00820C89" w:rsidRDefault="00C1765C" w:rsidP="00715F70">
      <w:pPr>
        <w:pStyle w:val="ListParagraph"/>
        <w:numPr>
          <w:ilvl w:val="1"/>
          <w:numId w:val="158"/>
        </w:numPr>
        <w:spacing w:after="160" w:line="259" w:lineRule="auto"/>
      </w:pPr>
      <w:r w:rsidRPr="00820C89">
        <w:t>How did implementation vary according to regional features, different labour markets, industries and/or cohort groups?</w:t>
      </w:r>
    </w:p>
    <w:p w14:paraId="46342500" w14:textId="7BE8BB5B" w:rsidR="00C1765C" w:rsidRPr="00820C89" w:rsidRDefault="00C1765C" w:rsidP="00C1765C">
      <w:pPr>
        <w:pStyle w:val="ListParagraph"/>
        <w:numPr>
          <w:ilvl w:val="0"/>
          <w:numId w:val="158"/>
        </w:numPr>
        <w:spacing w:after="160" w:line="259" w:lineRule="auto"/>
      </w:pPr>
      <w:r w:rsidRPr="00820C89">
        <w:t xml:space="preserve">With the benefit of hindsight, how (if at all) would you have designed the programs differently? </w:t>
      </w:r>
    </w:p>
    <w:p w14:paraId="597C45AB" w14:textId="77777777" w:rsidR="00C1765C" w:rsidRPr="00820C89" w:rsidRDefault="00C1765C" w:rsidP="00C1765C">
      <w:pPr>
        <w:spacing w:after="0"/>
      </w:pPr>
      <w:r w:rsidRPr="00820C89">
        <w:br w:type="page"/>
      </w:r>
    </w:p>
    <w:p w14:paraId="0F8994B4" w14:textId="77777777" w:rsidR="00C1765C" w:rsidRPr="00820C89" w:rsidRDefault="00C1765C" w:rsidP="00C1765C">
      <w:pPr>
        <w:keepNext/>
        <w:keepLines/>
        <w:spacing w:before="240" w:after="0" w:line="280" w:lineRule="atLeast"/>
        <w:outlineLvl w:val="1"/>
        <w:rPr>
          <w:rFonts w:eastAsia="MingLiU" w:cs="Times New Roman"/>
          <w:b/>
          <w:bCs/>
          <w:color w:val="62B5E5"/>
          <w:sz w:val="22"/>
          <w:szCs w:val="22"/>
        </w:rPr>
      </w:pPr>
      <w:bookmarkStart w:id="531" w:name="_Toc82694524"/>
      <w:bookmarkStart w:id="532" w:name="_Toc101343348"/>
      <w:bookmarkStart w:id="533" w:name="_Toc45206371"/>
      <w:bookmarkStart w:id="534" w:name="_Toc45206412"/>
      <w:r w:rsidRPr="00820C89">
        <w:rPr>
          <w:rFonts w:eastAsia="MingLiU" w:cs="Times New Roman"/>
          <w:b/>
          <w:bCs/>
          <w:color w:val="62B5E5"/>
          <w:sz w:val="22"/>
          <w:szCs w:val="22"/>
        </w:rPr>
        <w:lastRenderedPageBreak/>
        <w:t>Indigenous representatives Information Sheet – Indigenous Employment Programs evaluation</w:t>
      </w:r>
      <w:bookmarkEnd w:id="531"/>
      <w:bookmarkEnd w:id="532"/>
      <w:r w:rsidRPr="00820C89" w:rsidDel="000E1C9C">
        <w:rPr>
          <w:rFonts w:eastAsia="MingLiU" w:cs="Times New Roman"/>
          <w:b/>
          <w:bCs/>
          <w:color w:val="62B5E5"/>
          <w:sz w:val="22"/>
          <w:szCs w:val="22"/>
        </w:rPr>
        <w:t xml:space="preserve"> </w:t>
      </w:r>
    </w:p>
    <w:p w14:paraId="2C1A803A" w14:textId="77777777" w:rsidR="00C1765C" w:rsidRPr="00820C89" w:rsidRDefault="00C1765C" w:rsidP="00C1765C">
      <w:pPr>
        <w:spacing w:after="0"/>
        <w:rPr>
          <w:rFonts w:eastAsia="Verdana" w:cs="Times New Roman"/>
          <w:b/>
          <w:bCs/>
        </w:rPr>
      </w:pPr>
    </w:p>
    <w:p w14:paraId="0FB60BD0" w14:textId="77777777" w:rsidR="00C1765C" w:rsidRPr="00820C89" w:rsidRDefault="00C1765C" w:rsidP="00C1765C">
      <w:pPr>
        <w:spacing w:after="0"/>
        <w:rPr>
          <w:rFonts w:eastAsia="Verdana" w:cs="Times New Roman"/>
          <w:b/>
        </w:rPr>
      </w:pPr>
      <w:r w:rsidRPr="00820C89">
        <w:rPr>
          <w:rFonts w:eastAsia="Verdana" w:cs="Times New Roman"/>
          <w:b/>
        </w:rPr>
        <w:t>Introduction  </w:t>
      </w:r>
    </w:p>
    <w:p w14:paraId="55EFDCC3" w14:textId="77777777" w:rsidR="00C1765C" w:rsidRPr="00820C89" w:rsidRDefault="00C1765C" w:rsidP="00C1765C">
      <w:pPr>
        <w:rPr>
          <w:rFonts w:eastAsia="Verdana" w:cs="Segoe UI"/>
          <w:b/>
          <w:lang w:val="da-DK"/>
        </w:rPr>
      </w:pPr>
      <w:r w:rsidRPr="00820C89">
        <w:rPr>
          <w:rFonts w:eastAsia="Verdana" w:cs="Segoe UI"/>
          <w:lang w:val="da-DK"/>
        </w:rPr>
        <w:t xml:space="preserve">Deloitte Access Economics has been engaged to undertake an evaluation of three Indigenous Employment Programs (IEPs) funded by the National Indigenous Australians Agency (NIAA) – the Employment Parity Initiative (EPI), </w:t>
      </w:r>
      <w:r w:rsidRPr="00820C89">
        <w:rPr>
          <w:rFonts w:eastAsia="Verdana" w:cs="Segoe UI"/>
          <w:b/>
          <w:lang w:val="da-DK"/>
        </w:rPr>
        <w:t>Vocational Training and Employment Centres (VTECs) and Tailored Employment Assistance Grants – Employment (TAEG). </w:t>
      </w:r>
    </w:p>
    <w:p w14:paraId="6DF51980" w14:textId="77777777" w:rsidR="00C1765C" w:rsidRPr="00820C89" w:rsidRDefault="00C1765C" w:rsidP="00C1765C">
      <w:pPr>
        <w:rPr>
          <w:rFonts w:eastAsia="Verdana" w:cs="Segoe UI"/>
        </w:rPr>
      </w:pPr>
      <w:r w:rsidRPr="00820C89">
        <w:rPr>
          <w:rFonts w:eastAsia="Verdana" w:cs="Segoe UI"/>
          <w:lang w:val="da-DK"/>
        </w:rPr>
        <w:t>In conducting this research, Deloitte Access Economics is undertaking extensive stakeholder engagement with various stakeholder gro</w:t>
      </w:r>
      <w:r w:rsidRPr="00820C89">
        <w:rPr>
          <w:rFonts w:eastAsia="Verdana" w:cs="Segoe UI"/>
          <w:b/>
          <w:lang w:val="da-DK"/>
        </w:rPr>
        <w:t>ups, including government representatives, representatives of the Indigenous Australian community, VTEC and TAEG providers, EPI partners, employers, and IEP participants. This stakeholder engagement process also involves consultations with representatives from each of the NIAA regional offices. </w:t>
      </w:r>
      <w:r w:rsidRPr="00820C89">
        <w:rPr>
          <w:rFonts w:eastAsia="Verdana" w:cs="Segoe UI"/>
          <w:b/>
        </w:rPr>
        <w:t> </w:t>
      </w:r>
    </w:p>
    <w:p w14:paraId="6EE03C95" w14:textId="77777777" w:rsidR="00C1765C" w:rsidRPr="00820C89" w:rsidRDefault="00C1765C" w:rsidP="00C1765C">
      <w:pPr>
        <w:rPr>
          <w:rFonts w:eastAsia="Verdana" w:cs="Segoe UI"/>
        </w:rPr>
      </w:pPr>
      <w:r w:rsidRPr="00820C89">
        <w:rPr>
          <w:rFonts w:eastAsia="Verdana" w:cs="Segoe UI"/>
          <w:lang w:val="da-DK"/>
        </w:rPr>
        <w:t>This consultation will be a 60-</w:t>
      </w:r>
      <w:r w:rsidRPr="00820C89">
        <w:rPr>
          <w:rFonts w:eastAsia="Verdana" w:cs="Segoe UI"/>
          <w:bCs/>
          <w:lang w:val="da-DK"/>
        </w:rPr>
        <w:t>90 minute semi-structured interview</w:t>
      </w:r>
      <w:r w:rsidRPr="00820C89">
        <w:rPr>
          <w:rFonts w:eastAsia="Verdana" w:cs="Segoe UI"/>
          <w:b/>
          <w:lang w:val="da-DK"/>
        </w:rPr>
        <w:t> with yourself held via teleconference.  </w:t>
      </w:r>
      <w:r w:rsidRPr="00820C89">
        <w:rPr>
          <w:rFonts w:eastAsia="Verdana" w:cs="Segoe UI"/>
          <w:b/>
        </w:rPr>
        <w:t> </w:t>
      </w:r>
    </w:p>
    <w:p w14:paraId="2B810E5A" w14:textId="77777777" w:rsidR="00C1765C" w:rsidRPr="00820C89" w:rsidRDefault="00C1765C" w:rsidP="00C1765C">
      <w:pPr>
        <w:rPr>
          <w:rFonts w:ascii="Segoe UI" w:eastAsia="Verdana" w:hAnsi="Segoe UI" w:cs="Segoe UI"/>
        </w:rPr>
      </w:pPr>
      <w:r w:rsidRPr="00820C89">
        <w:rPr>
          <w:rFonts w:eastAsia="Verdana" w:cs="Segoe UI"/>
        </w:rPr>
        <w:t>In support of these consultations, this document comprises a guide for our discussion with you and your staff. It includes: </w:t>
      </w:r>
      <w:r w:rsidRPr="00820C89">
        <w:rPr>
          <w:rFonts w:eastAsia="Verdana" w:cs="Segoe UI"/>
          <w:b/>
        </w:rPr>
        <w:t> </w:t>
      </w:r>
    </w:p>
    <w:p w14:paraId="11104DAB"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background information about the purpose of this research and topics to be covered in consultations. </w:t>
      </w:r>
    </w:p>
    <w:p w14:paraId="39804AB9"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information regarding our consultation with you, including matters relating to privacy and confidentiality  </w:t>
      </w:r>
    </w:p>
    <w:p w14:paraId="09BF7E7E"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a short list of consultation questions which we will use to guide our conversation with you. </w:t>
      </w:r>
    </w:p>
    <w:p w14:paraId="12644EBD" w14:textId="77777777" w:rsidR="00C1765C" w:rsidRPr="00820C89" w:rsidRDefault="00C1765C" w:rsidP="00C1765C">
      <w:pPr>
        <w:ind w:left="360"/>
        <w:contextualSpacing/>
        <w:rPr>
          <w:rFonts w:eastAsia="Verdana" w:cs="Times New Roman"/>
          <w:lang w:eastAsia="en-AU"/>
        </w:rPr>
      </w:pPr>
    </w:p>
    <w:p w14:paraId="2D2D6D85" w14:textId="77777777" w:rsidR="00C1765C" w:rsidRPr="00820C89" w:rsidRDefault="00C1765C" w:rsidP="00C1765C">
      <w:pPr>
        <w:spacing w:after="0"/>
        <w:rPr>
          <w:rFonts w:eastAsia="Verdana" w:cs="Times New Roman"/>
          <w:b/>
        </w:rPr>
      </w:pPr>
      <w:r w:rsidRPr="00820C89">
        <w:rPr>
          <w:rFonts w:eastAsia="Verdana" w:cs="Times New Roman"/>
          <w:b/>
        </w:rPr>
        <w:t>Purpose and topics for consultations</w:t>
      </w:r>
      <w:r w:rsidRPr="00820C89">
        <w:rPr>
          <w:rFonts w:eastAsia="Verdana" w:cs="Times New Roman"/>
        </w:rPr>
        <w:t> </w:t>
      </w:r>
    </w:p>
    <w:p w14:paraId="42CF5E62" w14:textId="77777777" w:rsidR="00C1765C" w:rsidRPr="00820C89" w:rsidRDefault="00C1765C" w:rsidP="00C1765C">
      <w:pPr>
        <w:rPr>
          <w:rFonts w:eastAsia="Verdana" w:cs="Segoe UI"/>
          <w:b/>
        </w:rPr>
      </w:pPr>
      <w:r w:rsidRPr="00820C89">
        <w:rPr>
          <w:rFonts w:eastAsia="Verdana" w:cs="Segoe UI"/>
        </w:rPr>
        <w:t>The purpose of this evaluation is to provide the NIAA with evidence-based policy advice as to the effectiveness of the programs’ implementation, whether it is meeting the programs’ objectives and to inform policy makers about possible improvements and direction.  </w:t>
      </w:r>
    </w:p>
    <w:p w14:paraId="2864B1FD" w14:textId="77777777" w:rsidR="00C1765C" w:rsidRPr="00820C89" w:rsidRDefault="00C1765C" w:rsidP="00C1765C">
      <w:pPr>
        <w:rPr>
          <w:rFonts w:eastAsia="Verdana" w:cs="Times New Roman"/>
          <w:b/>
        </w:rPr>
      </w:pPr>
      <w:r w:rsidRPr="00820C89">
        <w:rPr>
          <w:rFonts w:eastAsia="Verdana" w:cs="Segoe UI"/>
        </w:rPr>
        <w:t>Consultations with regional NIAA offices have been designed to understand different regional contexts and to test the proposed stakeholder engagement approach for planned community consultations. Specifically, we are interested to hear your views in relation to the following topics:  </w:t>
      </w:r>
    </w:p>
    <w:p w14:paraId="3A0D0F54"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 xml:space="preserve">the context of the region you are based in </w:t>
      </w:r>
    </w:p>
    <w:p w14:paraId="2211C9E2"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any perspectives you have on the communities that could be selected for regional consultations</w:t>
      </w:r>
    </w:p>
    <w:p w14:paraId="1F7A97B4"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recommendations for the way in which we may undertake regional consultations.</w:t>
      </w:r>
    </w:p>
    <w:p w14:paraId="3D1A9B80" w14:textId="77777777" w:rsidR="00C1765C" w:rsidRPr="00820C89" w:rsidRDefault="00C1765C" w:rsidP="00C1765C">
      <w:pPr>
        <w:ind w:left="360"/>
        <w:contextualSpacing/>
        <w:rPr>
          <w:rFonts w:eastAsia="Verdana" w:cs="Times New Roman"/>
          <w:lang w:eastAsia="en-AU"/>
        </w:rPr>
      </w:pPr>
    </w:p>
    <w:p w14:paraId="40CC3F70" w14:textId="77777777" w:rsidR="00C1765C" w:rsidRPr="00820C89" w:rsidRDefault="00C1765C" w:rsidP="00C1765C">
      <w:pPr>
        <w:spacing w:after="0"/>
        <w:rPr>
          <w:rFonts w:eastAsia="Verdana" w:cs="Times New Roman"/>
          <w:b/>
        </w:rPr>
      </w:pPr>
      <w:r w:rsidRPr="00820C89">
        <w:rPr>
          <w:rFonts w:eastAsia="Verdana" w:cs="Times New Roman"/>
          <w:b/>
        </w:rPr>
        <w:t>Privacy </w:t>
      </w:r>
      <w:r w:rsidRPr="00820C89">
        <w:rPr>
          <w:rFonts w:eastAsia="Verdana" w:cs="Times New Roman"/>
        </w:rPr>
        <w:t> </w:t>
      </w:r>
    </w:p>
    <w:p w14:paraId="76AA7F87" w14:textId="77777777" w:rsidR="00C1765C" w:rsidRPr="00820C89" w:rsidRDefault="00C1765C" w:rsidP="00C1765C">
      <w:pPr>
        <w:rPr>
          <w:rFonts w:eastAsia="Verdana" w:cs="Segoe UI"/>
          <w:color w:val="000000"/>
        </w:rPr>
      </w:pPr>
      <w:r w:rsidRPr="00820C89">
        <w:rPr>
          <w:rFonts w:eastAsia="Verdana" w:cs="Segoe UI"/>
          <w:color w:val="000000"/>
        </w:rPr>
        <w:t xml:space="preserve">Participation in the consultation is entirely voluntary. However, if you choose to participate, we will collect information about you including your name, contact details and organisation-related information. However, no identified information will be passed on to the NIAA. All information will be thematically analysed and de-identified for reporting purposes. If we have a quote or case study we wish to attribute to your consultation, we will seek permission from you prior to the report being sent to NIAA. </w:t>
      </w:r>
    </w:p>
    <w:p w14:paraId="05EB6811" w14:textId="77777777" w:rsidR="00C1765C" w:rsidRPr="00820C89" w:rsidRDefault="00C1765C" w:rsidP="00C1765C">
      <w:pPr>
        <w:rPr>
          <w:rFonts w:eastAsia="Verdana" w:cs="Segoe UI"/>
          <w:b/>
          <w:color w:val="000000"/>
        </w:rPr>
      </w:pPr>
      <w:r w:rsidRPr="00820C89">
        <w:rPr>
          <w:rFonts w:eastAsia="Verdana" w:cs="Segoe UI"/>
          <w:color w:val="000000"/>
        </w:rPr>
        <w:t>We will protect your personal information to the same standards that we use to protect our information at Deloitte. This information may be shared with an Australian transcription service, OutScribe Transcription Services, to assist in the transcription of sound recordings. Importantly, your information will be continued to be protected.  </w:t>
      </w:r>
    </w:p>
    <w:p w14:paraId="3303F7C5" w14:textId="77777777" w:rsidR="00C1765C" w:rsidRPr="00820C89" w:rsidRDefault="00C1765C" w:rsidP="00C1765C">
      <w:pPr>
        <w:rPr>
          <w:rFonts w:eastAsia="Verdana" w:cs="Segoe UI"/>
          <w:b/>
          <w:color w:val="000000"/>
        </w:rPr>
      </w:pPr>
      <w:r w:rsidRPr="00820C89">
        <w:rPr>
          <w:rFonts w:eastAsia="Verdana" w:cs="Segoe UI"/>
          <w:color w:val="000000"/>
        </w:rPr>
        <w:t>More information about how we will handle your personal information, how you can lodge a complaint, how you can contact us and how you may access and seek correction of your information are set out in our privacy policy at </w:t>
      </w:r>
      <w:hyperlink r:id="rId117" w:tgtFrame="_blank" w:history="1">
        <w:r w:rsidRPr="00820C89">
          <w:rPr>
            <w:rFonts w:eastAsia="Verdana" w:cs="Segoe UI"/>
            <w:color w:val="0070C0"/>
            <w:u w:val="single"/>
          </w:rPr>
          <w:t>https://www2.deloitte.com/au/en/legal/privacy.html</w:t>
        </w:r>
      </w:hyperlink>
      <w:r w:rsidRPr="00820C89">
        <w:rPr>
          <w:rFonts w:eastAsia="Verdana" w:cs="Segoe UI"/>
          <w:color w:val="000000"/>
        </w:rPr>
        <w:t>  </w:t>
      </w:r>
    </w:p>
    <w:p w14:paraId="3A44FEC2" w14:textId="77777777" w:rsidR="00C1765C" w:rsidRPr="00820C89" w:rsidRDefault="00C1765C" w:rsidP="00C1765C">
      <w:pPr>
        <w:rPr>
          <w:rFonts w:eastAsia="Verdana" w:cs="Segoe UI"/>
          <w:b/>
        </w:rPr>
      </w:pPr>
      <w:r w:rsidRPr="00820C89">
        <w:rPr>
          <w:rFonts w:eastAsia="Verdana" w:cs="Segoe UI"/>
        </w:rPr>
        <w:lastRenderedPageBreak/>
        <w:t xml:space="preserve">For any other enquiries, you may contact Deloitte at </w:t>
      </w:r>
      <w:hyperlink r:id="rId118" w:history="1">
        <w:r w:rsidRPr="00820C89">
          <w:rPr>
            <w:rFonts w:eastAsia="Verdana" w:cs="Segoe UI"/>
            <w:b/>
            <w:color w:val="00A3E0"/>
            <w:u w:val="single"/>
          </w:rPr>
          <w:t>privacy@deloitte.com.au</w:t>
        </w:r>
      </w:hyperlink>
    </w:p>
    <w:p w14:paraId="03EE292E" w14:textId="77777777" w:rsidR="00C1765C" w:rsidRPr="00820C89" w:rsidRDefault="00C1765C" w:rsidP="00C1765C">
      <w:pPr>
        <w:spacing w:after="0"/>
        <w:rPr>
          <w:rFonts w:eastAsia="Verdana" w:cs="Times New Roman"/>
        </w:rPr>
      </w:pPr>
      <w:r w:rsidRPr="00820C89">
        <w:rPr>
          <w:rFonts w:eastAsia="Verdana" w:cs="Times New Roman"/>
          <w:b/>
        </w:rPr>
        <w:t>How we will protect your information</w:t>
      </w:r>
    </w:p>
    <w:p w14:paraId="62AE6EE0" w14:textId="77777777" w:rsidR="00C1765C" w:rsidRPr="00820C89" w:rsidRDefault="00C1765C" w:rsidP="00C1765C">
      <w:pPr>
        <w:rPr>
          <w:rFonts w:eastAsia="Verdana" w:cs="Times New Roman"/>
        </w:rPr>
      </w:pPr>
      <w:r w:rsidRPr="00820C89">
        <w:rPr>
          <w:rFonts w:eastAsia="Verdana" w:cs="Times New Roman"/>
        </w:rPr>
        <w:t xml:space="preserve">With your consent, we will be digitally recording parts of the consultations, with these recordings transcribed through internal services within Deloitte. We will also take notes to support the accurate collection of information. We will record names and site location on our notes that will be securely stored (hard copy) or in a secure computer file requiring password access (digital). </w:t>
      </w:r>
    </w:p>
    <w:p w14:paraId="58E064CF" w14:textId="77777777" w:rsidR="00C1765C" w:rsidRPr="00820C89" w:rsidRDefault="00C1765C" w:rsidP="00C1765C">
      <w:pPr>
        <w:rPr>
          <w:rFonts w:eastAsia="Verdana" w:cs="Times New Roman"/>
        </w:rPr>
      </w:pPr>
      <w:r w:rsidRPr="00820C89">
        <w:rPr>
          <w:rFonts w:eastAsia="Verdana" w:cs="Times New Roman"/>
        </w:rPr>
        <w:t xml:space="preserve">The purpose of recording the consultations is to ensure that we use the most accurate record of our consultations available, and to undertake analysis of consultation notes in bulk. </w:t>
      </w:r>
    </w:p>
    <w:p w14:paraId="33884672" w14:textId="77777777" w:rsidR="00C1765C" w:rsidRPr="00820C89" w:rsidRDefault="00C1765C" w:rsidP="00C1765C">
      <w:pPr>
        <w:rPr>
          <w:rFonts w:eastAsia="Verdana" w:cs="Times New Roman"/>
        </w:rPr>
      </w:pPr>
      <w:r w:rsidRPr="00820C89">
        <w:rPr>
          <w:rFonts w:eastAsia="Verdana" w:cs="Times New Roman"/>
        </w:rPr>
        <w:t xml:space="preserve">We will never reveal your name or your personal details. Due to the nature of this analysis, we may provide the name of your region and administrative area to the Department. Any summary consultations content, or direct quotations from the consultations that are made available to the Department will be anonymised, and we will take utmost care to ensure that other information in the consultation that could identify yourself is not revealed. However, we cannot guarantee that your opinions will not be identified (e.g. by your colleagues). </w:t>
      </w:r>
    </w:p>
    <w:p w14:paraId="0E0356D0" w14:textId="77777777" w:rsidR="00C1765C" w:rsidRPr="00820C89" w:rsidRDefault="00C1765C" w:rsidP="00C1765C">
      <w:pPr>
        <w:rPr>
          <w:rFonts w:eastAsia="Verdana" w:cs="Times New Roman"/>
        </w:rPr>
      </w:pPr>
      <w:r w:rsidRPr="00820C89">
        <w:rPr>
          <w:rFonts w:eastAsia="Verdana" w:cs="Times New Roman"/>
        </w:rPr>
        <w:t xml:space="preserve">Any personal information that is provided to Deloitte Access Economics, such as name and contact details, will be destroyed following the completion of the project with the Department. </w:t>
      </w:r>
    </w:p>
    <w:p w14:paraId="31262369" w14:textId="77777777" w:rsidR="00C1765C" w:rsidRPr="00820C89" w:rsidRDefault="00C1765C" w:rsidP="00C1765C">
      <w:pPr>
        <w:rPr>
          <w:rFonts w:eastAsia="Verdana" w:cs="Times New Roman"/>
        </w:rPr>
      </w:pPr>
      <w:r w:rsidRPr="00820C89">
        <w:rPr>
          <w:rFonts w:eastAsia="Verdana" w:cs="Times New Roman"/>
        </w:rPr>
        <w:t xml:space="preserve">Other material relating to the project including sound recordings and transcripts will be destroyed after seven years. </w:t>
      </w:r>
    </w:p>
    <w:p w14:paraId="1F292F50" w14:textId="77777777" w:rsidR="00C1765C" w:rsidRPr="00820C89" w:rsidRDefault="00C1765C" w:rsidP="00C1765C">
      <w:pPr>
        <w:rPr>
          <w:rFonts w:eastAsia="Verdana" w:cs="Times New Roman"/>
        </w:rPr>
      </w:pPr>
      <w:r w:rsidRPr="00820C89">
        <w:rPr>
          <w:rFonts w:eastAsia="Verdana" w:cs="Times New Roman"/>
        </w:rPr>
        <w:t>Individual notes from the consultations or transcripts of the recorded sections of the interviews can be provided upon request.</w:t>
      </w:r>
    </w:p>
    <w:p w14:paraId="0A08E46F" w14:textId="77777777" w:rsidR="00C1765C" w:rsidRPr="00820C89" w:rsidRDefault="00C1765C" w:rsidP="00C1765C">
      <w:pPr>
        <w:spacing w:after="0"/>
        <w:rPr>
          <w:rFonts w:eastAsia="Verdana" w:cs="Times New Roman"/>
        </w:rPr>
      </w:pPr>
      <w:r w:rsidRPr="00820C89">
        <w:rPr>
          <w:rFonts w:eastAsia="Verdana" w:cs="Times New Roman"/>
          <w:b/>
        </w:rPr>
        <w:t>Questions</w:t>
      </w:r>
    </w:p>
    <w:p w14:paraId="5FC88C3A" w14:textId="0C9D741A" w:rsidR="00C1765C" w:rsidRPr="00820C89" w:rsidRDefault="00C1765C" w:rsidP="00C1765C">
      <w:pPr>
        <w:rPr>
          <w:rFonts w:eastAsia="Verdana" w:cs="Times New Roman"/>
          <w:lang w:eastAsia="zh-CN"/>
        </w:rPr>
      </w:pPr>
      <w:r w:rsidRPr="00820C89">
        <w:rPr>
          <w:rFonts w:eastAsia="Verdana" w:cs="Times New Roman"/>
          <w:lang w:eastAsia="zh-CN"/>
        </w:rPr>
        <w:t xml:space="preserve">For all other general enquiries about the IEP evaluation, please contact NIAA’s evaluation team at </w:t>
      </w:r>
      <w:hyperlink r:id="rId119" w:history="1">
        <w:r w:rsidRPr="00820C89">
          <w:rPr>
            <w:rFonts w:eastAsia="Verdana" w:cs="Times New Roman"/>
            <w:color w:val="00A3E0"/>
            <w:u w:val="single"/>
          </w:rPr>
          <w:t>IEPevaluation@deloitte.com.au</w:t>
        </w:r>
      </w:hyperlink>
      <w:r w:rsidRPr="00820C89">
        <w:rPr>
          <w:rFonts w:eastAsia="Verdana" w:cs="Times New Roman"/>
        </w:rPr>
        <w:t xml:space="preserve"> </w:t>
      </w:r>
    </w:p>
    <w:p w14:paraId="2BB86650" w14:textId="77777777" w:rsidR="00C1765C" w:rsidRPr="00820C89" w:rsidRDefault="00C1765C" w:rsidP="00C1765C">
      <w:pPr>
        <w:keepNext/>
        <w:keepLines/>
        <w:spacing w:before="240" w:after="0" w:line="280" w:lineRule="atLeast"/>
        <w:outlineLvl w:val="1"/>
        <w:rPr>
          <w:rFonts w:eastAsia="MingLiU" w:cs="Times New Roman"/>
          <w:b/>
          <w:bCs/>
          <w:color w:val="62B5E5"/>
          <w:szCs w:val="26"/>
        </w:rPr>
      </w:pPr>
      <w:r w:rsidRPr="00820C89">
        <w:rPr>
          <w:rFonts w:eastAsia="MingLiU" w:cs="Times New Roman"/>
          <w:b/>
          <w:bCs/>
          <w:color w:val="62B5E5"/>
          <w:szCs w:val="26"/>
        </w:rPr>
        <w:br w:type="page"/>
      </w:r>
    </w:p>
    <w:p w14:paraId="5C39CB59"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lastRenderedPageBreak/>
        <w:t>CONSENT FORM FOR ____________________</w:t>
      </w:r>
    </w:p>
    <w:p w14:paraId="303B0FB1"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 TITLE: Indigenous Employment Programs Evaluation</w:t>
      </w:r>
    </w:p>
    <w:p w14:paraId="64D5C487"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RESEARCHERS: Deloitte Access Economics</w:t>
      </w:r>
    </w:p>
    <w:p w14:paraId="77E156F7" w14:textId="77777777" w:rsidR="00C1765C" w:rsidRPr="00820C89" w:rsidRDefault="00C1765C" w:rsidP="00C1765C">
      <w:pPr>
        <w:rPr>
          <w:rFonts w:eastAsia="Verdana" w:cs="Times New Roman"/>
          <w:i/>
        </w:rPr>
      </w:pPr>
      <w:r w:rsidRPr="00820C89">
        <w:rPr>
          <w:rFonts w:eastAsia="Verdana" w:cs="Times New Roman"/>
        </w:rPr>
        <w:t xml:space="preserve">Deloitte Access Economics have given me information about the </w:t>
      </w:r>
      <w:r w:rsidRPr="00820C89">
        <w:rPr>
          <w:rFonts w:eastAsia="Verdana" w:cs="Times New Roman"/>
          <w:i/>
        </w:rPr>
        <w:t>Indigenous Employment Programs Evaluation.</w:t>
      </w:r>
    </w:p>
    <w:p w14:paraId="1AD23F76" w14:textId="77777777" w:rsidR="00C1765C" w:rsidRPr="00820C89" w:rsidRDefault="00C1765C" w:rsidP="00C1765C">
      <w:pPr>
        <w:rPr>
          <w:rFonts w:eastAsia="Verdana" w:cs="Times New Roman"/>
          <w:iCs/>
        </w:rPr>
      </w:pPr>
      <w:r w:rsidRPr="00820C89">
        <w:rPr>
          <w:rFonts w:eastAsia="Verdana" w:cs="Times New Roman"/>
          <w:iCs/>
        </w:rPr>
        <w:t>I voluntarily consent to my participation in the evaluation and in doing so acknowledge that the details regarding the evaluation and my involvement have been explained to me.</w:t>
      </w:r>
    </w:p>
    <w:p w14:paraId="0ED963EB" w14:textId="77777777" w:rsidR="00C1765C" w:rsidRPr="00820C89" w:rsidRDefault="00C1765C" w:rsidP="00C1765C">
      <w:pPr>
        <w:rPr>
          <w:rFonts w:eastAsia="Verdana" w:cs="Times New Roman"/>
          <w:b/>
          <w:bCs/>
          <w:iCs/>
        </w:rPr>
      </w:pPr>
      <w:r w:rsidRPr="00820C89">
        <w:rPr>
          <w:rFonts w:eastAsia="Verdana" w:cs="Times New Roman"/>
          <w:b/>
          <w:bCs/>
          <w:iCs/>
        </w:rPr>
        <w:br/>
        <w:t>I confirm that I:</w:t>
      </w:r>
    </w:p>
    <w:p w14:paraId="44DADDE0"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received the Participant Information Sheet</w:t>
      </w:r>
    </w:p>
    <w:p w14:paraId="1B7EBA5C"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have read, or had someone read to me in a language I understand, the Participant Information Sheet</w:t>
      </w:r>
    </w:p>
    <w:p w14:paraId="67C0290C"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understand all information included in the Participant Information Sheet.</w:t>
      </w:r>
    </w:p>
    <w:p w14:paraId="51F39217" w14:textId="77777777" w:rsidR="00C1765C" w:rsidRPr="00820C89" w:rsidRDefault="00C1765C" w:rsidP="00C1765C">
      <w:pPr>
        <w:pStyle w:val="ListParagraph"/>
        <w:ind w:left="284"/>
        <w:rPr>
          <w:rFonts w:eastAsia="Verdana" w:cs="Times New Roman"/>
          <w:szCs w:val="17"/>
        </w:rPr>
      </w:pPr>
    </w:p>
    <w:p w14:paraId="0838694E" w14:textId="77777777" w:rsidR="00C1765C" w:rsidRPr="00820C89" w:rsidRDefault="00C1765C" w:rsidP="00C1765C">
      <w:pPr>
        <w:rPr>
          <w:rFonts w:eastAsia="Verdana" w:cs="Times New Roman"/>
          <w:b/>
          <w:bCs/>
        </w:rPr>
      </w:pPr>
      <w:r w:rsidRPr="00820C89">
        <w:rPr>
          <w:rFonts w:eastAsia="Verdana" w:cs="Times New Roman"/>
          <w:b/>
          <w:bCs/>
        </w:rPr>
        <w:t>In accordance with this Participant Information sheet, I understand:</w:t>
      </w:r>
    </w:p>
    <w:p w14:paraId="772C8CDB"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what this project is about</w:t>
      </w:r>
    </w:p>
    <w:p w14:paraId="03249E41"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participating in an interview will assist the research team in evaluating the effectiveness of the Indigenous Employment Programs</w:t>
      </w:r>
    </w:p>
    <w:p w14:paraId="2ED7DE49"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my information will be analysed by the evaluation team and used to inform the findings of a report</w:t>
      </w:r>
    </w:p>
    <w:p w14:paraId="2A77529E"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this evaluation will be completed in December 2020</w:t>
      </w:r>
    </w:p>
    <w:p w14:paraId="3EA93571"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 have been provided contact details for the research team and am able to ask questions/lodge complaints regarding the evaluation and my participation at any time</w:t>
      </w:r>
    </w:p>
    <w:p w14:paraId="7C73F2CF" w14:textId="77777777" w:rsidR="00C1765C" w:rsidRPr="00820C89" w:rsidRDefault="00C1765C" w:rsidP="00715F70">
      <w:pPr>
        <w:pStyle w:val="ListParagraph"/>
        <w:numPr>
          <w:ilvl w:val="0"/>
          <w:numId w:val="186"/>
        </w:numPr>
        <w:spacing w:before="170" w:after="0"/>
        <w:rPr>
          <w:rFonts w:asciiTheme="minorHAnsi" w:hAnsiTheme="minorHAnsi"/>
          <w:sz w:val="22"/>
          <w:szCs w:val="22"/>
        </w:rPr>
      </w:pPr>
      <w:r w:rsidRPr="00820C89">
        <w:rPr>
          <w:rFonts w:eastAsia="Verdana" w:cs="Times New Roman"/>
          <w:szCs w:val="17"/>
        </w:rPr>
        <w:t>I am satisfied with the information I have received</w:t>
      </w:r>
    </w:p>
    <w:p w14:paraId="0736E956" w14:textId="77777777" w:rsidR="00C1765C" w:rsidRPr="00820C89" w:rsidRDefault="00C1765C" w:rsidP="00715F70">
      <w:pPr>
        <w:pStyle w:val="ListParagraph"/>
        <w:numPr>
          <w:ilvl w:val="0"/>
          <w:numId w:val="186"/>
        </w:numPr>
        <w:spacing w:before="170" w:after="0"/>
        <w:rPr>
          <w:rFonts w:asciiTheme="minorHAnsi" w:hAnsiTheme="minorHAnsi"/>
          <w:sz w:val="22"/>
          <w:szCs w:val="22"/>
        </w:rPr>
      </w:pPr>
      <w:r w:rsidRPr="00820C89">
        <w:rPr>
          <w:rFonts w:eastAsia="Verdana" w:cs="Times New Roman"/>
          <w:b/>
          <w:bCs/>
          <w:szCs w:val="17"/>
        </w:rPr>
        <w:t>participation is voluntary</w:t>
      </w:r>
    </w:p>
    <w:p w14:paraId="60A23EB7"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b/>
          <w:bCs/>
          <w:szCs w:val="17"/>
        </w:rPr>
        <w:t>I am free to withdraw from the interview at any time</w:t>
      </w:r>
      <w:r w:rsidRPr="00820C89">
        <w:rPr>
          <w:rFonts w:eastAsia="Verdana" w:cs="Times New Roman"/>
          <w:szCs w:val="17"/>
        </w:rPr>
        <w:t xml:space="preserve"> and if I decide not to continue the interview after it has started, my information will not be used</w:t>
      </w:r>
    </w:p>
    <w:p w14:paraId="4B4CCE58"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what participation will involve, including the nature and expected length of interviews, when interviews will take place and the timeframe of this evaluation (as described in the Participant Information Sheet and contact made by Deloitte)</w:t>
      </w:r>
    </w:p>
    <w:p w14:paraId="5C94D3F8"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 will not be paid for participating in this evaluation</w:t>
      </w:r>
    </w:p>
    <w:p w14:paraId="5494AE4E"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due to the potential risks of participating, I am able to include a support person in the interview and am able to contact the external support agencies listed on the Participant Information Sheet</w:t>
      </w:r>
    </w:p>
    <w:p w14:paraId="66EFBEAD"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 xml:space="preserve">that the </w:t>
      </w:r>
      <w:r w:rsidRPr="00820C89">
        <w:rPr>
          <w:rFonts w:eastAsia="Verdana" w:cs="Times New Roman"/>
          <w:b/>
          <w:bCs/>
          <w:szCs w:val="17"/>
        </w:rPr>
        <w:t>information I provide will remain confidential</w:t>
      </w:r>
      <w:r w:rsidRPr="00820C89">
        <w:rPr>
          <w:rFonts w:eastAsia="Verdana" w:cs="Times New Roman"/>
          <w:szCs w:val="17"/>
        </w:rPr>
        <w:t xml:space="preserve"> and my name, contact details and organisation details will be collected for administrative purposes only. I have the right to access personal information. </w:t>
      </w:r>
      <w:r w:rsidRPr="00820C89">
        <w:rPr>
          <w:rFonts w:eastAsia="Verdana" w:cs="Times New Roman"/>
          <w:b/>
          <w:bCs/>
          <w:szCs w:val="17"/>
        </w:rPr>
        <w:t>Personal details, and any culturally sensitive information that is collected, will only be accessible to the research team</w:t>
      </w:r>
      <w:r w:rsidRPr="00820C89">
        <w:rPr>
          <w:rFonts w:eastAsia="Verdana" w:cs="Times New Roman"/>
          <w:szCs w:val="17"/>
        </w:rPr>
        <w:t xml:space="preserve"> and such information will be destroyed after the completion of this project.</w:t>
      </w:r>
    </w:p>
    <w:p w14:paraId="1672D29C"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If I give consent for the interview to be recorded, these recordings will be kept on a secure server for seven years, only accessible to the evaluation team, for the purposes of this evaluation. This consent to be recorded can be withdrawn at any time and I have the right to access this recording.</w:t>
      </w:r>
    </w:p>
    <w:p w14:paraId="4E066364"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 xml:space="preserve">I am able to contact AIATSIS regarding any ethical concerns at </w:t>
      </w:r>
      <w:hyperlink r:id="rId120" w:history="1">
        <w:r w:rsidRPr="00820C89">
          <w:rPr>
            <w:rFonts w:eastAsia="Verdana" w:cs="Times New Roman"/>
            <w:color w:val="00A3E0"/>
            <w:szCs w:val="17"/>
            <w:u w:val="single"/>
          </w:rPr>
          <w:t>ethics@aiatsis.gov.au</w:t>
        </w:r>
      </w:hyperlink>
      <w:r w:rsidRPr="00820C89">
        <w:rPr>
          <w:rFonts w:eastAsia="Verdana" w:cs="Times New Roman"/>
          <w:szCs w:val="17"/>
        </w:rPr>
        <w:t xml:space="preserve">  </w:t>
      </w:r>
    </w:p>
    <w:p w14:paraId="661FE06C" w14:textId="09DDEBA7" w:rsidR="004837A8" w:rsidRDefault="00C1765C" w:rsidP="00715F70">
      <w:pPr>
        <w:pStyle w:val="ListParagraph"/>
        <w:numPr>
          <w:ilvl w:val="0"/>
          <w:numId w:val="186"/>
        </w:numPr>
        <w:spacing w:before="170" w:after="0"/>
        <w:rPr>
          <w:rFonts w:eastAsia="Verdana" w:cs="Times New Roman"/>
          <w:color w:val="00A3E0"/>
          <w:szCs w:val="17"/>
          <w:u w:val="single"/>
        </w:rPr>
      </w:pPr>
      <w:r w:rsidRPr="00820C89">
        <w:rPr>
          <w:rFonts w:eastAsia="Verdana" w:cs="Times New Roman"/>
          <w:szCs w:val="17"/>
        </w:rPr>
        <w:t xml:space="preserve">If I have any questions, concerns or complaints I can contact the evaluation team at </w:t>
      </w:r>
      <w:hyperlink r:id="rId121" w:history="1">
        <w:r w:rsidRPr="00820C89">
          <w:rPr>
            <w:rFonts w:eastAsia="Verdana" w:cs="Times New Roman"/>
            <w:color w:val="00A3E0"/>
            <w:szCs w:val="17"/>
            <w:u w:val="single"/>
          </w:rPr>
          <w:t>IEPevaluation@deloitte.com.au</w:t>
        </w:r>
      </w:hyperlink>
      <w:r w:rsidRPr="00820C89">
        <w:rPr>
          <w:rFonts w:eastAsia="Verdana" w:cs="Times New Roman"/>
          <w:color w:val="00A3E0"/>
          <w:szCs w:val="17"/>
          <w:u w:val="single"/>
        </w:rPr>
        <w:t>.</w:t>
      </w:r>
    </w:p>
    <w:p w14:paraId="21A60BCF" w14:textId="77777777" w:rsidR="004837A8" w:rsidRDefault="004837A8">
      <w:pPr>
        <w:spacing w:after="0"/>
        <w:rPr>
          <w:rFonts w:eastAsia="Verdana" w:cs="Times New Roman"/>
          <w:color w:val="00A3E0"/>
          <w:szCs w:val="17"/>
          <w:u w:val="single"/>
        </w:rPr>
      </w:pPr>
      <w:r>
        <w:rPr>
          <w:rFonts w:eastAsia="Verdana" w:cs="Times New Roman"/>
          <w:color w:val="00A3E0"/>
          <w:szCs w:val="17"/>
          <w:u w:val="single"/>
        </w:rPr>
        <w:br w:type="page"/>
      </w:r>
    </w:p>
    <w:p w14:paraId="36351161" w14:textId="77777777" w:rsidR="00C1765C" w:rsidRPr="00820C89" w:rsidRDefault="00C1765C" w:rsidP="00C1765C">
      <w:pPr>
        <w:rPr>
          <w:rFonts w:eastAsia="Verdana" w:cs="Times New Roman"/>
          <w:b/>
          <w:bCs/>
        </w:rPr>
      </w:pPr>
      <w:r w:rsidRPr="00820C89">
        <w:rPr>
          <w:rFonts w:eastAsia="Verdana" w:cs="Times New Roman"/>
          <w:b/>
          <w:bCs/>
        </w:rPr>
        <w:lastRenderedPageBreak/>
        <w:t>To be completed:</w:t>
      </w:r>
    </w:p>
    <w:p w14:paraId="2CE8788D" w14:textId="77777777" w:rsidR="00C1765C" w:rsidRPr="00820C89" w:rsidRDefault="00C1765C" w:rsidP="00C1765C">
      <w:pPr>
        <w:rPr>
          <w:rFonts w:eastAsia="Verdana" w:cs="Times New Roman"/>
        </w:rPr>
      </w:pPr>
      <w:r w:rsidRPr="00820C89">
        <w:rPr>
          <w:rFonts w:eastAsia="Verdana" w:cs="Times New Roman"/>
        </w:rPr>
        <w:t>I consent to the interview being recorded    Yes / No  (please circle)</w:t>
      </w:r>
    </w:p>
    <w:p w14:paraId="6D65898B" w14:textId="77777777" w:rsidR="00C1765C" w:rsidRPr="00820C89" w:rsidRDefault="00C1765C" w:rsidP="00C1765C">
      <w:pPr>
        <w:ind w:left="720"/>
        <w:rPr>
          <w:rFonts w:eastAsia="Verdana" w:cs="Arial"/>
        </w:rPr>
      </w:pPr>
      <w:r w:rsidRPr="00820C89">
        <w:rPr>
          <w:rFonts w:eastAsia="Verdana" w:cs="Arial"/>
          <w:noProof/>
          <w:lang w:eastAsia="en-AU"/>
        </w:rPr>
        <mc:AlternateContent>
          <mc:Choice Requires="wps">
            <w:drawing>
              <wp:anchor distT="0" distB="0" distL="114300" distR="114300" simplePos="0" relativeHeight="251658278" behindDoc="0" locked="0" layoutInCell="1" allowOverlap="1" wp14:anchorId="67054C1E" wp14:editId="513E8E1F">
                <wp:simplePos x="0" y="0"/>
                <wp:positionH relativeFrom="column">
                  <wp:posOffset>-36576</wp:posOffset>
                </wp:positionH>
                <wp:positionV relativeFrom="paragraph">
                  <wp:posOffset>184455</wp:posOffset>
                </wp:positionV>
                <wp:extent cx="5876925" cy="1236269"/>
                <wp:effectExtent l="0" t="0" r="28575" b="21590"/>
                <wp:wrapNone/>
                <wp:docPr id="27" name="Rectangle 27"/>
                <wp:cNvGraphicFramePr/>
                <a:graphic xmlns:a="http://schemas.openxmlformats.org/drawingml/2006/main">
                  <a:graphicData uri="http://schemas.microsoft.com/office/word/2010/wordprocessingShape">
                    <wps:wsp>
                      <wps:cNvSpPr/>
                      <wps:spPr>
                        <a:xfrm>
                          <a:off x="0" y="0"/>
                          <a:ext cx="5876925" cy="1236269"/>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93B26" id="Rectangle 27" o:spid="_x0000_s1026" style="position:absolute;margin-left:-2.9pt;margin-top:14.5pt;width:462.75pt;height:97.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" filled="f" strokeweight="2pt"/>
            </w:pict>
          </mc:Fallback>
        </mc:AlternateContent>
      </w:r>
    </w:p>
    <w:p w14:paraId="6B5A8EE8" w14:textId="77777777" w:rsidR="00C1765C" w:rsidRPr="00820C89" w:rsidRDefault="00C1765C" w:rsidP="00C1765C">
      <w:pPr>
        <w:rPr>
          <w:rFonts w:eastAsia="Verdana" w:cs="Times New Roman"/>
          <w:i/>
        </w:rPr>
      </w:pPr>
      <w:r w:rsidRPr="00820C89">
        <w:rPr>
          <w:rFonts w:eastAsia="Verdana" w:cs="Times New Roman"/>
          <w:i/>
        </w:rPr>
        <w:t>Consent to participate in the interview</w:t>
      </w:r>
    </w:p>
    <w:p w14:paraId="0C294C67" w14:textId="77777777" w:rsidR="00C1765C" w:rsidRPr="00820C89" w:rsidRDefault="00C1765C" w:rsidP="00C1765C">
      <w:pPr>
        <w:rPr>
          <w:rFonts w:eastAsia="Verdana" w:cs="Arial"/>
        </w:rPr>
      </w:pPr>
      <w:r w:rsidRPr="00820C89">
        <w:rPr>
          <w:rFonts w:eastAsia="Verdana" w:cs="Arial"/>
        </w:rPr>
        <w:t>NAME OF PARTICIPANT: _________________________________________________________</w:t>
      </w:r>
    </w:p>
    <w:p w14:paraId="2764B11C" w14:textId="77777777" w:rsidR="00C1765C" w:rsidRPr="00820C89" w:rsidRDefault="00C1765C" w:rsidP="00C1765C">
      <w:pPr>
        <w:rPr>
          <w:rFonts w:eastAsia="Verdana" w:cs="Arial"/>
        </w:rPr>
      </w:pPr>
    </w:p>
    <w:p w14:paraId="5CEB40A8" w14:textId="77777777" w:rsidR="00C1765C" w:rsidRPr="00820C89" w:rsidRDefault="00C1765C" w:rsidP="00C1765C">
      <w:pPr>
        <w:rPr>
          <w:rFonts w:eastAsia="Verdana" w:cs="Arial"/>
        </w:rPr>
      </w:pPr>
      <w:r w:rsidRPr="00820C89">
        <w:rPr>
          <w:rFonts w:eastAsia="Verdana" w:cs="Arial"/>
        </w:rPr>
        <w:t>SIGNATURE OF PARTICIPANT: ________________________</w:t>
      </w:r>
      <w:r w:rsidRPr="00820C89">
        <w:rPr>
          <w:rFonts w:eastAsia="Verdana" w:cs="Arial"/>
        </w:rPr>
        <w:tab/>
        <w:t xml:space="preserve">DATE: </w:t>
      </w:r>
      <w:r w:rsidRPr="00820C89">
        <w:rPr>
          <w:rFonts w:eastAsia="Verdana" w:cs="Times New Roman"/>
        </w:rPr>
        <w:t>....../....../.....</w:t>
      </w:r>
    </w:p>
    <w:p w14:paraId="481C63CB" w14:textId="77777777" w:rsidR="00C1765C" w:rsidRPr="00820C89" w:rsidRDefault="00C1765C" w:rsidP="00C1765C">
      <w:pPr>
        <w:rPr>
          <w:rFonts w:eastAsia="Verdana" w:cs="Times New Roman"/>
          <w:i/>
        </w:rPr>
      </w:pPr>
    </w:p>
    <w:p w14:paraId="042D38C5" w14:textId="77777777" w:rsidR="00C1765C" w:rsidRPr="00820C89" w:rsidRDefault="00C1765C" w:rsidP="00C1765C">
      <w:pPr>
        <w:rPr>
          <w:rFonts w:eastAsia="Verdana" w:cs="Times New Roman"/>
        </w:rPr>
      </w:pPr>
    </w:p>
    <w:p w14:paraId="55E77EC2" w14:textId="77777777" w:rsidR="00C1765C" w:rsidRPr="00820C89" w:rsidRDefault="00C1765C" w:rsidP="00C1765C">
      <w:pPr>
        <w:pBdr>
          <w:bottom w:val="single" w:sz="4" w:space="1" w:color="auto"/>
        </w:pBdr>
        <w:rPr>
          <w:rFonts w:eastAsia="Verdana" w:cs="Times New Roman"/>
        </w:rPr>
      </w:pPr>
    </w:p>
    <w:p w14:paraId="2CF6C43A" w14:textId="77777777" w:rsidR="00C1765C" w:rsidRPr="00820C89" w:rsidRDefault="00C1765C" w:rsidP="00C1765C">
      <w:pPr>
        <w:rPr>
          <w:rFonts w:eastAsia="Verdana" w:cs="Times New Roman"/>
          <w:color w:val="44546A"/>
        </w:rPr>
      </w:pPr>
      <w:r w:rsidRPr="00820C89">
        <w:rPr>
          <w:rFonts w:eastAsia="Verdana" w:cs="Times New Roman"/>
          <w:color w:val="44546A"/>
        </w:rPr>
        <w:t>DELOITTE ACCESS ECONOMICS USE ONLY</w:t>
      </w:r>
    </w:p>
    <w:p w14:paraId="11D2A031" w14:textId="77777777" w:rsidR="00C1765C" w:rsidRPr="00820C89" w:rsidRDefault="00C1765C" w:rsidP="00C1765C">
      <w:pPr>
        <w:rPr>
          <w:rFonts w:eastAsia="Verdana" w:cs="Times New Roman"/>
          <w:color w:val="44546A"/>
        </w:rPr>
      </w:pPr>
      <w:r w:rsidRPr="00820C89">
        <w:rPr>
          <w:rFonts w:eastAsia="Verdana" w:cs="Times New Roman"/>
          <w:color w:val="44546A"/>
        </w:rPr>
        <w:t>I, the researcher, have described the details on the Participant Information Sheet to the interviewee and believe he/she has understood and agreed to it.</w:t>
      </w:r>
    </w:p>
    <w:p w14:paraId="58583757" w14:textId="77777777" w:rsidR="00C1765C" w:rsidRPr="00820C89" w:rsidRDefault="00C1765C" w:rsidP="00C1765C">
      <w:pPr>
        <w:rPr>
          <w:rFonts w:eastAsia="Verdana" w:cs="Times New Roman"/>
          <w:color w:val="44546A"/>
        </w:rPr>
      </w:pPr>
      <w:r w:rsidRPr="00820C89">
        <w:rPr>
          <w:rFonts w:eastAsia="Verdana" w:cs="Times New Roman"/>
          <w:color w:val="44546A"/>
        </w:rPr>
        <w:t>Name:</w:t>
      </w:r>
    </w:p>
    <w:p w14:paraId="4B4FDFA5" w14:textId="77777777" w:rsidR="00C1765C" w:rsidRPr="00820C89" w:rsidRDefault="00C1765C" w:rsidP="00C1765C">
      <w:pPr>
        <w:rPr>
          <w:rFonts w:eastAsia="Verdana" w:cs="Times New Roman"/>
          <w:color w:val="44546A"/>
        </w:rPr>
      </w:pPr>
      <w:r w:rsidRPr="00820C89">
        <w:rPr>
          <w:rFonts w:eastAsia="Verdana" w:cs="Times New Roman"/>
          <w:color w:val="44546A"/>
        </w:rPr>
        <w:t>Signature:</w:t>
      </w:r>
    </w:p>
    <w:p w14:paraId="52438B04" w14:textId="77777777" w:rsidR="00C1765C" w:rsidRPr="00820C89" w:rsidRDefault="00C1765C" w:rsidP="00C1765C">
      <w:pPr>
        <w:rPr>
          <w:rFonts w:eastAsia="Verdana" w:cs="Times New Roman"/>
          <w:color w:val="44546A"/>
        </w:rPr>
      </w:pPr>
      <w:r w:rsidRPr="00820C89">
        <w:rPr>
          <w:rFonts w:eastAsia="Verdana" w:cs="Times New Roman"/>
          <w:color w:val="44546A"/>
        </w:rPr>
        <w:t>Date:</w:t>
      </w:r>
    </w:p>
    <w:p w14:paraId="0438FCA3" w14:textId="77777777" w:rsidR="00C1765C" w:rsidRPr="00820C89" w:rsidRDefault="00C1765C" w:rsidP="00C1765C">
      <w:pPr>
        <w:spacing w:after="0"/>
        <w:rPr>
          <w:rFonts w:eastAsia="Verdana" w:cs="Times New Roman"/>
        </w:rPr>
      </w:pPr>
      <w:r w:rsidRPr="00820C89">
        <w:rPr>
          <w:rFonts w:eastAsia="Verdana" w:cs="Times New Roman"/>
        </w:rPr>
        <w:br w:type="page"/>
      </w:r>
    </w:p>
    <w:p w14:paraId="1940A713" w14:textId="77777777" w:rsidR="00C1765C" w:rsidRPr="00820C89" w:rsidRDefault="00C1765C" w:rsidP="00C1765C">
      <w:pPr>
        <w:pStyle w:val="Heading2un-numbered"/>
      </w:pPr>
      <w:bookmarkStart w:id="535" w:name="_Toc82694525"/>
      <w:bookmarkStart w:id="536" w:name="_Toc82710823"/>
      <w:bookmarkStart w:id="537" w:name="_Toc101343349"/>
      <w:r w:rsidRPr="00820C89">
        <w:lastRenderedPageBreak/>
        <w:t>Indigenous representative semi-structured interview questions</w:t>
      </w:r>
      <w:bookmarkEnd w:id="533"/>
      <w:bookmarkEnd w:id="534"/>
      <w:bookmarkEnd w:id="535"/>
      <w:bookmarkEnd w:id="536"/>
      <w:bookmarkEnd w:id="537"/>
    </w:p>
    <w:p w14:paraId="60563DAC" w14:textId="77777777" w:rsidR="00C1765C" w:rsidRPr="00820C89" w:rsidRDefault="00C1765C" w:rsidP="00C1765C">
      <w:pPr>
        <w:rPr>
          <w:b/>
        </w:rPr>
      </w:pPr>
      <w:r w:rsidRPr="00820C89">
        <w:rPr>
          <w:b/>
        </w:rPr>
        <w:t>Background</w:t>
      </w:r>
    </w:p>
    <w:p w14:paraId="6788CB0B" w14:textId="77777777" w:rsidR="00C1765C" w:rsidRPr="00820C89" w:rsidRDefault="00C1765C" w:rsidP="00715F70">
      <w:pPr>
        <w:pStyle w:val="ListParagraph"/>
        <w:numPr>
          <w:ilvl w:val="0"/>
          <w:numId w:val="154"/>
        </w:numPr>
        <w:spacing w:after="160" w:line="259" w:lineRule="auto"/>
      </w:pPr>
      <w:r w:rsidRPr="00820C89">
        <w:t>In order to best understand your perspective, I’d like to get to know you a bit better.</w:t>
      </w:r>
    </w:p>
    <w:p w14:paraId="05E263DB" w14:textId="77777777" w:rsidR="00C1765C" w:rsidRPr="00820C89" w:rsidRDefault="00C1765C" w:rsidP="00715F70">
      <w:pPr>
        <w:pStyle w:val="ListParagraph"/>
        <w:numPr>
          <w:ilvl w:val="0"/>
          <w:numId w:val="155"/>
        </w:numPr>
        <w:spacing w:after="160" w:line="259" w:lineRule="auto"/>
      </w:pPr>
      <w:r w:rsidRPr="00820C89">
        <w:t xml:space="preserve">How would you describe your background and experiences? </w:t>
      </w:r>
    </w:p>
    <w:p w14:paraId="591D6987" w14:textId="77777777" w:rsidR="00C1765C" w:rsidRPr="00820C89" w:rsidRDefault="00C1765C" w:rsidP="00715F70">
      <w:pPr>
        <w:pStyle w:val="ListParagraph"/>
        <w:numPr>
          <w:ilvl w:val="0"/>
          <w:numId w:val="155"/>
        </w:numPr>
        <w:spacing w:after="160" w:line="259" w:lineRule="auto"/>
      </w:pPr>
      <w:r w:rsidRPr="00820C89">
        <w:t>How would you describe your experiences with Indigenous policy?</w:t>
      </w:r>
    </w:p>
    <w:p w14:paraId="586636E2" w14:textId="77777777" w:rsidR="00C1765C" w:rsidRPr="00820C89" w:rsidRDefault="00C1765C" w:rsidP="00715F70">
      <w:pPr>
        <w:pStyle w:val="ListParagraph"/>
        <w:numPr>
          <w:ilvl w:val="0"/>
          <w:numId w:val="155"/>
        </w:numPr>
        <w:spacing w:after="160" w:line="259" w:lineRule="auto"/>
      </w:pPr>
      <w:r w:rsidRPr="00820C89">
        <w:t xml:space="preserve">What is your understanding of employment programs for Indigenous people? </w:t>
      </w:r>
    </w:p>
    <w:p w14:paraId="645469F2" w14:textId="77777777" w:rsidR="00C1765C" w:rsidRPr="00820C89" w:rsidRDefault="00C1765C" w:rsidP="00C1765C">
      <w:pPr>
        <w:rPr>
          <w:i/>
        </w:rPr>
      </w:pPr>
      <w:r w:rsidRPr="00820C89">
        <w:rPr>
          <w:b/>
          <w:i/>
        </w:rPr>
        <w:t xml:space="preserve">Optional: Background </w:t>
      </w:r>
      <w:r w:rsidRPr="00820C89">
        <w:rPr>
          <w:i/>
        </w:rPr>
        <w:t xml:space="preserve">(if participant was involved in the IEP design) </w:t>
      </w:r>
    </w:p>
    <w:p w14:paraId="15714DB2" w14:textId="77777777" w:rsidR="00C1765C" w:rsidRPr="00820C89" w:rsidRDefault="00C1765C" w:rsidP="00715F70">
      <w:pPr>
        <w:pStyle w:val="ListParagraph"/>
        <w:numPr>
          <w:ilvl w:val="0"/>
          <w:numId w:val="154"/>
        </w:numPr>
        <w:spacing w:after="160" w:line="259" w:lineRule="auto"/>
        <w:rPr>
          <w:i/>
        </w:rPr>
      </w:pPr>
      <w:r w:rsidRPr="00820C89">
        <w:rPr>
          <w:i/>
        </w:rPr>
        <w:t xml:space="preserve">How would you describe your involvement in the design of the programs?  </w:t>
      </w:r>
    </w:p>
    <w:p w14:paraId="36BE64E8" w14:textId="77777777" w:rsidR="00C1765C" w:rsidRPr="00820C89" w:rsidRDefault="00C1765C" w:rsidP="00715F70">
      <w:pPr>
        <w:pStyle w:val="ListParagraph"/>
        <w:numPr>
          <w:ilvl w:val="0"/>
          <w:numId w:val="163"/>
        </w:numPr>
        <w:spacing w:after="160" w:line="259" w:lineRule="auto"/>
        <w:rPr>
          <w:i/>
        </w:rPr>
      </w:pPr>
      <w:r w:rsidRPr="00820C89">
        <w:rPr>
          <w:i/>
        </w:rPr>
        <w:t xml:space="preserve">What did you think of the design process? </w:t>
      </w:r>
    </w:p>
    <w:p w14:paraId="4131D772" w14:textId="77777777" w:rsidR="00C1765C" w:rsidRPr="00820C89" w:rsidRDefault="00C1765C" w:rsidP="00715F70">
      <w:pPr>
        <w:pStyle w:val="ListParagraph"/>
        <w:numPr>
          <w:ilvl w:val="0"/>
          <w:numId w:val="163"/>
        </w:numPr>
        <w:spacing w:after="160" w:line="259" w:lineRule="auto"/>
        <w:rPr>
          <w:i/>
        </w:rPr>
      </w:pPr>
      <w:r w:rsidRPr="00820C89">
        <w:rPr>
          <w:i/>
        </w:rPr>
        <w:t xml:space="preserve">How well was your input fed into the actual design of the programs? </w:t>
      </w:r>
    </w:p>
    <w:p w14:paraId="30230EFA" w14:textId="77777777" w:rsidR="00C1765C" w:rsidRPr="00820C89" w:rsidRDefault="00C1765C" w:rsidP="00C1765C">
      <w:pPr>
        <w:rPr>
          <w:b/>
        </w:rPr>
      </w:pPr>
      <w:r w:rsidRPr="00820C89">
        <w:rPr>
          <w:b/>
        </w:rPr>
        <w:t>Program design</w:t>
      </w:r>
    </w:p>
    <w:p w14:paraId="4C024923" w14:textId="77777777" w:rsidR="00C1765C" w:rsidRPr="00820C89" w:rsidRDefault="00C1765C" w:rsidP="00715F70">
      <w:pPr>
        <w:pStyle w:val="ListParagraph"/>
        <w:numPr>
          <w:ilvl w:val="0"/>
          <w:numId w:val="154"/>
        </w:numPr>
        <w:spacing w:after="160" w:line="259" w:lineRule="auto"/>
      </w:pPr>
      <w:r w:rsidRPr="00820C89">
        <w:t>In your opinion, what features would need to be a part of an effective employment program for Indigenous people?</w:t>
      </w:r>
    </w:p>
    <w:p w14:paraId="0EBCA606" w14:textId="77777777" w:rsidR="00C1765C" w:rsidRPr="00820C89" w:rsidRDefault="00C1765C" w:rsidP="00715F70">
      <w:pPr>
        <w:pStyle w:val="ListParagraph"/>
        <w:numPr>
          <w:ilvl w:val="1"/>
          <w:numId w:val="154"/>
        </w:numPr>
        <w:spacing w:after="160" w:line="259" w:lineRule="auto"/>
      </w:pPr>
      <w:r w:rsidRPr="00820C89">
        <w:t>What kinds of incentives should be included?</w:t>
      </w:r>
    </w:p>
    <w:p w14:paraId="7639F3A4" w14:textId="77777777" w:rsidR="00C1765C" w:rsidRPr="00820C89" w:rsidRDefault="00C1765C" w:rsidP="00715F70">
      <w:pPr>
        <w:pStyle w:val="ListParagraph"/>
        <w:numPr>
          <w:ilvl w:val="1"/>
          <w:numId w:val="154"/>
        </w:numPr>
        <w:spacing w:after="160" w:line="259" w:lineRule="auto"/>
      </w:pPr>
      <w:r w:rsidRPr="00820C89">
        <w:t>What role can employers play?</w:t>
      </w:r>
    </w:p>
    <w:p w14:paraId="2844D503" w14:textId="77777777" w:rsidR="00C1765C" w:rsidRPr="00820C89" w:rsidRDefault="00C1765C" w:rsidP="00715F70">
      <w:pPr>
        <w:pStyle w:val="ListParagraph"/>
        <w:numPr>
          <w:ilvl w:val="1"/>
          <w:numId w:val="154"/>
        </w:numPr>
        <w:spacing w:after="160" w:line="259" w:lineRule="auto"/>
      </w:pPr>
      <w:r w:rsidRPr="00820C89">
        <w:t>What approach should a program take to working with Indigenous people?</w:t>
      </w:r>
    </w:p>
    <w:p w14:paraId="73ACA66F" w14:textId="77777777" w:rsidR="00C1765C" w:rsidRPr="00820C89" w:rsidRDefault="00C1765C" w:rsidP="00715F70">
      <w:pPr>
        <w:pStyle w:val="ListParagraph"/>
        <w:numPr>
          <w:ilvl w:val="0"/>
          <w:numId w:val="154"/>
        </w:numPr>
        <w:spacing w:after="160" w:line="259" w:lineRule="auto"/>
      </w:pPr>
      <w:r w:rsidRPr="00820C89">
        <w:t>Based on your understanding of the EPI, TAEG and VTEC programs, how well do you think these programs are designed?</w:t>
      </w:r>
    </w:p>
    <w:p w14:paraId="4179E211" w14:textId="77777777" w:rsidR="00C1765C" w:rsidRPr="00820C89" w:rsidRDefault="00C1765C" w:rsidP="00715F70">
      <w:pPr>
        <w:pStyle w:val="ListParagraph"/>
        <w:numPr>
          <w:ilvl w:val="0"/>
          <w:numId w:val="156"/>
        </w:numPr>
        <w:spacing w:after="160" w:line="259" w:lineRule="auto"/>
      </w:pPr>
      <w:r w:rsidRPr="00820C89">
        <w:t>What do you think of the programs’ objectives?</w:t>
      </w:r>
    </w:p>
    <w:p w14:paraId="7BE275D2" w14:textId="77777777" w:rsidR="00C1765C" w:rsidRPr="00820C89" w:rsidRDefault="00C1765C" w:rsidP="00715F70">
      <w:pPr>
        <w:pStyle w:val="ListParagraph"/>
        <w:numPr>
          <w:ilvl w:val="0"/>
          <w:numId w:val="156"/>
        </w:numPr>
        <w:spacing w:after="160" w:line="259" w:lineRule="auto"/>
      </w:pPr>
      <w:r w:rsidRPr="00820C89">
        <w:t>What do you think about the role that employers play?</w:t>
      </w:r>
    </w:p>
    <w:p w14:paraId="39CEFCB7" w14:textId="77777777" w:rsidR="00C1765C" w:rsidRPr="00820C89" w:rsidRDefault="00C1765C" w:rsidP="00715F70">
      <w:pPr>
        <w:pStyle w:val="ListParagraph"/>
        <w:numPr>
          <w:ilvl w:val="0"/>
          <w:numId w:val="156"/>
        </w:numPr>
        <w:spacing w:after="160" w:line="259" w:lineRule="auto"/>
      </w:pPr>
      <w:r w:rsidRPr="00820C89">
        <w:t>What works well about the design of these programs?</w:t>
      </w:r>
    </w:p>
    <w:p w14:paraId="54C1C308" w14:textId="77777777" w:rsidR="00C1765C" w:rsidRPr="00820C89" w:rsidRDefault="00C1765C" w:rsidP="00715F70">
      <w:pPr>
        <w:pStyle w:val="ListParagraph"/>
        <w:numPr>
          <w:ilvl w:val="0"/>
          <w:numId w:val="156"/>
        </w:numPr>
        <w:spacing w:after="160" w:line="259" w:lineRule="auto"/>
      </w:pPr>
      <w:r w:rsidRPr="00820C89">
        <w:t>What could be improved about these programs?</w:t>
      </w:r>
    </w:p>
    <w:p w14:paraId="2863FFD8" w14:textId="77777777" w:rsidR="00C1765C" w:rsidRPr="00820C89" w:rsidRDefault="00C1765C" w:rsidP="00C1765C">
      <w:pPr>
        <w:rPr>
          <w:b/>
        </w:rPr>
      </w:pPr>
      <w:r w:rsidRPr="00820C89">
        <w:rPr>
          <w:b/>
        </w:rPr>
        <w:t xml:space="preserve">Program delivery </w:t>
      </w:r>
    </w:p>
    <w:p w14:paraId="1F5AD790" w14:textId="77777777" w:rsidR="00C1765C" w:rsidRPr="00820C89" w:rsidRDefault="00C1765C" w:rsidP="00715F70">
      <w:pPr>
        <w:pStyle w:val="ListParagraph"/>
        <w:numPr>
          <w:ilvl w:val="0"/>
          <w:numId w:val="154"/>
        </w:numPr>
        <w:spacing w:after="160" w:line="259" w:lineRule="auto"/>
      </w:pPr>
      <w:r w:rsidRPr="00820C89">
        <w:t>In your opinion, what would a program look like if it were respectful of Indigenous people?</w:t>
      </w:r>
    </w:p>
    <w:p w14:paraId="7B0C7DD6" w14:textId="77777777" w:rsidR="00C1765C" w:rsidRPr="00820C89" w:rsidRDefault="00C1765C" w:rsidP="00C1765C">
      <w:pPr>
        <w:rPr>
          <w:b/>
        </w:rPr>
      </w:pPr>
      <w:r w:rsidRPr="00820C89">
        <w:rPr>
          <w:b/>
        </w:rPr>
        <w:t xml:space="preserve">Program recommendations </w:t>
      </w:r>
    </w:p>
    <w:p w14:paraId="2944625F" w14:textId="77777777" w:rsidR="00C1765C" w:rsidRPr="00820C89" w:rsidRDefault="00C1765C" w:rsidP="00715F70">
      <w:pPr>
        <w:pStyle w:val="ListParagraph"/>
        <w:numPr>
          <w:ilvl w:val="0"/>
          <w:numId w:val="154"/>
        </w:numPr>
        <w:spacing w:after="160" w:line="259" w:lineRule="auto"/>
        <w:rPr>
          <w:b/>
          <w:color w:val="FF0000"/>
          <w:u w:val="single"/>
        </w:rPr>
      </w:pPr>
      <w:r w:rsidRPr="00820C89">
        <w:rPr>
          <w:u w:val="single"/>
        </w:rPr>
        <w:t xml:space="preserve">In your opinion, what do you think is working about the current TAEG, VTEC and EPI programs? </w:t>
      </w:r>
    </w:p>
    <w:p w14:paraId="3F7E9214" w14:textId="77777777" w:rsidR="00C1765C" w:rsidRPr="00820C89" w:rsidRDefault="00C1765C" w:rsidP="00715F70">
      <w:pPr>
        <w:pStyle w:val="ListParagraph"/>
        <w:numPr>
          <w:ilvl w:val="0"/>
          <w:numId w:val="154"/>
        </w:numPr>
        <w:spacing w:after="160" w:line="259" w:lineRule="auto"/>
        <w:rPr>
          <w:b/>
          <w:color w:val="FF0000"/>
        </w:rPr>
      </w:pPr>
      <w:r w:rsidRPr="00820C89">
        <w:t xml:space="preserve">In your opinion, what do you think could be improved about the TAEG, VTEC and EPI programs? </w:t>
      </w:r>
    </w:p>
    <w:p w14:paraId="6BCA72D6" w14:textId="491999FD" w:rsidR="00C1765C" w:rsidRPr="004837A8" w:rsidRDefault="00C1765C" w:rsidP="00C1765C">
      <w:pPr>
        <w:pStyle w:val="ListParagraph"/>
        <w:numPr>
          <w:ilvl w:val="0"/>
          <w:numId w:val="154"/>
        </w:numPr>
        <w:spacing w:after="160" w:line="259" w:lineRule="auto"/>
        <w:rPr>
          <w:b/>
          <w:color w:val="FF0000"/>
        </w:rPr>
      </w:pPr>
      <w:r w:rsidRPr="00820C89">
        <w:t>In your opinion, what does the ideal version of these Indigenous Employment Programs look like?</w:t>
      </w:r>
      <w:bookmarkStart w:id="538" w:name="_Toc45206372"/>
      <w:bookmarkStart w:id="539" w:name="_Toc45206413"/>
    </w:p>
    <w:bookmarkEnd w:id="538"/>
    <w:bookmarkEnd w:id="539"/>
    <w:p w14:paraId="50A45D39" w14:textId="77777777" w:rsidR="00C1765C" w:rsidRPr="00820C89" w:rsidRDefault="00C1765C" w:rsidP="00C1765C">
      <w:pPr>
        <w:spacing w:after="160" w:line="259" w:lineRule="auto"/>
        <w:rPr>
          <w:sz w:val="20"/>
          <w:szCs w:val="20"/>
        </w:rPr>
      </w:pPr>
      <w:r w:rsidRPr="00820C89">
        <w:rPr>
          <w:sz w:val="20"/>
          <w:szCs w:val="20"/>
        </w:rPr>
        <w:br w:type="page"/>
      </w:r>
    </w:p>
    <w:p w14:paraId="4C9939AF" w14:textId="77777777" w:rsidR="00C1765C" w:rsidRPr="00820C89" w:rsidRDefault="00C1765C" w:rsidP="00C1765C">
      <w:pPr>
        <w:keepNext/>
        <w:keepLines/>
        <w:spacing w:before="240" w:after="0" w:line="280" w:lineRule="atLeast"/>
        <w:outlineLvl w:val="1"/>
        <w:rPr>
          <w:rFonts w:eastAsia="MingLiU" w:cs="Times New Roman"/>
          <w:b/>
          <w:bCs/>
          <w:color w:val="62B5E5"/>
          <w:sz w:val="22"/>
          <w:szCs w:val="22"/>
        </w:rPr>
      </w:pPr>
      <w:bookmarkStart w:id="540" w:name="_Toc82694526"/>
      <w:bookmarkStart w:id="541" w:name="_Toc101343350"/>
      <w:bookmarkStart w:id="542" w:name="_Toc45206375"/>
      <w:bookmarkStart w:id="543" w:name="_Toc45206416"/>
      <w:r w:rsidRPr="00820C89">
        <w:rPr>
          <w:rFonts w:eastAsia="MingLiU" w:cs="Times New Roman"/>
          <w:b/>
          <w:bCs/>
          <w:color w:val="62B5E5"/>
          <w:sz w:val="22"/>
          <w:szCs w:val="22"/>
        </w:rPr>
        <w:lastRenderedPageBreak/>
        <w:t>State and territory government Information Sheet – Indigenous Employment Programs evaluation</w:t>
      </w:r>
      <w:bookmarkEnd w:id="540"/>
      <w:bookmarkEnd w:id="541"/>
      <w:r w:rsidRPr="00820C89" w:rsidDel="000E1C9C">
        <w:rPr>
          <w:rFonts w:eastAsia="MingLiU" w:cs="Times New Roman"/>
          <w:b/>
          <w:bCs/>
          <w:color w:val="62B5E5"/>
          <w:sz w:val="22"/>
          <w:szCs w:val="22"/>
        </w:rPr>
        <w:t xml:space="preserve"> </w:t>
      </w:r>
    </w:p>
    <w:p w14:paraId="2D46D095" w14:textId="77777777" w:rsidR="00C1765C" w:rsidRPr="00820C89" w:rsidRDefault="00C1765C" w:rsidP="00C1765C">
      <w:pPr>
        <w:spacing w:after="0"/>
        <w:rPr>
          <w:rFonts w:eastAsia="Verdana" w:cs="Times New Roman"/>
          <w:b/>
          <w:bCs/>
        </w:rPr>
      </w:pPr>
    </w:p>
    <w:p w14:paraId="10BCAE16" w14:textId="77777777" w:rsidR="00C1765C" w:rsidRPr="00820C89" w:rsidRDefault="00C1765C" w:rsidP="00C1765C">
      <w:pPr>
        <w:spacing w:after="0"/>
        <w:rPr>
          <w:rFonts w:eastAsia="Verdana" w:cs="Times New Roman"/>
          <w:b/>
        </w:rPr>
      </w:pPr>
      <w:r w:rsidRPr="00820C89">
        <w:rPr>
          <w:rFonts w:eastAsia="Verdana" w:cs="Times New Roman"/>
          <w:b/>
        </w:rPr>
        <w:t>Introduction  </w:t>
      </w:r>
    </w:p>
    <w:p w14:paraId="316F402F" w14:textId="77777777" w:rsidR="00C1765C" w:rsidRPr="00820C89" w:rsidRDefault="00C1765C" w:rsidP="00C1765C">
      <w:pPr>
        <w:rPr>
          <w:rFonts w:eastAsia="Verdana" w:cs="Segoe UI"/>
          <w:b/>
          <w:lang w:val="da-DK"/>
        </w:rPr>
      </w:pPr>
      <w:r w:rsidRPr="00820C89">
        <w:rPr>
          <w:rFonts w:eastAsia="Verdana" w:cs="Segoe UI"/>
          <w:lang w:val="da-DK"/>
        </w:rPr>
        <w:t xml:space="preserve">Deloitte Access Economics has been engaged to undertake an evaluation of three Indigenous Employment Programs (IEPs) funded by the National Indigenous Australians Agency (NIAA) – the Employment Parity Initiative (EPI), </w:t>
      </w:r>
      <w:r w:rsidRPr="00820C89">
        <w:rPr>
          <w:rFonts w:eastAsia="Verdana" w:cs="Segoe UI"/>
          <w:b/>
          <w:lang w:val="da-DK"/>
        </w:rPr>
        <w:t>Vocational Training and Employment Centres (VTECs) and Tailored Employment Assistance Grants – Employment (TAEG). </w:t>
      </w:r>
    </w:p>
    <w:p w14:paraId="13FE1BC6" w14:textId="77777777" w:rsidR="00C1765C" w:rsidRPr="00820C89" w:rsidRDefault="00C1765C" w:rsidP="00C1765C">
      <w:pPr>
        <w:rPr>
          <w:rFonts w:eastAsia="Verdana" w:cs="Segoe UI"/>
        </w:rPr>
      </w:pPr>
      <w:r w:rsidRPr="00820C89">
        <w:rPr>
          <w:rFonts w:eastAsia="Verdana" w:cs="Segoe UI"/>
          <w:lang w:val="da-DK"/>
        </w:rPr>
        <w:t>In conducting this research, Deloitte Access Economics is undertaking extensive stakeholder engagement with various stakeholder gro</w:t>
      </w:r>
      <w:r w:rsidRPr="00820C89">
        <w:rPr>
          <w:rFonts w:eastAsia="Verdana" w:cs="Segoe UI"/>
          <w:b/>
          <w:lang w:val="da-DK"/>
        </w:rPr>
        <w:t>ups, including government representatives, representatives of the Indigenous Australian community, VTEC and TAEG providers, EPI partners, employers, and IEP participants. This stakeholder engagement process also involves consultations with representatives from each of the NIAA regional offices. </w:t>
      </w:r>
      <w:r w:rsidRPr="00820C89">
        <w:rPr>
          <w:rFonts w:eastAsia="Verdana" w:cs="Segoe UI"/>
          <w:b/>
        </w:rPr>
        <w:t> </w:t>
      </w:r>
    </w:p>
    <w:p w14:paraId="167C4676" w14:textId="77777777" w:rsidR="00C1765C" w:rsidRPr="00820C89" w:rsidRDefault="00C1765C" w:rsidP="00C1765C">
      <w:pPr>
        <w:rPr>
          <w:rFonts w:eastAsia="Verdana" w:cs="Segoe UI"/>
        </w:rPr>
      </w:pPr>
      <w:r w:rsidRPr="00820C89">
        <w:rPr>
          <w:rFonts w:eastAsia="Verdana" w:cs="Segoe UI"/>
          <w:lang w:val="da-DK"/>
        </w:rPr>
        <w:t>This consultation will be a </w:t>
      </w:r>
      <w:r w:rsidRPr="00820C89">
        <w:rPr>
          <w:rFonts w:eastAsia="Verdana" w:cs="Segoe UI"/>
          <w:bCs/>
          <w:lang w:val="da-DK"/>
        </w:rPr>
        <w:t>90 minute semi-structured interview</w:t>
      </w:r>
      <w:r w:rsidRPr="00820C89">
        <w:rPr>
          <w:rFonts w:eastAsia="Verdana" w:cs="Segoe UI"/>
          <w:b/>
          <w:lang w:val="da-DK"/>
        </w:rPr>
        <w:t> with yourself held via teleconference.  </w:t>
      </w:r>
      <w:r w:rsidRPr="00820C89">
        <w:rPr>
          <w:rFonts w:eastAsia="Verdana" w:cs="Segoe UI"/>
          <w:b/>
        </w:rPr>
        <w:t> </w:t>
      </w:r>
    </w:p>
    <w:p w14:paraId="38A7D3F1" w14:textId="77777777" w:rsidR="00C1765C" w:rsidRPr="00820C89" w:rsidRDefault="00C1765C" w:rsidP="00C1765C">
      <w:pPr>
        <w:rPr>
          <w:rFonts w:ascii="Segoe UI" w:eastAsia="Verdana" w:hAnsi="Segoe UI" w:cs="Segoe UI"/>
        </w:rPr>
      </w:pPr>
      <w:r w:rsidRPr="00820C89">
        <w:rPr>
          <w:rFonts w:eastAsia="Verdana" w:cs="Segoe UI"/>
        </w:rPr>
        <w:t>In support of these consultations, this document comprises a guide for our discussion with you and your staff. It includes: </w:t>
      </w:r>
      <w:r w:rsidRPr="00820C89">
        <w:rPr>
          <w:rFonts w:eastAsia="Verdana" w:cs="Segoe UI"/>
          <w:b/>
        </w:rPr>
        <w:t> </w:t>
      </w:r>
    </w:p>
    <w:p w14:paraId="197A8B70"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background information about the purpose of this research and topics to be covered in consultations. </w:t>
      </w:r>
    </w:p>
    <w:p w14:paraId="0D43F4B9"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information regarding our consultation with you, including matters relating to privacy and confidentiality  </w:t>
      </w:r>
    </w:p>
    <w:p w14:paraId="0310170E"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a short list of consultation questions which we will use to guide our conversation with you. </w:t>
      </w:r>
    </w:p>
    <w:p w14:paraId="1B513042" w14:textId="77777777" w:rsidR="00C1765C" w:rsidRPr="00820C89" w:rsidRDefault="00C1765C" w:rsidP="00C1765C">
      <w:pPr>
        <w:ind w:left="360"/>
        <w:contextualSpacing/>
        <w:rPr>
          <w:rFonts w:eastAsia="Verdana" w:cs="Times New Roman"/>
          <w:lang w:eastAsia="en-AU"/>
        </w:rPr>
      </w:pPr>
    </w:p>
    <w:p w14:paraId="14B501FD" w14:textId="77777777" w:rsidR="00C1765C" w:rsidRPr="00820C89" w:rsidRDefault="00C1765C" w:rsidP="00C1765C">
      <w:pPr>
        <w:spacing w:after="0"/>
        <w:rPr>
          <w:rFonts w:eastAsia="Verdana" w:cs="Times New Roman"/>
          <w:b/>
        </w:rPr>
      </w:pPr>
      <w:r w:rsidRPr="00820C89">
        <w:rPr>
          <w:rFonts w:eastAsia="Verdana" w:cs="Times New Roman"/>
          <w:b/>
        </w:rPr>
        <w:t>Purpose and topics for consultations</w:t>
      </w:r>
      <w:r w:rsidRPr="00820C89">
        <w:rPr>
          <w:rFonts w:eastAsia="Verdana" w:cs="Times New Roman"/>
        </w:rPr>
        <w:t> </w:t>
      </w:r>
    </w:p>
    <w:p w14:paraId="7F19FF41" w14:textId="77777777" w:rsidR="00C1765C" w:rsidRPr="00820C89" w:rsidRDefault="00C1765C" w:rsidP="00C1765C">
      <w:pPr>
        <w:rPr>
          <w:rFonts w:eastAsia="Verdana" w:cs="Segoe UI"/>
          <w:b/>
        </w:rPr>
      </w:pPr>
      <w:r w:rsidRPr="00820C89">
        <w:rPr>
          <w:rFonts w:eastAsia="Verdana" w:cs="Segoe UI"/>
        </w:rPr>
        <w:t>The purpose of this evaluation is to provide the NIAA with evidence-based policy advice as to the effectiveness of the programs’ implementation, whether it is meeting the programs’ objectives and to inform policy makers about possible improvements and direction.  </w:t>
      </w:r>
    </w:p>
    <w:p w14:paraId="2362513C" w14:textId="77777777" w:rsidR="00C1765C" w:rsidRPr="00820C89" w:rsidRDefault="00C1765C" w:rsidP="00C1765C">
      <w:pPr>
        <w:rPr>
          <w:rFonts w:eastAsia="Verdana" w:cs="Times New Roman"/>
          <w:b/>
        </w:rPr>
      </w:pPr>
      <w:r w:rsidRPr="00820C89">
        <w:rPr>
          <w:rFonts w:eastAsia="Verdana" w:cs="Segoe UI"/>
        </w:rPr>
        <w:t>Consultations with regional NIAA offices have been designed to understand different regional contexts and to test the proposed stakeholder engagement approach for planned community consultations. Specifically, we are interested to hear your views in relation to the following topics:  </w:t>
      </w:r>
    </w:p>
    <w:p w14:paraId="0DD31E93"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 xml:space="preserve">the context of the region you are based in </w:t>
      </w:r>
    </w:p>
    <w:p w14:paraId="7748B495"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any perspectives you have on the communities that could be selected for regional consultations</w:t>
      </w:r>
    </w:p>
    <w:p w14:paraId="3B44A766"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recommendations for the way in which we may undertake regional consultations.</w:t>
      </w:r>
    </w:p>
    <w:p w14:paraId="53D6C3DA" w14:textId="77777777" w:rsidR="00C1765C" w:rsidRPr="00820C89" w:rsidRDefault="00C1765C" w:rsidP="00C1765C">
      <w:pPr>
        <w:ind w:left="360"/>
        <w:contextualSpacing/>
        <w:rPr>
          <w:rFonts w:eastAsia="Verdana" w:cs="Times New Roman"/>
          <w:lang w:eastAsia="en-AU"/>
        </w:rPr>
      </w:pPr>
    </w:p>
    <w:p w14:paraId="71246D31" w14:textId="77777777" w:rsidR="00C1765C" w:rsidRPr="00820C89" w:rsidRDefault="00C1765C" w:rsidP="00C1765C">
      <w:pPr>
        <w:spacing w:after="0"/>
        <w:rPr>
          <w:rFonts w:eastAsia="Verdana" w:cs="Times New Roman"/>
          <w:b/>
        </w:rPr>
      </w:pPr>
      <w:r w:rsidRPr="00820C89">
        <w:rPr>
          <w:rFonts w:eastAsia="Verdana" w:cs="Times New Roman"/>
          <w:b/>
        </w:rPr>
        <w:t>Privacy </w:t>
      </w:r>
      <w:r w:rsidRPr="00820C89">
        <w:rPr>
          <w:rFonts w:eastAsia="Verdana" w:cs="Times New Roman"/>
        </w:rPr>
        <w:t> </w:t>
      </w:r>
    </w:p>
    <w:p w14:paraId="1D7DD954" w14:textId="77777777" w:rsidR="00C1765C" w:rsidRPr="00820C89" w:rsidRDefault="00C1765C" w:rsidP="00C1765C">
      <w:pPr>
        <w:rPr>
          <w:rFonts w:eastAsia="Verdana" w:cs="Segoe UI"/>
          <w:color w:val="000000"/>
        </w:rPr>
      </w:pPr>
      <w:r w:rsidRPr="00820C89">
        <w:rPr>
          <w:rFonts w:eastAsia="Verdana" w:cs="Segoe UI"/>
          <w:color w:val="000000"/>
        </w:rPr>
        <w:t xml:space="preserve">Participation in the consultation is entirely voluntary. However, if you choose to participate, we will collect information about you including your name, contact details and organisation-related information. However, no identified information will be passed on to the NIAA. All information will be thematically analysed and de-identified for reporting purposes. If we have a quote or case study we wish to attribute to your consultation, we will seek permission from you prior to the report being sent to NIAA. </w:t>
      </w:r>
    </w:p>
    <w:p w14:paraId="00072DFB" w14:textId="77777777" w:rsidR="00C1765C" w:rsidRPr="00820C89" w:rsidRDefault="00C1765C" w:rsidP="00C1765C">
      <w:pPr>
        <w:rPr>
          <w:rFonts w:eastAsia="Verdana" w:cs="Segoe UI"/>
          <w:b/>
          <w:color w:val="000000"/>
        </w:rPr>
      </w:pPr>
      <w:r w:rsidRPr="00820C89">
        <w:rPr>
          <w:rFonts w:eastAsia="Verdana" w:cs="Segoe UI"/>
          <w:color w:val="000000"/>
        </w:rPr>
        <w:t>We will protect your personal information to the same standards that we use to protect our information at Deloitte. This information may be shared with an Australian transcription service, OutScribe Transcription Services, to assist in the transcription of sound recordings. Importantly, your information will be continued to be protected.  </w:t>
      </w:r>
    </w:p>
    <w:p w14:paraId="2E7BAE15" w14:textId="77777777" w:rsidR="00C1765C" w:rsidRPr="00820C89" w:rsidRDefault="00C1765C" w:rsidP="00C1765C">
      <w:pPr>
        <w:rPr>
          <w:rFonts w:eastAsia="Verdana" w:cs="Segoe UI"/>
          <w:b/>
          <w:color w:val="000000"/>
        </w:rPr>
      </w:pPr>
      <w:r w:rsidRPr="00820C89">
        <w:rPr>
          <w:rFonts w:eastAsia="Verdana" w:cs="Segoe UI"/>
          <w:color w:val="000000"/>
        </w:rPr>
        <w:t>More information about how we will handle your personal information, how you can lodge a complaint, how you can contact us and how you may access and seek correction of your information are set out in our privacy policy at </w:t>
      </w:r>
      <w:hyperlink r:id="rId122" w:tgtFrame="_blank" w:history="1">
        <w:r w:rsidRPr="00820C89">
          <w:rPr>
            <w:rFonts w:eastAsia="Verdana" w:cs="Segoe UI"/>
            <w:color w:val="0070C0"/>
            <w:u w:val="single"/>
          </w:rPr>
          <w:t>https://www2.deloitte.com/au/en/legal/privacy.html</w:t>
        </w:r>
      </w:hyperlink>
      <w:r w:rsidRPr="00820C89">
        <w:rPr>
          <w:rFonts w:eastAsia="Verdana" w:cs="Segoe UI"/>
          <w:color w:val="000000"/>
        </w:rPr>
        <w:t>  </w:t>
      </w:r>
    </w:p>
    <w:p w14:paraId="59D22270" w14:textId="77777777" w:rsidR="00C1765C" w:rsidRPr="00820C89" w:rsidRDefault="00C1765C" w:rsidP="00C1765C">
      <w:pPr>
        <w:rPr>
          <w:rFonts w:eastAsia="Verdana" w:cs="Segoe UI"/>
          <w:b/>
        </w:rPr>
      </w:pPr>
      <w:r w:rsidRPr="00820C89">
        <w:rPr>
          <w:rFonts w:eastAsia="Verdana" w:cs="Segoe UI"/>
        </w:rPr>
        <w:lastRenderedPageBreak/>
        <w:t xml:space="preserve">For any other enquiries, you may contact Deloitte at </w:t>
      </w:r>
      <w:hyperlink r:id="rId123" w:history="1">
        <w:r w:rsidRPr="00820C89">
          <w:rPr>
            <w:rFonts w:eastAsia="Verdana" w:cs="Segoe UI"/>
            <w:b/>
            <w:color w:val="00A3E0"/>
            <w:u w:val="single"/>
          </w:rPr>
          <w:t>privacy@deloitte.com.au</w:t>
        </w:r>
      </w:hyperlink>
    </w:p>
    <w:p w14:paraId="6D7FFCC0" w14:textId="77777777" w:rsidR="00C1765C" w:rsidRPr="00820C89" w:rsidRDefault="00C1765C" w:rsidP="00C1765C">
      <w:pPr>
        <w:spacing w:after="0"/>
        <w:rPr>
          <w:rFonts w:eastAsia="Verdana" w:cs="Times New Roman"/>
        </w:rPr>
      </w:pPr>
      <w:r w:rsidRPr="00820C89">
        <w:rPr>
          <w:rFonts w:eastAsia="Verdana" w:cs="Times New Roman"/>
          <w:b/>
        </w:rPr>
        <w:t>How we will protect your information</w:t>
      </w:r>
    </w:p>
    <w:p w14:paraId="62103853" w14:textId="77777777" w:rsidR="00C1765C" w:rsidRPr="00820C89" w:rsidRDefault="00C1765C" w:rsidP="00C1765C">
      <w:pPr>
        <w:rPr>
          <w:rFonts w:eastAsia="Verdana" w:cs="Times New Roman"/>
        </w:rPr>
      </w:pPr>
      <w:r w:rsidRPr="00820C89">
        <w:rPr>
          <w:rFonts w:eastAsia="Verdana" w:cs="Times New Roman"/>
        </w:rPr>
        <w:t xml:space="preserve">With your consent, we will be digitally recording parts of the consultations, with these recordings transcribed through internal services within Deloitte. We will also take notes to support the accurate collection of information. We will record names and site location on our notes that will be securely stored (hard copy) or in a secure computer file requiring password access (digital). </w:t>
      </w:r>
    </w:p>
    <w:p w14:paraId="234DBB9E" w14:textId="77777777" w:rsidR="00C1765C" w:rsidRPr="00820C89" w:rsidRDefault="00C1765C" w:rsidP="00C1765C">
      <w:pPr>
        <w:rPr>
          <w:rFonts w:eastAsia="Verdana" w:cs="Times New Roman"/>
        </w:rPr>
      </w:pPr>
      <w:r w:rsidRPr="00820C89">
        <w:rPr>
          <w:rFonts w:eastAsia="Verdana" w:cs="Times New Roman"/>
        </w:rPr>
        <w:t xml:space="preserve">The purpose of recording the consultations is to ensure that we use the most accurate record of our consultations available, and to undertake analysis of consultation notes in bulk. </w:t>
      </w:r>
    </w:p>
    <w:p w14:paraId="782372B6" w14:textId="77777777" w:rsidR="00C1765C" w:rsidRPr="00820C89" w:rsidRDefault="00C1765C" w:rsidP="00C1765C">
      <w:pPr>
        <w:rPr>
          <w:rFonts w:eastAsia="Verdana" w:cs="Times New Roman"/>
        </w:rPr>
      </w:pPr>
      <w:r w:rsidRPr="00820C89">
        <w:rPr>
          <w:rFonts w:eastAsia="Verdana" w:cs="Times New Roman"/>
        </w:rPr>
        <w:t xml:space="preserve">We will never reveal your name or your personal details. Due to the nature of this analysis, we may provide the name of your region and administrative area to the Department. Any summary consultations content, or direct quotations from the consultations that are made available to the Department will be anonymised, and we will take utmost care to ensure that other information in the consultation that could identify yourself is not revealed. However, we cannot guarantee that your opinions will not be identified (e.g. by your colleagues). </w:t>
      </w:r>
    </w:p>
    <w:p w14:paraId="02F4B9EA" w14:textId="77777777" w:rsidR="00C1765C" w:rsidRPr="00820C89" w:rsidRDefault="00C1765C" w:rsidP="00C1765C">
      <w:pPr>
        <w:rPr>
          <w:rFonts w:eastAsia="Verdana" w:cs="Times New Roman"/>
        </w:rPr>
      </w:pPr>
      <w:r w:rsidRPr="00820C89">
        <w:rPr>
          <w:rFonts w:eastAsia="Verdana" w:cs="Times New Roman"/>
        </w:rPr>
        <w:t xml:space="preserve">Any personal information that is provided to Deloitte Access Economics, such as name and contact details, will be destroyed following the completion of the project with the Department. </w:t>
      </w:r>
    </w:p>
    <w:p w14:paraId="018CFAFC" w14:textId="77777777" w:rsidR="00C1765C" w:rsidRPr="00820C89" w:rsidRDefault="00C1765C" w:rsidP="00C1765C">
      <w:pPr>
        <w:rPr>
          <w:rFonts w:eastAsia="Verdana" w:cs="Times New Roman"/>
        </w:rPr>
      </w:pPr>
      <w:r w:rsidRPr="00820C89">
        <w:rPr>
          <w:rFonts w:eastAsia="Verdana" w:cs="Times New Roman"/>
        </w:rPr>
        <w:t xml:space="preserve">Other material relating to the project including sound recordings and transcripts will be destroyed after seven years. </w:t>
      </w:r>
    </w:p>
    <w:p w14:paraId="18855923" w14:textId="77777777" w:rsidR="00C1765C" w:rsidRPr="00820C89" w:rsidRDefault="00C1765C" w:rsidP="00C1765C">
      <w:pPr>
        <w:rPr>
          <w:rFonts w:eastAsia="Verdana" w:cs="Times New Roman"/>
        </w:rPr>
      </w:pPr>
      <w:r w:rsidRPr="00820C89">
        <w:rPr>
          <w:rFonts w:eastAsia="Verdana" w:cs="Times New Roman"/>
        </w:rPr>
        <w:t>Individual notes from the consultations or transcripts of the recorded sections of the interviews can be provided upon request.</w:t>
      </w:r>
    </w:p>
    <w:p w14:paraId="4EB9580B" w14:textId="77777777" w:rsidR="00C1765C" w:rsidRPr="00820C89" w:rsidRDefault="00C1765C" w:rsidP="00C1765C">
      <w:pPr>
        <w:spacing w:after="0"/>
        <w:rPr>
          <w:rFonts w:eastAsia="Verdana" w:cs="Times New Roman"/>
        </w:rPr>
      </w:pPr>
      <w:r w:rsidRPr="00820C89">
        <w:rPr>
          <w:rFonts w:eastAsia="Verdana" w:cs="Times New Roman"/>
          <w:b/>
        </w:rPr>
        <w:t>Questions</w:t>
      </w:r>
    </w:p>
    <w:p w14:paraId="64B13BFD" w14:textId="55B7CEBA" w:rsidR="00C1765C" w:rsidRPr="00820C89" w:rsidRDefault="00C1765C" w:rsidP="00C1765C">
      <w:pPr>
        <w:rPr>
          <w:rFonts w:eastAsia="Verdana" w:cs="Times New Roman"/>
          <w:lang w:eastAsia="zh-CN"/>
        </w:rPr>
      </w:pPr>
      <w:r w:rsidRPr="00820C89">
        <w:rPr>
          <w:rFonts w:eastAsia="Verdana" w:cs="Times New Roman"/>
          <w:lang w:eastAsia="zh-CN"/>
        </w:rPr>
        <w:t xml:space="preserve">For all other general enquiries about the IEP evaluation, please contact NIAA’s evaluation team at </w:t>
      </w:r>
      <w:hyperlink r:id="rId124" w:history="1">
        <w:r w:rsidRPr="00820C89">
          <w:rPr>
            <w:rFonts w:eastAsia="Verdana" w:cs="Times New Roman"/>
            <w:color w:val="00A3E0"/>
            <w:u w:val="single"/>
          </w:rPr>
          <w:t>IEPevaluation@deloitte.com.au</w:t>
        </w:r>
      </w:hyperlink>
      <w:r w:rsidRPr="00820C89">
        <w:rPr>
          <w:rFonts w:eastAsia="Verdana" w:cs="Times New Roman"/>
        </w:rPr>
        <w:t xml:space="preserve"> </w:t>
      </w:r>
    </w:p>
    <w:p w14:paraId="7E574088" w14:textId="77777777" w:rsidR="00C1765C" w:rsidRPr="00820C89" w:rsidRDefault="00C1765C" w:rsidP="00C1765C">
      <w:pPr>
        <w:keepNext/>
        <w:keepLines/>
        <w:spacing w:before="240" w:after="0" w:line="280" w:lineRule="atLeast"/>
        <w:outlineLvl w:val="1"/>
        <w:rPr>
          <w:rFonts w:eastAsia="MingLiU" w:cs="Times New Roman"/>
          <w:b/>
          <w:bCs/>
          <w:color w:val="62B5E5"/>
          <w:szCs w:val="26"/>
        </w:rPr>
      </w:pPr>
      <w:r w:rsidRPr="00820C89">
        <w:rPr>
          <w:rFonts w:eastAsia="MingLiU" w:cs="Times New Roman"/>
          <w:b/>
          <w:bCs/>
          <w:color w:val="62B5E5"/>
          <w:szCs w:val="26"/>
        </w:rPr>
        <w:br w:type="page"/>
      </w:r>
    </w:p>
    <w:p w14:paraId="7453A99F"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lastRenderedPageBreak/>
        <w:t>CONSENT FORM FOR ____________________</w:t>
      </w:r>
    </w:p>
    <w:p w14:paraId="489F41A8"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 TITLE: Indigenous Employment Programs Evaluation</w:t>
      </w:r>
    </w:p>
    <w:p w14:paraId="20A69E7A"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RESEARCHERS: Deloitte Access Economics</w:t>
      </w:r>
    </w:p>
    <w:p w14:paraId="331A7CFF" w14:textId="77777777" w:rsidR="00C1765C" w:rsidRPr="00820C89" w:rsidRDefault="00C1765C" w:rsidP="00C1765C">
      <w:pPr>
        <w:rPr>
          <w:rFonts w:eastAsia="Verdana" w:cs="Times New Roman"/>
          <w:i/>
        </w:rPr>
      </w:pPr>
      <w:r w:rsidRPr="00820C89">
        <w:rPr>
          <w:rFonts w:eastAsia="Verdana" w:cs="Times New Roman"/>
        </w:rPr>
        <w:t xml:space="preserve">Deloitte Access Economics have given me information about the </w:t>
      </w:r>
      <w:r w:rsidRPr="00820C89">
        <w:rPr>
          <w:rFonts w:eastAsia="Verdana" w:cs="Times New Roman"/>
          <w:i/>
        </w:rPr>
        <w:t>Indigenous Employment Programs Evaluation.</w:t>
      </w:r>
    </w:p>
    <w:p w14:paraId="1A3A11D7" w14:textId="77777777" w:rsidR="00C1765C" w:rsidRPr="00820C89" w:rsidRDefault="00C1765C" w:rsidP="00C1765C">
      <w:pPr>
        <w:rPr>
          <w:rFonts w:eastAsia="Verdana" w:cs="Times New Roman"/>
          <w:iCs/>
        </w:rPr>
      </w:pPr>
      <w:r w:rsidRPr="00820C89">
        <w:rPr>
          <w:rFonts w:eastAsia="Verdana" w:cs="Times New Roman"/>
          <w:iCs/>
        </w:rPr>
        <w:t>I voluntarily consent to my participation in the evaluation and in doing so acknowledge that the details regarding the evaluation and my involvement have been explained to me.</w:t>
      </w:r>
    </w:p>
    <w:p w14:paraId="40CB185B" w14:textId="77777777" w:rsidR="00C1765C" w:rsidRPr="00820C89" w:rsidRDefault="00C1765C" w:rsidP="00C1765C">
      <w:pPr>
        <w:rPr>
          <w:rFonts w:eastAsia="Verdana" w:cs="Times New Roman"/>
          <w:b/>
          <w:bCs/>
          <w:iCs/>
        </w:rPr>
      </w:pPr>
      <w:r w:rsidRPr="00820C89">
        <w:rPr>
          <w:rFonts w:eastAsia="Verdana" w:cs="Times New Roman"/>
          <w:b/>
          <w:bCs/>
          <w:iCs/>
        </w:rPr>
        <w:br/>
        <w:t>I confirm that I:</w:t>
      </w:r>
    </w:p>
    <w:p w14:paraId="4A723E30"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received the Participant Information Sheet</w:t>
      </w:r>
    </w:p>
    <w:p w14:paraId="1BC89D31"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have read, or had someone read to me in a language I understand, the Participant Information Sheet</w:t>
      </w:r>
    </w:p>
    <w:p w14:paraId="7A432DE6"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understand all information included in the Participant Information Sheet.</w:t>
      </w:r>
    </w:p>
    <w:p w14:paraId="7E44CD3B" w14:textId="77777777" w:rsidR="00C1765C" w:rsidRPr="00820C89" w:rsidRDefault="00C1765C" w:rsidP="00C1765C">
      <w:pPr>
        <w:pStyle w:val="ListParagraph"/>
        <w:ind w:left="284"/>
        <w:rPr>
          <w:rFonts w:eastAsia="Verdana" w:cs="Times New Roman"/>
          <w:szCs w:val="17"/>
        </w:rPr>
      </w:pPr>
    </w:p>
    <w:p w14:paraId="30825A3A" w14:textId="77777777" w:rsidR="00C1765C" w:rsidRPr="00820C89" w:rsidRDefault="00C1765C" w:rsidP="00C1765C">
      <w:pPr>
        <w:rPr>
          <w:rFonts w:eastAsia="Verdana" w:cs="Times New Roman"/>
          <w:b/>
          <w:bCs/>
        </w:rPr>
      </w:pPr>
      <w:r w:rsidRPr="00820C89">
        <w:rPr>
          <w:rFonts w:eastAsia="Verdana" w:cs="Times New Roman"/>
          <w:b/>
          <w:bCs/>
        </w:rPr>
        <w:t>In accordance with this Participant Information sheet, I understand:</w:t>
      </w:r>
    </w:p>
    <w:p w14:paraId="13CC3E69"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what this project is about</w:t>
      </w:r>
    </w:p>
    <w:p w14:paraId="1D8305BB"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participating in an interview will assist the research team in evaluating the effectiveness of the Indigenous Employment Programs</w:t>
      </w:r>
    </w:p>
    <w:p w14:paraId="467FAAA1"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my information will be analysed by the evaluation team and used to inform the findings of a report</w:t>
      </w:r>
    </w:p>
    <w:p w14:paraId="2AC1B835"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this evaluation will be completed in December 2020</w:t>
      </w:r>
    </w:p>
    <w:p w14:paraId="64C49B4C"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 have been provided contact details for the research team and am able to ask questions/lodge complaints regarding the evaluation and my participation at any time</w:t>
      </w:r>
    </w:p>
    <w:p w14:paraId="6586AED7" w14:textId="77777777" w:rsidR="00C1765C" w:rsidRPr="00820C89" w:rsidRDefault="00C1765C" w:rsidP="00715F70">
      <w:pPr>
        <w:pStyle w:val="ListParagraph"/>
        <w:numPr>
          <w:ilvl w:val="0"/>
          <w:numId w:val="186"/>
        </w:numPr>
        <w:spacing w:before="170" w:after="0"/>
        <w:rPr>
          <w:rFonts w:asciiTheme="minorHAnsi" w:hAnsiTheme="minorHAnsi"/>
          <w:sz w:val="22"/>
          <w:szCs w:val="22"/>
        </w:rPr>
      </w:pPr>
      <w:r w:rsidRPr="00820C89">
        <w:rPr>
          <w:rFonts w:eastAsia="Verdana" w:cs="Times New Roman"/>
          <w:szCs w:val="17"/>
        </w:rPr>
        <w:t>I am satisfied with the information I have received</w:t>
      </w:r>
    </w:p>
    <w:p w14:paraId="7AEE4E16" w14:textId="77777777" w:rsidR="00C1765C" w:rsidRPr="00820C89" w:rsidRDefault="00C1765C" w:rsidP="00715F70">
      <w:pPr>
        <w:pStyle w:val="ListParagraph"/>
        <w:numPr>
          <w:ilvl w:val="0"/>
          <w:numId w:val="186"/>
        </w:numPr>
        <w:spacing w:before="170" w:after="0"/>
        <w:rPr>
          <w:rFonts w:asciiTheme="minorHAnsi" w:hAnsiTheme="minorHAnsi"/>
          <w:sz w:val="22"/>
          <w:szCs w:val="22"/>
        </w:rPr>
      </w:pPr>
      <w:r w:rsidRPr="00820C89">
        <w:rPr>
          <w:rFonts w:eastAsia="Verdana" w:cs="Times New Roman"/>
          <w:b/>
          <w:bCs/>
          <w:szCs w:val="17"/>
        </w:rPr>
        <w:t>participation is voluntary</w:t>
      </w:r>
    </w:p>
    <w:p w14:paraId="233695FC"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b/>
          <w:bCs/>
          <w:szCs w:val="17"/>
        </w:rPr>
        <w:t>I am free to withdraw from the interview at any time</w:t>
      </w:r>
      <w:r w:rsidRPr="00820C89">
        <w:rPr>
          <w:rFonts w:eastAsia="Verdana" w:cs="Times New Roman"/>
          <w:szCs w:val="17"/>
        </w:rPr>
        <w:t xml:space="preserve"> and if I decide not to continue the interview after it has started, my information will not be used</w:t>
      </w:r>
    </w:p>
    <w:p w14:paraId="00249EEC"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what participation will involve, including the nature and expected length of interviews, when interviews will take place and the timeframe of this evaluation (as described in the Participant Information Sheet and contact made by Deloitte)</w:t>
      </w:r>
    </w:p>
    <w:p w14:paraId="17F163F5"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 will not be paid for participating in this evaluation</w:t>
      </w:r>
    </w:p>
    <w:p w14:paraId="22946588"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due to the potential risks of participating, I am able to include a support person in the interview and am able to contact the external support agencies listed on the Participant Information Sheet</w:t>
      </w:r>
    </w:p>
    <w:p w14:paraId="3207C4BE"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 xml:space="preserve">that the </w:t>
      </w:r>
      <w:r w:rsidRPr="00820C89">
        <w:rPr>
          <w:rFonts w:eastAsia="Verdana" w:cs="Times New Roman"/>
          <w:b/>
          <w:bCs/>
          <w:szCs w:val="17"/>
        </w:rPr>
        <w:t>information I provide will remain confidential</w:t>
      </w:r>
      <w:r w:rsidRPr="00820C89">
        <w:rPr>
          <w:rFonts w:eastAsia="Verdana" w:cs="Times New Roman"/>
          <w:szCs w:val="17"/>
        </w:rPr>
        <w:t xml:space="preserve"> and my name, contact details and organisation details will be collected for administrative purposes only. I have the right to access personal information. </w:t>
      </w:r>
      <w:r w:rsidRPr="00820C89">
        <w:rPr>
          <w:rFonts w:eastAsia="Verdana" w:cs="Times New Roman"/>
          <w:b/>
          <w:bCs/>
          <w:szCs w:val="17"/>
        </w:rPr>
        <w:t>Personal details, and any culturally sensitive information that is collected, will only be accessible to the research team</w:t>
      </w:r>
      <w:r w:rsidRPr="00820C89">
        <w:rPr>
          <w:rFonts w:eastAsia="Verdana" w:cs="Times New Roman"/>
          <w:szCs w:val="17"/>
        </w:rPr>
        <w:t xml:space="preserve"> and such information will be destroyed after the completion of this project.</w:t>
      </w:r>
    </w:p>
    <w:p w14:paraId="6F136AC3"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If I give consent for the interview to be recorded, these recordings will be kept on a secure server for seven years, only accessible to the evaluation team, for the purposes of this evaluation. This consent to be recorded can be withdrawn at any time and I have the right to access this recording.</w:t>
      </w:r>
    </w:p>
    <w:p w14:paraId="56F3AE74"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 xml:space="preserve">I am able to contact AIATSIS regarding any ethical concerns at </w:t>
      </w:r>
      <w:hyperlink r:id="rId125" w:history="1">
        <w:r w:rsidRPr="00820C89">
          <w:rPr>
            <w:rFonts w:eastAsia="Verdana" w:cs="Times New Roman"/>
            <w:color w:val="00A3E0"/>
            <w:szCs w:val="17"/>
            <w:u w:val="single"/>
          </w:rPr>
          <w:t>ethics@aiatsis.gov.au</w:t>
        </w:r>
      </w:hyperlink>
      <w:r w:rsidRPr="00820C89">
        <w:rPr>
          <w:rFonts w:eastAsia="Verdana" w:cs="Times New Roman"/>
          <w:szCs w:val="17"/>
        </w:rPr>
        <w:t xml:space="preserve">  </w:t>
      </w:r>
    </w:p>
    <w:p w14:paraId="655342A4" w14:textId="0464FCB7" w:rsidR="00C1765C" w:rsidRPr="004837A8" w:rsidRDefault="00C1765C" w:rsidP="00C1765C">
      <w:pPr>
        <w:pStyle w:val="ListParagraph"/>
        <w:numPr>
          <w:ilvl w:val="0"/>
          <w:numId w:val="186"/>
        </w:numPr>
        <w:spacing w:before="170" w:after="0"/>
        <w:rPr>
          <w:rFonts w:eastAsia="Verdana" w:cs="Times New Roman"/>
          <w:color w:val="00A3E0"/>
          <w:szCs w:val="17"/>
          <w:u w:val="single"/>
        </w:rPr>
      </w:pPr>
      <w:r w:rsidRPr="00820C89">
        <w:rPr>
          <w:rFonts w:eastAsia="Verdana" w:cs="Times New Roman"/>
          <w:szCs w:val="17"/>
        </w:rPr>
        <w:t xml:space="preserve">If I have any questions, concerns or complaints I can contact the evaluation team at </w:t>
      </w:r>
      <w:hyperlink r:id="rId126" w:history="1">
        <w:r w:rsidRPr="00820C89">
          <w:rPr>
            <w:rFonts w:eastAsia="Verdana" w:cs="Times New Roman"/>
            <w:color w:val="00A3E0"/>
            <w:szCs w:val="17"/>
            <w:u w:val="single"/>
          </w:rPr>
          <w:t>IEPevaluation@deloitte.com.au</w:t>
        </w:r>
      </w:hyperlink>
      <w:r w:rsidRPr="00820C89">
        <w:rPr>
          <w:rFonts w:eastAsia="Verdana" w:cs="Times New Roman"/>
          <w:color w:val="00A3E0"/>
          <w:szCs w:val="17"/>
          <w:u w:val="single"/>
        </w:rPr>
        <w:t>.</w:t>
      </w:r>
    </w:p>
    <w:p w14:paraId="463069F7" w14:textId="663836DA" w:rsidR="004837A8" w:rsidRDefault="004837A8">
      <w:pPr>
        <w:spacing w:after="0"/>
        <w:rPr>
          <w:rFonts w:eastAsia="Verdana" w:cs="Times New Roman"/>
          <w:b/>
          <w:bCs/>
        </w:rPr>
      </w:pPr>
      <w:r>
        <w:rPr>
          <w:rFonts w:eastAsia="Verdana" w:cs="Times New Roman"/>
          <w:b/>
          <w:bCs/>
        </w:rPr>
        <w:br w:type="page"/>
      </w:r>
    </w:p>
    <w:p w14:paraId="4A5E0125" w14:textId="77777777" w:rsidR="00C1765C" w:rsidRPr="00820C89" w:rsidRDefault="00C1765C" w:rsidP="00C1765C">
      <w:pPr>
        <w:rPr>
          <w:rFonts w:eastAsia="Verdana" w:cs="Times New Roman"/>
          <w:b/>
          <w:bCs/>
        </w:rPr>
      </w:pPr>
      <w:r w:rsidRPr="00820C89">
        <w:rPr>
          <w:rFonts w:eastAsia="Verdana" w:cs="Times New Roman"/>
          <w:b/>
          <w:bCs/>
        </w:rPr>
        <w:lastRenderedPageBreak/>
        <w:t>To be completed:</w:t>
      </w:r>
    </w:p>
    <w:p w14:paraId="135ECF2C" w14:textId="77777777" w:rsidR="00C1765C" w:rsidRPr="00820C89" w:rsidRDefault="00C1765C" w:rsidP="00C1765C">
      <w:pPr>
        <w:rPr>
          <w:rFonts w:eastAsia="Verdana" w:cs="Times New Roman"/>
        </w:rPr>
      </w:pPr>
      <w:r w:rsidRPr="00820C89">
        <w:rPr>
          <w:rFonts w:eastAsia="Verdana" w:cs="Times New Roman"/>
        </w:rPr>
        <w:t>I consent to the interview being recorded    Yes / No  (please circle)</w:t>
      </w:r>
    </w:p>
    <w:p w14:paraId="373E7F96" w14:textId="77777777" w:rsidR="00C1765C" w:rsidRPr="00820C89" w:rsidRDefault="00C1765C" w:rsidP="00C1765C">
      <w:pPr>
        <w:ind w:left="720"/>
        <w:rPr>
          <w:rFonts w:eastAsia="Verdana" w:cs="Arial"/>
        </w:rPr>
      </w:pPr>
      <w:r w:rsidRPr="00820C89">
        <w:rPr>
          <w:rFonts w:eastAsia="Verdana" w:cs="Arial"/>
          <w:noProof/>
          <w:lang w:eastAsia="en-AU"/>
        </w:rPr>
        <mc:AlternateContent>
          <mc:Choice Requires="wps">
            <w:drawing>
              <wp:anchor distT="0" distB="0" distL="114300" distR="114300" simplePos="0" relativeHeight="251658279" behindDoc="0" locked="0" layoutInCell="1" allowOverlap="1" wp14:anchorId="07C73A6D" wp14:editId="67DF182C">
                <wp:simplePos x="0" y="0"/>
                <wp:positionH relativeFrom="column">
                  <wp:posOffset>-36576</wp:posOffset>
                </wp:positionH>
                <wp:positionV relativeFrom="paragraph">
                  <wp:posOffset>184455</wp:posOffset>
                </wp:positionV>
                <wp:extent cx="5876925" cy="1236269"/>
                <wp:effectExtent l="0" t="0" r="28575" b="21590"/>
                <wp:wrapNone/>
                <wp:docPr id="43" name="Rectangle 43"/>
                <wp:cNvGraphicFramePr/>
                <a:graphic xmlns:a="http://schemas.openxmlformats.org/drawingml/2006/main">
                  <a:graphicData uri="http://schemas.microsoft.com/office/word/2010/wordprocessingShape">
                    <wps:wsp>
                      <wps:cNvSpPr/>
                      <wps:spPr>
                        <a:xfrm>
                          <a:off x="0" y="0"/>
                          <a:ext cx="5876925" cy="1236269"/>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ADCF7" id="Rectangle 43" o:spid="_x0000_s1026" style="position:absolute;margin-left:-2.9pt;margin-top:14.5pt;width:462.75pt;height:97.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" filled="f" strokeweight="2pt"/>
            </w:pict>
          </mc:Fallback>
        </mc:AlternateContent>
      </w:r>
    </w:p>
    <w:p w14:paraId="73B16499" w14:textId="77777777" w:rsidR="00C1765C" w:rsidRPr="00820C89" w:rsidRDefault="00C1765C" w:rsidP="00C1765C">
      <w:pPr>
        <w:rPr>
          <w:rFonts w:eastAsia="Verdana" w:cs="Times New Roman"/>
          <w:i/>
        </w:rPr>
      </w:pPr>
      <w:r w:rsidRPr="00820C89">
        <w:rPr>
          <w:rFonts w:eastAsia="Verdana" w:cs="Times New Roman"/>
          <w:i/>
        </w:rPr>
        <w:t>Consent to participate in the interview</w:t>
      </w:r>
    </w:p>
    <w:p w14:paraId="776D29E1" w14:textId="77777777" w:rsidR="00C1765C" w:rsidRPr="00820C89" w:rsidRDefault="00C1765C" w:rsidP="00C1765C">
      <w:pPr>
        <w:rPr>
          <w:rFonts w:eastAsia="Verdana" w:cs="Arial"/>
        </w:rPr>
      </w:pPr>
      <w:r w:rsidRPr="00820C89">
        <w:rPr>
          <w:rFonts w:eastAsia="Verdana" w:cs="Arial"/>
        </w:rPr>
        <w:t>NAME OF PARTICIPANT: _________________________________________________________</w:t>
      </w:r>
    </w:p>
    <w:p w14:paraId="31EC96F3" w14:textId="77777777" w:rsidR="00C1765C" w:rsidRPr="00820C89" w:rsidRDefault="00C1765C" w:rsidP="00C1765C">
      <w:pPr>
        <w:rPr>
          <w:rFonts w:eastAsia="Verdana" w:cs="Arial"/>
        </w:rPr>
      </w:pPr>
    </w:p>
    <w:p w14:paraId="5C67A5A4" w14:textId="77777777" w:rsidR="00C1765C" w:rsidRPr="00820C89" w:rsidRDefault="00C1765C" w:rsidP="00C1765C">
      <w:pPr>
        <w:rPr>
          <w:rFonts w:eastAsia="Verdana" w:cs="Arial"/>
        </w:rPr>
      </w:pPr>
      <w:r w:rsidRPr="00820C89">
        <w:rPr>
          <w:rFonts w:eastAsia="Verdana" w:cs="Arial"/>
        </w:rPr>
        <w:t>SIGNATURE OF PARTICIPANT: ________________________</w:t>
      </w:r>
      <w:r w:rsidRPr="00820C89">
        <w:rPr>
          <w:rFonts w:eastAsia="Verdana" w:cs="Arial"/>
        </w:rPr>
        <w:tab/>
        <w:t xml:space="preserve">DATE: </w:t>
      </w:r>
      <w:r w:rsidRPr="00820C89">
        <w:rPr>
          <w:rFonts w:eastAsia="Verdana" w:cs="Times New Roman"/>
        </w:rPr>
        <w:t>....../....../.....</w:t>
      </w:r>
    </w:p>
    <w:p w14:paraId="0F4A7BB8" w14:textId="77777777" w:rsidR="00C1765C" w:rsidRPr="00820C89" w:rsidRDefault="00C1765C" w:rsidP="00C1765C">
      <w:pPr>
        <w:rPr>
          <w:rFonts w:eastAsia="Verdana" w:cs="Times New Roman"/>
          <w:i/>
        </w:rPr>
      </w:pPr>
    </w:p>
    <w:p w14:paraId="3778EDFA" w14:textId="77777777" w:rsidR="00C1765C" w:rsidRPr="00820C89" w:rsidRDefault="00C1765C" w:rsidP="00C1765C">
      <w:pPr>
        <w:rPr>
          <w:rFonts w:eastAsia="Verdana" w:cs="Times New Roman"/>
        </w:rPr>
      </w:pPr>
    </w:p>
    <w:p w14:paraId="354E6923" w14:textId="77777777" w:rsidR="00C1765C" w:rsidRPr="00820C89" w:rsidRDefault="00C1765C" w:rsidP="00C1765C">
      <w:pPr>
        <w:pBdr>
          <w:bottom w:val="single" w:sz="4" w:space="1" w:color="auto"/>
        </w:pBdr>
        <w:rPr>
          <w:rFonts w:eastAsia="Verdana" w:cs="Times New Roman"/>
        </w:rPr>
      </w:pPr>
    </w:p>
    <w:p w14:paraId="1C242AF9" w14:textId="77777777" w:rsidR="00C1765C" w:rsidRPr="00820C89" w:rsidRDefault="00C1765C" w:rsidP="00C1765C">
      <w:pPr>
        <w:rPr>
          <w:rFonts w:eastAsia="Verdana" w:cs="Times New Roman"/>
          <w:color w:val="44546A"/>
        </w:rPr>
      </w:pPr>
      <w:r w:rsidRPr="00820C89">
        <w:rPr>
          <w:rFonts w:eastAsia="Verdana" w:cs="Times New Roman"/>
          <w:color w:val="44546A"/>
        </w:rPr>
        <w:t>DELOITTE ACCESS ECONOMICS USE ONLY</w:t>
      </w:r>
    </w:p>
    <w:p w14:paraId="32916255" w14:textId="77777777" w:rsidR="00C1765C" w:rsidRPr="00820C89" w:rsidRDefault="00C1765C" w:rsidP="00C1765C">
      <w:pPr>
        <w:rPr>
          <w:rFonts w:eastAsia="Verdana" w:cs="Times New Roman"/>
          <w:color w:val="44546A"/>
        </w:rPr>
      </w:pPr>
      <w:r w:rsidRPr="00820C89">
        <w:rPr>
          <w:rFonts w:eastAsia="Verdana" w:cs="Times New Roman"/>
          <w:color w:val="44546A"/>
        </w:rPr>
        <w:t>I, the researcher, have described the details on the Participant Information Sheet to the interviewee and believe he/she has understood and agreed to it.</w:t>
      </w:r>
    </w:p>
    <w:p w14:paraId="0E76227C" w14:textId="77777777" w:rsidR="00C1765C" w:rsidRPr="00820C89" w:rsidRDefault="00C1765C" w:rsidP="00C1765C">
      <w:pPr>
        <w:rPr>
          <w:rFonts w:eastAsia="Verdana" w:cs="Times New Roman"/>
          <w:color w:val="44546A"/>
        </w:rPr>
      </w:pPr>
      <w:r w:rsidRPr="00820C89">
        <w:rPr>
          <w:rFonts w:eastAsia="Verdana" w:cs="Times New Roman"/>
          <w:color w:val="44546A"/>
        </w:rPr>
        <w:t>Name:</w:t>
      </w:r>
    </w:p>
    <w:p w14:paraId="6515AD16" w14:textId="77777777" w:rsidR="00C1765C" w:rsidRPr="00820C89" w:rsidRDefault="00C1765C" w:rsidP="00C1765C">
      <w:pPr>
        <w:rPr>
          <w:rFonts w:eastAsia="Verdana" w:cs="Times New Roman"/>
          <w:color w:val="44546A"/>
        </w:rPr>
      </w:pPr>
      <w:r w:rsidRPr="00820C89">
        <w:rPr>
          <w:rFonts w:eastAsia="Verdana" w:cs="Times New Roman"/>
          <w:color w:val="44546A"/>
        </w:rPr>
        <w:t>Signature:</w:t>
      </w:r>
    </w:p>
    <w:p w14:paraId="0B9E0E1F" w14:textId="728C2DD1" w:rsidR="00AD6D8D" w:rsidRDefault="00C1765C" w:rsidP="00C1765C">
      <w:pPr>
        <w:rPr>
          <w:rFonts w:eastAsia="Verdana" w:cs="Times New Roman"/>
          <w:color w:val="44546A"/>
        </w:rPr>
      </w:pPr>
      <w:r w:rsidRPr="00820C89">
        <w:rPr>
          <w:rFonts w:eastAsia="Verdana" w:cs="Times New Roman"/>
          <w:color w:val="44546A"/>
        </w:rPr>
        <w:t>Date:</w:t>
      </w:r>
    </w:p>
    <w:p w14:paraId="06C69BD9" w14:textId="77777777" w:rsidR="00AD6D8D" w:rsidRDefault="00AD6D8D">
      <w:pPr>
        <w:spacing w:after="0"/>
        <w:rPr>
          <w:rFonts w:eastAsia="Verdana" w:cs="Times New Roman"/>
          <w:color w:val="44546A"/>
        </w:rPr>
      </w:pPr>
      <w:r>
        <w:rPr>
          <w:rFonts w:eastAsia="Verdana" w:cs="Times New Roman"/>
          <w:color w:val="44546A"/>
        </w:rPr>
        <w:br w:type="page"/>
      </w:r>
    </w:p>
    <w:p w14:paraId="6DDAD339" w14:textId="77777777" w:rsidR="00C1765C" w:rsidRPr="00820C89" w:rsidRDefault="00C1765C" w:rsidP="00C1765C">
      <w:pPr>
        <w:pStyle w:val="Heading2un-numbered"/>
      </w:pPr>
      <w:bookmarkStart w:id="544" w:name="_Toc82694527"/>
      <w:bookmarkStart w:id="545" w:name="_Toc82710824"/>
      <w:bookmarkStart w:id="546" w:name="_Toc101343351"/>
      <w:r w:rsidRPr="00820C89">
        <w:lastRenderedPageBreak/>
        <w:t>State and territory government semi-structured interview questions</w:t>
      </w:r>
      <w:bookmarkEnd w:id="542"/>
      <w:bookmarkEnd w:id="543"/>
      <w:bookmarkEnd w:id="544"/>
      <w:bookmarkEnd w:id="545"/>
      <w:bookmarkEnd w:id="546"/>
      <w:r w:rsidRPr="00820C89">
        <w:t xml:space="preserve"> </w:t>
      </w:r>
    </w:p>
    <w:p w14:paraId="7EE62265" w14:textId="77777777" w:rsidR="00C1765C" w:rsidRPr="00820C89" w:rsidRDefault="00C1765C" w:rsidP="00C1765C">
      <w:pPr>
        <w:rPr>
          <w:b/>
        </w:rPr>
      </w:pPr>
      <w:r w:rsidRPr="00820C89">
        <w:rPr>
          <w:b/>
        </w:rPr>
        <w:t xml:space="preserve">Background </w:t>
      </w:r>
    </w:p>
    <w:p w14:paraId="5DC28416" w14:textId="77777777" w:rsidR="00C1765C" w:rsidRPr="00820C89" w:rsidRDefault="00C1765C" w:rsidP="00715F70">
      <w:pPr>
        <w:pStyle w:val="ListParagraph"/>
        <w:numPr>
          <w:ilvl w:val="0"/>
          <w:numId w:val="159"/>
        </w:numPr>
        <w:spacing w:after="160" w:line="259" w:lineRule="auto"/>
      </w:pPr>
      <w:r w:rsidRPr="00820C89">
        <w:t>In order to best understand your perspective, I’d like to get to know you a bit better.</w:t>
      </w:r>
    </w:p>
    <w:p w14:paraId="0A522287" w14:textId="77777777" w:rsidR="00C1765C" w:rsidRPr="00820C89" w:rsidRDefault="00C1765C" w:rsidP="00715F70">
      <w:pPr>
        <w:pStyle w:val="ListParagraph"/>
        <w:numPr>
          <w:ilvl w:val="0"/>
          <w:numId w:val="170"/>
        </w:numPr>
        <w:spacing w:after="160" w:line="259" w:lineRule="auto"/>
      </w:pPr>
      <w:r w:rsidRPr="00820C89">
        <w:t xml:space="preserve">What can you tell me about your role within the Department, and how this relates to Indigenous employment? </w:t>
      </w:r>
    </w:p>
    <w:p w14:paraId="0C03430D" w14:textId="77777777" w:rsidR="00C1765C" w:rsidRPr="00820C89" w:rsidRDefault="00C1765C" w:rsidP="00715F70">
      <w:pPr>
        <w:pStyle w:val="ListParagraph"/>
        <w:numPr>
          <w:ilvl w:val="0"/>
          <w:numId w:val="170"/>
        </w:numPr>
        <w:spacing w:after="160" w:line="259" w:lineRule="auto"/>
      </w:pPr>
      <w:r w:rsidRPr="00820C89">
        <w:t>What can you tell me about your experiences with the TAEG, VTEC and EPI programs or other employment programs / service providers more broadly?</w:t>
      </w:r>
    </w:p>
    <w:p w14:paraId="7430116D" w14:textId="77777777" w:rsidR="00C1765C" w:rsidRPr="00820C89" w:rsidRDefault="00C1765C" w:rsidP="00C1765C">
      <w:pPr>
        <w:rPr>
          <w:b/>
        </w:rPr>
      </w:pPr>
      <w:r w:rsidRPr="00820C89">
        <w:rPr>
          <w:b/>
        </w:rPr>
        <w:t>Delivery</w:t>
      </w:r>
    </w:p>
    <w:p w14:paraId="73197C47" w14:textId="77777777" w:rsidR="00C1765C" w:rsidRPr="00820C89" w:rsidRDefault="00C1765C" w:rsidP="00715F70">
      <w:pPr>
        <w:pStyle w:val="ListParagraph"/>
        <w:numPr>
          <w:ilvl w:val="0"/>
          <w:numId w:val="159"/>
        </w:numPr>
        <w:spacing w:after="160" w:line="259" w:lineRule="auto"/>
        <w:rPr>
          <w:b/>
        </w:rPr>
      </w:pPr>
      <w:r w:rsidRPr="00820C89">
        <w:t xml:space="preserve">In your experience, what are the unique Indigenous employment policy challenges that are present in your state/territory? </w:t>
      </w:r>
    </w:p>
    <w:p w14:paraId="33C1AF66" w14:textId="77777777" w:rsidR="00C1765C" w:rsidRPr="00820C89" w:rsidRDefault="00C1765C" w:rsidP="00C1765C">
      <w:pPr>
        <w:rPr>
          <w:b/>
        </w:rPr>
      </w:pPr>
      <w:r w:rsidRPr="00820C89">
        <w:rPr>
          <w:b/>
        </w:rPr>
        <w:t>Policy / program landscape &amp; collaborative design</w:t>
      </w:r>
    </w:p>
    <w:p w14:paraId="28729C6B" w14:textId="77777777" w:rsidR="00C1765C" w:rsidRPr="00820C89" w:rsidRDefault="00C1765C" w:rsidP="00715F70">
      <w:pPr>
        <w:pStyle w:val="ListParagraph"/>
        <w:numPr>
          <w:ilvl w:val="0"/>
          <w:numId w:val="159"/>
        </w:numPr>
        <w:spacing w:after="160" w:line="259" w:lineRule="auto"/>
        <w:rPr>
          <w:b/>
        </w:rPr>
      </w:pPr>
      <w:r w:rsidRPr="00820C89">
        <w:t>What can you tell me about the Indigenous employment programs in your state/territory?</w:t>
      </w:r>
    </w:p>
    <w:p w14:paraId="4FE78FD5" w14:textId="77777777" w:rsidR="00C1765C" w:rsidRPr="00820C89" w:rsidRDefault="00C1765C" w:rsidP="00715F70">
      <w:pPr>
        <w:pStyle w:val="ListParagraph"/>
        <w:numPr>
          <w:ilvl w:val="1"/>
          <w:numId w:val="128"/>
        </w:numPr>
        <w:spacing w:after="160" w:line="259" w:lineRule="auto"/>
        <w:rPr>
          <w:b/>
        </w:rPr>
      </w:pPr>
      <w:r w:rsidRPr="00820C89">
        <w:t>What kinds of programs are there?</w:t>
      </w:r>
    </w:p>
    <w:p w14:paraId="0185CBDA" w14:textId="77777777" w:rsidR="00C1765C" w:rsidRPr="00820C89" w:rsidRDefault="00C1765C" w:rsidP="00715F70">
      <w:pPr>
        <w:pStyle w:val="ListParagraph"/>
        <w:numPr>
          <w:ilvl w:val="1"/>
          <w:numId w:val="128"/>
        </w:numPr>
        <w:spacing w:after="160" w:line="259" w:lineRule="auto"/>
        <w:rPr>
          <w:b/>
        </w:rPr>
      </w:pPr>
      <w:r w:rsidRPr="00820C89">
        <w:t>What programs are the most/least active?</w:t>
      </w:r>
    </w:p>
    <w:p w14:paraId="04EA2C23" w14:textId="77777777" w:rsidR="00C1765C" w:rsidRPr="00820C89" w:rsidRDefault="00C1765C" w:rsidP="00715F70">
      <w:pPr>
        <w:pStyle w:val="ListParagraph"/>
        <w:numPr>
          <w:ilvl w:val="1"/>
          <w:numId w:val="128"/>
        </w:numPr>
        <w:spacing w:after="160" w:line="259" w:lineRule="auto"/>
        <w:rPr>
          <w:b/>
        </w:rPr>
      </w:pPr>
      <w:r w:rsidRPr="00820C89">
        <w:t>What programs are the most/least effective?</w:t>
      </w:r>
    </w:p>
    <w:p w14:paraId="26ABE833" w14:textId="77777777" w:rsidR="00C1765C" w:rsidRPr="00820C89" w:rsidRDefault="00C1765C" w:rsidP="00715F70">
      <w:pPr>
        <w:pStyle w:val="ListParagraph"/>
        <w:numPr>
          <w:ilvl w:val="1"/>
          <w:numId w:val="128"/>
        </w:numPr>
        <w:spacing w:after="160" w:line="259" w:lineRule="auto"/>
        <w:rPr>
          <w:b/>
        </w:rPr>
      </w:pPr>
      <w:r w:rsidRPr="00820C89">
        <w:t>Do any specific programs come to mind?</w:t>
      </w:r>
    </w:p>
    <w:p w14:paraId="2BF7B551" w14:textId="77777777" w:rsidR="00C1765C" w:rsidRPr="00820C89" w:rsidRDefault="00C1765C" w:rsidP="00C1765C">
      <w:pPr>
        <w:pStyle w:val="ListParagraph"/>
        <w:ind w:left="1080"/>
        <w:rPr>
          <w:b/>
        </w:rPr>
      </w:pPr>
    </w:p>
    <w:p w14:paraId="58F3B53C" w14:textId="77777777" w:rsidR="00C1765C" w:rsidRPr="00820C89" w:rsidRDefault="00C1765C" w:rsidP="00715F70">
      <w:pPr>
        <w:pStyle w:val="ListParagraph"/>
        <w:numPr>
          <w:ilvl w:val="0"/>
          <w:numId w:val="159"/>
        </w:numPr>
        <w:spacing w:after="160" w:line="259" w:lineRule="auto"/>
        <w:rPr>
          <w:b/>
        </w:rPr>
      </w:pPr>
      <w:r w:rsidRPr="00820C89">
        <w:t>How would you describe the process for developing Indigenous employment policy in your state/territory?</w:t>
      </w:r>
    </w:p>
    <w:p w14:paraId="187CA7F6" w14:textId="77777777" w:rsidR="00C1765C" w:rsidRPr="00820C89" w:rsidRDefault="00C1765C" w:rsidP="00715F70">
      <w:pPr>
        <w:pStyle w:val="ListParagraph"/>
        <w:numPr>
          <w:ilvl w:val="1"/>
          <w:numId w:val="157"/>
        </w:numPr>
        <w:spacing w:after="160" w:line="259" w:lineRule="auto"/>
        <w:rPr>
          <w:b/>
          <w:i/>
          <w:u w:val="single"/>
        </w:rPr>
      </w:pPr>
      <w:r w:rsidRPr="00820C89">
        <w:rPr>
          <w:i/>
          <w:u w:val="single"/>
        </w:rPr>
        <w:t>What role do federal and state/territory policymakers play?</w:t>
      </w:r>
    </w:p>
    <w:p w14:paraId="01444C68" w14:textId="77777777" w:rsidR="00C1765C" w:rsidRPr="00820C89" w:rsidRDefault="00C1765C" w:rsidP="00715F70">
      <w:pPr>
        <w:pStyle w:val="ListParagraph"/>
        <w:numPr>
          <w:ilvl w:val="1"/>
          <w:numId w:val="157"/>
        </w:numPr>
        <w:spacing w:after="160" w:line="259" w:lineRule="auto"/>
      </w:pPr>
      <w:r w:rsidRPr="00820C89">
        <w:t>Who designs which programs?</w:t>
      </w:r>
    </w:p>
    <w:p w14:paraId="3433E290" w14:textId="77777777" w:rsidR="00C1765C" w:rsidRPr="00820C89" w:rsidRDefault="00C1765C" w:rsidP="00715F70">
      <w:pPr>
        <w:pStyle w:val="ListParagraph"/>
        <w:numPr>
          <w:ilvl w:val="1"/>
          <w:numId w:val="157"/>
        </w:numPr>
        <w:spacing w:after="160" w:line="259" w:lineRule="auto"/>
        <w:rPr>
          <w:b/>
        </w:rPr>
      </w:pPr>
      <w:r w:rsidRPr="00820C89">
        <w:t xml:space="preserve">Who else is involved in the design process (e.g. Indigenous representatives)? </w:t>
      </w:r>
    </w:p>
    <w:p w14:paraId="45876B4E" w14:textId="77777777" w:rsidR="00C1765C" w:rsidRPr="00820C89" w:rsidRDefault="00C1765C" w:rsidP="00715F70">
      <w:pPr>
        <w:pStyle w:val="ListParagraph"/>
        <w:numPr>
          <w:ilvl w:val="1"/>
          <w:numId w:val="157"/>
        </w:numPr>
        <w:spacing w:after="160" w:line="259" w:lineRule="auto"/>
        <w:rPr>
          <w:b/>
        </w:rPr>
      </w:pPr>
      <w:r w:rsidRPr="00820C89">
        <w:t>How have policies changed over time?</w:t>
      </w:r>
    </w:p>
    <w:p w14:paraId="772C6F21" w14:textId="77777777" w:rsidR="00C1765C" w:rsidRPr="00820C89" w:rsidRDefault="00C1765C" w:rsidP="00715F70">
      <w:pPr>
        <w:pStyle w:val="ListParagraph"/>
        <w:numPr>
          <w:ilvl w:val="1"/>
          <w:numId w:val="157"/>
        </w:numPr>
        <w:spacing w:after="160" w:line="259" w:lineRule="auto"/>
        <w:rPr>
          <w:b/>
        </w:rPr>
      </w:pPr>
      <w:r w:rsidRPr="00820C89">
        <w:t>How does policy impact what programs are developed and implemented?</w:t>
      </w:r>
    </w:p>
    <w:p w14:paraId="7EB03AC6" w14:textId="77777777" w:rsidR="00C1765C" w:rsidRPr="00820C89" w:rsidRDefault="00C1765C" w:rsidP="00C1765C">
      <w:pPr>
        <w:pStyle w:val="ListParagraph"/>
        <w:ind w:left="1080"/>
      </w:pPr>
    </w:p>
    <w:p w14:paraId="49CBAC73" w14:textId="77777777" w:rsidR="00C1765C" w:rsidRPr="00820C89" w:rsidRDefault="00C1765C" w:rsidP="00715F70">
      <w:pPr>
        <w:pStyle w:val="ListParagraph"/>
        <w:numPr>
          <w:ilvl w:val="0"/>
          <w:numId w:val="159"/>
        </w:numPr>
        <w:spacing w:after="160" w:line="259" w:lineRule="auto"/>
      </w:pPr>
      <w:r w:rsidRPr="00820C89">
        <w:t>How would you describe the role of the TAEG, VTEC and EPI programs in your state/territory?</w:t>
      </w:r>
    </w:p>
    <w:p w14:paraId="25A38E9F" w14:textId="77777777" w:rsidR="00C1765C" w:rsidRPr="00820C89" w:rsidRDefault="00C1765C" w:rsidP="00715F70">
      <w:pPr>
        <w:pStyle w:val="ListParagraph"/>
        <w:numPr>
          <w:ilvl w:val="1"/>
          <w:numId w:val="159"/>
        </w:numPr>
        <w:spacing w:after="160" w:line="259" w:lineRule="auto"/>
      </w:pPr>
      <w:r w:rsidRPr="00820C89">
        <w:rPr>
          <w:i/>
          <w:u w:val="single"/>
        </w:rPr>
        <w:t>How do these policies interact with other employment programs?</w:t>
      </w:r>
    </w:p>
    <w:p w14:paraId="0EA3313F" w14:textId="77777777" w:rsidR="00C1765C" w:rsidRPr="00820C89" w:rsidRDefault="00C1765C" w:rsidP="00715F70">
      <w:pPr>
        <w:pStyle w:val="ListParagraph"/>
        <w:numPr>
          <w:ilvl w:val="1"/>
          <w:numId w:val="159"/>
        </w:numPr>
        <w:spacing w:after="160" w:line="259" w:lineRule="auto"/>
      </w:pPr>
      <w:r w:rsidRPr="00820C89">
        <w:rPr>
          <w:i/>
          <w:u w:val="single"/>
        </w:rPr>
        <w:t>What is valuable about these programs?</w:t>
      </w:r>
    </w:p>
    <w:p w14:paraId="25A4FC4E" w14:textId="77777777" w:rsidR="00C1765C" w:rsidRPr="00820C89" w:rsidRDefault="00C1765C" w:rsidP="00715F70">
      <w:pPr>
        <w:pStyle w:val="ListParagraph"/>
        <w:numPr>
          <w:ilvl w:val="1"/>
          <w:numId w:val="159"/>
        </w:numPr>
        <w:spacing w:after="160" w:line="259" w:lineRule="auto"/>
      </w:pPr>
      <w:r w:rsidRPr="00820C89">
        <w:t>How were these programs designed (e.g. in collaboration with Indigenous people)?</w:t>
      </w:r>
    </w:p>
    <w:p w14:paraId="456FFB93" w14:textId="77777777" w:rsidR="00C1765C" w:rsidRPr="00820C89" w:rsidRDefault="00C1765C" w:rsidP="00715F70">
      <w:pPr>
        <w:pStyle w:val="ListParagraph"/>
        <w:numPr>
          <w:ilvl w:val="1"/>
          <w:numId w:val="159"/>
        </w:numPr>
        <w:spacing w:after="160" w:line="259" w:lineRule="auto"/>
      </w:pPr>
      <w:r w:rsidRPr="00820C89">
        <w:rPr>
          <w:i/>
          <w:u w:val="single"/>
        </w:rPr>
        <w:t>Which programs do you believe are most effective? Why?</w:t>
      </w:r>
    </w:p>
    <w:p w14:paraId="74131BED" w14:textId="77777777" w:rsidR="00C1765C" w:rsidRPr="00820C89" w:rsidRDefault="00C1765C" w:rsidP="00C1765C">
      <w:pPr>
        <w:rPr>
          <w:b/>
        </w:rPr>
      </w:pPr>
      <w:r w:rsidRPr="00820C89">
        <w:rPr>
          <w:b/>
        </w:rPr>
        <w:t>Success factors</w:t>
      </w:r>
    </w:p>
    <w:p w14:paraId="1C235806" w14:textId="77777777" w:rsidR="00C1765C" w:rsidRPr="00820C89" w:rsidRDefault="00C1765C" w:rsidP="00715F70">
      <w:pPr>
        <w:pStyle w:val="ListParagraph"/>
        <w:numPr>
          <w:ilvl w:val="0"/>
          <w:numId w:val="159"/>
        </w:numPr>
        <w:spacing w:after="160" w:line="259" w:lineRule="auto"/>
        <w:rPr>
          <w:b/>
          <w:u w:val="single"/>
        </w:rPr>
      </w:pPr>
      <w:r w:rsidRPr="00820C89">
        <w:rPr>
          <w:bCs/>
          <w:u w:val="single"/>
        </w:rPr>
        <w:t>In your opinion, what do you think is working about the programs in your state/territory?</w:t>
      </w:r>
    </w:p>
    <w:p w14:paraId="12F49AA6" w14:textId="77777777" w:rsidR="00C1765C" w:rsidRPr="00820C89" w:rsidRDefault="00C1765C" w:rsidP="00715F70">
      <w:pPr>
        <w:pStyle w:val="ListParagraph"/>
        <w:numPr>
          <w:ilvl w:val="0"/>
          <w:numId w:val="159"/>
        </w:numPr>
        <w:spacing w:after="160" w:line="259" w:lineRule="auto"/>
        <w:rPr>
          <w:b/>
          <w:color w:val="FF0000"/>
          <w:u w:val="single"/>
        </w:rPr>
      </w:pPr>
      <w:r w:rsidRPr="00820C89">
        <w:rPr>
          <w:u w:val="single"/>
        </w:rPr>
        <w:t xml:space="preserve">In your opinion, what do you think is working about the current TAEG, VTEC and EPI programs? </w:t>
      </w:r>
    </w:p>
    <w:p w14:paraId="4CDD9C2F" w14:textId="77777777" w:rsidR="00C1765C" w:rsidRPr="00820C89" w:rsidRDefault="00C1765C" w:rsidP="00715F70">
      <w:pPr>
        <w:pStyle w:val="ListParagraph"/>
        <w:numPr>
          <w:ilvl w:val="0"/>
          <w:numId w:val="159"/>
        </w:numPr>
        <w:spacing w:after="160" w:line="259" w:lineRule="auto"/>
        <w:rPr>
          <w:b/>
          <w:color w:val="FF0000"/>
        </w:rPr>
      </w:pPr>
      <w:r w:rsidRPr="00820C89">
        <w:t xml:space="preserve">In your opinion, what do you think could be improved about the TAEG, VTEC and EPI programs? </w:t>
      </w:r>
    </w:p>
    <w:p w14:paraId="6CBD94A8" w14:textId="77777777" w:rsidR="00C1765C" w:rsidRPr="00820C89" w:rsidRDefault="00C1765C" w:rsidP="00715F70">
      <w:pPr>
        <w:pStyle w:val="ListParagraph"/>
        <w:numPr>
          <w:ilvl w:val="0"/>
          <w:numId w:val="159"/>
        </w:numPr>
        <w:spacing w:after="160" w:line="259" w:lineRule="auto"/>
        <w:rPr>
          <w:b/>
          <w:color w:val="FF0000"/>
        </w:rPr>
      </w:pPr>
      <w:r w:rsidRPr="00820C89">
        <w:t>In your opinion, what does the ideal version of these Indigenous Employment Programs look like?</w:t>
      </w:r>
    </w:p>
    <w:p w14:paraId="3FFCEC37" w14:textId="77777777" w:rsidR="00C1765C" w:rsidRPr="00820C89" w:rsidRDefault="00C1765C" w:rsidP="00C1765C">
      <w:pPr>
        <w:pBdr>
          <w:bottom w:val="single" w:sz="4" w:space="0" w:color="auto"/>
        </w:pBdr>
        <w:rPr>
          <w:b/>
          <w:bCs/>
          <w:color w:val="FF0000"/>
          <w:sz w:val="24"/>
          <w:szCs w:val="24"/>
        </w:rPr>
      </w:pPr>
      <w:r w:rsidRPr="00820C89">
        <w:rPr>
          <w:b/>
          <w:bCs/>
          <w:color w:val="FF0000"/>
          <w:sz w:val="24"/>
          <w:szCs w:val="24"/>
        </w:rPr>
        <w:br w:type="page"/>
      </w:r>
    </w:p>
    <w:p w14:paraId="64FEC522" w14:textId="77777777" w:rsidR="00C1765C" w:rsidRPr="00820C89" w:rsidRDefault="00C1765C" w:rsidP="00C1765C">
      <w:pPr>
        <w:pStyle w:val="Heading2un-numbered"/>
      </w:pPr>
      <w:bookmarkStart w:id="547" w:name="_Toc45206376"/>
      <w:bookmarkStart w:id="548" w:name="_Toc45206417"/>
      <w:bookmarkStart w:id="549" w:name="_Toc82694528"/>
      <w:bookmarkStart w:id="550" w:name="_Toc82710825"/>
      <w:bookmarkStart w:id="551" w:name="_Toc101343352"/>
      <w:r w:rsidRPr="00820C89">
        <w:lastRenderedPageBreak/>
        <w:t>NIAA regional office semi-structured interview questions – regional consultations</w:t>
      </w:r>
      <w:bookmarkEnd w:id="547"/>
      <w:bookmarkEnd w:id="548"/>
      <w:bookmarkEnd w:id="549"/>
      <w:bookmarkEnd w:id="550"/>
      <w:bookmarkEnd w:id="551"/>
    </w:p>
    <w:p w14:paraId="1CDD8A50" w14:textId="77777777" w:rsidR="00C1765C" w:rsidRPr="00820C89" w:rsidRDefault="00C1765C" w:rsidP="00C1765C">
      <w:pPr>
        <w:rPr>
          <w:b/>
        </w:rPr>
      </w:pPr>
      <w:r w:rsidRPr="00820C89">
        <w:rPr>
          <w:b/>
        </w:rPr>
        <w:t xml:space="preserve">Background </w:t>
      </w:r>
    </w:p>
    <w:p w14:paraId="7A0FD42F" w14:textId="77777777" w:rsidR="00C1765C" w:rsidRPr="00820C89" w:rsidRDefault="00C1765C" w:rsidP="00715F70">
      <w:pPr>
        <w:pStyle w:val="ListParagraph"/>
        <w:numPr>
          <w:ilvl w:val="0"/>
          <w:numId w:val="125"/>
        </w:numPr>
        <w:spacing w:after="160" w:line="259" w:lineRule="auto"/>
      </w:pPr>
      <w:r w:rsidRPr="00820C89">
        <w:t>In order to best understand your perspective, I’d like to get to know you a bit better.</w:t>
      </w:r>
    </w:p>
    <w:p w14:paraId="4C4C06F6" w14:textId="77777777" w:rsidR="00C1765C" w:rsidRPr="00820C89" w:rsidRDefault="00C1765C" w:rsidP="00715F70">
      <w:pPr>
        <w:pStyle w:val="ListParagraph"/>
        <w:numPr>
          <w:ilvl w:val="1"/>
          <w:numId w:val="129"/>
        </w:numPr>
        <w:spacing w:after="160" w:line="259" w:lineRule="auto"/>
      </w:pPr>
      <w:r w:rsidRPr="00820C89">
        <w:t>What can you tell me about your history with the NIAA?</w:t>
      </w:r>
    </w:p>
    <w:p w14:paraId="1BB3D6D3" w14:textId="77777777" w:rsidR="00C1765C" w:rsidRPr="00820C89" w:rsidRDefault="00C1765C" w:rsidP="00715F70">
      <w:pPr>
        <w:pStyle w:val="ListParagraph"/>
        <w:numPr>
          <w:ilvl w:val="1"/>
          <w:numId w:val="129"/>
        </w:numPr>
        <w:spacing w:after="160" w:line="259" w:lineRule="auto"/>
      </w:pPr>
      <w:r w:rsidRPr="00820C89">
        <w:t>What can you tell me about your experiences with the TAEG, VTEC and EPI programs?</w:t>
      </w:r>
    </w:p>
    <w:p w14:paraId="5D450CC1" w14:textId="77777777" w:rsidR="00C1765C" w:rsidRPr="00820C89" w:rsidRDefault="00C1765C" w:rsidP="00C1765C">
      <w:pPr>
        <w:rPr>
          <w:b/>
        </w:rPr>
      </w:pPr>
      <w:r w:rsidRPr="00820C89">
        <w:rPr>
          <w:b/>
        </w:rPr>
        <w:t>Delivery and collaborative design</w:t>
      </w:r>
    </w:p>
    <w:p w14:paraId="3D07397B" w14:textId="77777777" w:rsidR="00C1765C" w:rsidRPr="00820C89" w:rsidRDefault="00C1765C" w:rsidP="00715F70">
      <w:pPr>
        <w:pStyle w:val="ListParagraph"/>
        <w:numPr>
          <w:ilvl w:val="0"/>
          <w:numId w:val="125"/>
        </w:numPr>
        <w:spacing w:after="160" w:line="259" w:lineRule="auto"/>
      </w:pPr>
      <w:r w:rsidRPr="00820C89">
        <w:t>How would you describe the role that NIAA play and their relationship with providers/employers?</w:t>
      </w:r>
    </w:p>
    <w:p w14:paraId="5934F6B4" w14:textId="77777777" w:rsidR="00C1765C" w:rsidRPr="00820C89" w:rsidRDefault="00C1765C" w:rsidP="00715F70">
      <w:pPr>
        <w:pStyle w:val="ListParagraph"/>
        <w:numPr>
          <w:ilvl w:val="1"/>
          <w:numId w:val="125"/>
        </w:numPr>
        <w:spacing w:after="160" w:line="259" w:lineRule="auto"/>
        <w:rPr>
          <w:i/>
          <w:u w:val="single"/>
        </w:rPr>
      </w:pPr>
      <w:r w:rsidRPr="00820C89">
        <w:rPr>
          <w:i/>
          <w:u w:val="single"/>
        </w:rPr>
        <w:t>How often do you interact with providers and employers?</w:t>
      </w:r>
    </w:p>
    <w:p w14:paraId="5FE93B1E" w14:textId="77777777" w:rsidR="00C1765C" w:rsidRPr="00820C89" w:rsidRDefault="00C1765C" w:rsidP="00715F70">
      <w:pPr>
        <w:pStyle w:val="ListParagraph"/>
        <w:numPr>
          <w:ilvl w:val="1"/>
          <w:numId w:val="125"/>
        </w:numPr>
        <w:spacing w:after="160" w:line="259" w:lineRule="auto"/>
      </w:pPr>
      <w:r w:rsidRPr="00820C89">
        <w:t>What support do you provide?</w:t>
      </w:r>
    </w:p>
    <w:p w14:paraId="118DE50A" w14:textId="77777777" w:rsidR="00C1765C" w:rsidRPr="00820C89" w:rsidRDefault="00C1765C" w:rsidP="00715F70">
      <w:pPr>
        <w:pStyle w:val="ListParagraph"/>
        <w:numPr>
          <w:ilvl w:val="1"/>
          <w:numId w:val="125"/>
        </w:numPr>
        <w:spacing w:after="160" w:line="259" w:lineRule="auto"/>
      </w:pPr>
      <w:r w:rsidRPr="00820C89">
        <w:t>What accountability measures are there between NIAA and providers/employers?</w:t>
      </w:r>
    </w:p>
    <w:p w14:paraId="0B985CC5" w14:textId="77777777" w:rsidR="00C1765C" w:rsidRPr="00820C89" w:rsidRDefault="00C1765C" w:rsidP="00715F70">
      <w:pPr>
        <w:pStyle w:val="ListParagraph"/>
        <w:numPr>
          <w:ilvl w:val="1"/>
          <w:numId w:val="125"/>
        </w:numPr>
        <w:spacing w:after="160" w:line="259" w:lineRule="auto"/>
      </w:pPr>
      <w:r w:rsidRPr="00820C89">
        <w:t>What role does NIAA have in assessing providers programs before they receive funding?</w:t>
      </w:r>
    </w:p>
    <w:p w14:paraId="6F2BA484" w14:textId="77777777" w:rsidR="00C1765C" w:rsidRPr="00820C89" w:rsidRDefault="00C1765C" w:rsidP="00C1765C">
      <w:pPr>
        <w:pStyle w:val="ListParagraph"/>
        <w:ind w:left="1080"/>
      </w:pPr>
    </w:p>
    <w:p w14:paraId="78534992" w14:textId="77777777" w:rsidR="00C1765C" w:rsidRPr="00820C89" w:rsidRDefault="00C1765C" w:rsidP="00715F70">
      <w:pPr>
        <w:pStyle w:val="ListParagraph"/>
        <w:numPr>
          <w:ilvl w:val="0"/>
          <w:numId w:val="125"/>
        </w:numPr>
        <w:spacing w:after="160" w:line="259" w:lineRule="auto"/>
      </w:pPr>
      <w:r w:rsidRPr="00820C89">
        <w:t>What can you tell me about the variation between TAEG, VTEC and EPI programs?</w:t>
      </w:r>
    </w:p>
    <w:p w14:paraId="2E3A5C5A" w14:textId="77777777" w:rsidR="00C1765C" w:rsidRPr="00820C89" w:rsidRDefault="00C1765C" w:rsidP="00715F70">
      <w:pPr>
        <w:pStyle w:val="ListParagraph"/>
        <w:numPr>
          <w:ilvl w:val="1"/>
          <w:numId w:val="125"/>
        </w:numPr>
        <w:spacing w:after="160" w:line="259" w:lineRule="auto"/>
        <w:rPr>
          <w:i/>
          <w:u w:val="single"/>
        </w:rPr>
      </w:pPr>
      <w:r w:rsidRPr="00820C89">
        <w:rPr>
          <w:i/>
          <w:u w:val="single"/>
        </w:rPr>
        <w:t>What types of activities do you see providers/employers running?</w:t>
      </w:r>
    </w:p>
    <w:p w14:paraId="0FF5BB58" w14:textId="77777777" w:rsidR="00C1765C" w:rsidRPr="00820C89" w:rsidRDefault="00C1765C" w:rsidP="00715F70">
      <w:pPr>
        <w:pStyle w:val="ListParagraph"/>
        <w:numPr>
          <w:ilvl w:val="1"/>
          <w:numId w:val="125"/>
        </w:numPr>
        <w:spacing w:after="160" w:line="259" w:lineRule="auto"/>
      </w:pPr>
      <w:r w:rsidRPr="00820C89">
        <w:t>What different issues are these programs hoping to solve?</w:t>
      </w:r>
    </w:p>
    <w:p w14:paraId="6120DFDB" w14:textId="77777777" w:rsidR="00C1765C" w:rsidRPr="00820C89" w:rsidRDefault="00C1765C" w:rsidP="00715F70">
      <w:pPr>
        <w:pStyle w:val="ListParagraph"/>
        <w:numPr>
          <w:ilvl w:val="1"/>
          <w:numId w:val="125"/>
        </w:numPr>
        <w:spacing w:after="160" w:line="259" w:lineRule="auto"/>
      </w:pPr>
      <w:r w:rsidRPr="00820C89">
        <w:t>How do providers choose what to focus their activity on? Who gets to decide?</w:t>
      </w:r>
    </w:p>
    <w:p w14:paraId="4538B9F0" w14:textId="77777777" w:rsidR="00C1765C" w:rsidRPr="00820C89" w:rsidRDefault="00C1765C" w:rsidP="00C1765C">
      <w:pPr>
        <w:pStyle w:val="ListParagraph"/>
        <w:ind w:left="1080"/>
      </w:pPr>
    </w:p>
    <w:p w14:paraId="2C41FCD0" w14:textId="77777777" w:rsidR="00C1765C" w:rsidRPr="00820C89" w:rsidRDefault="00C1765C" w:rsidP="00715F70">
      <w:pPr>
        <w:pStyle w:val="ListParagraph"/>
        <w:numPr>
          <w:ilvl w:val="0"/>
          <w:numId w:val="125"/>
        </w:numPr>
        <w:spacing w:after="160" w:line="259" w:lineRule="auto"/>
      </w:pPr>
      <w:r w:rsidRPr="00820C89">
        <w:t>How have the TAEG, VTEC and EPI programs changed over time?</w:t>
      </w:r>
    </w:p>
    <w:p w14:paraId="7A8C7C1E" w14:textId="77777777" w:rsidR="00C1765C" w:rsidRPr="00820C89" w:rsidRDefault="00C1765C" w:rsidP="00715F70">
      <w:pPr>
        <w:pStyle w:val="ListParagraph"/>
        <w:numPr>
          <w:ilvl w:val="1"/>
          <w:numId w:val="125"/>
        </w:numPr>
        <w:spacing w:after="160" w:line="259" w:lineRule="auto"/>
      </w:pPr>
      <w:r w:rsidRPr="00820C89">
        <w:t>What was the reason for these changes?</w:t>
      </w:r>
    </w:p>
    <w:p w14:paraId="7A8292D1" w14:textId="77777777" w:rsidR="00C1765C" w:rsidRPr="00820C89" w:rsidRDefault="00C1765C" w:rsidP="00715F70">
      <w:pPr>
        <w:pStyle w:val="ListParagraph"/>
        <w:numPr>
          <w:ilvl w:val="1"/>
          <w:numId w:val="125"/>
        </w:numPr>
        <w:spacing w:after="160" w:line="259" w:lineRule="auto"/>
        <w:rPr>
          <w:i/>
          <w:u w:val="single"/>
        </w:rPr>
      </w:pPr>
      <w:r w:rsidRPr="00820C89">
        <w:rPr>
          <w:i/>
          <w:u w:val="single"/>
        </w:rPr>
        <w:t>What impact, positive or negative, has this had on the program?</w:t>
      </w:r>
    </w:p>
    <w:p w14:paraId="7E4748F1" w14:textId="77777777" w:rsidR="00C1765C" w:rsidRPr="00820C89" w:rsidRDefault="00C1765C" w:rsidP="00C1765C">
      <w:pPr>
        <w:rPr>
          <w:b/>
        </w:rPr>
      </w:pPr>
      <w:r w:rsidRPr="00820C89">
        <w:rPr>
          <w:b/>
        </w:rPr>
        <w:t>Outcomes</w:t>
      </w:r>
    </w:p>
    <w:p w14:paraId="0FC650D9" w14:textId="77777777" w:rsidR="00C1765C" w:rsidRPr="00820C89" w:rsidRDefault="00C1765C" w:rsidP="00715F70">
      <w:pPr>
        <w:pStyle w:val="ListParagraph"/>
        <w:numPr>
          <w:ilvl w:val="0"/>
          <w:numId w:val="125"/>
        </w:numPr>
        <w:spacing w:after="160" w:line="259" w:lineRule="auto"/>
      </w:pPr>
      <w:r w:rsidRPr="00820C89">
        <w:t>In your experience, what impact have you seen of these programs?</w:t>
      </w:r>
    </w:p>
    <w:p w14:paraId="46183BB8" w14:textId="77777777" w:rsidR="00C1765C" w:rsidRPr="00820C89" w:rsidRDefault="00C1765C" w:rsidP="00715F70">
      <w:pPr>
        <w:pStyle w:val="ListParagraph"/>
        <w:numPr>
          <w:ilvl w:val="1"/>
          <w:numId w:val="125"/>
        </w:numPr>
        <w:spacing w:after="160" w:line="259" w:lineRule="auto"/>
      </w:pPr>
      <w:r w:rsidRPr="00820C89">
        <w:t>On communities, employers and individuals?</w:t>
      </w:r>
    </w:p>
    <w:p w14:paraId="2AB7E619" w14:textId="77777777" w:rsidR="00C1765C" w:rsidRPr="00820C89" w:rsidRDefault="00C1765C" w:rsidP="00715F70">
      <w:pPr>
        <w:pStyle w:val="ListParagraph"/>
        <w:numPr>
          <w:ilvl w:val="1"/>
          <w:numId w:val="125"/>
        </w:numPr>
        <w:spacing w:after="160" w:line="259" w:lineRule="auto"/>
      </w:pPr>
      <w:r w:rsidRPr="00820C89">
        <w:t>What feedback have you heard about these programs? Who do you hear this feedback from?</w:t>
      </w:r>
    </w:p>
    <w:p w14:paraId="6C032844" w14:textId="77777777" w:rsidR="00C1765C" w:rsidRPr="00820C89" w:rsidRDefault="00C1765C" w:rsidP="00715F70">
      <w:pPr>
        <w:pStyle w:val="ListParagraph"/>
        <w:numPr>
          <w:ilvl w:val="1"/>
          <w:numId w:val="125"/>
        </w:numPr>
        <w:spacing w:after="160" w:line="259" w:lineRule="auto"/>
      </w:pPr>
      <w:r w:rsidRPr="00820C89">
        <w:t xml:space="preserve">How does this impact vary depending on the program? </w:t>
      </w:r>
    </w:p>
    <w:p w14:paraId="502CBB14" w14:textId="77777777" w:rsidR="00C1765C" w:rsidRPr="00820C89" w:rsidRDefault="00C1765C" w:rsidP="00715F70">
      <w:pPr>
        <w:pStyle w:val="ListParagraph"/>
        <w:numPr>
          <w:ilvl w:val="1"/>
          <w:numId w:val="125"/>
        </w:numPr>
        <w:spacing w:after="160" w:line="259" w:lineRule="auto"/>
      </w:pPr>
      <w:r w:rsidRPr="00820C89">
        <w:t>How does this impact vary depending on the provider/employer?</w:t>
      </w:r>
    </w:p>
    <w:p w14:paraId="5F11CA33" w14:textId="77777777" w:rsidR="00C1765C" w:rsidRPr="00820C89" w:rsidRDefault="00C1765C" w:rsidP="00C1765C">
      <w:pPr>
        <w:rPr>
          <w:b/>
        </w:rPr>
      </w:pPr>
      <w:r w:rsidRPr="00820C89">
        <w:rPr>
          <w:b/>
        </w:rPr>
        <w:t>Success factors</w:t>
      </w:r>
    </w:p>
    <w:p w14:paraId="488701DC" w14:textId="77777777" w:rsidR="00C1765C" w:rsidRPr="00820C89" w:rsidRDefault="00C1765C" w:rsidP="00715F70">
      <w:pPr>
        <w:pStyle w:val="ListParagraph"/>
        <w:numPr>
          <w:ilvl w:val="0"/>
          <w:numId w:val="125"/>
        </w:numPr>
        <w:spacing w:after="160" w:line="259" w:lineRule="auto"/>
        <w:rPr>
          <w:u w:val="single"/>
        </w:rPr>
      </w:pPr>
      <w:r w:rsidRPr="00820C89">
        <w:rPr>
          <w:u w:val="single"/>
        </w:rPr>
        <w:t>In your experience, do you think these programs are really working?</w:t>
      </w:r>
    </w:p>
    <w:p w14:paraId="7E5F2E02" w14:textId="77777777" w:rsidR="00C1765C" w:rsidRPr="00820C89" w:rsidRDefault="00C1765C" w:rsidP="00715F70">
      <w:pPr>
        <w:pStyle w:val="ListParagraph"/>
        <w:numPr>
          <w:ilvl w:val="0"/>
          <w:numId w:val="125"/>
        </w:numPr>
        <w:spacing w:after="160" w:line="259" w:lineRule="auto"/>
        <w:rPr>
          <w:b/>
        </w:rPr>
      </w:pPr>
      <w:r w:rsidRPr="00820C89">
        <w:t>In your experience, what influences whether a provider is more or less successful?</w:t>
      </w:r>
    </w:p>
    <w:p w14:paraId="247501CF" w14:textId="77777777" w:rsidR="00C1765C" w:rsidRPr="00820C89" w:rsidRDefault="00C1765C" w:rsidP="00715F70">
      <w:pPr>
        <w:pStyle w:val="ListParagraph"/>
        <w:numPr>
          <w:ilvl w:val="0"/>
          <w:numId w:val="125"/>
        </w:numPr>
        <w:spacing w:after="160" w:line="259" w:lineRule="auto"/>
        <w:rPr>
          <w:b/>
        </w:rPr>
      </w:pPr>
      <w:r w:rsidRPr="00820C89">
        <w:t>In your experience, what influences whether an employer is more or less successful?</w:t>
      </w:r>
    </w:p>
    <w:p w14:paraId="37D31813" w14:textId="77777777" w:rsidR="00C1765C" w:rsidRPr="00820C89" w:rsidRDefault="00C1765C" w:rsidP="00715F70">
      <w:pPr>
        <w:pStyle w:val="ListParagraph"/>
        <w:numPr>
          <w:ilvl w:val="0"/>
          <w:numId w:val="125"/>
        </w:numPr>
        <w:spacing w:after="160" w:line="259" w:lineRule="auto"/>
        <w:rPr>
          <w:b/>
        </w:rPr>
      </w:pPr>
      <w:r w:rsidRPr="00820C89">
        <w:t>In your experience, what influences whether a participant is more or less successful?</w:t>
      </w:r>
    </w:p>
    <w:p w14:paraId="384F5B62" w14:textId="77777777" w:rsidR="00C1765C" w:rsidRPr="00820C89" w:rsidRDefault="00C1765C" w:rsidP="00715F70">
      <w:pPr>
        <w:pStyle w:val="ListParagraph"/>
        <w:numPr>
          <w:ilvl w:val="0"/>
          <w:numId w:val="125"/>
        </w:numPr>
        <w:spacing w:after="160" w:line="259" w:lineRule="auto"/>
        <w:rPr>
          <w:b/>
        </w:rPr>
      </w:pPr>
      <w:r w:rsidRPr="00820C89">
        <w:t>Given your experience with the programs, how do you think they could be improved?</w:t>
      </w:r>
    </w:p>
    <w:p w14:paraId="399C87BF" w14:textId="31B6B331" w:rsidR="00C1765C" w:rsidRPr="004837A8" w:rsidRDefault="00C1765C" w:rsidP="00C1765C">
      <w:pPr>
        <w:pStyle w:val="ListParagraph"/>
        <w:numPr>
          <w:ilvl w:val="0"/>
          <w:numId w:val="125"/>
        </w:numPr>
        <w:spacing w:after="160" w:line="259" w:lineRule="auto"/>
        <w:rPr>
          <w:b/>
          <w:color w:val="FF0000"/>
        </w:rPr>
      </w:pPr>
      <w:r w:rsidRPr="00820C89">
        <w:t>In your opinion, what does the ideal version of these Indigenous Employment Programs look like?</w:t>
      </w:r>
    </w:p>
    <w:p w14:paraId="45106F2C" w14:textId="77777777" w:rsidR="00C1765C" w:rsidRPr="00820C89" w:rsidRDefault="00C1765C" w:rsidP="00C1765C">
      <w:pPr>
        <w:pBdr>
          <w:bottom w:val="single" w:sz="4" w:space="0" w:color="auto"/>
        </w:pBdr>
        <w:rPr>
          <w:b/>
          <w:bCs/>
          <w:color w:val="75787B" w:themeColor="accent6"/>
          <w:sz w:val="24"/>
          <w:szCs w:val="24"/>
        </w:rPr>
      </w:pPr>
      <w:r w:rsidRPr="00820C89">
        <w:rPr>
          <w:b/>
          <w:bCs/>
          <w:color w:val="75787B" w:themeColor="accent6"/>
          <w:sz w:val="24"/>
          <w:szCs w:val="24"/>
        </w:rPr>
        <w:br w:type="page"/>
      </w:r>
    </w:p>
    <w:p w14:paraId="2285BB16" w14:textId="77777777" w:rsidR="00C1765C" w:rsidRPr="00820C89" w:rsidRDefault="00C1765C" w:rsidP="00C1765C">
      <w:pPr>
        <w:pStyle w:val="Heading2un-numbered"/>
      </w:pPr>
      <w:bookmarkStart w:id="552" w:name="_Toc82694529"/>
      <w:bookmarkStart w:id="553" w:name="_Toc82710826"/>
      <w:bookmarkStart w:id="554" w:name="_Toc101343353"/>
      <w:bookmarkStart w:id="555" w:name="_Toc45206378"/>
      <w:bookmarkStart w:id="556" w:name="_Toc45206419"/>
      <w:r w:rsidRPr="00820C89">
        <w:lastRenderedPageBreak/>
        <w:t>TAEG and VTEC provider/employer survey information sheet</w:t>
      </w:r>
      <w:bookmarkEnd w:id="552"/>
      <w:bookmarkEnd w:id="553"/>
      <w:bookmarkEnd w:id="554"/>
    </w:p>
    <w:p w14:paraId="7F66F522" w14:textId="77777777" w:rsidR="00C1765C" w:rsidRPr="00820C89" w:rsidRDefault="00C1765C" w:rsidP="00C1765C">
      <w:pPr>
        <w:shd w:val="clear" w:color="auto" w:fill="FFFFFF"/>
      </w:pPr>
      <w:r w:rsidRPr="00820C89">
        <w:t>Welcome,</w:t>
      </w:r>
    </w:p>
    <w:p w14:paraId="2BD717C2" w14:textId="77777777" w:rsidR="00C1765C" w:rsidRPr="00820C89" w:rsidRDefault="00C1765C" w:rsidP="00C1765C">
      <w:pPr>
        <w:pStyle w:val="CommentText"/>
        <w:rPr>
          <w:sz w:val="18"/>
          <w:szCs w:val="18"/>
        </w:rPr>
      </w:pPr>
      <w:r w:rsidRPr="00820C89">
        <w:rPr>
          <w:sz w:val="18"/>
          <w:szCs w:val="18"/>
        </w:rPr>
        <w:t>We acknowledge the elders past present and emerging across the country on which this survey is being created and completed.</w:t>
      </w:r>
    </w:p>
    <w:p w14:paraId="75B7316F" w14:textId="77777777" w:rsidR="00C1765C" w:rsidRPr="00820C89" w:rsidRDefault="00C1765C" w:rsidP="00C1765C">
      <w:r w:rsidRPr="00820C89">
        <w:t>Deloitte Access Economics has been engaged by the National Indigenous Australians Agency (NIAA) to conduct an independent evaluation of Indigenous Employment Programs (IEPs), including the Vocational Training and Employment Centres (VTEC) and Tailored Assistance Employment Grants (TAEG) programs. As a current provider of one of these programs, your organisation is invited to participate in this short 20-minute survey to inform the evaluation.</w:t>
      </w:r>
    </w:p>
    <w:p w14:paraId="0FF065DD" w14:textId="77777777" w:rsidR="00C1765C" w:rsidRPr="00820C89" w:rsidRDefault="00C1765C" w:rsidP="00C1765C">
      <w:pPr>
        <w:shd w:val="clear" w:color="auto" w:fill="FFFFFF"/>
        <w:spacing w:after="300"/>
      </w:pPr>
      <w:r w:rsidRPr="00820C89">
        <w:t xml:space="preserve">This survey is completely voluntary and has been designed to give you an opportunity to describe the activities you have undertaken as part of the program, rate different aspects of the program’s effectiveness and have an opportunity to provide comments and suggestions. </w:t>
      </w:r>
    </w:p>
    <w:p w14:paraId="1480908D" w14:textId="77777777" w:rsidR="00C1765C" w:rsidRPr="00820C89" w:rsidRDefault="00C1765C" w:rsidP="00C1765C">
      <w:pPr>
        <w:shd w:val="clear" w:color="auto" w:fill="FFFFFF"/>
        <w:spacing w:after="300"/>
      </w:pPr>
      <w:r w:rsidRPr="00820C89">
        <w:t>The survey is in five parts and 24 questions in total.</w:t>
      </w:r>
    </w:p>
    <w:p w14:paraId="23362CB8" w14:textId="77777777" w:rsidR="00C1765C" w:rsidRPr="00820C89" w:rsidRDefault="00C1765C" w:rsidP="00715F70">
      <w:pPr>
        <w:pStyle w:val="ListParagraph"/>
        <w:numPr>
          <w:ilvl w:val="0"/>
          <w:numId w:val="167"/>
        </w:numPr>
        <w:shd w:val="clear" w:color="auto" w:fill="FFFFFF"/>
        <w:spacing w:after="300" w:line="259" w:lineRule="auto"/>
      </w:pPr>
      <w:r w:rsidRPr="00820C89">
        <w:t>Section 1: Your organisation</w:t>
      </w:r>
    </w:p>
    <w:p w14:paraId="705E4ADC" w14:textId="77777777" w:rsidR="00C1765C" w:rsidRPr="00820C89" w:rsidRDefault="00C1765C" w:rsidP="00715F70">
      <w:pPr>
        <w:pStyle w:val="ListParagraph"/>
        <w:numPr>
          <w:ilvl w:val="0"/>
          <w:numId w:val="167"/>
        </w:numPr>
        <w:shd w:val="clear" w:color="auto" w:fill="FFFFFF"/>
        <w:spacing w:after="300" w:line="259" w:lineRule="auto"/>
      </w:pPr>
      <w:r w:rsidRPr="00820C89">
        <w:t>Section 2: Program delivery</w:t>
      </w:r>
    </w:p>
    <w:p w14:paraId="6C6AC6B7" w14:textId="77777777" w:rsidR="00C1765C" w:rsidRPr="00820C89" w:rsidRDefault="00C1765C" w:rsidP="00715F70">
      <w:pPr>
        <w:pStyle w:val="ListParagraph"/>
        <w:numPr>
          <w:ilvl w:val="0"/>
          <w:numId w:val="167"/>
        </w:numPr>
        <w:spacing w:after="160" w:line="259" w:lineRule="auto"/>
      </w:pPr>
      <w:r w:rsidRPr="00820C89">
        <w:t xml:space="preserve">Section 3: Program impact   </w:t>
      </w:r>
    </w:p>
    <w:p w14:paraId="575650CB" w14:textId="77777777" w:rsidR="00C1765C" w:rsidRPr="00820C89" w:rsidRDefault="00C1765C" w:rsidP="00715F70">
      <w:pPr>
        <w:pStyle w:val="ListParagraph"/>
        <w:numPr>
          <w:ilvl w:val="0"/>
          <w:numId w:val="167"/>
        </w:numPr>
        <w:shd w:val="clear" w:color="auto" w:fill="FFFFFF"/>
        <w:spacing w:after="300" w:line="259" w:lineRule="auto"/>
      </w:pPr>
      <w:r w:rsidRPr="00820C89">
        <w:t>Section 4: Suggestions for improvement</w:t>
      </w:r>
    </w:p>
    <w:p w14:paraId="25664E65" w14:textId="77777777" w:rsidR="00C1765C" w:rsidRPr="00820C89" w:rsidRDefault="00C1765C" w:rsidP="00715F70">
      <w:pPr>
        <w:pStyle w:val="ListParagraph"/>
        <w:numPr>
          <w:ilvl w:val="0"/>
          <w:numId w:val="167"/>
        </w:numPr>
        <w:spacing w:after="160" w:line="259" w:lineRule="auto"/>
      </w:pPr>
      <w:r w:rsidRPr="00820C89">
        <w:t xml:space="preserve">Section 5: The impact of COVID-19 </w:t>
      </w:r>
    </w:p>
    <w:p w14:paraId="60DA3994" w14:textId="77777777" w:rsidR="00C1765C" w:rsidRPr="00820C89" w:rsidRDefault="00C1765C" w:rsidP="00C1765C">
      <w:pPr>
        <w:shd w:val="clear" w:color="auto" w:fill="FFFFFF"/>
        <w:spacing w:after="300"/>
        <w:rPr>
          <w:rFonts w:asciiTheme="minorHAnsi" w:hAnsiTheme="minorHAnsi" w:cstheme="minorHAnsi"/>
          <w:b/>
        </w:rPr>
      </w:pPr>
      <w:r w:rsidRPr="00820C89">
        <w:rPr>
          <w:rFonts w:asciiTheme="minorHAnsi" w:hAnsiTheme="minorHAnsi" w:cstheme="minorHAnsi"/>
          <w:b/>
        </w:rPr>
        <w:t xml:space="preserve">This is an individualised survey link, which should only be completed by one person within your organisation. </w:t>
      </w:r>
      <w:r w:rsidRPr="00820C89">
        <w:rPr>
          <w:rFonts w:asciiTheme="minorHAnsi" w:hAnsiTheme="minorHAnsi" w:cstheme="minorHAnsi"/>
        </w:rPr>
        <w:t>If you are not the most appropriate person to complete the survey, you can forward it onto someone else involved in the delivery of the Indigenous Employment Programs, however it should not be sent to multiple people. If the link is accessed by multiple people, previous responses will be overridden.</w:t>
      </w:r>
    </w:p>
    <w:p w14:paraId="2EDFC825" w14:textId="77777777" w:rsidR="00C1765C" w:rsidRPr="00820C89" w:rsidRDefault="00C1765C" w:rsidP="00C1765C">
      <w:pPr>
        <w:shd w:val="clear" w:color="auto" w:fill="FFFFFF"/>
        <w:spacing w:before="240" w:line="240" w:lineRule="auto"/>
        <w:contextualSpacing/>
        <w:rPr>
          <w:b/>
          <w:color w:val="86BC25" w:themeColor="accent1"/>
        </w:rPr>
      </w:pPr>
      <w:r w:rsidRPr="00820C89">
        <w:rPr>
          <w:b/>
          <w:color w:val="86BC25" w:themeColor="accent1"/>
        </w:rPr>
        <w:t>How does the COVID-19 pandemic impact the survey?</w:t>
      </w:r>
    </w:p>
    <w:p w14:paraId="5A0E0410" w14:textId="77777777" w:rsidR="00C1765C" w:rsidRPr="00820C89" w:rsidRDefault="00C1765C" w:rsidP="00C1765C">
      <w:pPr>
        <w:shd w:val="clear" w:color="auto" w:fill="FFFFFF"/>
        <w:spacing w:before="240" w:line="240" w:lineRule="auto"/>
        <w:contextualSpacing/>
      </w:pPr>
      <w:r w:rsidRPr="00820C89">
        <w:t xml:space="preserve">We understand that many providers have been profoundly impacted by the ongoing COVID-19 pandemic. Whilst there is considerable uncertainty, employment programs are likely to be a priority in the future as the pandemic influence’s employment opportunities for Australians. </w:t>
      </w:r>
    </w:p>
    <w:p w14:paraId="66BEC4BC" w14:textId="77777777" w:rsidR="00C1765C" w:rsidRPr="00820C89" w:rsidRDefault="00C1765C" w:rsidP="00C1765C">
      <w:pPr>
        <w:shd w:val="clear" w:color="auto" w:fill="FFFFFF"/>
        <w:spacing w:before="240" w:line="240" w:lineRule="auto"/>
        <w:contextualSpacing/>
      </w:pPr>
    </w:p>
    <w:p w14:paraId="3F8E41DB" w14:textId="77777777" w:rsidR="00C1765C" w:rsidRPr="00820C89" w:rsidRDefault="00C1765C" w:rsidP="00C1765C">
      <w:pPr>
        <w:shd w:val="clear" w:color="auto" w:fill="FFFFFF"/>
        <w:spacing w:before="240" w:line="240" w:lineRule="auto"/>
        <w:contextualSpacing/>
      </w:pPr>
      <w:r w:rsidRPr="00820C89">
        <w:t>We ask that for Sections 1-4 of this survey you base your responses on how your organisation was operating in the second half of 2019 (before the pandemic’s impact was felt in Australia). We know that this is a strange way to fill in a survey, but we ask this so that we can get the best information to make the best decisions in the future. Finally, in Section 5 of this survey we will ask you to directly consider how the pandemic has impacted your organisation.</w:t>
      </w:r>
    </w:p>
    <w:p w14:paraId="4F813511" w14:textId="77777777" w:rsidR="00C1765C" w:rsidRPr="00820C89" w:rsidRDefault="00C1765C" w:rsidP="00C1765C">
      <w:pPr>
        <w:shd w:val="clear" w:color="auto" w:fill="FFFFFF"/>
        <w:spacing w:before="240" w:line="240" w:lineRule="auto"/>
        <w:contextualSpacing/>
      </w:pPr>
    </w:p>
    <w:p w14:paraId="2ADDA418" w14:textId="77777777" w:rsidR="00C1765C" w:rsidRPr="00820C89" w:rsidRDefault="00C1765C" w:rsidP="00C1765C">
      <w:pPr>
        <w:rPr>
          <w:rFonts w:asciiTheme="minorHAnsi" w:hAnsiTheme="minorHAnsi" w:cstheme="minorHAnsi"/>
        </w:rPr>
      </w:pPr>
      <w:r w:rsidRPr="00820C89">
        <w:t xml:space="preserve">The survey will be open from the [insert date] 2020 until the [insert date] 2020. </w:t>
      </w:r>
      <w:r w:rsidRPr="00820C89">
        <w:rPr>
          <w:rFonts w:asciiTheme="minorHAnsi" w:hAnsiTheme="minorHAnsi" w:cstheme="minorHAnsi"/>
        </w:rPr>
        <w:t xml:space="preserve">If you have any questions regarding the survey, please contact the Deloitte Access Economics team by email </w:t>
      </w:r>
      <w:hyperlink r:id="rId127" w:history="1">
        <w:r w:rsidRPr="00820C89">
          <w:rPr>
            <w:rStyle w:val="Hyperlink"/>
            <w:rFonts w:asciiTheme="minorHAnsi" w:hAnsiTheme="minorHAnsi" w:cstheme="minorHAnsi"/>
          </w:rPr>
          <w:t>NIAAevaluation@deloitte.com.au</w:t>
        </w:r>
      </w:hyperlink>
      <w:r w:rsidRPr="00820C89">
        <w:rPr>
          <w:rFonts w:asciiTheme="minorHAnsi" w:hAnsiTheme="minorHAnsi" w:cstheme="minorHAnsi"/>
        </w:rPr>
        <w:t>.</w:t>
      </w:r>
    </w:p>
    <w:p w14:paraId="13ECFB2C" w14:textId="77777777" w:rsidR="00C1765C" w:rsidRPr="00820C89" w:rsidRDefault="00C1765C" w:rsidP="00C1765C">
      <w:pPr>
        <w:rPr>
          <w:rFonts w:asciiTheme="minorHAnsi" w:hAnsiTheme="minorHAnsi" w:cstheme="minorHAnsi"/>
        </w:rPr>
      </w:pPr>
      <w:r w:rsidRPr="00820C89">
        <w:rPr>
          <w:rFonts w:asciiTheme="minorHAnsi" w:hAnsiTheme="minorHAnsi" w:cstheme="minorHAnsi"/>
        </w:rPr>
        <w:t xml:space="preserve">Please see the attached participant information sheet for information about how your information will be handled. If you complete and submit this survey, we will assume this is consent for your information to be used by the evaluation in line with the protocols outlined in the attached sheet. </w:t>
      </w:r>
    </w:p>
    <w:p w14:paraId="056C8148" w14:textId="77777777" w:rsidR="00C1765C" w:rsidRPr="00820C89" w:rsidRDefault="00C1765C" w:rsidP="00C1765C">
      <w:pPr>
        <w:rPr>
          <w:rFonts w:asciiTheme="minorHAnsi" w:hAnsiTheme="minorHAnsi" w:cstheme="minorHAnsi"/>
        </w:rPr>
      </w:pPr>
      <w:r w:rsidRPr="00820C89">
        <w:rPr>
          <w:rFonts w:asciiTheme="minorHAnsi" w:hAnsiTheme="minorHAnsi" w:cstheme="minorHAnsi"/>
        </w:rPr>
        <w:t>Thank you for your assistance,</w:t>
      </w:r>
    </w:p>
    <w:p w14:paraId="2EA866C6" w14:textId="77777777" w:rsidR="00C1765C" w:rsidRPr="00820C89" w:rsidRDefault="00C1765C" w:rsidP="00C1765C">
      <w:pPr>
        <w:rPr>
          <w:rFonts w:asciiTheme="minorHAnsi" w:hAnsiTheme="minorHAnsi" w:cstheme="minorHAnsi"/>
        </w:rPr>
      </w:pPr>
      <w:r w:rsidRPr="00820C89">
        <w:rPr>
          <w:rFonts w:asciiTheme="minorHAnsi" w:hAnsiTheme="minorHAnsi" w:cstheme="minorHAnsi"/>
        </w:rPr>
        <w:t>The Deloitte Access Economics Evaluation Team</w:t>
      </w:r>
    </w:p>
    <w:p w14:paraId="0D7B7593" w14:textId="77777777" w:rsidR="00C1765C" w:rsidRPr="00820C89" w:rsidRDefault="00C1765C" w:rsidP="00C1765C">
      <w:pPr>
        <w:spacing w:after="0"/>
        <w:rPr>
          <w:rFonts w:eastAsiaTheme="majorEastAsia" w:cstheme="majorBidi"/>
          <w:b/>
          <w:color w:val="62B5E5" w:themeColor="accent3"/>
          <w:szCs w:val="26"/>
        </w:rPr>
      </w:pPr>
      <w:r w:rsidRPr="00820C89">
        <w:br w:type="page"/>
      </w:r>
    </w:p>
    <w:p w14:paraId="545A525B" w14:textId="77777777" w:rsidR="00C1765C" w:rsidRPr="00820C89" w:rsidRDefault="00C1765C" w:rsidP="00C1765C">
      <w:pPr>
        <w:pStyle w:val="Heading2un-numbered"/>
      </w:pPr>
      <w:bookmarkStart w:id="557" w:name="_Toc82694530"/>
      <w:bookmarkStart w:id="558" w:name="_Toc82710827"/>
      <w:bookmarkStart w:id="559" w:name="_Toc101343354"/>
      <w:r w:rsidRPr="00820C89">
        <w:lastRenderedPageBreak/>
        <w:t>TAEG and VTEC provider/employer survey</w:t>
      </w:r>
      <w:bookmarkEnd w:id="557"/>
      <w:bookmarkEnd w:id="558"/>
      <w:bookmarkEnd w:id="559"/>
    </w:p>
    <w:p w14:paraId="2816519D" w14:textId="77777777" w:rsidR="00C1765C" w:rsidRPr="00820C89" w:rsidRDefault="00C1765C" w:rsidP="00C1765C">
      <w:pPr>
        <w:rPr>
          <w:b/>
          <w:color w:val="92D050"/>
        </w:rPr>
      </w:pPr>
      <w:r w:rsidRPr="00820C89">
        <w:rPr>
          <w:b/>
          <w:color w:val="92D050"/>
        </w:rPr>
        <w:t xml:space="preserve">Section 1: Your organisation </w:t>
      </w:r>
    </w:p>
    <w:p w14:paraId="7B45C4BB"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What is the name of your organisation? </w:t>
      </w:r>
      <w:r w:rsidRPr="00820C89">
        <w:rPr>
          <w:i/>
        </w:rPr>
        <w:t xml:space="preserve">Drop down list of providers. </w:t>
      </w:r>
    </w:p>
    <w:p w14:paraId="3E992BD3"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Which of the below Indigenous Employment Programs does your organisation deliver? </w:t>
      </w:r>
      <w:r w:rsidRPr="00820C89">
        <w:rPr>
          <w:i/>
        </w:rPr>
        <w:t xml:space="preserve">Drop down of TAEG, VTEC or both. </w:t>
      </w:r>
    </w:p>
    <w:p w14:paraId="15331B17"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Is your organisation also a direct employer of participants? </w:t>
      </w:r>
      <w:r w:rsidRPr="00820C89">
        <w:rPr>
          <w:i/>
          <w:iCs/>
        </w:rPr>
        <w:t>Yes/No.</w:t>
      </w:r>
    </w:p>
    <w:p w14:paraId="64A3083C"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How long has your organisation been delivering an IEP for? </w:t>
      </w:r>
      <w:r w:rsidRPr="00820C89">
        <w:rPr>
          <w:i/>
        </w:rPr>
        <w:t xml:space="preserve">Years and months option for numerical filling. </w:t>
      </w:r>
    </w:p>
    <w:p w14:paraId="5D7FDF8E"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In which NIAA region(s) do you currently deliver programs? </w:t>
      </w:r>
      <w:r w:rsidRPr="00820C89">
        <w:rPr>
          <w:i/>
        </w:rPr>
        <w:t xml:space="preserve">Check list of NIAA regions. </w:t>
      </w:r>
    </w:p>
    <w:p w14:paraId="0DB02ACC"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Do you deliver broader programs beyond TAEG or VTEC? If so, please describe. </w:t>
      </w:r>
      <w:r w:rsidRPr="00820C89">
        <w:rPr>
          <w:i/>
        </w:rPr>
        <w:t>Open text box.</w:t>
      </w:r>
    </w:p>
    <w:p w14:paraId="3A669047" w14:textId="77777777" w:rsidR="00C1765C" w:rsidRPr="00820C89" w:rsidRDefault="00C1765C" w:rsidP="00C1765C">
      <w:pPr>
        <w:rPr>
          <w:b/>
          <w:color w:val="92D050"/>
        </w:rPr>
      </w:pPr>
      <w:r w:rsidRPr="00820C89">
        <w:rPr>
          <w:b/>
          <w:color w:val="92D050"/>
        </w:rPr>
        <w:t xml:space="preserve">Section 2: Program delivery </w:t>
      </w:r>
    </w:p>
    <w:p w14:paraId="0BB9C82A" w14:textId="77777777" w:rsidR="00C1765C" w:rsidRPr="00820C89" w:rsidRDefault="00C1765C" w:rsidP="00C1765C">
      <w:pPr>
        <w:rPr>
          <w:b/>
          <w:color w:val="00B0F0"/>
        </w:rPr>
      </w:pPr>
      <w:r w:rsidRPr="00820C89">
        <w:rPr>
          <w:b/>
          <w:color w:val="00B0F0"/>
        </w:rPr>
        <w:t xml:space="preserve">Program design and implementation </w:t>
      </w:r>
    </w:p>
    <w:p w14:paraId="7140BAF6"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To what extent have the following inputs influenced the way the IEP is delivered by your organisation?</w:t>
      </w:r>
    </w:p>
    <w:p w14:paraId="5B51690D"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Community feedback (including that of community organisations and / or elders) </w:t>
      </w:r>
    </w:p>
    <w:p w14:paraId="5D37F0F6"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Participant feedback</w:t>
      </w:r>
    </w:p>
    <w:p w14:paraId="4623F405"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Employer feedback – </w:t>
      </w:r>
      <w:r w:rsidRPr="00820C89">
        <w:rPr>
          <w:i/>
          <w:iCs/>
        </w:rPr>
        <w:t>note, this option would not come up for those that ticked they were also an employer.</w:t>
      </w:r>
    </w:p>
    <w:p w14:paraId="6C5537CF"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Organisational / employee experience</w:t>
      </w:r>
    </w:p>
    <w:p w14:paraId="1C4AF1CB"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NIAA regional guidance</w:t>
      </w:r>
    </w:p>
    <w:p w14:paraId="022ABA50" w14:textId="77777777" w:rsidR="00C1765C" w:rsidRPr="00820C89" w:rsidRDefault="00C1765C" w:rsidP="00C1765C">
      <w:pPr>
        <w:spacing w:before="120" w:after="120"/>
        <w:ind w:left="357"/>
        <w:rPr>
          <w:i/>
        </w:rPr>
      </w:pPr>
      <w:r w:rsidRPr="00820C89">
        <w:rPr>
          <w:i/>
        </w:rPr>
        <w:t xml:space="preserve">Scale from 1-10, no influence to significant influence. </w:t>
      </w:r>
    </w:p>
    <w:p w14:paraId="3C3A4011"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To what extent does the implementation of the program differ in accordance to the following? (If applicable)</w:t>
      </w:r>
    </w:p>
    <w:p w14:paraId="21B89E14"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Employer industry – </w:t>
      </w:r>
      <w:r w:rsidRPr="00820C89">
        <w:rPr>
          <w:i/>
          <w:iCs/>
        </w:rPr>
        <w:t>note, this option would not come up for those that ticked they were also an employer.</w:t>
      </w:r>
    </w:p>
    <w:p w14:paraId="42951DD6"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Employer location – </w:t>
      </w:r>
      <w:r w:rsidRPr="00820C89">
        <w:rPr>
          <w:i/>
          <w:iCs/>
        </w:rPr>
        <w:t>note, this option would not come up for those that ticked they were also an employer.</w:t>
      </w:r>
      <w:r w:rsidRPr="00820C89">
        <w:t xml:space="preserve"> </w:t>
      </w:r>
    </w:p>
    <w:p w14:paraId="6DA679E6"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Job-seeker level of education </w:t>
      </w:r>
    </w:p>
    <w:p w14:paraId="269F609F"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Job-seeker level of employment experience  </w:t>
      </w:r>
    </w:p>
    <w:p w14:paraId="4B4A752C"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Job-seeker involvement in other employment programs</w:t>
      </w:r>
    </w:p>
    <w:p w14:paraId="027E08C8"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Job-seeker level of motivation / expectations</w:t>
      </w:r>
    </w:p>
    <w:p w14:paraId="3823946F" w14:textId="77777777" w:rsidR="00C1765C" w:rsidRPr="00820C89" w:rsidRDefault="00C1765C" w:rsidP="00C1765C">
      <w:pPr>
        <w:spacing w:before="120" w:after="120"/>
        <w:ind w:left="357"/>
        <w:rPr>
          <w:i/>
        </w:rPr>
      </w:pPr>
      <w:r w:rsidRPr="00820C89">
        <w:rPr>
          <w:i/>
        </w:rPr>
        <w:t xml:space="preserve">Scale from 1-10, little change to significant change. </w:t>
      </w:r>
    </w:p>
    <w:p w14:paraId="48022D82" w14:textId="77777777" w:rsidR="00C1765C" w:rsidRPr="00820C89" w:rsidRDefault="00C1765C" w:rsidP="00C1765C">
      <w:pPr>
        <w:spacing w:before="120" w:after="120"/>
        <w:ind w:left="357"/>
        <w:rPr>
          <w:i/>
        </w:rPr>
      </w:pPr>
      <w:r w:rsidRPr="00820C89">
        <w:rPr>
          <w:i/>
        </w:rPr>
        <w:t xml:space="preserve">Free text box where significant change is picked, “Can you tell us more about this?”. </w:t>
      </w:r>
    </w:p>
    <w:p w14:paraId="1698B423"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To what extent have the following factors supported implementation, or proved challenging to implementation? </w:t>
      </w:r>
    </w:p>
    <w:p w14:paraId="7B43695E"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Funding arrangements</w:t>
      </w:r>
    </w:p>
    <w:p w14:paraId="642E465D"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Availability of quality staff</w:t>
      </w:r>
    </w:p>
    <w:p w14:paraId="5E4E4A81"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Community awareness </w:t>
      </w:r>
    </w:p>
    <w:p w14:paraId="7C8D2634"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Other employment programs – </w:t>
      </w:r>
      <w:r w:rsidRPr="00820C89">
        <w:rPr>
          <w:i/>
          <w:iCs/>
        </w:rPr>
        <w:t>note, this option would not come up for those that ticked they were also an employer.</w:t>
      </w:r>
    </w:p>
    <w:p w14:paraId="4DFF95F2"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Relationships with employers– </w:t>
      </w:r>
      <w:r w:rsidRPr="00820C89">
        <w:rPr>
          <w:i/>
          <w:iCs/>
        </w:rPr>
        <w:t>note, this option would not come up for those that ticked they were also an employer.</w:t>
      </w:r>
    </w:p>
    <w:p w14:paraId="612844E5"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lastRenderedPageBreak/>
        <w:t>Guidance from the NIAA</w:t>
      </w:r>
    </w:p>
    <w:p w14:paraId="60E7F92E" w14:textId="77777777" w:rsidR="00C1765C" w:rsidRPr="00820C89" w:rsidRDefault="00C1765C" w:rsidP="00C1765C">
      <w:pPr>
        <w:spacing w:before="120" w:after="120"/>
        <w:ind w:left="357"/>
        <w:rPr>
          <w:i/>
        </w:rPr>
      </w:pPr>
      <w:r w:rsidRPr="00820C89">
        <w:rPr>
          <w:i/>
        </w:rPr>
        <w:t xml:space="preserve">Scale from 1-10, significant implementation challenge to significant enabler in successful implementation </w:t>
      </w:r>
    </w:p>
    <w:p w14:paraId="3E4F3A72" w14:textId="77777777" w:rsidR="00C1765C" w:rsidRPr="00820C89" w:rsidRDefault="00C1765C" w:rsidP="00C1765C">
      <w:pPr>
        <w:spacing w:before="120" w:after="120"/>
        <w:ind w:left="357"/>
        <w:rPr>
          <w:i/>
        </w:rPr>
      </w:pPr>
      <w:r w:rsidRPr="00820C89">
        <w:rPr>
          <w:i/>
        </w:rPr>
        <w:t xml:space="preserve">Free text box where an extreme answer (1-3, or 7-10) is picked, “Can you tell us more about this?”. </w:t>
      </w:r>
    </w:p>
    <w:p w14:paraId="0081EE00" w14:textId="77777777" w:rsidR="00C1765C" w:rsidRPr="00820C89" w:rsidRDefault="00C1765C" w:rsidP="00C1765C">
      <w:pPr>
        <w:rPr>
          <w:b/>
          <w:color w:val="00B0F0"/>
        </w:rPr>
      </w:pPr>
      <w:r w:rsidRPr="00820C89">
        <w:rPr>
          <w:b/>
          <w:color w:val="00B0F0"/>
        </w:rPr>
        <w:t>Program activities</w:t>
      </w:r>
    </w:p>
    <w:p w14:paraId="13942D86"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Thinking back to the last six months of 2019, approximately how much of your organisation’s effort would have been spent working across the following activities?</w:t>
      </w:r>
    </w:p>
    <w:p w14:paraId="36A33803"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Working directly with program participants</w:t>
      </w:r>
    </w:p>
    <w:p w14:paraId="2EA89143"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Working with other providers (i.e. jobactive, Disability Employment Services, Community Development Program)</w:t>
      </w:r>
    </w:p>
    <w:p w14:paraId="13D9821F"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Working with employers – </w:t>
      </w:r>
      <w:r w:rsidRPr="00820C89">
        <w:rPr>
          <w:i/>
          <w:iCs/>
        </w:rPr>
        <w:t>note, this option would not come up for those that ticked they were also an employer.</w:t>
      </w:r>
    </w:p>
    <w:p w14:paraId="1A619D61"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Working with community organisations or leaders </w:t>
      </w:r>
    </w:p>
    <w:p w14:paraId="2DDF5BF8" w14:textId="77777777" w:rsidR="00C1765C" w:rsidRPr="00820C89" w:rsidRDefault="00C1765C" w:rsidP="00C1765C">
      <w:pPr>
        <w:spacing w:before="120" w:after="120"/>
        <w:ind w:left="357"/>
        <w:rPr>
          <w:i/>
        </w:rPr>
      </w:pPr>
      <w:r w:rsidRPr="00820C89">
        <w:rPr>
          <w:i/>
        </w:rPr>
        <w:t xml:space="preserve">Boxes that allow a % of effort to be input across the four categories, adding to 100%. </w:t>
      </w:r>
    </w:p>
    <w:p w14:paraId="6CD808BD" w14:textId="77777777" w:rsidR="00C1765C" w:rsidRPr="00820C89" w:rsidRDefault="00C1765C" w:rsidP="00C1765C">
      <w:pPr>
        <w:spacing w:before="120" w:after="120"/>
        <w:rPr>
          <w:i/>
        </w:rPr>
      </w:pPr>
      <w:r w:rsidRPr="00820C89">
        <w:rPr>
          <w:i/>
        </w:rPr>
        <w:t xml:space="preserve">Following questions only asked if more than 0% picked for each category. </w:t>
      </w:r>
    </w:p>
    <w:p w14:paraId="36D43E16"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Does your organisation deliver the following?</w:t>
      </w:r>
    </w:p>
    <w:p w14:paraId="075E9C8D"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Pre-employment support, if so – which activities </w:t>
      </w:r>
    </w:p>
    <w:p w14:paraId="53A8766F"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Case management support or mentoring</w:t>
      </w:r>
    </w:p>
    <w:p w14:paraId="00D4566C"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 xml:space="preserve">Referrals to other agencies / organisations </w:t>
      </w:r>
    </w:p>
    <w:p w14:paraId="6D041565"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Resume and interview advice</w:t>
      </w:r>
    </w:p>
    <w:p w14:paraId="50B5AB51"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Job information sessions</w:t>
      </w:r>
    </w:p>
    <w:p w14:paraId="647A2FE5"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Preparing a training and support plan</w:t>
      </w:r>
    </w:p>
    <w:p w14:paraId="3E8C4C7E"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English language training</w:t>
      </w:r>
    </w:p>
    <w:p w14:paraId="275F519F"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 xml:space="preserve">Literacy and numeracy skills  </w:t>
      </w:r>
    </w:p>
    <w:p w14:paraId="0ECAFE0E"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Overview of workplace expectations</w:t>
      </w:r>
    </w:p>
    <w:p w14:paraId="1C8128E5"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Other (please specify)</w:t>
      </w:r>
    </w:p>
    <w:p w14:paraId="220A8973" w14:textId="77777777" w:rsidR="00C1765C" w:rsidRPr="00820C89" w:rsidRDefault="00C1765C" w:rsidP="00C1765C">
      <w:pPr>
        <w:rPr>
          <w:b/>
          <w:bCs/>
          <w:color w:val="92D050"/>
        </w:rPr>
      </w:pPr>
      <w:r w:rsidRPr="00820C89">
        <w:t>If tick a box, asked for extent from some participants to most participants.</w:t>
      </w:r>
    </w:p>
    <w:p w14:paraId="0947B35C"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Vocational training, if so – how is this delivered?  </w:t>
      </w:r>
    </w:p>
    <w:p w14:paraId="1EB874D7"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Participants referred to third-party registered training provider</w:t>
      </w:r>
    </w:p>
    <w:p w14:paraId="25671A39"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Funding allocated to participants to access vocational training from a registered third-party training provider</w:t>
      </w:r>
    </w:p>
    <w:p w14:paraId="7F65C66F"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TAEG / VTEC provider delivers training course</w:t>
      </w:r>
    </w:p>
    <w:p w14:paraId="7E7A8655" w14:textId="77777777" w:rsidR="00C1765C" w:rsidRPr="00820C89" w:rsidRDefault="00C1765C" w:rsidP="00C1765C">
      <w:pPr>
        <w:pStyle w:val="ListParagraph"/>
        <w:spacing w:before="120" w:after="120" w:line="259" w:lineRule="auto"/>
        <w:ind w:left="1088"/>
        <w:contextualSpacing w:val="0"/>
        <w:rPr>
          <w:i/>
          <w:iCs/>
        </w:rPr>
      </w:pPr>
      <w:r w:rsidRPr="00820C89">
        <w:rPr>
          <w:i/>
          <w:iCs/>
        </w:rPr>
        <w:t>What level of certifications are offered?</w:t>
      </w:r>
    </w:p>
    <w:p w14:paraId="3D806E61"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 xml:space="preserve">Certificate I </w:t>
      </w:r>
    </w:p>
    <w:p w14:paraId="031750B0"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Certificate II</w:t>
      </w:r>
    </w:p>
    <w:p w14:paraId="307F346C"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Certificate III</w:t>
      </w:r>
    </w:p>
    <w:p w14:paraId="1B0AEDD4"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 xml:space="preserve">Certificate IV </w:t>
      </w:r>
    </w:p>
    <w:p w14:paraId="0D52994A" w14:textId="77777777" w:rsidR="00C1765C" w:rsidRPr="00820C89" w:rsidRDefault="00C1765C" w:rsidP="00C1765C">
      <w:pPr>
        <w:spacing w:before="120" w:after="120" w:line="259" w:lineRule="auto"/>
        <w:ind w:left="907"/>
      </w:pPr>
    </w:p>
    <w:p w14:paraId="34CF52FF"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Participant recruitment or information sessions, if so –</w:t>
      </w:r>
    </w:p>
    <w:p w14:paraId="10AFD370"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 xml:space="preserve">How many in an average month? </w:t>
      </w:r>
      <w:r w:rsidRPr="00820C89">
        <w:rPr>
          <w:i/>
        </w:rPr>
        <w:t>Numerical text box</w:t>
      </w:r>
    </w:p>
    <w:p w14:paraId="444F1826"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lastRenderedPageBreak/>
        <w:t xml:space="preserve">Support to participants during employment? If so – which activities  </w:t>
      </w:r>
    </w:p>
    <w:p w14:paraId="295E46F1"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Workplace familiarisation</w:t>
      </w:r>
    </w:p>
    <w:p w14:paraId="20D45CED"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 xml:space="preserve">Issues management </w:t>
      </w:r>
    </w:p>
    <w:p w14:paraId="0DFDAD9E"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Employee mentoring</w:t>
      </w:r>
    </w:p>
    <w:p w14:paraId="57FA3EBE"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 xml:space="preserve">Aspiration building  </w:t>
      </w:r>
    </w:p>
    <w:p w14:paraId="3645EFA4" w14:textId="77777777" w:rsidR="00C1765C" w:rsidRPr="00820C89" w:rsidRDefault="00C1765C" w:rsidP="00715F70">
      <w:pPr>
        <w:pStyle w:val="ListParagraph"/>
        <w:numPr>
          <w:ilvl w:val="0"/>
          <w:numId w:val="162"/>
        </w:numPr>
        <w:spacing w:before="170"/>
        <w:ind w:left="360"/>
        <w:rPr>
          <w:b/>
          <w:color w:val="92D050"/>
        </w:rPr>
      </w:pPr>
      <w:r w:rsidRPr="00820C89">
        <w:t xml:space="preserve">On average, how many hours per participant does your organisation spend delivering support through the following channels? </w:t>
      </w:r>
      <w:r w:rsidRPr="00820C89">
        <w:rPr>
          <w:i/>
        </w:rPr>
        <w:t>Numerical text box</w:t>
      </w:r>
    </w:p>
    <w:p w14:paraId="340740A5"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Face-to-face</w:t>
      </w:r>
    </w:p>
    <w:p w14:paraId="1547BA28"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Phone</w:t>
      </w:r>
    </w:p>
    <w:p w14:paraId="7BBD5D8E"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Online / email</w:t>
      </w:r>
    </w:p>
    <w:p w14:paraId="2ABB064D" w14:textId="77777777" w:rsidR="00C1765C" w:rsidRPr="00820C89" w:rsidRDefault="00C1765C" w:rsidP="00715F70">
      <w:pPr>
        <w:pStyle w:val="ListParagraph"/>
        <w:numPr>
          <w:ilvl w:val="2"/>
          <w:numId w:val="162"/>
        </w:numPr>
        <w:spacing w:before="120" w:after="120" w:line="259" w:lineRule="auto"/>
        <w:ind w:left="1088" w:hanging="181"/>
        <w:contextualSpacing w:val="0"/>
      </w:pPr>
      <w:r w:rsidRPr="00820C89">
        <w:t>Other</w:t>
      </w:r>
    </w:p>
    <w:p w14:paraId="63ED793C" w14:textId="77777777" w:rsidR="00C1765C" w:rsidRPr="00820C89" w:rsidRDefault="00C1765C" w:rsidP="00C1765C">
      <w:pPr>
        <w:rPr>
          <w:b/>
          <w:color w:val="92D050"/>
        </w:rPr>
      </w:pPr>
      <w:r w:rsidRPr="00820C89">
        <w:rPr>
          <w:b/>
          <w:color w:val="92D050"/>
        </w:rPr>
        <w:t xml:space="preserve">Section 3: Program impact   </w:t>
      </w:r>
    </w:p>
    <w:p w14:paraId="2850D4A8"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Which components of the program delivered by your organisation do you feel are the most effective in supporting participants into sustainable employment? </w:t>
      </w:r>
      <w:r w:rsidRPr="00820C89">
        <w:rPr>
          <w:i/>
        </w:rPr>
        <w:t xml:space="preserve">Pick top </w:t>
      </w:r>
      <w:r w:rsidRPr="00820C89">
        <w:rPr>
          <w:i/>
          <w:iCs/>
        </w:rPr>
        <w:t>two</w:t>
      </w:r>
      <w:r w:rsidRPr="00820C89">
        <w:rPr>
          <w:i/>
        </w:rPr>
        <w:t xml:space="preserve">, with text box to say why. </w:t>
      </w:r>
    </w:p>
    <w:p w14:paraId="3FFAED0D"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Pre-employment support</w:t>
      </w:r>
    </w:p>
    <w:p w14:paraId="1864D228"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Vocational training</w:t>
      </w:r>
    </w:p>
    <w:p w14:paraId="6EDF187A"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Ongoing employment support</w:t>
      </w:r>
    </w:p>
    <w:p w14:paraId="7FBAF940"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Relationships with employers  – </w:t>
      </w:r>
      <w:r w:rsidRPr="00820C89">
        <w:rPr>
          <w:i/>
          <w:iCs/>
        </w:rPr>
        <w:t>note, this option would not come up for those that ticked they were also an employer.</w:t>
      </w:r>
    </w:p>
    <w:p w14:paraId="42F9130C"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Relationships with other participants </w:t>
      </w:r>
    </w:p>
    <w:p w14:paraId="685C8481"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 To what extent have you observed participation in the program leading to the following outcomes for </w:t>
      </w:r>
      <w:r w:rsidRPr="00820C89">
        <w:rPr>
          <w:i/>
        </w:rPr>
        <w:t>participants?</w:t>
      </w:r>
      <w:r w:rsidRPr="00820C89">
        <w:t xml:space="preserve">  </w:t>
      </w:r>
      <w:r w:rsidRPr="00820C89">
        <w:rPr>
          <w:i/>
          <w:iCs/>
        </w:rPr>
        <w:t xml:space="preserve">Scale from 1-10 from no observation to consistently high observations. </w:t>
      </w:r>
    </w:p>
    <w:p w14:paraId="40543E34"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Improved soft-skills (e.g. problem solving, critical thinking, communication skills)</w:t>
      </w:r>
    </w:p>
    <w:p w14:paraId="7AE31599"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Increased engagement in lifelong learning</w:t>
      </w:r>
    </w:p>
    <w:p w14:paraId="74C07E13"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Improved physical health and wellbeing</w:t>
      </w:r>
    </w:p>
    <w:p w14:paraId="17B18389"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Improved mental health/wellbeing</w:t>
      </w:r>
    </w:p>
    <w:p w14:paraId="100FD027"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Increased self-confidence and self esteem</w:t>
      </w:r>
    </w:p>
    <w:p w14:paraId="49B1102E"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Greater life satisfaction</w:t>
      </w:r>
    </w:p>
    <w:p w14:paraId="28C68E67"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Increased social networks</w:t>
      </w:r>
    </w:p>
    <w:p w14:paraId="6451C927"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Increased support networks (such as increased connections to social security or health providers)</w:t>
      </w:r>
    </w:p>
    <w:p w14:paraId="309EBECD"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Increased likelihood of accessing employment support in the future</w:t>
      </w:r>
    </w:p>
    <w:p w14:paraId="550A8BF3"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Improved outcomes for participant’s family (e.g. partner, children, dependants)</w:t>
      </w:r>
    </w:p>
    <w:p w14:paraId="10A7BC14"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Improved economic security</w:t>
      </w:r>
    </w:p>
    <w:p w14:paraId="0DE6F3BB"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To what extent have you observed participation in the program leading to the following outcomes for </w:t>
      </w:r>
      <w:r w:rsidRPr="00820C89">
        <w:rPr>
          <w:i/>
        </w:rPr>
        <w:t>employers?</w:t>
      </w:r>
      <w:r w:rsidRPr="00820C89">
        <w:t xml:space="preserve"> </w:t>
      </w:r>
      <w:r w:rsidRPr="00820C89">
        <w:rPr>
          <w:i/>
          <w:iCs/>
        </w:rPr>
        <w:t>Scale from 1-10 from no observation to consistently high observations.</w:t>
      </w:r>
    </w:p>
    <w:p w14:paraId="702103B4" w14:textId="77777777" w:rsidR="00C1765C" w:rsidRPr="00820C89" w:rsidRDefault="00C1765C" w:rsidP="00C1765C">
      <w:pPr>
        <w:pStyle w:val="ListParagraph"/>
        <w:spacing w:before="120" w:after="120" w:line="259" w:lineRule="auto"/>
        <w:ind w:left="357"/>
        <w:contextualSpacing w:val="0"/>
      </w:pPr>
      <w:r w:rsidRPr="00820C89">
        <w:rPr>
          <w:i/>
          <w:iCs/>
        </w:rPr>
        <w:t xml:space="preserve">Note, for providers that ticked that they were also a direct employer, this questions would state ‘to what extent have you observed participation in the program leading to the following outcomes for your company’. </w:t>
      </w:r>
    </w:p>
    <w:p w14:paraId="3D980820"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Increased likelihood of hiring Indigenous jobseekers in the future</w:t>
      </w:r>
    </w:p>
    <w:p w14:paraId="0C7C97A8"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lastRenderedPageBreak/>
        <w:t xml:space="preserve">Increased cultural competency </w:t>
      </w:r>
    </w:p>
    <w:p w14:paraId="22D2CE51"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Increased understanding of Indigenous culture</w:t>
      </w:r>
    </w:p>
    <w:p w14:paraId="0C41BB71"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To what extent have you observed participation in the program leading to the following outcomes for </w:t>
      </w:r>
      <w:r w:rsidRPr="00820C89">
        <w:rPr>
          <w:i/>
        </w:rPr>
        <w:t>communities?</w:t>
      </w:r>
      <w:r w:rsidRPr="00820C89">
        <w:t xml:space="preserve"> </w:t>
      </w:r>
      <w:r w:rsidRPr="00820C89">
        <w:rPr>
          <w:i/>
          <w:iCs/>
        </w:rPr>
        <w:t>Scale from 1-10 from no observation to consistently high observations.</w:t>
      </w:r>
    </w:p>
    <w:p w14:paraId="50C09280"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Increased collaboration between local government and organisations (e.g. community organisations and service providers)</w:t>
      </w:r>
    </w:p>
    <w:p w14:paraId="06C1180A"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Increased collaboration between Indigenous and non-Indigenous people</w:t>
      </w:r>
    </w:p>
    <w:p w14:paraId="38C3DB73"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Enhanced social cohesion and inclusivity</w:t>
      </w:r>
    </w:p>
    <w:p w14:paraId="4CC69DDF"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Greater community resilience and ability to cope with social, economic and environmental change</w:t>
      </w:r>
    </w:p>
    <w:p w14:paraId="7AA35EB5"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Improved local economies or labour markets (e.g. local businesses have access to pool of local skilled workers)</w:t>
      </w:r>
    </w:p>
    <w:p w14:paraId="687538C4"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Reduced burdens on social security, the justice system and health system</w:t>
      </w:r>
    </w:p>
    <w:p w14:paraId="740FB082"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Reduced burdens on other social services in the region</w:t>
      </w:r>
    </w:p>
    <w:p w14:paraId="18F36E5B"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Which of the following (if any) do you believe most strongly enable the IEP to support jobseekers? </w:t>
      </w:r>
      <w:r w:rsidRPr="00820C89">
        <w:rPr>
          <w:i/>
          <w:iCs/>
        </w:rPr>
        <w:t>Pick up to three, and describe why.</w:t>
      </w:r>
    </w:p>
    <w:p w14:paraId="4DDD47BD"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Tailored support and mentoring</w:t>
      </w:r>
    </w:p>
    <w:p w14:paraId="3D15FDB8"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Fostering connections with the local community</w:t>
      </w:r>
    </w:p>
    <w:p w14:paraId="0FB35071"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Addressing work-preparedness challenges</w:t>
      </w:r>
    </w:p>
    <w:p w14:paraId="6D21B54C"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Encouraging employers to improve their cultural competency practices </w:t>
      </w:r>
    </w:p>
    <w:p w14:paraId="413511EE"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Creating flexible working arrangements for participants</w:t>
      </w:r>
    </w:p>
    <w:p w14:paraId="2BFDB1E7"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A focus on transparency and accountability</w:t>
      </w:r>
    </w:p>
    <w:p w14:paraId="3E9EA79C"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Leveraging other employment programs</w:t>
      </w:r>
    </w:p>
    <w:p w14:paraId="6790EA74"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Adopting a place-based approach</w:t>
      </w:r>
    </w:p>
    <w:p w14:paraId="3D7F5BBA" w14:textId="77777777" w:rsidR="00C1765C" w:rsidRPr="00820C89" w:rsidRDefault="00C1765C" w:rsidP="00C1765C">
      <w:pPr>
        <w:spacing w:before="120" w:after="120" w:line="259" w:lineRule="auto"/>
        <w:rPr>
          <w:i/>
          <w:iCs/>
        </w:rPr>
      </w:pPr>
      <w:r w:rsidRPr="00820C89">
        <w:rPr>
          <w:i/>
          <w:iCs/>
        </w:rPr>
        <w:t xml:space="preserve">The following question would only be asked to those providers that indicated they were an employer. </w:t>
      </w:r>
    </w:p>
    <w:p w14:paraId="59EEC483"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As an employer as well as a provider, do you choose to outsource any elements of TAEG program provision?  </w:t>
      </w:r>
    </w:p>
    <w:p w14:paraId="37F5BC8B"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If so, what which parts and why? </w:t>
      </w:r>
      <w:r w:rsidRPr="00820C89">
        <w:rPr>
          <w:i/>
          <w:iCs/>
        </w:rPr>
        <w:t>Free text</w:t>
      </w:r>
    </w:p>
    <w:p w14:paraId="694EEA00" w14:textId="77777777" w:rsidR="00C1765C" w:rsidRPr="00820C89" w:rsidRDefault="00C1765C" w:rsidP="00715F70">
      <w:pPr>
        <w:pStyle w:val="ListParagraph"/>
        <w:numPr>
          <w:ilvl w:val="1"/>
          <w:numId w:val="162"/>
        </w:numPr>
        <w:spacing w:before="120" w:after="120" w:line="259" w:lineRule="auto"/>
        <w:ind w:left="714" w:hanging="357"/>
        <w:contextualSpacing w:val="0"/>
      </w:pPr>
      <w:r w:rsidRPr="00820C89">
        <w:t xml:space="preserve">If not, what do you see as the key benefits of delivering the program internally? </w:t>
      </w:r>
      <w:r w:rsidRPr="00820C89">
        <w:rPr>
          <w:i/>
          <w:iCs/>
        </w:rPr>
        <w:t>Free text</w:t>
      </w:r>
    </w:p>
    <w:p w14:paraId="1373E31C" w14:textId="77777777" w:rsidR="00C1765C" w:rsidRPr="00820C89" w:rsidRDefault="00C1765C" w:rsidP="00C1765C">
      <w:pPr>
        <w:rPr>
          <w:b/>
          <w:color w:val="92D050"/>
        </w:rPr>
      </w:pPr>
      <w:r w:rsidRPr="00820C89">
        <w:rPr>
          <w:b/>
          <w:color w:val="92D050"/>
        </w:rPr>
        <w:t xml:space="preserve">Section 4: Suggestions for improvement </w:t>
      </w:r>
    </w:p>
    <w:p w14:paraId="5FDC6C3B"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How would you rate the success of the IEP compared to other job readiness/placement initiatives? </w:t>
      </w:r>
      <w:r w:rsidRPr="00820C89">
        <w:rPr>
          <w:i/>
        </w:rPr>
        <w:t xml:space="preserve">Scale from 1-10 with free text box asking for justification of rating. </w:t>
      </w:r>
    </w:p>
    <w:p w14:paraId="26310314"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How do you think the effectiveness of the program shifts over time or within different contexts? </w:t>
      </w:r>
      <w:r w:rsidRPr="00820C89">
        <w:rPr>
          <w:i/>
        </w:rPr>
        <w:t>Free text</w:t>
      </w:r>
    </w:p>
    <w:p w14:paraId="414FE278"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How do you think IEPs could be improved? </w:t>
      </w:r>
      <w:r w:rsidRPr="00820C89">
        <w:rPr>
          <w:i/>
        </w:rPr>
        <w:t>Free text</w:t>
      </w:r>
    </w:p>
    <w:p w14:paraId="30AFE505"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Which elements of the IEP you would like to see more or less investment into? </w:t>
      </w:r>
      <w:r w:rsidRPr="00820C89">
        <w:rPr>
          <w:i/>
        </w:rPr>
        <w:t>Why?</w:t>
      </w:r>
    </w:p>
    <w:p w14:paraId="66F1B8F8"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Is there anything else you would like to share about the program? </w:t>
      </w:r>
      <w:r w:rsidRPr="00820C89">
        <w:rPr>
          <w:i/>
        </w:rPr>
        <w:t>Free text</w:t>
      </w:r>
    </w:p>
    <w:p w14:paraId="6251FF39" w14:textId="77777777" w:rsidR="00C1765C" w:rsidRPr="00820C89" w:rsidRDefault="00C1765C" w:rsidP="00C1765C">
      <w:pPr>
        <w:rPr>
          <w:b/>
          <w:color w:val="92D050"/>
        </w:rPr>
      </w:pPr>
      <w:r w:rsidRPr="00820C89">
        <w:rPr>
          <w:b/>
          <w:color w:val="92D050"/>
        </w:rPr>
        <w:t xml:space="preserve">Section 5: The impact of COVID-19 </w:t>
      </w:r>
    </w:p>
    <w:p w14:paraId="7EB91494"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In your experience, in 2020 to what extent has your organisation’s activities been disrupted by the COVID-19 pandemic? </w:t>
      </w:r>
      <w:r w:rsidRPr="00820C89">
        <w:rPr>
          <w:i/>
        </w:rPr>
        <w:t xml:space="preserve">Sliding scale of significant to not at all, free text box. </w:t>
      </w:r>
    </w:p>
    <w:p w14:paraId="1D578108"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lastRenderedPageBreak/>
        <w:t xml:space="preserve">How do you feel the pandemic will change your organisation and program delivery over the next 12 months? </w:t>
      </w:r>
      <w:r w:rsidRPr="00820C89">
        <w:rPr>
          <w:i/>
        </w:rPr>
        <w:t>Free text</w:t>
      </w:r>
    </w:p>
    <w:p w14:paraId="40FDCEC5" w14:textId="77777777" w:rsidR="00C1765C" w:rsidRPr="00820C89" w:rsidRDefault="00C1765C" w:rsidP="00715F70">
      <w:pPr>
        <w:pStyle w:val="ListParagraph"/>
        <w:numPr>
          <w:ilvl w:val="0"/>
          <w:numId w:val="162"/>
        </w:numPr>
        <w:spacing w:before="120" w:after="120" w:line="259" w:lineRule="auto"/>
        <w:ind w:left="357" w:hanging="357"/>
        <w:contextualSpacing w:val="0"/>
      </w:pPr>
      <w:r w:rsidRPr="00820C89">
        <w:t xml:space="preserve">Is there anything else that you would like to share with us? </w:t>
      </w:r>
      <w:r w:rsidRPr="00820C89">
        <w:rPr>
          <w:i/>
        </w:rPr>
        <w:t>Free text</w:t>
      </w:r>
    </w:p>
    <w:p w14:paraId="63F2449D" w14:textId="77777777" w:rsidR="00C1765C" w:rsidRPr="00820C89" w:rsidRDefault="00C1765C" w:rsidP="00C1765C">
      <w:pPr>
        <w:keepNext/>
        <w:keepLines/>
        <w:pageBreakBefore/>
        <w:spacing w:before="240" w:after="0" w:line="280" w:lineRule="atLeast"/>
        <w:outlineLvl w:val="1"/>
        <w:rPr>
          <w:rFonts w:eastAsia="MingLiU" w:cs="Times New Roman"/>
          <w:b/>
          <w:bCs/>
          <w:color w:val="62B5E5"/>
          <w:sz w:val="22"/>
          <w:szCs w:val="26"/>
        </w:rPr>
      </w:pPr>
      <w:bookmarkStart w:id="560" w:name="_Toc82694531"/>
      <w:bookmarkStart w:id="561" w:name="_Toc101343355"/>
      <w:r w:rsidRPr="00820C89">
        <w:rPr>
          <w:rFonts w:eastAsia="MingLiU" w:cs="Times New Roman"/>
          <w:b/>
          <w:bCs/>
          <w:color w:val="62B5E5"/>
          <w:sz w:val="22"/>
          <w:szCs w:val="26"/>
        </w:rPr>
        <w:lastRenderedPageBreak/>
        <w:t>Employers/providers Information Sheet – Indigenous Employment Programs evaluation</w:t>
      </w:r>
      <w:bookmarkEnd w:id="560"/>
      <w:bookmarkEnd w:id="561"/>
      <w:r w:rsidRPr="00820C89" w:rsidDel="000E1C9C">
        <w:rPr>
          <w:rFonts w:eastAsia="MingLiU" w:cs="Times New Roman"/>
          <w:b/>
          <w:bCs/>
          <w:color w:val="62B5E5"/>
          <w:sz w:val="22"/>
          <w:szCs w:val="26"/>
        </w:rPr>
        <w:t xml:space="preserve"> </w:t>
      </w:r>
    </w:p>
    <w:p w14:paraId="603F2E33" w14:textId="77777777" w:rsidR="00C1765C" w:rsidRPr="00820C89" w:rsidRDefault="00C1765C" w:rsidP="00C1765C">
      <w:pPr>
        <w:spacing w:after="0"/>
        <w:rPr>
          <w:rFonts w:eastAsia="Verdana" w:cs="Times New Roman"/>
          <w:b/>
          <w:bCs/>
        </w:rPr>
      </w:pPr>
    </w:p>
    <w:p w14:paraId="72DC3B55" w14:textId="77777777" w:rsidR="00C1765C" w:rsidRPr="00820C89" w:rsidRDefault="00C1765C" w:rsidP="00C1765C">
      <w:pPr>
        <w:spacing w:after="0"/>
        <w:rPr>
          <w:rFonts w:eastAsia="Verdana" w:cs="Times New Roman"/>
          <w:b/>
        </w:rPr>
      </w:pPr>
      <w:r w:rsidRPr="00820C89">
        <w:rPr>
          <w:rFonts w:eastAsia="Verdana" w:cs="Times New Roman"/>
          <w:b/>
        </w:rPr>
        <w:t>Introduction  </w:t>
      </w:r>
    </w:p>
    <w:p w14:paraId="05DD1FCC" w14:textId="77777777" w:rsidR="00C1765C" w:rsidRPr="00820C89" w:rsidRDefault="00C1765C" w:rsidP="00C1765C">
      <w:pPr>
        <w:rPr>
          <w:rFonts w:eastAsia="Verdana" w:cs="Segoe UI"/>
          <w:b/>
          <w:lang w:val="da-DK"/>
        </w:rPr>
      </w:pPr>
      <w:r w:rsidRPr="00820C89">
        <w:rPr>
          <w:rFonts w:eastAsia="Verdana" w:cs="Segoe UI"/>
          <w:lang w:val="da-DK"/>
        </w:rPr>
        <w:t xml:space="preserve">Deloitte Access Economics has been engaged to undertake an evaluation of three Indigenous Employment Programs (IEPs) funded by the National Indigenous Australians Agency (NIAA) – the Employment Parity Initiative (EPI), </w:t>
      </w:r>
      <w:r w:rsidRPr="00820C89">
        <w:rPr>
          <w:rFonts w:eastAsia="Verdana" w:cs="Segoe UI"/>
          <w:b/>
          <w:lang w:val="da-DK"/>
        </w:rPr>
        <w:t>Vocational Training and Employment Centres (VTECs) and Tailored Employment Assistance Grants – Employment (TAEG). </w:t>
      </w:r>
    </w:p>
    <w:p w14:paraId="0F198897" w14:textId="77777777" w:rsidR="00C1765C" w:rsidRPr="00820C89" w:rsidRDefault="00C1765C" w:rsidP="00C1765C">
      <w:pPr>
        <w:rPr>
          <w:rFonts w:eastAsia="Verdana" w:cs="Segoe UI"/>
        </w:rPr>
      </w:pPr>
      <w:r w:rsidRPr="00820C89">
        <w:rPr>
          <w:rFonts w:eastAsia="Verdana" w:cs="Segoe UI"/>
          <w:lang w:val="da-DK"/>
        </w:rPr>
        <w:t>In conducting this research, Deloitte Access Economics is undertaking extensive stakeholder engagement with various stakeholder groups</w:t>
      </w:r>
      <w:r w:rsidRPr="00820C89">
        <w:rPr>
          <w:rFonts w:eastAsia="Verdana" w:cs="Segoe UI"/>
          <w:b/>
          <w:lang w:val="da-DK"/>
        </w:rPr>
        <w:t>, including government representatives, representatives of the Indigenous Australian community, VTEC and TAEG providers, EPI partners, employers, and IEP participants. This stakeholder engagement process also involves consultations with representatives from each of the NIAA regional offices. </w:t>
      </w:r>
      <w:r w:rsidRPr="00820C89">
        <w:rPr>
          <w:rFonts w:eastAsia="Verdana" w:cs="Segoe UI"/>
          <w:b/>
        </w:rPr>
        <w:t> </w:t>
      </w:r>
    </w:p>
    <w:p w14:paraId="6199B42A" w14:textId="77777777" w:rsidR="00C1765C" w:rsidRPr="00820C89" w:rsidRDefault="00C1765C" w:rsidP="00C1765C">
      <w:pPr>
        <w:rPr>
          <w:rFonts w:eastAsia="Verdana" w:cs="Segoe UI"/>
        </w:rPr>
      </w:pPr>
      <w:r w:rsidRPr="00820C89">
        <w:rPr>
          <w:rFonts w:eastAsia="Verdana" w:cs="Segoe UI"/>
          <w:lang w:val="da-DK"/>
        </w:rPr>
        <w:t>This consultation will be a </w:t>
      </w:r>
      <w:r w:rsidRPr="00820C89">
        <w:rPr>
          <w:rFonts w:eastAsia="Verdana" w:cs="Segoe UI"/>
          <w:bCs/>
          <w:lang w:val="da-DK"/>
        </w:rPr>
        <w:t>60-90 minute semi-structured interview</w:t>
      </w:r>
      <w:r w:rsidRPr="00820C89">
        <w:rPr>
          <w:rFonts w:eastAsia="Verdana" w:cs="Segoe UI"/>
          <w:b/>
          <w:lang w:val="da-DK"/>
        </w:rPr>
        <w:t> with yourself held via teleconference.  </w:t>
      </w:r>
      <w:r w:rsidRPr="00820C89">
        <w:rPr>
          <w:rFonts w:eastAsia="Verdana" w:cs="Segoe UI"/>
          <w:b/>
        </w:rPr>
        <w:t> </w:t>
      </w:r>
    </w:p>
    <w:p w14:paraId="60A188A5" w14:textId="77777777" w:rsidR="00C1765C" w:rsidRPr="00820C89" w:rsidRDefault="00C1765C" w:rsidP="00C1765C">
      <w:pPr>
        <w:rPr>
          <w:rFonts w:ascii="Segoe UI" w:eastAsia="Verdana" w:hAnsi="Segoe UI" w:cs="Segoe UI"/>
        </w:rPr>
      </w:pPr>
      <w:r w:rsidRPr="00820C89">
        <w:rPr>
          <w:rFonts w:eastAsia="Verdana" w:cs="Segoe UI"/>
        </w:rPr>
        <w:t>In support of these consultations, this document comprises a guide for our discussion with you and your staff. It includes: </w:t>
      </w:r>
      <w:r w:rsidRPr="00820C89">
        <w:rPr>
          <w:rFonts w:eastAsia="Verdana" w:cs="Segoe UI"/>
          <w:b/>
        </w:rPr>
        <w:t> </w:t>
      </w:r>
    </w:p>
    <w:p w14:paraId="30041688"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background information about the purpose of this research and topics to be covered in consultations. </w:t>
      </w:r>
    </w:p>
    <w:p w14:paraId="27E12B29"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information regarding our consultation with you, including matters relating to privacy and confidentiality  </w:t>
      </w:r>
    </w:p>
    <w:p w14:paraId="04418FE0"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a short list of consultation questions which we will use to guide our conversation with you. </w:t>
      </w:r>
    </w:p>
    <w:p w14:paraId="62393EE4" w14:textId="77777777" w:rsidR="00C1765C" w:rsidRPr="00820C89" w:rsidRDefault="00C1765C" w:rsidP="00C1765C">
      <w:pPr>
        <w:ind w:left="360"/>
        <w:contextualSpacing/>
        <w:rPr>
          <w:rFonts w:eastAsia="Verdana" w:cs="Times New Roman"/>
          <w:lang w:eastAsia="en-AU"/>
        </w:rPr>
      </w:pPr>
    </w:p>
    <w:p w14:paraId="492EABB6" w14:textId="77777777" w:rsidR="00C1765C" w:rsidRPr="00820C89" w:rsidRDefault="00C1765C" w:rsidP="00C1765C">
      <w:pPr>
        <w:spacing w:after="0"/>
        <w:rPr>
          <w:rFonts w:eastAsia="Verdana" w:cs="Times New Roman"/>
          <w:b/>
        </w:rPr>
      </w:pPr>
      <w:r w:rsidRPr="00820C89">
        <w:rPr>
          <w:rFonts w:eastAsia="Verdana" w:cs="Times New Roman"/>
          <w:b/>
        </w:rPr>
        <w:t>Purpose and topics for consultations</w:t>
      </w:r>
      <w:r w:rsidRPr="00820C89">
        <w:rPr>
          <w:rFonts w:eastAsia="Verdana" w:cs="Times New Roman"/>
        </w:rPr>
        <w:t> </w:t>
      </w:r>
    </w:p>
    <w:p w14:paraId="1E7E3AC3" w14:textId="77777777" w:rsidR="00C1765C" w:rsidRPr="00820C89" w:rsidRDefault="00C1765C" w:rsidP="00C1765C">
      <w:pPr>
        <w:rPr>
          <w:rFonts w:eastAsia="Verdana" w:cs="Segoe UI"/>
          <w:b/>
        </w:rPr>
      </w:pPr>
      <w:r w:rsidRPr="00820C89">
        <w:rPr>
          <w:rFonts w:eastAsia="Verdana" w:cs="Segoe UI"/>
        </w:rPr>
        <w:t>The purpose of this evaluation is to provide the NIAA with evidence-based policy advice as to the effectiveness of the programs’ implementation, whether it is meeting the programs’ objectives and to inform policy makers about possible improvements and direction.  </w:t>
      </w:r>
    </w:p>
    <w:p w14:paraId="6BA115EA" w14:textId="77777777" w:rsidR="00C1765C" w:rsidRPr="00820C89" w:rsidRDefault="00C1765C" w:rsidP="00C1765C">
      <w:pPr>
        <w:rPr>
          <w:rFonts w:eastAsia="Verdana" w:cs="Times New Roman"/>
          <w:b/>
        </w:rPr>
      </w:pPr>
      <w:r w:rsidRPr="00820C89">
        <w:rPr>
          <w:rFonts w:eastAsia="Verdana" w:cs="Segoe UI"/>
        </w:rPr>
        <w:t>Consultations with regional NIAA offices have been designed to understand different regional contexts and to test the proposed stakeholder engagement approach for planned community consultations. Specifically, we are interested to hear your views in relation to the following topics:  </w:t>
      </w:r>
    </w:p>
    <w:p w14:paraId="1DD2B25D"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 xml:space="preserve">the context of the region you are based in </w:t>
      </w:r>
    </w:p>
    <w:p w14:paraId="3711531B"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any perspectives you have on the communities that could be selected for regional consultations</w:t>
      </w:r>
    </w:p>
    <w:p w14:paraId="2EAE0AED" w14:textId="77777777" w:rsidR="00C1765C" w:rsidRPr="00820C89" w:rsidRDefault="00C1765C" w:rsidP="00715F70">
      <w:pPr>
        <w:numPr>
          <w:ilvl w:val="0"/>
          <w:numId w:val="120"/>
        </w:numPr>
        <w:spacing w:before="170"/>
        <w:contextualSpacing/>
        <w:rPr>
          <w:rFonts w:eastAsia="Verdana" w:cs="Times New Roman"/>
          <w:lang w:eastAsia="en-AU"/>
        </w:rPr>
      </w:pPr>
      <w:r w:rsidRPr="00820C89">
        <w:rPr>
          <w:rFonts w:eastAsia="Verdana" w:cs="Times New Roman"/>
          <w:lang w:eastAsia="en-AU"/>
        </w:rPr>
        <w:t>recommendations for the way in which we may undertake regional consultations.</w:t>
      </w:r>
    </w:p>
    <w:p w14:paraId="65E5F0F3" w14:textId="77777777" w:rsidR="00C1765C" w:rsidRPr="00820C89" w:rsidRDefault="00C1765C" w:rsidP="00C1765C">
      <w:pPr>
        <w:ind w:left="360"/>
        <w:contextualSpacing/>
        <w:rPr>
          <w:rFonts w:eastAsia="Verdana" w:cs="Times New Roman"/>
          <w:lang w:eastAsia="en-AU"/>
        </w:rPr>
      </w:pPr>
    </w:p>
    <w:p w14:paraId="415985BA" w14:textId="77777777" w:rsidR="00C1765C" w:rsidRPr="00820C89" w:rsidRDefault="00C1765C" w:rsidP="00C1765C">
      <w:pPr>
        <w:spacing w:after="0"/>
        <w:rPr>
          <w:rFonts w:eastAsia="Verdana" w:cs="Times New Roman"/>
          <w:b/>
        </w:rPr>
      </w:pPr>
      <w:r w:rsidRPr="00820C89">
        <w:rPr>
          <w:rFonts w:eastAsia="Verdana" w:cs="Times New Roman"/>
          <w:b/>
        </w:rPr>
        <w:t>Privacy </w:t>
      </w:r>
      <w:r w:rsidRPr="00820C89">
        <w:rPr>
          <w:rFonts w:eastAsia="Verdana" w:cs="Times New Roman"/>
        </w:rPr>
        <w:t> </w:t>
      </w:r>
    </w:p>
    <w:p w14:paraId="226BF62E" w14:textId="77777777" w:rsidR="00C1765C" w:rsidRPr="00820C89" w:rsidRDefault="00C1765C" w:rsidP="00C1765C">
      <w:pPr>
        <w:rPr>
          <w:rFonts w:eastAsia="Verdana" w:cs="Segoe UI"/>
          <w:color w:val="000000"/>
        </w:rPr>
      </w:pPr>
      <w:r w:rsidRPr="00820C89">
        <w:rPr>
          <w:rFonts w:eastAsia="Verdana" w:cs="Segoe UI"/>
          <w:color w:val="000000"/>
        </w:rPr>
        <w:t xml:space="preserve">Participation in the consultation is entirely voluntary. However, if you choose to participate, we will collect information about you including your name, contact details and organisation-related information. However, no identified information will be passed on to the NIAA. All information will be thematically analysed and de-identified for reporting purposes. If we have a quote or case study we wish to attribute to your consultation, we will seek permission from you prior to the report being sent to NIAA. </w:t>
      </w:r>
    </w:p>
    <w:p w14:paraId="22D012BD" w14:textId="77777777" w:rsidR="00C1765C" w:rsidRPr="00820C89" w:rsidRDefault="00C1765C" w:rsidP="00C1765C">
      <w:pPr>
        <w:rPr>
          <w:rFonts w:eastAsia="Verdana" w:cs="Segoe UI"/>
          <w:b/>
          <w:color w:val="000000"/>
        </w:rPr>
      </w:pPr>
      <w:r w:rsidRPr="00820C89">
        <w:rPr>
          <w:rFonts w:eastAsia="Verdana" w:cs="Segoe UI"/>
          <w:color w:val="000000"/>
        </w:rPr>
        <w:t>We will protect your personal information to the same standards that we use to protect our information at Deloitte. This information may be shared with an Australian transcription service, OutScribe Transcription Services, to assist in the transcription of sound recordings. Importantly, your information will be continued to be protected.  </w:t>
      </w:r>
    </w:p>
    <w:p w14:paraId="236B8FD7" w14:textId="77777777" w:rsidR="00C1765C" w:rsidRPr="00820C89" w:rsidRDefault="00C1765C" w:rsidP="00C1765C">
      <w:pPr>
        <w:rPr>
          <w:rFonts w:eastAsia="Verdana" w:cs="Segoe UI"/>
          <w:b/>
          <w:color w:val="000000"/>
        </w:rPr>
      </w:pPr>
      <w:r w:rsidRPr="00820C89">
        <w:rPr>
          <w:rFonts w:eastAsia="Verdana" w:cs="Segoe UI"/>
          <w:color w:val="000000"/>
        </w:rPr>
        <w:t>More information about how we will handle your personal information, how you can lodge a complaint, how you can contact us and how you may access and seek correction of your information are set out in our privacy policy at </w:t>
      </w:r>
      <w:hyperlink r:id="rId128" w:tgtFrame="_blank" w:history="1">
        <w:r w:rsidRPr="00820C89">
          <w:rPr>
            <w:rFonts w:eastAsia="Verdana" w:cs="Segoe UI"/>
            <w:color w:val="0070C0"/>
            <w:u w:val="single"/>
          </w:rPr>
          <w:t>https://www2.deloitte.com/au/en/legal/privacy.html</w:t>
        </w:r>
      </w:hyperlink>
      <w:r w:rsidRPr="00820C89">
        <w:rPr>
          <w:rFonts w:eastAsia="Verdana" w:cs="Segoe UI"/>
          <w:color w:val="000000"/>
        </w:rPr>
        <w:t>  </w:t>
      </w:r>
    </w:p>
    <w:p w14:paraId="7079E0E7" w14:textId="77777777" w:rsidR="00C1765C" w:rsidRPr="00820C89" w:rsidRDefault="00C1765C" w:rsidP="00C1765C">
      <w:pPr>
        <w:rPr>
          <w:rFonts w:eastAsia="Verdana" w:cs="Segoe UI"/>
          <w:b/>
        </w:rPr>
      </w:pPr>
      <w:r w:rsidRPr="00820C89">
        <w:rPr>
          <w:rFonts w:eastAsia="Verdana" w:cs="Segoe UI"/>
        </w:rPr>
        <w:lastRenderedPageBreak/>
        <w:t xml:space="preserve">For any other enquiries, you may contact Deloitte at </w:t>
      </w:r>
      <w:hyperlink r:id="rId129" w:history="1">
        <w:r w:rsidRPr="00820C89">
          <w:rPr>
            <w:rFonts w:eastAsia="Verdana" w:cs="Segoe UI"/>
            <w:b/>
            <w:color w:val="00A3E0"/>
            <w:u w:val="single"/>
          </w:rPr>
          <w:t>privacy@deloitte.com.au</w:t>
        </w:r>
      </w:hyperlink>
    </w:p>
    <w:p w14:paraId="0EB5E7CC" w14:textId="77777777" w:rsidR="00C1765C" w:rsidRPr="00820C89" w:rsidRDefault="00C1765C" w:rsidP="00C1765C">
      <w:pPr>
        <w:spacing w:after="0"/>
        <w:rPr>
          <w:rFonts w:eastAsia="Verdana" w:cs="Times New Roman"/>
        </w:rPr>
      </w:pPr>
      <w:r w:rsidRPr="00820C89">
        <w:rPr>
          <w:rFonts w:eastAsia="Verdana" w:cs="Times New Roman"/>
          <w:b/>
        </w:rPr>
        <w:t>How we will protect your information</w:t>
      </w:r>
    </w:p>
    <w:p w14:paraId="738A238B" w14:textId="77777777" w:rsidR="00C1765C" w:rsidRPr="00820C89" w:rsidRDefault="00C1765C" w:rsidP="00C1765C">
      <w:pPr>
        <w:rPr>
          <w:rFonts w:eastAsia="Verdana" w:cs="Times New Roman"/>
        </w:rPr>
      </w:pPr>
      <w:r w:rsidRPr="00820C89">
        <w:rPr>
          <w:rFonts w:eastAsia="Verdana" w:cs="Times New Roman"/>
        </w:rPr>
        <w:t xml:space="preserve">With your consent, we will be digitally recording parts of the consultations, with these recordings transcribed through internal services within Deloitte. We will also take notes to support the accurate collection of information. We will record names and site location on our notes that will be securely stored (hard copy) or in a secure computer file requiring password access (digital). </w:t>
      </w:r>
    </w:p>
    <w:p w14:paraId="158292AB" w14:textId="77777777" w:rsidR="00C1765C" w:rsidRPr="00820C89" w:rsidRDefault="00C1765C" w:rsidP="00C1765C">
      <w:pPr>
        <w:rPr>
          <w:rFonts w:eastAsia="Verdana" w:cs="Times New Roman"/>
        </w:rPr>
      </w:pPr>
      <w:r w:rsidRPr="00820C89">
        <w:rPr>
          <w:rFonts w:eastAsia="Verdana" w:cs="Times New Roman"/>
        </w:rPr>
        <w:t xml:space="preserve">The purpose of recording the consultations is to ensure that we use the most accurate record of our consultations available, and to undertake analysis of consultation notes in bulk. </w:t>
      </w:r>
    </w:p>
    <w:p w14:paraId="4D4177AC" w14:textId="77777777" w:rsidR="00C1765C" w:rsidRPr="00820C89" w:rsidRDefault="00C1765C" w:rsidP="00C1765C">
      <w:pPr>
        <w:rPr>
          <w:rFonts w:eastAsia="Verdana" w:cs="Times New Roman"/>
        </w:rPr>
      </w:pPr>
      <w:r w:rsidRPr="00820C89">
        <w:rPr>
          <w:rFonts w:eastAsia="Verdana" w:cs="Times New Roman"/>
        </w:rPr>
        <w:t xml:space="preserve">We will never reveal your name or your personal details. Due to the nature of this analysis, we may provide the name of your region and administrative area to the Department. Any summary consultations content, or direct quotations from the consultations that are made available to the Department will be anonymised, and we will take utmost care to ensure that other information in the consultation that could identify yourself is not revealed. However, we cannot guarantee that your opinions will not be identified (e.g. by your colleagues). </w:t>
      </w:r>
    </w:p>
    <w:p w14:paraId="6398DB3F" w14:textId="77777777" w:rsidR="00C1765C" w:rsidRPr="00820C89" w:rsidRDefault="00C1765C" w:rsidP="00C1765C">
      <w:pPr>
        <w:rPr>
          <w:rFonts w:eastAsia="Verdana" w:cs="Times New Roman"/>
        </w:rPr>
      </w:pPr>
      <w:r w:rsidRPr="00820C89">
        <w:rPr>
          <w:rFonts w:eastAsia="Verdana" w:cs="Times New Roman"/>
        </w:rPr>
        <w:t xml:space="preserve">Any personal information that is provided to Deloitte Access Economics, such as name and contact details, will be destroyed following the completion of the project with the Department. </w:t>
      </w:r>
    </w:p>
    <w:p w14:paraId="7A1FF0F3" w14:textId="77777777" w:rsidR="00C1765C" w:rsidRPr="00820C89" w:rsidRDefault="00C1765C" w:rsidP="00C1765C">
      <w:pPr>
        <w:rPr>
          <w:rFonts w:eastAsia="Verdana" w:cs="Times New Roman"/>
        </w:rPr>
      </w:pPr>
      <w:r w:rsidRPr="00820C89">
        <w:rPr>
          <w:rFonts w:eastAsia="Verdana" w:cs="Times New Roman"/>
        </w:rPr>
        <w:t xml:space="preserve">Other material relating to the project including sound recordings and transcripts will be destroyed after seven years. </w:t>
      </w:r>
    </w:p>
    <w:p w14:paraId="366B9E27" w14:textId="77777777" w:rsidR="00C1765C" w:rsidRPr="00820C89" w:rsidRDefault="00C1765C" w:rsidP="00C1765C">
      <w:pPr>
        <w:rPr>
          <w:rFonts w:eastAsia="Verdana" w:cs="Times New Roman"/>
        </w:rPr>
      </w:pPr>
      <w:r w:rsidRPr="00820C89">
        <w:rPr>
          <w:rFonts w:eastAsia="Verdana" w:cs="Times New Roman"/>
        </w:rPr>
        <w:t>Individual notes from the consultations or transcripts of the recorded sections of the interviews can be provided upon request.</w:t>
      </w:r>
    </w:p>
    <w:p w14:paraId="599F0C04" w14:textId="77777777" w:rsidR="00C1765C" w:rsidRPr="00820C89" w:rsidRDefault="00C1765C" w:rsidP="00C1765C">
      <w:pPr>
        <w:spacing w:after="0"/>
        <w:rPr>
          <w:rFonts w:eastAsia="Verdana" w:cs="Times New Roman"/>
        </w:rPr>
      </w:pPr>
      <w:r w:rsidRPr="00820C89">
        <w:rPr>
          <w:rFonts w:eastAsia="Verdana" w:cs="Times New Roman"/>
          <w:b/>
        </w:rPr>
        <w:t>Questions</w:t>
      </w:r>
    </w:p>
    <w:p w14:paraId="459CEB17" w14:textId="77777777" w:rsidR="00C1765C" w:rsidRPr="00820C89" w:rsidRDefault="00C1765C" w:rsidP="00C1765C">
      <w:pPr>
        <w:rPr>
          <w:rFonts w:eastAsia="Verdana" w:cs="Times New Roman"/>
          <w:lang w:eastAsia="zh-CN"/>
        </w:rPr>
      </w:pPr>
      <w:r w:rsidRPr="00820C89">
        <w:rPr>
          <w:rFonts w:eastAsia="Verdana" w:cs="Times New Roman"/>
          <w:lang w:eastAsia="zh-CN"/>
        </w:rPr>
        <w:t xml:space="preserve">For all other general enquiries about the IEP evaluation, please contact NIAA’s evaluation team at </w:t>
      </w:r>
      <w:hyperlink r:id="rId130" w:history="1">
        <w:r w:rsidRPr="00820C89">
          <w:rPr>
            <w:rFonts w:eastAsia="Verdana" w:cs="Times New Roman"/>
            <w:color w:val="00A3E0"/>
            <w:u w:val="single"/>
          </w:rPr>
          <w:t>IEPevaluation@deloitte.com.au</w:t>
        </w:r>
      </w:hyperlink>
      <w:r w:rsidRPr="00820C89">
        <w:rPr>
          <w:rFonts w:eastAsia="Verdana" w:cs="Times New Roman"/>
        </w:rPr>
        <w:t xml:space="preserve"> </w:t>
      </w:r>
    </w:p>
    <w:p w14:paraId="2FF3B1F0" w14:textId="77777777" w:rsidR="00C1765C" w:rsidRPr="00820C89" w:rsidRDefault="00C1765C" w:rsidP="00C1765C">
      <w:pPr>
        <w:rPr>
          <w:rFonts w:eastAsia="Verdana" w:cs="Times New Roman"/>
        </w:rPr>
      </w:pPr>
    </w:p>
    <w:p w14:paraId="32FE2333" w14:textId="77777777" w:rsidR="00C1765C" w:rsidRPr="00820C89" w:rsidRDefault="00C1765C" w:rsidP="00C1765C">
      <w:pPr>
        <w:keepNext/>
        <w:keepLines/>
        <w:spacing w:before="240" w:after="0" w:line="280" w:lineRule="atLeast"/>
        <w:outlineLvl w:val="1"/>
        <w:rPr>
          <w:rFonts w:eastAsia="MingLiU" w:cs="Times New Roman"/>
          <w:b/>
          <w:bCs/>
          <w:color w:val="62B5E5"/>
          <w:szCs w:val="26"/>
        </w:rPr>
      </w:pPr>
      <w:r w:rsidRPr="00820C89">
        <w:rPr>
          <w:rFonts w:eastAsia="MingLiU" w:cs="Times New Roman"/>
          <w:b/>
          <w:bCs/>
          <w:color w:val="62B5E5"/>
          <w:szCs w:val="26"/>
        </w:rPr>
        <w:br w:type="page"/>
      </w:r>
    </w:p>
    <w:p w14:paraId="5A991B4A"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lastRenderedPageBreak/>
        <w:t>CONSENT FORM FOR ____________________</w:t>
      </w:r>
    </w:p>
    <w:p w14:paraId="3EB8D5D3"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 TITLE: Indigenous Employment Programs Evaluation</w:t>
      </w:r>
    </w:p>
    <w:p w14:paraId="53EFE7BA"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RESEARCHERS: Deloitte Access Economics</w:t>
      </w:r>
    </w:p>
    <w:p w14:paraId="3599AFE0" w14:textId="77777777" w:rsidR="00C1765C" w:rsidRPr="00820C89" w:rsidRDefault="00C1765C" w:rsidP="00C1765C">
      <w:pPr>
        <w:rPr>
          <w:rFonts w:eastAsia="Verdana" w:cs="Times New Roman"/>
          <w:i/>
        </w:rPr>
      </w:pPr>
      <w:r w:rsidRPr="00820C89">
        <w:rPr>
          <w:rFonts w:eastAsia="Verdana" w:cs="Times New Roman"/>
        </w:rPr>
        <w:t xml:space="preserve">Deloitte Access Economics have given me information about the </w:t>
      </w:r>
      <w:r w:rsidRPr="00820C89">
        <w:rPr>
          <w:rFonts w:eastAsia="Verdana" w:cs="Times New Roman"/>
          <w:i/>
        </w:rPr>
        <w:t>Indigenous Employment Programs Evaluation.</w:t>
      </w:r>
    </w:p>
    <w:p w14:paraId="63FCEE07" w14:textId="77777777" w:rsidR="00C1765C" w:rsidRPr="00820C89" w:rsidRDefault="00C1765C" w:rsidP="00C1765C">
      <w:pPr>
        <w:rPr>
          <w:rFonts w:eastAsia="Verdana" w:cs="Times New Roman"/>
          <w:iCs/>
        </w:rPr>
      </w:pPr>
      <w:r w:rsidRPr="00820C89">
        <w:rPr>
          <w:rFonts w:eastAsia="Verdana" w:cs="Times New Roman"/>
          <w:iCs/>
        </w:rPr>
        <w:t>I voluntarily consent to my participation in the evaluation and in doing so acknowledge that the details regarding the evaluation and my involvement have been explained to me.</w:t>
      </w:r>
    </w:p>
    <w:p w14:paraId="79447195" w14:textId="77777777" w:rsidR="00C1765C" w:rsidRPr="00820C89" w:rsidRDefault="00C1765C" w:rsidP="00C1765C">
      <w:pPr>
        <w:rPr>
          <w:rFonts w:eastAsia="Verdana" w:cs="Times New Roman"/>
          <w:b/>
          <w:bCs/>
          <w:iCs/>
        </w:rPr>
      </w:pPr>
      <w:r w:rsidRPr="00820C89">
        <w:rPr>
          <w:rFonts w:eastAsia="Verdana" w:cs="Times New Roman"/>
          <w:b/>
          <w:bCs/>
          <w:iCs/>
        </w:rPr>
        <w:br/>
        <w:t>I confirm that I:</w:t>
      </w:r>
    </w:p>
    <w:p w14:paraId="51C668AC"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received the Participant Information Sheet</w:t>
      </w:r>
    </w:p>
    <w:p w14:paraId="43AA7EF4"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have read, or had someone read to me in a language I understand, the Participant Information Sheet</w:t>
      </w:r>
    </w:p>
    <w:p w14:paraId="7ED522C4"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understand all information included in the Participant Information Sheet.</w:t>
      </w:r>
    </w:p>
    <w:p w14:paraId="51A3A805" w14:textId="77777777" w:rsidR="00C1765C" w:rsidRPr="00820C89" w:rsidRDefault="00C1765C" w:rsidP="00C1765C">
      <w:pPr>
        <w:pStyle w:val="ListParagraph"/>
        <w:ind w:left="284"/>
        <w:rPr>
          <w:rFonts w:eastAsia="Verdana" w:cs="Times New Roman"/>
          <w:szCs w:val="17"/>
        </w:rPr>
      </w:pPr>
    </w:p>
    <w:p w14:paraId="0E71BA89" w14:textId="77777777" w:rsidR="00C1765C" w:rsidRPr="00820C89" w:rsidRDefault="00C1765C" w:rsidP="00C1765C">
      <w:pPr>
        <w:rPr>
          <w:rFonts w:eastAsia="Verdana" w:cs="Times New Roman"/>
          <w:b/>
          <w:bCs/>
        </w:rPr>
      </w:pPr>
      <w:r w:rsidRPr="00820C89">
        <w:rPr>
          <w:rFonts w:eastAsia="Verdana" w:cs="Times New Roman"/>
          <w:b/>
          <w:bCs/>
        </w:rPr>
        <w:t>In accordance with this Participant Information sheet, I understand:</w:t>
      </w:r>
    </w:p>
    <w:p w14:paraId="3C0DD0C4"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what this project is about</w:t>
      </w:r>
    </w:p>
    <w:p w14:paraId="790ED57A"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participating in an interview will assist the research team in evaluating the effectiveness of the Indigenous Employment Programs</w:t>
      </w:r>
    </w:p>
    <w:p w14:paraId="4920A733"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my information will be analysed by the evaluation team and used to inform the findings of a report</w:t>
      </w:r>
    </w:p>
    <w:p w14:paraId="04BB2F5D"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this evaluation will be completed in December 2020</w:t>
      </w:r>
    </w:p>
    <w:p w14:paraId="1C14C27A"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 have been provided contact details for the research team and am able to ask questions/lodge complaints regarding the evaluation and my participation at any time</w:t>
      </w:r>
    </w:p>
    <w:p w14:paraId="637584EE" w14:textId="77777777" w:rsidR="00C1765C" w:rsidRPr="00820C89" w:rsidRDefault="00C1765C" w:rsidP="00715F70">
      <w:pPr>
        <w:pStyle w:val="ListParagraph"/>
        <w:numPr>
          <w:ilvl w:val="0"/>
          <w:numId w:val="186"/>
        </w:numPr>
        <w:spacing w:before="170" w:after="0"/>
        <w:rPr>
          <w:rFonts w:asciiTheme="minorHAnsi" w:hAnsiTheme="minorHAnsi"/>
          <w:sz w:val="22"/>
          <w:szCs w:val="22"/>
        </w:rPr>
      </w:pPr>
      <w:r w:rsidRPr="00820C89">
        <w:rPr>
          <w:rFonts w:eastAsia="Verdana" w:cs="Times New Roman"/>
          <w:szCs w:val="17"/>
        </w:rPr>
        <w:t>I am satisfied with the information I have received</w:t>
      </w:r>
    </w:p>
    <w:p w14:paraId="2E798AA9" w14:textId="77777777" w:rsidR="00C1765C" w:rsidRPr="00820C89" w:rsidRDefault="00C1765C" w:rsidP="00715F70">
      <w:pPr>
        <w:pStyle w:val="ListParagraph"/>
        <w:numPr>
          <w:ilvl w:val="0"/>
          <w:numId w:val="186"/>
        </w:numPr>
        <w:spacing w:before="170" w:after="0"/>
        <w:rPr>
          <w:rFonts w:asciiTheme="minorHAnsi" w:hAnsiTheme="minorHAnsi"/>
          <w:sz w:val="22"/>
          <w:szCs w:val="22"/>
        </w:rPr>
      </w:pPr>
      <w:r w:rsidRPr="00820C89">
        <w:rPr>
          <w:rFonts w:eastAsia="Verdana" w:cs="Times New Roman"/>
          <w:b/>
          <w:bCs/>
          <w:szCs w:val="17"/>
        </w:rPr>
        <w:t>participation is voluntary</w:t>
      </w:r>
    </w:p>
    <w:p w14:paraId="07C933F7"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b/>
          <w:bCs/>
          <w:szCs w:val="17"/>
        </w:rPr>
        <w:t>I am free to withdraw from the interview at any time</w:t>
      </w:r>
      <w:r w:rsidRPr="00820C89">
        <w:rPr>
          <w:rFonts w:eastAsia="Verdana" w:cs="Times New Roman"/>
          <w:szCs w:val="17"/>
        </w:rPr>
        <w:t xml:space="preserve"> and if I decide not to continue the interview after it has started, my information will not be used</w:t>
      </w:r>
    </w:p>
    <w:p w14:paraId="4CDB318B"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what participation will involve, including the nature and expected length of interviews, when interviews will take place and the timeframe of this evaluation (as described in the Participant Information Sheet and contact made by Deloitte)</w:t>
      </w:r>
    </w:p>
    <w:p w14:paraId="10087EC9"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 will not be paid for participating in this evaluation</w:t>
      </w:r>
    </w:p>
    <w:p w14:paraId="30F49DF7"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due to the potential risks of participating, I am able to include a support person in the interview and am able to contact the external support agencies listed on the Participant Information Sheet</w:t>
      </w:r>
    </w:p>
    <w:p w14:paraId="335CE85E"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 xml:space="preserve">that the </w:t>
      </w:r>
      <w:r w:rsidRPr="00820C89">
        <w:rPr>
          <w:rFonts w:eastAsia="Verdana" w:cs="Times New Roman"/>
          <w:b/>
          <w:bCs/>
          <w:szCs w:val="17"/>
        </w:rPr>
        <w:t>information I provide will remain confidential</w:t>
      </w:r>
      <w:r w:rsidRPr="00820C89">
        <w:rPr>
          <w:rFonts w:eastAsia="Verdana" w:cs="Times New Roman"/>
          <w:szCs w:val="17"/>
        </w:rPr>
        <w:t xml:space="preserve"> and my name, contact details and organisation details will be collected for administrative purposes only. I have the right to access personal information. </w:t>
      </w:r>
      <w:r w:rsidRPr="00820C89">
        <w:rPr>
          <w:rFonts w:eastAsia="Verdana" w:cs="Times New Roman"/>
          <w:b/>
          <w:bCs/>
          <w:szCs w:val="17"/>
        </w:rPr>
        <w:t>Personal details, and any culturally sensitive information that is collected, will only be accessible to the research team</w:t>
      </w:r>
      <w:r w:rsidRPr="00820C89">
        <w:rPr>
          <w:rFonts w:eastAsia="Verdana" w:cs="Times New Roman"/>
          <w:szCs w:val="17"/>
        </w:rPr>
        <w:t xml:space="preserve"> and such information will be destroyed after the completion of this project.</w:t>
      </w:r>
    </w:p>
    <w:p w14:paraId="0E4B3D9C"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If I give consent for the interview to be recorded, these recordings will be kept on a secure server for seven years, only accessible to the evaluation team, for the purposes of this evaluation. This consent to be recorded can be withdrawn at any time and I have the right to access this recording.</w:t>
      </w:r>
    </w:p>
    <w:p w14:paraId="77874CE1"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 xml:space="preserve">I am able to contact AIATSIS regarding any ethical concerns at </w:t>
      </w:r>
      <w:hyperlink r:id="rId131" w:history="1">
        <w:r w:rsidRPr="00820C89">
          <w:rPr>
            <w:rFonts w:eastAsia="Verdana" w:cs="Times New Roman"/>
            <w:color w:val="00A3E0"/>
            <w:szCs w:val="17"/>
            <w:u w:val="single"/>
          </w:rPr>
          <w:t>ethics@aiatsis.gov.au</w:t>
        </w:r>
      </w:hyperlink>
      <w:r w:rsidRPr="00820C89">
        <w:rPr>
          <w:rFonts w:eastAsia="Verdana" w:cs="Times New Roman"/>
          <w:szCs w:val="17"/>
        </w:rPr>
        <w:t xml:space="preserve">  </w:t>
      </w:r>
    </w:p>
    <w:p w14:paraId="1C9D5152" w14:textId="77777777" w:rsidR="00C1765C" w:rsidRPr="00820C89" w:rsidRDefault="00C1765C" w:rsidP="00715F70">
      <w:pPr>
        <w:pStyle w:val="ListParagraph"/>
        <w:numPr>
          <w:ilvl w:val="0"/>
          <w:numId w:val="186"/>
        </w:numPr>
        <w:spacing w:before="170" w:after="0"/>
        <w:rPr>
          <w:rFonts w:eastAsia="Verdana" w:cs="Times New Roman"/>
          <w:color w:val="00A3E0"/>
          <w:szCs w:val="17"/>
          <w:u w:val="single"/>
        </w:rPr>
      </w:pPr>
      <w:r w:rsidRPr="00820C89">
        <w:rPr>
          <w:rFonts w:eastAsia="Verdana" w:cs="Times New Roman"/>
          <w:szCs w:val="17"/>
        </w:rPr>
        <w:t xml:space="preserve">If I have any questions, concerns or complaints I can contact the evaluation team at </w:t>
      </w:r>
      <w:hyperlink r:id="rId132" w:history="1">
        <w:r w:rsidRPr="00820C89">
          <w:rPr>
            <w:rFonts w:eastAsia="Verdana" w:cs="Times New Roman"/>
            <w:color w:val="00A3E0"/>
            <w:szCs w:val="17"/>
            <w:u w:val="single"/>
          </w:rPr>
          <w:t>IEPevaluation@deloitte.com.au</w:t>
        </w:r>
      </w:hyperlink>
      <w:r w:rsidRPr="00820C89">
        <w:rPr>
          <w:rFonts w:eastAsia="Verdana" w:cs="Times New Roman"/>
          <w:color w:val="00A3E0"/>
          <w:szCs w:val="17"/>
          <w:u w:val="single"/>
        </w:rPr>
        <w:t>.</w:t>
      </w:r>
    </w:p>
    <w:p w14:paraId="5A457ABF" w14:textId="77777777" w:rsidR="00C1765C" w:rsidRPr="00820C89" w:rsidRDefault="00C1765C" w:rsidP="00C1765C">
      <w:pPr>
        <w:rPr>
          <w:rFonts w:eastAsia="Verdana" w:cs="Times New Roman"/>
          <w:b/>
          <w:bCs/>
        </w:rPr>
      </w:pPr>
    </w:p>
    <w:p w14:paraId="3682E7ED" w14:textId="77777777" w:rsidR="00C1765C" w:rsidRPr="00820C89" w:rsidRDefault="00C1765C" w:rsidP="00C1765C">
      <w:pPr>
        <w:rPr>
          <w:rFonts w:eastAsia="Verdana" w:cs="Times New Roman"/>
          <w:b/>
          <w:bCs/>
        </w:rPr>
      </w:pPr>
    </w:p>
    <w:p w14:paraId="57083036" w14:textId="77777777" w:rsidR="00C1765C" w:rsidRPr="00820C89" w:rsidRDefault="00C1765C" w:rsidP="00C1765C">
      <w:pPr>
        <w:rPr>
          <w:rFonts w:eastAsia="Verdana" w:cs="Times New Roman"/>
          <w:b/>
          <w:bCs/>
        </w:rPr>
      </w:pPr>
    </w:p>
    <w:p w14:paraId="702E5B89" w14:textId="77777777" w:rsidR="00C1765C" w:rsidRPr="00820C89" w:rsidRDefault="00C1765C" w:rsidP="00C1765C">
      <w:pPr>
        <w:rPr>
          <w:rFonts w:eastAsia="Verdana" w:cs="Times New Roman"/>
          <w:b/>
          <w:bCs/>
        </w:rPr>
      </w:pPr>
      <w:r w:rsidRPr="00820C89">
        <w:rPr>
          <w:rFonts w:eastAsia="Verdana" w:cs="Times New Roman"/>
          <w:b/>
          <w:bCs/>
        </w:rPr>
        <w:lastRenderedPageBreak/>
        <w:t>To be completed:</w:t>
      </w:r>
    </w:p>
    <w:p w14:paraId="3D7A8165" w14:textId="77777777" w:rsidR="00C1765C" w:rsidRPr="00820C89" w:rsidRDefault="00C1765C" w:rsidP="00C1765C">
      <w:pPr>
        <w:rPr>
          <w:rFonts w:eastAsia="Verdana" w:cs="Times New Roman"/>
        </w:rPr>
      </w:pPr>
      <w:r w:rsidRPr="00820C89">
        <w:rPr>
          <w:rFonts w:eastAsia="Verdana" w:cs="Times New Roman"/>
        </w:rPr>
        <w:t>I consent to the interview being recorded    Yes / No  (please circle)</w:t>
      </w:r>
    </w:p>
    <w:p w14:paraId="1FC2C574" w14:textId="77777777" w:rsidR="00C1765C" w:rsidRPr="00820C89" w:rsidRDefault="00C1765C" w:rsidP="00C1765C">
      <w:pPr>
        <w:ind w:left="720"/>
        <w:rPr>
          <w:rFonts w:eastAsia="Verdana" w:cs="Arial"/>
        </w:rPr>
      </w:pPr>
      <w:r w:rsidRPr="00820C89">
        <w:rPr>
          <w:rFonts w:eastAsia="Verdana" w:cs="Arial"/>
          <w:noProof/>
          <w:lang w:eastAsia="en-AU"/>
        </w:rPr>
        <mc:AlternateContent>
          <mc:Choice Requires="wps">
            <w:drawing>
              <wp:anchor distT="0" distB="0" distL="114300" distR="114300" simplePos="0" relativeHeight="251658277" behindDoc="0" locked="0" layoutInCell="1" allowOverlap="1" wp14:anchorId="3A58E346" wp14:editId="74AF32D0">
                <wp:simplePos x="0" y="0"/>
                <wp:positionH relativeFrom="column">
                  <wp:posOffset>-36576</wp:posOffset>
                </wp:positionH>
                <wp:positionV relativeFrom="paragraph">
                  <wp:posOffset>184455</wp:posOffset>
                </wp:positionV>
                <wp:extent cx="5876925" cy="1236269"/>
                <wp:effectExtent l="0" t="0" r="28575" b="21590"/>
                <wp:wrapNone/>
                <wp:docPr id="45" name="Rectangle 45"/>
                <wp:cNvGraphicFramePr/>
                <a:graphic xmlns:a="http://schemas.openxmlformats.org/drawingml/2006/main">
                  <a:graphicData uri="http://schemas.microsoft.com/office/word/2010/wordprocessingShape">
                    <wps:wsp>
                      <wps:cNvSpPr/>
                      <wps:spPr>
                        <a:xfrm>
                          <a:off x="0" y="0"/>
                          <a:ext cx="5876925" cy="1236269"/>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8378B" id="Rectangle 45" o:spid="_x0000_s1026" style="position:absolute;margin-left:-2.9pt;margin-top:14.5pt;width:462.75pt;height:97.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" filled="f" strokeweight="2pt"/>
            </w:pict>
          </mc:Fallback>
        </mc:AlternateContent>
      </w:r>
    </w:p>
    <w:p w14:paraId="0E1DAABE" w14:textId="77777777" w:rsidR="00C1765C" w:rsidRPr="00820C89" w:rsidRDefault="00C1765C" w:rsidP="00C1765C">
      <w:pPr>
        <w:rPr>
          <w:rFonts w:eastAsia="Verdana" w:cs="Times New Roman"/>
          <w:i/>
        </w:rPr>
      </w:pPr>
      <w:r w:rsidRPr="00820C89">
        <w:rPr>
          <w:rFonts w:eastAsia="Verdana" w:cs="Times New Roman"/>
          <w:i/>
        </w:rPr>
        <w:t>Consent to participate in the interview</w:t>
      </w:r>
    </w:p>
    <w:p w14:paraId="232BE5F6" w14:textId="77777777" w:rsidR="00C1765C" w:rsidRPr="00820C89" w:rsidRDefault="00C1765C" w:rsidP="00C1765C">
      <w:pPr>
        <w:rPr>
          <w:rFonts w:eastAsia="Verdana" w:cs="Arial"/>
        </w:rPr>
      </w:pPr>
      <w:r w:rsidRPr="00820C89">
        <w:rPr>
          <w:rFonts w:eastAsia="Verdana" w:cs="Arial"/>
        </w:rPr>
        <w:t>NAME OF PARTICIPANT: _________________________________________________________</w:t>
      </w:r>
    </w:p>
    <w:p w14:paraId="6621C4EA" w14:textId="77777777" w:rsidR="00C1765C" w:rsidRPr="00820C89" w:rsidRDefault="00C1765C" w:rsidP="00C1765C">
      <w:pPr>
        <w:rPr>
          <w:rFonts w:eastAsia="Verdana" w:cs="Arial"/>
        </w:rPr>
      </w:pPr>
    </w:p>
    <w:p w14:paraId="388C27D7" w14:textId="77777777" w:rsidR="00C1765C" w:rsidRPr="00820C89" w:rsidRDefault="00C1765C" w:rsidP="00C1765C">
      <w:pPr>
        <w:rPr>
          <w:rFonts w:eastAsia="Verdana" w:cs="Arial"/>
        </w:rPr>
      </w:pPr>
      <w:r w:rsidRPr="00820C89">
        <w:rPr>
          <w:rFonts w:eastAsia="Verdana" w:cs="Arial"/>
        </w:rPr>
        <w:t>SIGNATURE OF PARTICIPANT: ________________________</w:t>
      </w:r>
      <w:r w:rsidRPr="00820C89">
        <w:rPr>
          <w:rFonts w:eastAsia="Verdana" w:cs="Arial"/>
        </w:rPr>
        <w:tab/>
        <w:t xml:space="preserve">DATE: </w:t>
      </w:r>
      <w:r w:rsidRPr="00820C89">
        <w:rPr>
          <w:rFonts w:eastAsia="Verdana" w:cs="Times New Roman"/>
        </w:rPr>
        <w:t>....../....../.....</w:t>
      </w:r>
    </w:p>
    <w:p w14:paraId="73E12CFB" w14:textId="77777777" w:rsidR="00C1765C" w:rsidRPr="00820C89" w:rsidRDefault="00C1765C" w:rsidP="00C1765C">
      <w:pPr>
        <w:rPr>
          <w:rFonts w:eastAsia="Verdana" w:cs="Times New Roman"/>
          <w:i/>
        </w:rPr>
      </w:pPr>
    </w:p>
    <w:p w14:paraId="20879D22" w14:textId="77777777" w:rsidR="00C1765C" w:rsidRPr="00820C89" w:rsidRDefault="00C1765C" w:rsidP="00C1765C">
      <w:pPr>
        <w:rPr>
          <w:rFonts w:eastAsia="Verdana" w:cs="Times New Roman"/>
        </w:rPr>
      </w:pPr>
    </w:p>
    <w:p w14:paraId="0DA3F640" w14:textId="77777777" w:rsidR="00C1765C" w:rsidRPr="00820C89" w:rsidRDefault="00C1765C" w:rsidP="00C1765C">
      <w:pPr>
        <w:pBdr>
          <w:bottom w:val="single" w:sz="4" w:space="1" w:color="auto"/>
        </w:pBdr>
        <w:rPr>
          <w:rFonts w:eastAsia="Verdana" w:cs="Times New Roman"/>
        </w:rPr>
      </w:pPr>
    </w:p>
    <w:p w14:paraId="662AA102" w14:textId="77777777" w:rsidR="00C1765C" w:rsidRPr="00820C89" w:rsidRDefault="00C1765C" w:rsidP="00C1765C">
      <w:pPr>
        <w:rPr>
          <w:rFonts w:eastAsia="Verdana" w:cs="Times New Roman"/>
          <w:color w:val="44546A"/>
        </w:rPr>
      </w:pPr>
      <w:r w:rsidRPr="00820C89">
        <w:rPr>
          <w:rFonts w:eastAsia="Verdana" w:cs="Times New Roman"/>
          <w:color w:val="44546A"/>
        </w:rPr>
        <w:t>DELOITTE ACCESS ECONOMICS USE ONLY</w:t>
      </w:r>
    </w:p>
    <w:p w14:paraId="0C6FA691" w14:textId="77777777" w:rsidR="00C1765C" w:rsidRPr="00820C89" w:rsidRDefault="00C1765C" w:rsidP="00C1765C">
      <w:pPr>
        <w:rPr>
          <w:rFonts w:eastAsia="Verdana" w:cs="Times New Roman"/>
          <w:color w:val="44546A"/>
        </w:rPr>
      </w:pPr>
      <w:r w:rsidRPr="00820C89">
        <w:rPr>
          <w:rFonts w:eastAsia="Verdana" w:cs="Times New Roman"/>
          <w:color w:val="44546A"/>
        </w:rPr>
        <w:t>I, the researcher, have described the details on the Participant Information Sheet to the interviewee and believe he/she has understood and agreed to it.</w:t>
      </w:r>
    </w:p>
    <w:p w14:paraId="3255BE2D" w14:textId="77777777" w:rsidR="00C1765C" w:rsidRPr="00820C89" w:rsidRDefault="00C1765C" w:rsidP="00C1765C">
      <w:pPr>
        <w:rPr>
          <w:rFonts w:eastAsia="Verdana" w:cs="Times New Roman"/>
          <w:color w:val="44546A"/>
        </w:rPr>
      </w:pPr>
      <w:r w:rsidRPr="00820C89">
        <w:rPr>
          <w:rFonts w:eastAsia="Verdana" w:cs="Times New Roman"/>
          <w:color w:val="44546A"/>
        </w:rPr>
        <w:t>Name:</w:t>
      </w:r>
    </w:p>
    <w:p w14:paraId="1E6D925A" w14:textId="77777777" w:rsidR="00C1765C" w:rsidRPr="00820C89" w:rsidRDefault="00C1765C" w:rsidP="00C1765C">
      <w:pPr>
        <w:rPr>
          <w:rFonts w:eastAsia="Verdana" w:cs="Times New Roman"/>
          <w:color w:val="44546A"/>
        </w:rPr>
      </w:pPr>
      <w:r w:rsidRPr="00820C89">
        <w:rPr>
          <w:rFonts w:eastAsia="Verdana" w:cs="Times New Roman"/>
          <w:color w:val="44546A"/>
        </w:rPr>
        <w:t>Signature:</w:t>
      </w:r>
    </w:p>
    <w:p w14:paraId="6C943D8A" w14:textId="77777777" w:rsidR="00C1765C" w:rsidRPr="00820C89" w:rsidRDefault="00C1765C" w:rsidP="00C1765C">
      <w:pPr>
        <w:rPr>
          <w:rFonts w:eastAsia="Verdana" w:cs="Times New Roman"/>
          <w:color w:val="44546A"/>
        </w:rPr>
      </w:pPr>
      <w:r w:rsidRPr="00820C89">
        <w:rPr>
          <w:rFonts w:eastAsia="Verdana" w:cs="Times New Roman"/>
          <w:color w:val="44546A"/>
        </w:rPr>
        <w:t>Date:</w:t>
      </w:r>
    </w:p>
    <w:p w14:paraId="0E09D5D7" w14:textId="77777777" w:rsidR="00C1765C" w:rsidRPr="00820C89" w:rsidRDefault="00C1765C" w:rsidP="00C1765C">
      <w:pPr>
        <w:spacing w:after="0"/>
        <w:rPr>
          <w:rFonts w:eastAsia="Verdana" w:cs="Times New Roman"/>
        </w:rPr>
      </w:pPr>
      <w:r w:rsidRPr="00820C89">
        <w:rPr>
          <w:rFonts w:eastAsia="Verdana" w:cs="Times New Roman"/>
        </w:rPr>
        <w:br w:type="page"/>
      </w:r>
    </w:p>
    <w:p w14:paraId="2A5D5294" w14:textId="77777777" w:rsidR="00C1765C" w:rsidRPr="00820C89" w:rsidRDefault="00C1765C" w:rsidP="00C1765C">
      <w:pPr>
        <w:pStyle w:val="Heading2un-numbered"/>
      </w:pPr>
      <w:bookmarkStart w:id="562" w:name="_Toc82694532"/>
      <w:bookmarkStart w:id="563" w:name="_Toc82710828"/>
      <w:bookmarkStart w:id="564" w:name="_Toc101343356"/>
      <w:r w:rsidRPr="00820C89">
        <w:lastRenderedPageBreak/>
        <w:t>Provider semi-structured interview questions</w:t>
      </w:r>
      <w:bookmarkEnd w:id="562"/>
      <w:bookmarkEnd w:id="563"/>
      <w:bookmarkEnd w:id="564"/>
    </w:p>
    <w:p w14:paraId="5935B774" w14:textId="77777777" w:rsidR="00C1765C" w:rsidRPr="00820C89" w:rsidRDefault="00C1765C" w:rsidP="00C1765C">
      <w:pPr>
        <w:rPr>
          <w:b/>
        </w:rPr>
      </w:pPr>
      <w:r w:rsidRPr="00820C89">
        <w:rPr>
          <w:b/>
        </w:rPr>
        <w:t xml:space="preserve">Background </w:t>
      </w:r>
    </w:p>
    <w:p w14:paraId="7CCBC61D" w14:textId="77777777" w:rsidR="00C1765C" w:rsidRPr="00820C89" w:rsidRDefault="00C1765C" w:rsidP="00715F70">
      <w:pPr>
        <w:pStyle w:val="ListParagraph"/>
        <w:numPr>
          <w:ilvl w:val="0"/>
          <w:numId w:val="124"/>
        </w:numPr>
        <w:spacing w:after="160" w:line="259" w:lineRule="auto"/>
      </w:pPr>
      <w:r w:rsidRPr="00820C89">
        <w:t>In order to best understand your perspective, I want to explore more with you about your organisation.</w:t>
      </w:r>
    </w:p>
    <w:p w14:paraId="307C32BC" w14:textId="77777777" w:rsidR="00C1765C" w:rsidRPr="00820C89" w:rsidRDefault="00C1765C" w:rsidP="00715F70">
      <w:pPr>
        <w:pStyle w:val="ListParagraph"/>
        <w:numPr>
          <w:ilvl w:val="0"/>
          <w:numId w:val="130"/>
        </w:numPr>
        <w:spacing w:after="160" w:line="259" w:lineRule="auto"/>
        <w:rPr>
          <w:i/>
          <w:u w:val="single"/>
        </w:rPr>
      </w:pPr>
      <w:r w:rsidRPr="00820C89">
        <w:rPr>
          <w:i/>
          <w:u w:val="single"/>
        </w:rPr>
        <w:t>How would you describe your experience/role within your organisation?</w:t>
      </w:r>
    </w:p>
    <w:p w14:paraId="27B314DD" w14:textId="77777777" w:rsidR="00C1765C" w:rsidRPr="00820C89" w:rsidRDefault="00C1765C" w:rsidP="00715F70">
      <w:pPr>
        <w:pStyle w:val="ListParagraph"/>
        <w:numPr>
          <w:ilvl w:val="0"/>
          <w:numId w:val="130"/>
        </w:numPr>
        <w:spacing w:after="160" w:line="259" w:lineRule="auto"/>
      </w:pPr>
      <w:r w:rsidRPr="00820C89">
        <w:t>What can you tell me about the history of your organisation?</w:t>
      </w:r>
    </w:p>
    <w:p w14:paraId="1C342F77" w14:textId="77777777" w:rsidR="00C1765C" w:rsidRPr="00820C89" w:rsidRDefault="00C1765C" w:rsidP="00715F70">
      <w:pPr>
        <w:pStyle w:val="ListParagraph"/>
        <w:numPr>
          <w:ilvl w:val="0"/>
          <w:numId w:val="130"/>
        </w:numPr>
        <w:spacing w:after="160" w:line="259" w:lineRule="auto"/>
      </w:pPr>
      <w:r w:rsidRPr="00820C89">
        <w:t>Can you describe your organisation’s involvement in the TAEG/VTEC/EPI program?</w:t>
      </w:r>
    </w:p>
    <w:p w14:paraId="190D9F28" w14:textId="77777777" w:rsidR="00C1765C" w:rsidRPr="00820C89" w:rsidRDefault="00C1765C" w:rsidP="00715F70">
      <w:pPr>
        <w:pStyle w:val="ListParagraph"/>
        <w:numPr>
          <w:ilvl w:val="0"/>
          <w:numId w:val="130"/>
        </w:numPr>
        <w:spacing w:after="160" w:line="259" w:lineRule="auto"/>
      </w:pPr>
      <w:r w:rsidRPr="00820C89">
        <w:t>What can you tell me about your organisation’s involvement in other employment programs?</w:t>
      </w:r>
    </w:p>
    <w:p w14:paraId="3A9F7A7A" w14:textId="77777777" w:rsidR="00C1765C" w:rsidRPr="00820C89" w:rsidRDefault="00C1765C" w:rsidP="00C1765C">
      <w:pPr>
        <w:rPr>
          <w:b/>
        </w:rPr>
      </w:pPr>
      <w:r w:rsidRPr="00820C89">
        <w:rPr>
          <w:b/>
        </w:rPr>
        <w:t>Delivery</w:t>
      </w:r>
    </w:p>
    <w:p w14:paraId="132A75F6" w14:textId="77777777" w:rsidR="00C1765C" w:rsidRPr="00820C89" w:rsidRDefault="00C1765C" w:rsidP="00715F70">
      <w:pPr>
        <w:pStyle w:val="ListParagraph"/>
        <w:numPr>
          <w:ilvl w:val="0"/>
          <w:numId w:val="124"/>
        </w:numPr>
        <w:spacing w:after="160" w:line="259" w:lineRule="auto"/>
      </w:pPr>
      <w:r w:rsidRPr="00820C89">
        <w:t>How would you describe your program and what it offers?</w:t>
      </w:r>
    </w:p>
    <w:p w14:paraId="5EFC1776" w14:textId="77777777" w:rsidR="00C1765C" w:rsidRPr="00820C89" w:rsidRDefault="00C1765C" w:rsidP="00715F70">
      <w:pPr>
        <w:pStyle w:val="ListParagraph"/>
        <w:numPr>
          <w:ilvl w:val="0"/>
          <w:numId w:val="131"/>
        </w:numPr>
        <w:spacing w:after="160" w:line="259" w:lineRule="auto"/>
        <w:ind w:left="1080"/>
        <w:rPr>
          <w:i/>
          <w:u w:val="single"/>
        </w:rPr>
      </w:pPr>
      <w:r w:rsidRPr="00820C89">
        <w:rPr>
          <w:i/>
          <w:u w:val="single"/>
        </w:rPr>
        <w:t>What are the main services you offer?</w:t>
      </w:r>
    </w:p>
    <w:p w14:paraId="081CF372" w14:textId="77777777" w:rsidR="00C1765C" w:rsidRPr="00820C89" w:rsidRDefault="00C1765C" w:rsidP="00715F70">
      <w:pPr>
        <w:pStyle w:val="ListParagraph"/>
        <w:numPr>
          <w:ilvl w:val="0"/>
          <w:numId w:val="131"/>
        </w:numPr>
        <w:spacing w:after="160" w:line="259" w:lineRule="auto"/>
        <w:ind w:left="1080"/>
      </w:pPr>
      <w:r w:rsidRPr="00820C89">
        <w:t>Who do you work with?</w:t>
      </w:r>
    </w:p>
    <w:p w14:paraId="59B40D44" w14:textId="77777777" w:rsidR="00C1765C" w:rsidRPr="00820C89" w:rsidRDefault="00C1765C" w:rsidP="00715F70">
      <w:pPr>
        <w:pStyle w:val="ListParagraph"/>
        <w:numPr>
          <w:ilvl w:val="0"/>
          <w:numId w:val="131"/>
        </w:numPr>
        <w:spacing w:after="160" w:line="259" w:lineRule="auto"/>
        <w:ind w:left="1080"/>
      </w:pPr>
      <w:r w:rsidRPr="00820C89">
        <w:t>What types of pre-employment or ongoing employment support do you offer?</w:t>
      </w:r>
    </w:p>
    <w:p w14:paraId="6B6DD406" w14:textId="77777777" w:rsidR="00C1765C" w:rsidRPr="00820C89" w:rsidRDefault="00C1765C" w:rsidP="00715F70">
      <w:pPr>
        <w:pStyle w:val="ListParagraph"/>
        <w:numPr>
          <w:ilvl w:val="0"/>
          <w:numId w:val="131"/>
        </w:numPr>
        <w:spacing w:after="160" w:line="259" w:lineRule="auto"/>
        <w:ind w:left="1080"/>
      </w:pPr>
      <w:r w:rsidRPr="00820C89">
        <w:t>What training do you provide?</w:t>
      </w:r>
    </w:p>
    <w:p w14:paraId="6F6BE0B7" w14:textId="77777777" w:rsidR="00C1765C" w:rsidRPr="00820C89" w:rsidRDefault="00C1765C" w:rsidP="00715F70">
      <w:pPr>
        <w:pStyle w:val="ListParagraph"/>
        <w:numPr>
          <w:ilvl w:val="0"/>
          <w:numId w:val="131"/>
        </w:numPr>
        <w:spacing w:after="160" w:line="259" w:lineRule="auto"/>
        <w:ind w:left="1080"/>
      </w:pPr>
      <w:r w:rsidRPr="00820C89">
        <w:t>How do you collaborate or work with other providers?</w:t>
      </w:r>
    </w:p>
    <w:p w14:paraId="1898B41C" w14:textId="77777777" w:rsidR="00C1765C" w:rsidRPr="00820C89" w:rsidRDefault="00C1765C" w:rsidP="00715F70">
      <w:pPr>
        <w:pStyle w:val="ListParagraph"/>
        <w:numPr>
          <w:ilvl w:val="0"/>
          <w:numId w:val="131"/>
        </w:numPr>
        <w:spacing w:after="160" w:line="259" w:lineRule="auto"/>
        <w:ind w:left="1080"/>
      </w:pPr>
      <w:r w:rsidRPr="00820C89">
        <w:t>What types of community engagement work do you do?</w:t>
      </w:r>
    </w:p>
    <w:p w14:paraId="354251BE" w14:textId="77777777" w:rsidR="00C1765C" w:rsidRPr="00820C89" w:rsidRDefault="00C1765C" w:rsidP="00715F70">
      <w:pPr>
        <w:pStyle w:val="ListParagraph"/>
        <w:numPr>
          <w:ilvl w:val="0"/>
          <w:numId w:val="124"/>
        </w:numPr>
        <w:spacing w:after="160" w:line="259" w:lineRule="auto"/>
        <w:rPr>
          <w:b/>
        </w:rPr>
      </w:pPr>
      <w:r w:rsidRPr="00820C89">
        <w:t>In your experience, what are the things that are difficult or useful when implementing your program?</w:t>
      </w:r>
    </w:p>
    <w:p w14:paraId="4C46A902" w14:textId="77777777" w:rsidR="00C1765C" w:rsidRPr="00820C89" w:rsidRDefault="00C1765C" w:rsidP="00715F70">
      <w:pPr>
        <w:pStyle w:val="ListParagraph"/>
        <w:numPr>
          <w:ilvl w:val="0"/>
          <w:numId w:val="148"/>
        </w:numPr>
        <w:spacing w:after="160" w:line="259" w:lineRule="auto"/>
      </w:pPr>
      <w:r w:rsidRPr="00820C89">
        <w:t>Are there any impacts with the funding arrangements?  Positive or negative?</w:t>
      </w:r>
    </w:p>
    <w:p w14:paraId="4DCE9A67" w14:textId="77777777" w:rsidR="00C1765C" w:rsidRPr="00820C89" w:rsidRDefault="00C1765C" w:rsidP="00715F70">
      <w:pPr>
        <w:pStyle w:val="ListParagraph"/>
        <w:numPr>
          <w:ilvl w:val="0"/>
          <w:numId w:val="148"/>
        </w:numPr>
        <w:spacing w:after="160" w:line="259" w:lineRule="auto"/>
      </w:pPr>
      <w:r w:rsidRPr="00820C89">
        <w:t>How do you staff your program?</w:t>
      </w:r>
    </w:p>
    <w:p w14:paraId="0A0631BF" w14:textId="77777777" w:rsidR="00C1765C" w:rsidRPr="00820C89" w:rsidRDefault="00C1765C" w:rsidP="00715F70">
      <w:pPr>
        <w:pStyle w:val="ListParagraph"/>
        <w:numPr>
          <w:ilvl w:val="0"/>
          <w:numId w:val="148"/>
        </w:numPr>
        <w:spacing w:after="160" w:line="259" w:lineRule="auto"/>
      </w:pPr>
      <w:r w:rsidRPr="00820C89">
        <w:t>How do you build community awareness?</w:t>
      </w:r>
    </w:p>
    <w:p w14:paraId="2AAF1513" w14:textId="77777777" w:rsidR="00C1765C" w:rsidRPr="00820C89" w:rsidRDefault="00C1765C" w:rsidP="00C1765C">
      <w:pPr>
        <w:rPr>
          <w:b/>
        </w:rPr>
      </w:pPr>
      <w:r w:rsidRPr="00820C89">
        <w:rPr>
          <w:b/>
        </w:rPr>
        <w:t>Outcomes</w:t>
      </w:r>
    </w:p>
    <w:p w14:paraId="19C84595" w14:textId="77777777" w:rsidR="00C1765C" w:rsidRPr="00820C89" w:rsidRDefault="00C1765C" w:rsidP="00715F70">
      <w:pPr>
        <w:pStyle w:val="ListParagraph"/>
        <w:numPr>
          <w:ilvl w:val="0"/>
          <w:numId w:val="124"/>
        </w:numPr>
        <w:spacing w:after="160" w:line="259" w:lineRule="auto"/>
      </w:pPr>
      <w:r w:rsidRPr="00820C89">
        <w:t xml:space="preserve">In your experience, what new skills do participants learn through the program? </w:t>
      </w:r>
    </w:p>
    <w:p w14:paraId="33222A24" w14:textId="77777777" w:rsidR="00C1765C" w:rsidRPr="00820C89" w:rsidRDefault="00C1765C" w:rsidP="00715F70">
      <w:pPr>
        <w:pStyle w:val="ListParagraph"/>
        <w:numPr>
          <w:ilvl w:val="0"/>
          <w:numId w:val="133"/>
        </w:numPr>
        <w:spacing w:after="160" w:line="259" w:lineRule="auto"/>
        <w:rPr>
          <w:i/>
          <w:u w:val="single"/>
        </w:rPr>
      </w:pPr>
      <w:r w:rsidRPr="00820C89">
        <w:rPr>
          <w:i/>
          <w:u w:val="single"/>
        </w:rPr>
        <w:t>What are the most important skills they learn?</w:t>
      </w:r>
    </w:p>
    <w:p w14:paraId="40B765B8" w14:textId="77777777" w:rsidR="00C1765C" w:rsidRPr="00820C89" w:rsidRDefault="00C1765C" w:rsidP="00715F70">
      <w:pPr>
        <w:pStyle w:val="ListParagraph"/>
        <w:numPr>
          <w:ilvl w:val="0"/>
          <w:numId w:val="133"/>
        </w:numPr>
        <w:spacing w:after="160" w:line="259" w:lineRule="auto"/>
      </w:pPr>
      <w:r w:rsidRPr="00820C89">
        <w:t>What job specific skills do they learn?</w:t>
      </w:r>
    </w:p>
    <w:p w14:paraId="56C617FD" w14:textId="77777777" w:rsidR="00C1765C" w:rsidRPr="00820C89" w:rsidRDefault="00C1765C" w:rsidP="00715F70">
      <w:pPr>
        <w:pStyle w:val="ListParagraph"/>
        <w:numPr>
          <w:ilvl w:val="0"/>
          <w:numId w:val="133"/>
        </w:numPr>
        <w:spacing w:after="160" w:line="259" w:lineRule="auto"/>
      </w:pPr>
      <w:r w:rsidRPr="00820C89">
        <w:t>How useful are the skills they learn?</w:t>
      </w:r>
    </w:p>
    <w:p w14:paraId="08931E14" w14:textId="77777777" w:rsidR="00C1765C" w:rsidRPr="00820C89" w:rsidRDefault="00C1765C" w:rsidP="00715F70">
      <w:pPr>
        <w:pStyle w:val="ListParagraph"/>
        <w:numPr>
          <w:ilvl w:val="0"/>
          <w:numId w:val="124"/>
        </w:numPr>
        <w:spacing w:after="160" w:line="259" w:lineRule="auto"/>
      </w:pPr>
      <w:r w:rsidRPr="00820C89">
        <w:t xml:space="preserve">What do you hear from program participants about their experiences in the program? </w:t>
      </w:r>
    </w:p>
    <w:p w14:paraId="0EF59E97" w14:textId="77777777" w:rsidR="00C1765C" w:rsidRPr="00820C89" w:rsidRDefault="00C1765C" w:rsidP="00715F70">
      <w:pPr>
        <w:pStyle w:val="ListParagraph"/>
        <w:numPr>
          <w:ilvl w:val="0"/>
          <w:numId w:val="132"/>
        </w:numPr>
        <w:spacing w:after="160" w:line="259" w:lineRule="auto"/>
      </w:pPr>
      <w:r w:rsidRPr="00820C89">
        <w:t>What do they say they enjoy?</w:t>
      </w:r>
    </w:p>
    <w:p w14:paraId="7FD1B89B" w14:textId="77777777" w:rsidR="00C1765C" w:rsidRPr="00820C89" w:rsidRDefault="00C1765C" w:rsidP="00715F70">
      <w:pPr>
        <w:pStyle w:val="ListParagraph"/>
        <w:numPr>
          <w:ilvl w:val="0"/>
          <w:numId w:val="132"/>
        </w:numPr>
        <w:spacing w:after="160" w:line="259" w:lineRule="auto"/>
      </w:pPr>
      <w:r w:rsidRPr="00820C89">
        <w:t>What parts of the program do they not enjoy?</w:t>
      </w:r>
    </w:p>
    <w:p w14:paraId="2BA40387" w14:textId="77777777" w:rsidR="00C1765C" w:rsidRPr="00820C89" w:rsidRDefault="00C1765C" w:rsidP="00715F70">
      <w:pPr>
        <w:pStyle w:val="ListParagraph"/>
        <w:numPr>
          <w:ilvl w:val="0"/>
          <w:numId w:val="132"/>
        </w:numPr>
        <w:spacing w:after="160" w:line="259" w:lineRule="auto"/>
        <w:rPr>
          <w:i/>
          <w:u w:val="single"/>
        </w:rPr>
      </w:pPr>
      <w:r w:rsidRPr="00820C89">
        <w:rPr>
          <w:i/>
          <w:u w:val="single"/>
        </w:rPr>
        <w:t>What other feedback do you get?</w:t>
      </w:r>
    </w:p>
    <w:p w14:paraId="4E281734" w14:textId="77777777" w:rsidR="00C1765C" w:rsidRPr="00820C89" w:rsidRDefault="00C1765C" w:rsidP="00715F70">
      <w:pPr>
        <w:pStyle w:val="ListParagraph"/>
        <w:numPr>
          <w:ilvl w:val="0"/>
          <w:numId w:val="132"/>
        </w:numPr>
        <w:spacing w:after="160" w:line="259" w:lineRule="auto"/>
      </w:pPr>
      <w:r w:rsidRPr="00820C89">
        <w:t>What’s been your observations?</w:t>
      </w:r>
    </w:p>
    <w:p w14:paraId="730EF277" w14:textId="77777777" w:rsidR="00C1765C" w:rsidRPr="00820C89" w:rsidRDefault="00C1765C" w:rsidP="00715F70">
      <w:pPr>
        <w:pStyle w:val="ListParagraph"/>
        <w:numPr>
          <w:ilvl w:val="0"/>
          <w:numId w:val="132"/>
        </w:numPr>
        <w:spacing w:after="160" w:line="259" w:lineRule="auto"/>
      </w:pPr>
      <w:r w:rsidRPr="00820C89">
        <w:t>How do you think the programs are culturally safe?</w:t>
      </w:r>
    </w:p>
    <w:p w14:paraId="1F78B180" w14:textId="77777777" w:rsidR="00C1765C" w:rsidRPr="00820C89" w:rsidRDefault="00C1765C" w:rsidP="00715F70">
      <w:pPr>
        <w:pStyle w:val="ListParagraph"/>
        <w:numPr>
          <w:ilvl w:val="0"/>
          <w:numId w:val="124"/>
        </w:numPr>
        <w:spacing w:after="160" w:line="259" w:lineRule="auto"/>
      </w:pPr>
      <w:r w:rsidRPr="00820C89">
        <w:t xml:space="preserve">What do you hear from employers about their experiences in the program? </w:t>
      </w:r>
    </w:p>
    <w:p w14:paraId="743E2F1F" w14:textId="77777777" w:rsidR="00C1765C" w:rsidRPr="00820C89" w:rsidRDefault="00C1765C" w:rsidP="00715F70">
      <w:pPr>
        <w:pStyle w:val="ListParagraph"/>
        <w:numPr>
          <w:ilvl w:val="0"/>
          <w:numId w:val="180"/>
        </w:numPr>
        <w:spacing w:after="160" w:line="259" w:lineRule="auto"/>
      </w:pPr>
      <w:r w:rsidRPr="00820C89">
        <w:t>What do they say they find useful for their company?</w:t>
      </w:r>
    </w:p>
    <w:p w14:paraId="10A2BE3D" w14:textId="77777777" w:rsidR="00C1765C" w:rsidRPr="00820C89" w:rsidRDefault="00C1765C" w:rsidP="00715F70">
      <w:pPr>
        <w:pStyle w:val="ListParagraph"/>
        <w:numPr>
          <w:ilvl w:val="0"/>
          <w:numId w:val="180"/>
        </w:numPr>
        <w:spacing w:after="160" w:line="259" w:lineRule="auto"/>
      </w:pPr>
      <w:r w:rsidRPr="00820C89">
        <w:t>What parts of the program do they find difficult?</w:t>
      </w:r>
    </w:p>
    <w:p w14:paraId="4E68D4F2" w14:textId="77777777" w:rsidR="00C1765C" w:rsidRPr="00820C89" w:rsidRDefault="00C1765C" w:rsidP="00715F70">
      <w:pPr>
        <w:pStyle w:val="ListParagraph"/>
        <w:numPr>
          <w:ilvl w:val="0"/>
          <w:numId w:val="180"/>
        </w:numPr>
        <w:spacing w:after="160" w:line="259" w:lineRule="auto"/>
        <w:rPr>
          <w:i/>
          <w:u w:val="single"/>
        </w:rPr>
      </w:pPr>
      <w:r w:rsidRPr="00820C89">
        <w:rPr>
          <w:i/>
          <w:u w:val="single"/>
        </w:rPr>
        <w:t>What other feedback do you get?</w:t>
      </w:r>
    </w:p>
    <w:p w14:paraId="26BE16E4" w14:textId="77777777" w:rsidR="00C1765C" w:rsidRPr="00820C89" w:rsidRDefault="00C1765C" w:rsidP="00715F70">
      <w:pPr>
        <w:pStyle w:val="ListParagraph"/>
        <w:numPr>
          <w:ilvl w:val="0"/>
          <w:numId w:val="124"/>
        </w:numPr>
        <w:spacing w:after="160" w:line="259" w:lineRule="auto"/>
      </w:pPr>
      <w:r w:rsidRPr="00820C89">
        <w:t>In your experience, are there any unintended consequences or outcomes of the program?</w:t>
      </w:r>
    </w:p>
    <w:p w14:paraId="6580ED89" w14:textId="77777777" w:rsidR="00C1765C" w:rsidRPr="00820C89" w:rsidRDefault="00C1765C" w:rsidP="00715F70">
      <w:pPr>
        <w:pStyle w:val="ListParagraph"/>
        <w:numPr>
          <w:ilvl w:val="0"/>
          <w:numId w:val="134"/>
        </w:numPr>
        <w:spacing w:after="160" w:line="259" w:lineRule="auto"/>
      </w:pPr>
      <w:r w:rsidRPr="00820C89">
        <w:t>Does participating in the program mean that participants miss out on other activities?</w:t>
      </w:r>
    </w:p>
    <w:p w14:paraId="1E259044" w14:textId="77777777" w:rsidR="00C1765C" w:rsidRPr="00820C89" w:rsidRDefault="00C1765C" w:rsidP="00C1765C">
      <w:pPr>
        <w:rPr>
          <w:b/>
        </w:rPr>
      </w:pPr>
      <w:r w:rsidRPr="00820C89">
        <w:rPr>
          <w:b/>
        </w:rPr>
        <w:t>Success factors &amp; policy / program landscape</w:t>
      </w:r>
    </w:p>
    <w:p w14:paraId="221C3EF8" w14:textId="77777777" w:rsidR="00C1765C" w:rsidRPr="00820C89" w:rsidRDefault="00C1765C" w:rsidP="00715F70">
      <w:pPr>
        <w:pStyle w:val="ListParagraph"/>
        <w:numPr>
          <w:ilvl w:val="0"/>
          <w:numId w:val="124"/>
        </w:numPr>
        <w:spacing w:after="160" w:line="259" w:lineRule="auto"/>
      </w:pPr>
      <w:r w:rsidRPr="00820C89">
        <w:t>In your experience, what influences how successful a provider can be in delivering the program?</w:t>
      </w:r>
    </w:p>
    <w:p w14:paraId="30A887C3" w14:textId="77777777" w:rsidR="00C1765C" w:rsidRPr="00820C89" w:rsidRDefault="00C1765C" w:rsidP="00715F70">
      <w:pPr>
        <w:pStyle w:val="ListParagraph"/>
        <w:numPr>
          <w:ilvl w:val="0"/>
          <w:numId w:val="124"/>
        </w:numPr>
        <w:spacing w:after="160" w:line="259" w:lineRule="auto"/>
        <w:rPr>
          <w:b/>
        </w:rPr>
      </w:pPr>
      <w:r w:rsidRPr="00820C89">
        <w:t>In your experience, what influences whether a participant has more or less success in the program?</w:t>
      </w:r>
    </w:p>
    <w:p w14:paraId="4C6D0B3F" w14:textId="77777777" w:rsidR="00C1765C" w:rsidRPr="00820C89" w:rsidRDefault="00C1765C" w:rsidP="00715F70">
      <w:pPr>
        <w:pStyle w:val="ListParagraph"/>
        <w:numPr>
          <w:ilvl w:val="0"/>
          <w:numId w:val="124"/>
        </w:numPr>
        <w:spacing w:after="160" w:line="259" w:lineRule="auto"/>
      </w:pPr>
      <w:r w:rsidRPr="00820C89">
        <w:t>In your experience, how is the TAEG/VTEC/EPI program different to other employment programs?</w:t>
      </w:r>
    </w:p>
    <w:p w14:paraId="0E554DB3" w14:textId="77777777" w:rsidR="00C1765C" w:rsidRPr="00820C89" w:rsidRDefault="00C1765C" w:rsidP="00715F70">
      <w:pPr>
        <w:pStyle w:val="ListParagraph"/>
        <w:numPr>
          <w:ilvl w:val="0"/>
          <w:numId w:val="124"/>
        </w:numPr>
        <w:spacing w:after="160" w:line="259" w:lineRule="auto"/>
      </w:pPr>
      <w:r w:rsidRPr="00820C89">
        <w:t>How much do you collaborate with other program providers and employers?</w:t>
      </w:r>
    </w:p>
    <w:p w14:paraId="79928F62" w14:textId="77777777" w:rsidR="00C1765C" w:rsidRPr="00820C89" w:rsidRDefault="00C1765C" w:rsidP="00715F70">
      <w:pPr>
        <w:pStyle w:val="ListParagraph"/>
        <w:numPr>
          <w:ilvl w:val="0"/>
          <w:numId w:val="141"/>
        </w:numPr>
        <w:spacing w:after="160" w:line="259" w:lineRule="auto"/>
      </w:pPr>
      <w:r w:rsidRPr="00820C89">
        <w:t>What activities do you usually collaborate on?</w:t>
      </w:r>
    </w:p>
    <w:p w14:paraId="0693AE1F" w14:textId="77777777" w:rsidR="00C1765C" w:rsidRPr="00820C89" w:rsidRDefault="00C1765C" w:rsidP="00715F70">
      <w:pPr>
        <w:pStyle w:val="ListParagraph"/>
        <w:numPr>
          <w:ilvl w:val="0"/>
          <w:numId w:val="141"/>
        </w:numPr>
        <w:spacing w:after="160" w:line="259" w:lineRule="auto"/>
      </w:pPr>
      <w:r w:rsidRPr="00820C89">
        <w:t>What influences the level of collaboration?</w:t>
      </w:r>
    </w:p>
    <w:p w14:paraId="6A8B9721" w14:textId="77777777" w:rsidR="00C1765C" w:rsidRPr="00820C89" w:rsidRDefault="00C1765C" w:rsidP="00715F70">
      <w:pPr>
        <w:pStyle w:val="ListParagraph"/>
        <w:numPr>
          <w:ilvl w:val="0"/>
          <w:numId w:val="141"/>
        </w:numPr>
        <w:spacing w:after="160" w:line="259" w:lineRule="auto"/>
      </w:pPr>
      <w:r w:rsidRPr="00820C89">
        <w:t>What opportunities for further collaboration are there?</w:t>
      </w:r>
    </w:p>
    <w:p w14:paraId="0831ABDA" w14:textId="77777777" w:rsidR="00C1765C" w:rsidRPr="00820C89" w:rsidRDefault="00C1765C" w:rsidP="00715F70">
      <w:pPr>
        <w:pStyle w:val="ListParagraph"/>
        <w:numPr>
          <w:ilvl w:val="0"/>
          <w:numId w:val="124"/>
        </w:numPr>
        <w:spacing w:after="160" w:line="259" w:lineRule="auto"/>
      </w:pPr>
      <w:r w:rsidRPr="00820C89">
        <w:t>What advice would you give another provider who is interested in participating in this program?</w:t>
      </w:r>
    </w:p>
    <w:p w14:paraId="749A7C05" w14:textId="77777777" w:rsidR="00C1765C" w:rsidRPr="00820C89" w:rsidRDefault="00C1765C" w:rsidP="00C1765C">
      <w:pPr>
        <w:pStyle w:val="ListParagraph"/>
        <w:spacing w:after="160" w:line="259" w:lineRule="auto"/>
        <w:ind w:left="644"/>
      </w:pPr>
    </w:p>
    <w:p w14:paraId="6594C400" w14:textId="77777777" w:rsidR="00C1765C" w:rsidRPr="00820C89" w:rsidRDefault="00C1765C" w:rsidP="00715F70">
      <w:pPr>
        <w:pStyle w:val="ListParagraph"/>
        <w:numPr>
          <w:ilvl w:val="0"/>
          <w:numId w:val="124"/>
        </w:numPr>
        <w:spacing w:after="160" w:line="259" w:lineRule="auto"/>
        <w:rPr>
          <w:i/>
          <w:u w:val="single"/>
        </w:rPr>
      </w:pPr>
      <w:r w:rsidRPr="00820C89">
        <w:rPr>
          <w:i/>
          <w:u w:val="single"/>
        </w:rPr>
        <w:t>Given your first-hand experience with the program, how do you think it could be improved?</w:t>
      </w:r>
    </w:p>
    <w:p w14:paraId="17301B54" w14:textId="77777777" w:rsidR="00C1765C" w:rsidRPr="00820C89" w:rsidRDefault="00C1765C" w:rsidP="00715F70">
      <w:pPr>
        <w:pStyle w:val="ListParagraph"/>
        <w:numPr>
          <w:ilvl w:val="0"/>
          <w:numId w:val="124"/>
        </w:numPr>
        <w:spacing w:after="160" w:line="259" w:lineRule="auto"/>
        <w:rPr>
          <w:b/>
          <w:color w:val="FF0000"/>
        </w:rPr>
      </w:pPr>
      <w:r w:rsidRPr="00820C89">
        <w:lastRenderedPageBreak/>
        <w:t>In your opinion, what does the ideal version of these Indigenous Employment Programs look like?</w:t>
      </w:r>
    </w:p>
    <w:p w14:paraId="2B952B80" w14:textId="77777777" w:rsidR="00C1765C" w:rsidRPr="00820C89" w:rsidRDefault="00C1765C" w:rsidP="00C1765C">
      <w:pPr>
        <w:spacing w:after="0"/>
        <w:rPr>
          <w:sz w:val="20"/>
          <w:szCs w:val="20"/>
        </w:rPr>
      </w:pPr>
      <w:r w:rsidRPr="00820C89">
        <w:rPr>
          <w:sz w:val="20"/>
          <w:szCs w:val="20"/>
        </w:rPr>
        <w:br w:type="page"/>
      </w:r>
    </w:p>
    <w:p w14:paraId="14B29A01" w14:textId="77777777" w:rsidR="00C1765C" w:rsidRPr="00820C89" w:rsidRDefault="00C1765C" w:rsidP="00C1765C">
      <w:pPr>
        <w:pStyle w:val="Heading2un-numbered"/>
        <w:pageBreakBefore/>
      </w:pPr>
      <w:bookmarkStart w:id="565" w:name="_Toc82694533"/>
      <w:bookmarkStart w:id="566" w:name="_Toc82710829"/>
      <w:bookmarkStart w:id="567" w:name="_Toc101343357"/>
      <w:r w:rsidRPr="00820C89">
        <w:lastRenderedPageBreak/>
        <w:t>Employer/provider semi-structured interview</w:t>
      </w:r>
      <w:bookmarkEnd w:id="555"/>
      <w:bookmarkEnd w:id="556"/>
      <w:bookmarkEnd w:id="565"/>
      <w:bookmarkEnd w:id="566"/>
      <w:bookmarkEnd w:id="567"/>
      <w:r w:rsidRPr="00820C89">
        <w:t xml:space="preserve"> </w:t>
      </w:r>
    </w:p>
    <w:p w14:paraId="22CADD4D" w14:textId="77777777" w:rsidR="00C1765C" w:rsidRPr="00820C89" w:rsidRDefault="00C1765C" w:rsidP="00C1765C">
      <w:pPr>
        <w:rPr>
          <w:i/>
          <w:iCs/>
        </w:rPr>
      </w:pPr>
      <w:r w:rsidRPr="00820C89">
        <w:rPr>
          <w:i/>
          <w:iCs/>
        </w:rPr>
        <w:t xml:space="preserve">This is for EPI employers and TAEG providers that are also employers. </w:t>
      </w:r>
    </w:p>
    <w:p w14:paraId="5B988AA5" w14:textId="77777777" w:rsidR="00C1765C" w:rsidRPr="00820C89" w:rsidRDefault="00C1765C" w:rsidP="00C1765C">
      <w:pPr>
        <w:rPr>
          <w:b/>
        </w:rPr>
      </w:pPr>
      <w:r w:rsidRPr="00820C89">
        <w:rPr>
          <w:b/>
        </w:rPr>
        <w:t xml:space="preserve">Background </w:t>
      </w:r>
    </w:p>
    <w:p w14:paraId="060BB436" w14:textId="77777777" w:rsidR="00C1765C" w:rsidRPr="00820C89" w:rsidRDefault="00C1765C" w:rsidP="00715F70">
      <w:pPr>
        <w:pStyle w:val="ListParagraph"/>
        <w:numPr>
          <w:ilvl w:val="0"/>
          <w:numId w:val="171"/>
        </w:numPr>
        <w:spacing w:after="160" w:line="259" w:lineRule="auto"/>
      </w:pPr>
      <w:r w:rsidRPr="00820C89">
        <w:t>In order to best understand your perspective, I want to explore more with you about your organisation.</w:t>
      </w:r>
    </w:p>
    <w:p w14:paraId="0A0D2E0C" w14:textId="77777777" w:rsidR="00C1765C" w:rsidRPr="00820C89" w:rsidRDefault="00C1765C" w:rsidP="00715F70">
      <w:pPr>
        <w:pStyle w:val="ListParagraph"/>
        <w:numPr>
          <w:ilvl w:val="0"/>
          <w:numId w:val="173"/>
        </w:numPr>
        <w:spacing w:after="160" w:line="259" w:lineRule="auto"/>
        <w:rPr>
          <w:i/>
          <w:u w:val="single"/>
        </w:rPr>
      </w:pPr>
      <w:r w:rsidRPr="00820C89">
        <w:rPr>
          <w:i/>
          <w:u w:val="single"/>
        </w:rPr>
        <w:t>How would you describe your experience/role within your organisation?</w:t>
      </w:r>
    </w:p>
    <w:p w14:paraId="36AC3F34" w14:textId="77777777" w:rsidR="00C1765C" w:rsidRPr="00820C89" w:rsidRDefault="00C1765C" w:rsidP="00715F70">
      <w:pPr>
        <w:pStyle w:val="ListParagraph"/>
        <w:numPr>
          <w:ilvl w:val="0"/>
          <w:numId w:val="173"/>
        </w:numPr>
        <w:spacing w:after="160" w:line="259" w:lineRule="auto"/>
      </w:pPr>
      <w:r w:rsidRPr="00820C89">
        <w:t>How would you describe the history of your organisation?</w:t>
      </w:r>
    </w:p>
    <w:p w14:paraId="09017441" w14:textId="77777777" w:rsidR="00C1765C" w:rsidRPr="00820C89" w:rsidRDefault="00C1765C" w:rsidP="00715F70">
      <w:pPr>
        <w:pStyle w:val="ListParagraph"/>
        <w:numPr>
          <w:ilvl w:val="0"/>
          <w:numId w:val="173"/>
        </w:numPr>
        <w:spacing w:after="160" w:line="259" w:lineRule="auto"/>
      </w:pPr>
      <w:r w:rsidRPr="00820C89">
        <w:t>How would you describe your organisation’s involvement in the TAEG/VTEC/EPI program?</w:t>
      </w:r>
    </w:p>
    <w:p w14:paraId="17D5843C" w14:textId="77777777" w:rsidR="00C1765C" w:rsidRPr="00820C89" w:rsidRDefault="00C1765C" w:rsidP="00715F70">
      <w:pPr>
        <w:pStyle w:val="ListParagraph"/>
        <w:numPr>
          <w:ilvl w:val="0"/>
          <w:numId w:val="173"/>
        </w:numPr>
        <w:spacing w:after="160" w:line="259" w:lineRule="auto"/>
      </w:pPr>
      <w:r w:rsidRPr="00820C89">
        <w:t>What can you tell me about your organisation’s involvement in other employment programs?</w:t>
      </w:r>
    </w:p>
    <w:p w14:paraId="753EA21F" w14:textId="77777777" w:rsidR="00C1765C" w:rsidRPr="00820C89" w:rsidRDefault="00C1765C" w:rsidP="00C1765C">
      <w:pPr>
        <w:rPr>
          <w:b/>
        </w:rPr>
      </w:pPr>
      <w:r w:rsidRPr="00820C89">
        <w:rPr>
          <w:b/>
        </w:rPr>
        <w:t>Delivery</w:t>
      </w:r>
    </w:p>
    <w:p w14:paraId="7EDE8588" w14:textId="77777777" w:rsidR="00C1765C" w:rsidRPr="00820C89" w:rsidRDefault="00C1765C" w:rsidP="00715F70">
      <w:pPr>
        <w:pStyle w:val="ListParagraph"/>
        <w:numPr>
          <w:ilvl w:val="0"/>
          <w:numId w:val="171"/>
        </w:numPr>
        <w:spacing w:after="160" w:line="259" w:lineRule="auto"/>
      </w:pPr>
      <w:r w:rsidRPr="00820C89">
        <w:t>What can you tell us about how the IEP operates in your company, and what it offers?</w:t>
      </w:r>
    </w:p>
    <w:p w14:paraId="39B59F6D" w14:textId="77777777" w:rsidR="00C1765C" w:rsidRPr="00820C89" w:rsidRDefault="00C1765C" w:rsidP="00715F70">
      <w:pPr>
        <w:pStyle w:val="ListParagraph"/>
        <w:numPr>
          <w:ilvl w:val="0"/>
          <w:numId w:val="174"/>
        </w:numPr>
        <w:spacing w:after="160" w:line="259" w:lineRule="auto"/>
        <w:ind w:left="1050" w:hanging="341"/>
        <w:rPr>
          <w:i/>
          <w:u w:val="single"/>
        </w:rPr>
      </w:pPr>
      <w:r w:rsidRPr="00820C89">
        <w:rPr>
          <w:i/>
          <w:u w:val="single"/>
        </w:rPr>
        <w:t>What are the main services you offer?</w:t>
      </w:r>
    </w:p>
    <w:p w14:paraId="07B1FD88" w14:textId="77777777" w:rsidR="00C1765C" w:rsidRPr="00820C89" w:rsidRDefault="00C1765C" w:rsidP="00715F70">
      <w:pPr>
        <w:pStyle w:val="ListParagraph"/>
        <w:numPr>
          <w:ilvl w:val="0"/>
          <w:numId w:val="174"/>
        </w:numPr>
        <w:spacing w:after="160" w:line="259" w:lineRule="auto"/>
        <w:ind w:left="1080"/>
      </w:pPr>
      <w:r w:rsidRPr="00820C89">
        <w:t>Who do you work with?</w:t>
      </w:r>
    </w:p>
    <w:p w14:paraId="5257F138" w14:textId="77777777" w:rsidR="00C1765C" w:rsidRPr="00820C89" w:rsidRDefault="00C1765C" w:rsidP="00715F70">
      <w:pPr>
        <w:pStyle w:val="ListParagraph"/>
        <w:numPr>
          <w:ilvl w:val="0"/>
          <w:numId w:val="174"/>
        </w:numPr>
        <w:spacing w:after="160" w:line="259" w:lineRule="auto"/>
        <w:ind w:left="1080"/>
      </w:pPr>
      <w:r w:rsidRPr="00820C89">
        <w:t>What types of pre-employment or ongoing employment support do you offer?</w:t>
      </w:r>
    </w:p>
    <w:p w14:paraId="12CDCEA2" w14:textId="77777777" w:rsidR="00C1765C" w:rsidRPr="00820C89" w:rsidRDefault="00C1765C" w:rsidP="00715F70">
      <w:pPr>
        <w:pStyle w:val="ListParagraph"/>
        <w:numPr>
          <w:ilvl w:val="0"/>
          <w:numId w:val="174"/>
        </w:numPr>
        <w:spacing w:after="160" w:line="259" w:lineRule="auto"/>
        <w:ind w:left="1080"/>
      </w:pPr>
      <w:r w:rsidRPr="00820C89">
        <w:t>What training do you provide?</w:t>
      </w:r>
    </w:p>
    <w:p w14:paraId="7C7CD5CB" w14:textId="77777777" w:rsidR="00C1765C" w:rsidRPr="00820C89" w:rsidRDefault="00C1765C" w:rsidP="00715F70">
      <w:pPr>
        <w:pStyle w:val="ListParagraph"/>
        <w:numPr>
          <w:ilvl w:val="0"/>
          <w:numId w:val="174"/>
        </w:numPr>
        <w:spacing w:after="160" w:line="259" w:lineRule="auto"/>
        <w:ind w:left="1080"/>
      </w:pPr>
      <w:r w:rsidRPr="00820C89">
        <w:t>How do you collaborate or work with other providers?</w:t>
      </w:r>
    </w:p>
    <w:p w14:paraId="5C22CEBF" w14:textId="77777777" w:rsidR="00C1765C" w:rsidRPr="00820C89" w:rsidRDefault="00C1765C" w:rsidP="00715F70">
      <w:pPr>
        <w:pStyle w:val="ListParagraph"/>
        <w:numPr>
          <w:ilvl w:val="0"/>
          <w:numId w:val="174"/>
        </w:numPr>
        <w:spacing w:after="160" w:line="259" w:lineRule="auto"/>
        <w:ind w:left="1080"/>
      </w:pPr>
      <w:r w:rsidRPr="00820C89">
        <w:t xml:space="preserve">If you don’t outsource your delivery of the program, what do you see as the benefits of managing the program internally? </w:t>
      </w:r>
    </w:p>
    <w:p w14:paraId="3E6254EC" w14:textId="77777777" w:rsidR="00C1765C" w:rsidRPr="00820C89" w:rsidRDefault="00C1765C" w:rsidP="00715F70">
      <w:pPr>
        <w:pStyle w:val="ListParagraph"/>
        <w:numPr>
          <w:ilvl w:val="0"/>
          <w:numId w:val="174"/>
        </w:numPr>
        <w:spacing w:after="160" w:line="259" w:lineRule="auto"/>
        <w:ind w:left="1080"/>
      </w:pPr>
      <w:r w:rsidRPr="00820C89">
        <w:t>Would you consider using a service provider for elements of program delivery? Why/why not?</w:t>
      </w:r>
    </w:p>
    <w:p w14:paraId="5D60ABE9" w14:textId="77777777" w:rsidR="00C1765C" w:rsidRPr="00820C89" w:rsidRDefault="00C1765C" w:rsidP="00715F70">
      <w:pPr>
        <w:pStyle w:val="ListParagraph"/>
        <w:numPr>
          <w:ilvl w:val="0"/>
          <w:numId w:val="174"/>
        </w:numPr>
        <w:spacing w:after="160" w:line="259" w:lineRule="auto"/>
        <w:ind w:left="1080"/>
      </w:pPr>
      <w:r w:rsidRPr="00820C89">
        <w:t>What types of community engagement work do you do?</w:t>
      </w:r>
    </w:p>
    <w:p w14:paraId="60B0031A" w14:textId="77777777" w:rsidR="00C1765C" w:rsidRPr="00820C89" w:rsidRDefault="00C1765C" w:rsidP="00715F70">
      <w:pPr>
        <w:pStyle w:val="ListParagraph"/>
        <w:numPr>
          <w:ilvl w:val="0"/>
          <w:numId w:val="171"/>
        </w:numPr>
        <w:spacing w:after="160" w:line="259" w:lineRule="auto"/>
      </w:pPr>
      <w:r w:rsidRPr="00820C89">
        <w:t>In your experience, what are the things that are difficult or useful when implementing your program?</w:t>
      </w:r>
    </w:p>
    <w:p w14:paraId="5B73E724" w14:textId="77777777" w:rsidR="00C1765C" w:rsidRPr="00820C89" w:rsidRDefault="00C1765C" w:rsidP="00715F70">
      <w:pPr>
        <w:pStyle w:val="ListParagraph"/>
        <w:numPr>
          <w:ilvl w:val="1"/>
          <w:numId w:val="172"/>
        </w:numPr>
        <w:spacing w:after="160" w:line="259" w:lineRule="auto"/>
        <w:ind w:left="1134" w:hanging="425"/>
        <w:rPr>
          <w:b/>
        </w:rPr>
      </w:pPr>
      <w:r w:rsidRPr="00820C89">
        <w:t>Are there any impacts with the funding arrangements?  Positive or negative?</w:t>
      </w:r>
    </w:p>
    <w:p w14:paraId="08774319" w14:textId="77777777" w:rsidR="00C1765C" w:rsidRPr="00820C89" w:rsidRDefault="00C1765C" w:rsidP="00715F70">
      <w:pPr>
        <w:pStyle w:val="ListParagraph"/>
        <w:numPr>
          <w:ilvl w:val="1"/>
          <w:numId w:val="172"/>
        </w:numPr>
        <w:spacing w:after="160" w:line="259" w:lineRule="auto"/>
        <w:ind w:left="1134" w:hanging="425"/>
        <w:rPr>
          <w:b/>
        </w:rPr>
      </w:pPr>
      <w:r w:rsidRPr="00820C89">
        <w:t>How do you staff your program?</w:t>
      </w:r>
    </w:p>
    <w:p w14:paraId="6255C296" w14:textId="77777777" w:rsidR="00C1765C" w:rsidRPr="00820C89" w:rsidRDefault="00C1765C" w:rsidP="00715F70">
      <w:pPr>
        <w:pStyle w:val="ListParagraph"/>
        <w:numPr>
          <w:ilvl w:val="1"/>
          <w:numId w:val="172"/>
        </w:numPr>
        <w:spacing w:after="160" w:line="259" w:lineRule="auto"/>
        <w:ind w:left="1134" w:hanging="425"/>
        <w:rPr>
          <w:b/>
        </w:rPr>
      </w:pPr>
      <w:r w:rsidRPr="00820C89">
        <w:t>How do you build community awareness?</w:t>
      </w:r>
    </w:p>
    <w:p w14:paraId="0F16F0A7" w14:textId="77777777" w:rsidR="00C1765C" w:rsidRPr="00820C89" w:rsidRDefault="00C1765C" w:rsidP="00C1765C">
      <w:pPr>
        <w:rPr>
          <w:b/>
        </w:rPr>
      </w:pPr>
      <w:r w:rsidRPr="00820C89">
        <w:rPr>
          <w:b/>
        </w:rPr>
        <w:t>Outcomes</w:t>
      </w:r>
    </w:p>
    <w:p w14:paraId="7E1AE951" w14:textId="77777777" w:rsidR="00C1765C" w:rsidRPr="00820C89" w:rsidRDefault="00C1765C" w:rsidP="00715F70">
      <w:pPr>
        <w:pStyle w:val="ListParagraph"/>
        <w:numPr>
          <w:ilvl w:val="0"/>
          <w:numId w:val="171"/>
        </w:numPr>
        <w:spacing w:after="160" w:line="259" w:lineRule="auto"/>
      </w:pPr>
      <w:r w:rsidRPr="00820C89">
        <w:t xml:space="preserve">In your experience, what new skills do participants learn through the program? </w:t>
      </w:r>
    </w:p>
    <w:p w14:paraId="6975C089" w14:textId="77777777" w:rsidR="00C1765C" w:rsidRPr="00820C89" w:rsidRDefault="00C1765C" w:rsidP="00715F70">
      <w:pPr>
        <w:pStyle w:val="ListParagraph"/>
        <w:numPr>
          <w:ilvl w:val="0"/>
          <w:numId w:val="175"/>
        </w:numPr>
        <w:spacing w:after="160" w:line="259" w:lineRule="auto"/>
        <w:ind w:left="1134" w:hanging="425"/>
        <w:rPr>
          <w:i/>
          <w:u w:val="single"/>
        </w:rPr>
      </w:pPr>
      <w:r w:rsidRPr="00820C89">
        <w:rPr>
          <w:i/>
          <w:u w:val="single"/>
        </w:rPr>
        <w:t>What are the most important skills they learn?</w:t>
      </w:r>
    </w:p>
    <w:p w14:paraId="65682833" w14:textId="77777777" w:rsidR="00C1765C" w:rsidRPr="00820C89" w:rsidRDefault="00C1765C" w:rsidP="00715F70">
      <w:pPr>
        <w:pStyle w:val="ListParagraph"/>
        <w:numPr>
          <w:ilvl w:val="0"/>
          <w:numId w:val="175"/>
        </w:numPr>
        <w:spacing w:after="160" w:line="259" w:lineRule="auto"/>
        <w:ind w:left="1134" w:hanging="425"/>
      </w:pPr>
      <w:r w:rsidRPr="00820C89">
        <w:t>What job specific skills do they learn?</w:t>
      </w:r>
    </w:p>
    <w:p w14:paraId="67DB23F6" w14:textId="77777777" w:rsidR="00C1765C" w:rsidRPr="00820C89" w:rsidRDefault="00C1765C" w:rsidP="00715F70">
      <w:pPr>
        <w:pStyle w:val="ListParagraph"/>
        <w:numPr>
          <w:ilvl w:val="0"/>
          <w:numId w:val="175"/>
        </w:numPr>
        <w:spacing w:after="160" w:line="259" w:lineRule="auto"/>
        <w:ind w:left="1134" w:hanging="425"/>
      </w:pPr>
      <w:r w:rsidRPr="00820C89">
        <w:t>How useful are the skills they learn?</w:t>
      </w:r>
    </w:p>
    <w:p w14:paraId="5CFF82BC" w14:textId="77777777" w:rsidR="00C1765C" w:rsidRPr="00820C89" w:rsidRDefault="00C1765C" w:rsidP="00715F70">
      <w:pPr>
        <w:pStyle w:val="ListParagraph"/>
        <w:numPr>
          <w:ilvl w:val="0"/>
          <w:numId w:val="171"/>
        </w:numPr>
        <w:spacing w:after="160" w:line="259" w:lineRule="auto"/>
      </w:pPr>
      <w:r w:rsidRPr="00820C89">
        <w:t xml:space="preserve">What do you hear from program participants about their experiences in the program? </w:t>
      </w:r>
    </w:p>
    <w:p w14:paraId="5147557D" w14:textId="77777777" w:rsidR="00C1765C" w:rsidRPr="00820C89" w:rsidRDefault="00C1765C" w:rsidP="00715F70">
      <w:pPr>
        <w:pStyle w:val="ListParagraph"/>
        <w:numPr>
          <w:ilvl w:val="0"/>
          <w:numId w:val="176"/>
        </w:numPr>
        <w:spacing w:after="160" w:line="259" w:lineRule="auto"/>
        <w:ind w:left="1134" w:hanging="425"/>
      </w:pPr>
      <w:r w:rsidRPr="00820C89">
        <w:t>What do they say they enjoy?</w:t>
      </w:r>
    </w:p>
    <w:p w14:paraId="38A78B88" w14:textId="77777777" w:rsidR="00C1765C" w:rsidRPr="00820C89" w:rsidRDefault="00C1765C" w:rsidP="00715F70">
      <w:pPr>
        <w:pStyle w:val="ListParagraph"/>
        <w:numPr>
          <w:ilvl w:val="0"/>
          <w:numId w:val="176"/>
        </w:numPr>
        <w:spacing w:after="160" w:line="259" w:lineRule="auto"/>
        <w:ind w:left="1134" w:hanging="425"/>
      </w:pPr>
      <w:r w:rsidRPr="00820C89">
        <w:t>What parts of the program do they not enjoy?</w:t>
      </w:r>
    </w:p>
    <w:p w14:paraId="0EA0A232" w14:textId="77777777" w:rsidR="00C1765C" w:rsidRPr="00820C89" w:rsidRDefault="00C1765C" w:rsidP="00715F70">
      <w:pPr>
        <w:pStyle w:val="ListParagraph"/>
        <w:numPr>
          <w:ilvl w:val="0"/>
          <w:numId w:val="176"/>
        </w:numPr>
        <w:spacing w:after="160" w:line="259" w:lineRule="auto"/>
        <w:ind w:left="1134" w:hanging="425"/>
        <w:rPr>
          <w:i/>
          <w:u w:val="single"/>
        </w:rPr>
      </w:pPr>
      <w:r w:rsidRPr="00820C89">
        <w:rPr>
          <w:i/>
          <w:u w:val="single"/>
        </w:rPr>
        <w:t>What other feedback do you get?</w:t>
      </w:r>
    </w:p>
    <w:p w14:paraId="437B1E13" w14:textId="77777777" w:rsidR="00C1765C" w:rsidRPr="00820C89" w:rsidRDefault="00C1765C" w:rsidP="00715F70">
      <w:pPr>
        <w:pStyle w:val="ListParagraph"/>
        <w:numPr>
          <w:ilvl w:val="0"/>
          <w:numId w:val="176"/>
        </w:numPr>
        <w:spacing w:after="160" w:line="259" w:lineRule="auto"/>
        <w:ind w:left="1134" w:hanging="425"/>
      </w:pPr>
      <w:r w:rsidRPr="00820C89">
        <w:t>What’s been your observations?</w:t>
      </w:r>
    </w:p>
    <w:p w14:paraId="653D846F" w14:textId="77777777" w:rsidR="00C1765C" w:rsidRPr="00820C89" w:rsidRDefault="00C1765C" w:rsidP="00715F70">
      <w:pPr>
        <w:pStyle w:val="ListParagraph"/>
        <w:numPr>
          <w:ilvl w:val="0"/>
          <w:numId w:val="176"/>
        </w:numPr>
        <w:spacing w:after="160" w:line="259" w:lineRule="auto"/>
        <w:ind w:left="1134" w:hanging="425"/>
      </w:pPr>
      <w:r w:rsidRPr="00820C89">
        <w:t>How do you think the programs are culturally safe?</w:t>
      </w:r>
    </w:p>
    <w:p w14:paraId="040E85BF" w14:textId="77777777" w:rsidR="00C1765C" w:rsidRPr="00820C89" w:rsidRDefault="00C1765C" w:rsidP="00715F70">
      <w:pPr>
        <w:pStyle w:val="ListParagraph"/>
        <w:numPr>
          <w:ilvl w:val="0"/>
          <w:numId w:val="171"/>
        </w:numPr>
        <w:spacing w:after="160" w:line="259" w:lineRule="auto"/>
      </w:pPr>
      <w:r w:rsidRPr="00820C89">
        <w:t xml:space="preserve">What do you hear from your colleagues and company about their experiences in the program? </w:t>
      </w:r>
    </w:p>
    <w:p w14:paraId="3C2DA7AF" w14:textId="77777777" w:rsidR="00C1765C" w:rsidRPr="00820C89" w:rsidRDefault="00C1765C" w:rsidP="00715F70">
      <w:pPr>
        <w:pStyle w:val="ListParagraph"/>
        <w:numPr>
          <w:ilvl w:val="0"/>
          <w:numId w:val="177"/>
        </w:numPr>
        <w:spacing w:after="160" w:line="259" w:lineRule="auto"/>
        <w:ind w:left="1134" w:hanging="425"/>
      </w:pPr>
      <w:r w:rsidRPr="00820C89">
        <w:t>What do they say they find useful?</w:t>
      </w:r>
    </w:p>
    <w:p w14:paraId="3E86C05D" w14:textId="77777777" w:rsidR="00C1765C" w:rsidRPr="00820C89" w:rsidRDefault="00C1765C" w:rsidP="00715F70">
      <w:pPr>
        <w:pStyle w:val="ListParagraph"/>
        <w:numPr>
          <w:ilvl w:val="0"/>
          <w:numId w:val="177"/>
        </w:numPr>
        <w:spacing w:after="160" w:line="259" w:lineRule="auto"/>
        <w:ind w:left="1134" w:hanging="425"/>
      </w:pPr>
      <w:r w:rsidRPr="00820C89">
        <w:t>What parts of the program do they find challenging?</w:t>
      </w:r>
    </w:p>
    <w:p w14:paraId="528E76D1" w14:textId="77777777" w:rsidR="00C1765C" w:rsidRPr="00820C89" w:rsidRDefault="00C1765C" w:rsidP="00715F70">
      <w:pPr>
        <w:pStyle w:val="ListParagraph"/>
        <w:numPr>
          <w:ilvl w:val="0"/>
          <w:numId w:val="177"/>
        </w:numPr>
        <w:spacing w:after="160" w:line="259" w:lineRule="auto"/>
        <w:ind w:left="1134" w:hanging="425"/>
        <w:rPr>
          <w:i/>
          <w:u w:val="single"/>
        </w:rPr>
      </w:pPr>
      <w:r w:rsidRPr="00820C89">
        <w:rPr>
          <w:i/>
          <w:u w:val="single"/>
        </w:rPr>
        <w:t>What other feedback do you get?</w:t>
      </w:r>
    </w:p>
    <w:p w14:paraId="3E711142" w14:textId="77777777" w:rsidR="00C1765C" w:rsidRPr="00820C89" w:rsidRDefault="00C1765C" w:rsidP="00715F70">
      <w:pPr>
        <w:pStyle w:val="ListParagraph"/>
        <w:numPr>
          <w:ilvl w:val="0"/>
          <w:numId w:val="171"/>
        </w:numPr>
        <w:spacing w:after="160" w:line="259" w:lineRule="auto"/>
      </w:pPr>
      <w:r w:rsidRPr="00820C89">
        <w:t>In your experience, are there any unintended consequences or outcomes of the program?</w:t>
      </w:r>
    </w:p>
    <w:p w14:paraId="12AFE8F2" w14:textId="77777777" w:rsidR="00C1765C" w:rsidRPr="00820C89" w:rsidRDefault="00C1765C" w:rsidP="00715F70">
      <w:pPr>
        <w:pStyle w:val="ListParagraph"/>
        <w:numPr>
          <w:ilvl w:val="0"/>
          <w:numId w:val="178"/>
        </w:numPr>
        <w:spacing w:after="160" w:line="259" w:lineRule="auto"/>
        <w:ind w:left="1134" w:hanging="425"/>
      </w:pPr>
      <w:r w:rsidRPr="00820C89">
        <w:t>Does participating in the program mean that participants miss out on other activities?</w:t>
      </w:r>
    </w:p>
    <w:p w14:paraId="018848D6" w14:textId="77777777" w:rsidR="00C1765C" w:rsidRPr="00820C89" w:rsidRDefault="00C1765C" w:rsidP="00C1765C">
      <w:pPr>
        <w:rPr>
          <w:b/>
        </w:rPr>
      </w:pPr>
      <w:r w:rsidRPr="00820C89">
        <w:rPr>
          <w:b/>
        </w:rPr>
        <w:t>Success factors &amp; policy / program landscape</w:t>
      </w:r>
    </w:p>
    <w:p w14:paraId="645EE0B4" w14:textId="77777777" w:rsidR="00C1765C" w:rsidRPr="00820C89" w:rsidRDefault="00C1765C" w:rsidP="00715F70">
      <w:pPr>
        <w:pStyle w:val="ListParagraph"/>
        <w:numPr>
          <w:ilvl w:val="0"/>
          <w:numId w:val="171"/>
        </w:numPr>
        <w:spacing w:after="160" w:line="259" w:lineRule="auto"/>
      </w:pPr>
      <w:r w:rsidRPr="00820C89">
        <w:t>In your experience, what influences how successful a company can be in delivering the program?</w:t>
      </w:r>
    </w:p>
    <w:p w14:paraId="26DF449E" w14:textId="77777777" w:rsidR="00C1765C" w:rsidRPr="00820C89" w:rsidRDefault="00C1765C" w:rsidP="00715F70">
      <w:pPr>
        <w:pStyle w:val="ListParagraph"/>
        <w:numPr>
          <w:ilvl w:val="0"/>
          <w:numId w:val="171"/>
        </w:numPr>
        <w:spacing w:after="160" w:line="259" w:lineRule="auto"/>
      </w:pPr>
      <w:r w:rsidRPr="00820C89">
        <w:t>In your experience, what influences whether a participant has more or less success in the program?</w:t>
      </w:r>
    </w:p>
    <w:p w14:paraId="5E581D90" w14:textId="77777777" w:rsidR="00C1765C" w:rsidRPr="00820C89" w:rsidRDefault="00C1765C" w:rsidP="00715F70">
      <w:pPr>
        <w:pStyle w:val="ListParagraph"/>
        <w:numPr>
          <w:ilvl w:val="0"/>
          <w:numId w:val="171"/>
        </w:numPr>
        <w:spacing w:after="160" w:line="259" w:lineRule="auto"/>
      </w:pPr>
      <w:r w:rsidRPr="00820C89">
        <w:t>In your experience, how is the TAEG/VTEC/EPI program different to other employment programs?</w:t>
      </w:r>
    </w:p>
    <w:p w14:paraId="7573180B" w14:textId="77777777" w:rsidR="00C1765C" w:rsidRPr="00820C89" w:rsidRDefault="00C1765C" w:rsidP="00715F70">
      <w:pPr>
        <w:pStyle w:val="ListParagraph"/>
        <w:numPr>
          <w:ilvl w:val="0"/>
          <w:numId w:val="171"/>
        </w:numPr>
        <w:spacing w:after="160" w:line="259" w:lineRule="auto"/>
      </w:pPr>
      <w:r w:rsidRPr="00820C89">
        <w:t>How much do you collaborate with other companies or organisations?</w:t>
      </w:r>
    </w:p>
    <w:p w14:paraId="5B6E4C10" w14:textId="77777777" w:rsidR="00C1765C" w:rsidRPr="00820C89" w:rsidRDefault="00C1765C" w:rsidP="00715F70">
      <w:pPr>
        <w:pStyle w:val="ListParagraph"/>
        <w:numPr>
          <w:ilvl w:val="0"/>
          <w:numId w:val="179"/>
        </w:numPr>
        <w:spacing w:after="160" w:line="259" w:lineRule="auto"/>
      </w:pPr>
      <w:r w:rsidRPr="00820C89">
        <w:lastRenderedPageBreak/>
        <w:t>What activities do you usually collaborate on?</w:t>
      </w:r>
    </w:p>
    <w:p w14:paraId="3168FB92" w14:textId="77777777" w:rsidR="00C1765C" w:rsidRPr="00820C89" w:rsidRDefault="00C1765C" w:rsidP="00715F70">
      <w:pPr>
        <w:pStyle w:val="ListParagraph"/>
        <w:numPr>
          <w:ilvl w:val="0"/>
          <w:numId w:val="179"/>
        </w:numPr>
        <w:spacing w:after="160" w:line="259" w:lineRule="auto"/>
      </w:pPr>
      <w:r w:rsidRPr="00820C89">
        <w:t>What influences the level of collaboration?</w:t>
      </w:r>
    </w:p>
    <w:p w14:paraId="2387F040" w14:textId="77777777" w:rsidR="00C1765C" w:rsidRPr="00820C89" w:rsidRDefault="00C1765C" w:rsidP="00715F70">
      <w:pPr>
        <w:pStyle w:val="ListParagraph"/>
        <w:numPr>
          <w:ilvl w:val="0"/>
          <w:numId w:val="179"/>
        </w:numPr>
        <w:spacing w:after="160" w:line="259" w:lineRule="auto"/>
      </w:pPr>
      <w:r w:rsidRPr="00820C89">
        <w:t>What opportunities for further collaboration are there?</w:t>
      </w:r>
    </w:p>
    <w:p w14:paraId="3118836B" w14:textId="77777777" w:rsidR="00C1765C" w:rsidRPr="00820C89" w:rsidRDefault="00C1765C" w:rsidP="00715F70">
      <w:pPr>
        <w:pStyle w:val="ListParagraph"/>
        <w:numPr>
          <w:ilvl w:val="0"/>
          <w:numId w:val="171"/>
        </w:numPr>
        <w:spacing w:after="160" w:line="259" w:lineRule="auto"/>
      </w:pPr>
      <w:r w:rsidRPr="00820C89">
        <w:t>What advice would you give another company who is interested in participating in this program?</w:t>
      </w:r>
    </w:p>
    <w:p w14:paraId="1476743E" w14:textId="77777777" w:rsidR="00C1765C" w:rsidRPr="00820C89" w:rsidRDefault="00C1765C" w:rsidP="00715F70">
      <w:pPr>
        <w:pStyle w:val="ListParagraph"/>
        <w:numPr>
          <w:ilvl w:val="0"/>
          <w:numId w:val="171"/>
        </w:numPr>
        <w:spacing w:after="160" w:line="259" w:lineRule="auto"/>
        <w:rPr>
          <w:i/>
          <w:iCs/>
          <w:u w:val="single"/>
        </w:rPr>
      </w:pPr>
      <w:r w:rsidRPr="00820C89">
        <w:rPr>
          <w:i/>
          <w:iCs/>
          <w:u w:val="single"/>
        </w:rPr>
        <w:t>Given your first-hand experience with the program, how do you think it could be improved?</w:t>
      </w:r>
    </w:p>
    <w:p w14:paraId="1F56363B" w14:textId="77777777" w:rsidR="00C1765C" w:rsidRPr="00820C89" w:rsidRDefault="00C1765C" w:rsidP="00715F70">
      <w:pPr>
        <w:pStyle w:val="ListParagraph"/>
        <w:numPr>
          <w:ilvl w:val="0"/>
          <w:numId w:val="171"/>
        </w:numPr>
        <w:spacing w:after="160" w:line="259" w:lineRule="auto"/>
      </w:pPr>
      <w:r w:rsidRPr="00820C89">
        <w:t>In your opinion, what does the ideal version of these Indigenous Employment Programs look like?</w:t>
      </w:r>
    </w:p>
    <w:p w14:paraId="496B48C1" w14:textId="77777777" w:rsidR="00C1765C" w:rsidRPr="00820C89" w:rsidRDefault="00C1765C" w:rsidP="00C1765C">
      <w:pPr>
        <w:pStyle w:val="Heading2un-numbered"/>
        <w:pageBreakBefore/>
      </w:pPr>
      <w:bookmarkStart w:id="568" w:name="_Toc45206379"/>
      <w:bookmarkStart w:id="569" w:name="_Toc45206420"/>
      <w:bookmarkStart w:id="570" w:name="_Toc82694534"/>
      <w:bookmarkStart w:id="571" w:name="_Toc82710830"/>
      <w:bookmarkStart w:id="572" w:name="_Toc101343358"/>
      <w:r w:rsidRPr="00820C89">
        <w:lastRenderedPageBreak/>
        <w:t>Employer semi-structured interview questions</w:t>
      </w:r>
      <w:bookmarkEnd w:id="568"/>
      <w:bookmarkEnd w:id="569"/>
      <w:bookmarkEnd w:id="570"/>
      <w:bookmarkEnd w:id="571"/>
      <w:bookmarkEnd w:id="572"/>
    </w:p>
    <w:p w14:paraId="33D2ED5B" w14:textId="77777777" w:rsidR="00C1765C" w:rsidRPr="00820C89" w:rsidRDefault="00C1765C" w:rsidP="00C1765C">
      <w:pPr>
        <w:rPr>
          <w:i/>
        </w:rPr>
      </w:pPr>
      <w:r w:rsidRPr="00820C89">
        <w:rPr>
          <w:i/>
        </w:rPr>
        <w:t>This is for employers that are not directly funded by NIAA</w:t>
      </w:r>
    </w:p>
    <w:p w14:paraId="3DE87C59" w14:textId="77777777" w:rsidR="00C1765C" w:rsidRPr="00820C89" w:rsidRDefault="00C1765C" w:rsidP="00C1765C">
      <w:pPr>
        <w:rPr>
          <w:b/>
          <w:bCs/>
        </w:rPr>
      </w:pPr>
      <w:r w:rsidRPr="00820C89">
        <w:rPr>
          <w:b/>
          <w:bCs/>
        </w:rPr>
        <w:t xml:space="preserve">Background </w:t>
      </w:r>
    </w:p>
    <w:p w14:paraId="1AF73654" w14:textId="77777777" w:rsidR="00C1765C" w:rsidRPr="00820C89" w:rsidRDefault="00C1765C" w:rsidP="00715F70">
      <w:pPr>
        <w:pStyle w:val="ListParagraph"/>
        <w:numPr>
          <w:ilvl w:val="0"/>
          <w:numId w:val="127"/>
        </w:numPr>
        <w:spacing w:after="160" w:line="259" w:lineRule="auto"/>
        <w:rPr>
          <w:color w:val="FF0000"/>
        </w:rPr>
      </w:pPr>
      <w:r w:rsidRPr="00820C89">
        <w:t xml:space="preserve">In order to best understand your perspective, I want to explore more with you about your organisation. </w:t>
      </w:r>
    </w:p>
    <w:p w14:paraId="18EBFFBF" w14:textId="77777777" w:rsidR="00C1765C" w:rsidRPr="00820C89" w:rsidRDefault="00C1765C" w:rsidP="00715F70">
      <w:pPr>
        <w:pStyle w:val="ListParagraph"/>
        <w:numPr>
          <w:ilvl w:val="0"/>
          <w:numId w:val="135"/>
        </w:numPr>
        <w:spacing w:after="160" w:line="259" w:lineRule="auto"/>
        <w:rPr>
          <w:i/>
          <w:iCs/>
          <w:u w:val="single"/>
        </w:rPr>
      </w:pPr>
      <w:r w:rsidRPr="00820C89">
        <w:rPr>
          <w:i/>
          <w:iCs/>
          <w:u w:val="single"/>
        </w:rPr>
        <w:t>What can you tell me about yourself and your involvement with your organisation?</w:t>
      </w:r>
    </w:p>
    <w:p w14:paraId="30BF03F3" w14:textId="77777777" w:rsidR="00C1765C" w:rsidRPr="00820C89" w:rsidRDefault="00C1765C" w:rsidP="00715F70">
      <w:pPr>
        <w:pStyle w:val="ListParagraph"/>
        <w:numPr>
          <w:ilvl w:val="0"/>
          <w:numId w:val="135"/>
        </w:numPr>
        <w:spacing w:after="160" w:line="259" w:lineRule="auto"/>
      </w:pPr>
      <w:r w:rsidRPr="00820C89">
        <w:t xml:space="preserve">How would you describe the history of your organisation? </w:t>
      </w:r>
    </w:p>
    <w:p w14:paraId="2B0758A5" w14:textId="77777777" w:rsidR="00C1765C" w:rsidRPr="00820C89" w:rsidRDefault="00C1765C" w:rsidP="00715F70">
      <w:pPr>
        <w:pStyle w:val="ListParagraph"/>
        <w:numPr>
          <w:ilvl w:val="0"/>
          <w:numId w:val="135"/>
        </w:numPr>
        <w:spacing w:after="160" w:line="259" w:lineRule="auto"/>
      </w:pPr>
      <w:r w:rsidRPr="00820C89">
        <w:t>How would you describe the products or services you offer?</w:t>
      </w:r>
    </w:p>
    <w:p w14:paraId="53E083D6" w14:textId="77777777" w:rsidR="00C1765C" w:rsidRPr="00820C89" w:rsidRDefault="00C1765C" w:rsidP="00715F70">
      <w:pPr>
        <w:pStyle w:val="ListParagraph"/>
        <w:numPr>
          <w:ilvl w:val="0"/>
          <w:numId w:val="135"/>
        </w:numPr>
        <w:spacing w:after="160" w:line="259" w:lineRule="auto"/>
      </w:pPr>
      <w:r w:rsidRPr="00820C89">
        <w:t>What’s been your organisation’s involvement in the TAEG/VTEC/EPI program?</w:t>
      </w:r>
    </w:p>
    <w:p w14:paraId="672E9709" w14:textId="77777777" w:rsidR="00C1765C" w:rsidRPr="00820C89" w:rsidRDefault="00C1765C" w:rsidP="00715F70">
      <w:pPr>
        <w:pStyle w:val="ListParagraph"/>
        <w:numPr>
          <w:ilvl w:val="0"/>
          <w:numId w:val="135"/>
        </w:numPr>
        <w:spacing w:after="160" w:line="259" w:lineRule="auto"/>
      </w:pPr>
      <w:r w:rsidRPr="00820C89">
        <w:t>Has your organisation ever been involved in similar employment programs?</w:t>
      </w:r>
    </w:p>
    <w:p w14:paraId="01651C80" w14:textId="77777777" w:rsidR="00C1765C" w:rsidRPr="00820C89" w:rsidRDefault="00C1765C" w:rsidP="00C1765C">
      <w:pPr>
        <w:rPr>
          <w:b/>
          <w:bCs/>
        </w:rPr>
      </w:pPr>
      <w:r w:rsidRPr="00820C89">
        <w:rPr>
          <w:b/>
          <w:bCs/>
        </w:rPr>
        <w:t>Delivery</w:t>
      </w:r>
    </w:p>
    <w:p w14:paraId="1F030104" w14:textId="77777777" w:rsidR="00C1765C" w:rsidRPr="00820C89" w:rsidRDefault="00C1765C" w:rsidP="00715F70">
      <w:pPr>
        <w:pStyle w:val="ListParagraph"/>
        <w:numPr>
          <w:ilvl w:val="0"/>
          <w:numId w:val="127"/>
        </w:numPr>
        <w:spacing w:after="160" w:line="259" w:lineRule="auto"/>
      </w:pPr>
      <w:r w:rsidRPr="00820C89">
        <w:t>How would you describe your experiences with the TAEG/VTEC/EPI program?</w:t>
      </w:r>
    </w:p>
    <w:p w14:paraId="514AB7DE" w14:textId="77777777" w:rsidR="00C1765C" w:rsidRPr="00820C89" w:rsidRDefault="00C1765C" w:rsidP="00715F70">
      <w:pPr>
        <w:pStyle w:val="ListParagraph"/>
        <w:numPr>
          <w:ilvl w:val="0"/>
          <w:numId w:val="136"/>
        </w:numPr>
        <w:spacing w:after="160" w:line="259" w:lineRule="auto"/>
      </w:pPr>
      <w:r w:rsidRPr="00820C89">
        <w:t>What has been your experience working with providers?</w:t>
      </w:r>
    </w:p>
    <w:p w14:paraId="3A7C9495" w14:textId="77777777" w:rsidR="00C1765C" w:rsidRPr="00820C89" w:rsidRDefault="00C1765C" w:rsidP="00715F70">
      <w:pPr>
        <w:pStyle w:val="ListParagraph"/>
        <w:numPr>
          <w:ilvl w:val="0"/>
          <w:numId w:val="136"/>
        </w:numPr>
        <w:spacing w:after="160" w:line="259" w:lineRule="auto"/>
      </w:pPr>
      <w:r w:rsidRPr="00820C89">
        <w:t>What has been your experience working with program participants?</w:t>
      </w:r>
    </w:p>
    <w:p w14:paraId="585CDA84" w14:textId="77777777" w:rsidR="00C1765C" w:rsidRPr="00820C89" w:rsidRDefault="00C1765C" w:rsidP="00715F70">
      <w:pPr>
        <w:pStyle w:val="ListParagraph"/>
        <w:numPr>
          <w:ilvl w:val="0"/>
          <w:numId w:val="136"/>
        </w:numPr>
        <w:spacing w:after="160" w:line="259" w:lineRule="auto"/>
      </w:pPr>
      <w:r w:rsidRPr="00820C89">
        <w:t xml:space="preserve">How did the people in your organisation feel about the program? </w:t>
      </w:r>
    </w:p>
    <w:p w14:paraId="7D37D13E" w14:textId="77777777" w:rsidR="00C1765C" w:rsidRPr="00820C89" w:rsidRDefault="00C1765C" w:rsidP="00715F70">
      <w:pPr>
        <w:pStyle w:val="ListParagraph"/>
        <w:numPr>
          <w:ilvl w:val="0"/>
          <w:numId w:val="136"/>
        </w:numPr>
        <w:spacing w:after="160" w:line="259" w:lineRule="auto"/>
        <w:rPr>
          <w:b/>
          <w:bCs/>
        </w:rPr>
      </w:pPr>
      <w:r w:rsidRPr="00820C89">
        <w:t>Can you tell us about a particularly positive or negative experience you had with the program?</w:t>
      </w:r>
    </w:p>
    <w:p w14:paraId="616328D0" w14:textId="77777777" w:rsidR="00C1765C" w:rsidRPr="00820C89" w:rsidRDefault="00C1765C" w:rsidP="00715F70">
      <w:pPr>
        <w:pStyle w:val="ListParagraph"/>
        <w:numPr>
          <w:ilvl w:val="0"/>
          <w:numId w:val="127"/>
        </w:numPr>
        <w:spacing w:after="160" w:line="259" w:lineRule="auto"/>
      </w:pPr>
      <w:r w:rsidRPr="00820C89">
        <w:t>From your perspective, what are the things that make implementing the program easier or more difficult?</w:t>
      </w:r>
    </w:p>
    <w:p w14:paraId="3421A5FB" w14:textId="77777777" w:rsidR="00C1765C" w:rsidRPr="00820C89" w:rsidRDefault="00C1765C" w:rsidP="00715F70">
      <w:pPr>
        <w:pStyle w:val="ListParagraph"/>
        <w:numPr>
          <w:ilvl w:val="0"/>
          <w:numId w:val="137"/>
        </w:numPr>
        <w:spacing w:after="160" w:line="259" w:lineRule="auto"/>
      </w:pPr>
      <w:r w:rsidRPr="00820C89">
        <w:t xml:space="preserve">Are there any impacts with the funding arrangements? </w:t>
      </w:r>
    </w:p>
    <w:p w14:paraId="09E94FAD" w14:textId="77777777" w:rsidR="00C1765C" w:rsidRPr="00820C89" w:rsidRDefault="00C1765C" w:rsidP="00715F70">
      <w:pPr>
        <w:pStyle w:val="ListParagraph"/>
        <w:numPr>
          <w:ilvl w:val="0"/>
          <w:numId w:val="137"/>
        </w:numPr>
        <w:spacing w:after="160" w:line="259" w:lineRule="auto"/>
      </w:pPr>
      <w:r w:rsidRPr="00820C89">
        <w:t>What kind of support do you receive from the program provider?</w:t>
      </w:r>
    </w:p>
    <w:p w14:paraId="56A249E2" w14:textId="77777777" w:rsidR="00C1765C" w:rsidRPr="00820C89" w:rsidRDefault="00C1765C" w:rsidP="00C1765C">
      <w:pPr>
        <w:rPr>
          <w:b/>
          <w:bCs/>
        </w:rPr>
      </w:pPr>
      <w:r w:rsidRPr="00820C89">
        <w:rPr>
          <w:b/>
          <w:bCs/>
        </w:rPr>
        <w:t>Cultural understanding &amp; outcomes</w:t>
      </w:r>
    </w:p>
    <w:p w14:paraId="2AF9391F" w14:textId="77777777" w:rsidR="00C1765C" w:rsidRPr="00820C89" w:rsidRDefault="00C1765C" w:rsidP="00715F70">
      <w:pPr>
        <w:pStyle w:val="ListParagraph"/>
        <w:numPr>
          <w:ilvl w:val="0"/>
          <w:numId w:val="127"/>
        </w:numPr>
        <w:spacing w:after="160" w:line="259" w:lineRule="auto"/>
      </w:pPr>
      <w:r w:rsidRPr="00820C89">
        <w:t>In your experience, what is the programs impact on participants?</w:t>
      </w:r>
    </w:p>
    <w:p w14:paraId="361121D2" w14:textId="77777777" w:rsidR="00C1765C" w:rsidRPr="00820C89" w:rsidRDefault="00C1765C" w:rsidP="00715F70">
      <w:pPr>
        <w:pStyle w:val="ListParagraph"/>
        <w:numPr>
          <w:ilvl w:val="0"/>
          <w:numId w:val="138"/>
        </w:numPr>
        <w:spacing w:after="160" w:line="259" w:lineRule="auto"/>
        <w:rPr>
          <w:i/>
          <w:iCs/>
          <w:u w:val="single"/>
        </w:rPr>
      </w:pPr>
      <w:r w:rsidRPr="00820C89">
        <w:rPr>
          <w:i/>
          <w:iCs/>
          <w:u w:val="single"/>
        </w:rPr>
        <w:t>Do participants learn new skills?</w:t>
      </w:r>
    </w:p>
    <w:p w14:paraId="4A4B3AAC" w14:textId="77777777" w:rsidR="00C1765C" w:rsidRPr="00820C89" w:rsidRDefault="00C1765C" w:rsidP="00715F70">
      <w:pPr>
        <w:pStyle w:val="ListParagraph"/>
        <w:numPr>
          <w:ilvl w:val="0"/>
          <w:numId w:val="138"/>
        </w:numPr>
        <w:spacing w:after="160" w:line="259" w:lineRule="auto"/>
        <w:rPr>
          <w:i/>
          <w:iCs/>
          <w:u w:val="single"/>
        </w:rPr>
      </w:pPr>
      <w:r w:rsidRPr="00820C89">
        <w:rPr>
          <w:i/>
          <w:iCs/>
          <w:u w:val="single"/>
        </w:rPr>
        <w:t>Does the program have an impact on the wellbeing of participants?</w:t>
      </w:r>
    </w:p>
    <w:p w14:paraId="4316B9F7" w14:textId="77777777" w:rsidR="00C1765C" w:rsidRPr="00820C89" w:rsidRDefault="00C1765C" w:rsidP="00715F70">
      <w:pPr>
        <w:pStyle w:val="ListParagraph"/>
        <w:numPr>
          <w:ilvl w:val="0"/>
          <w:numId w:val="138"/>
        </w:numPr>
        <w:spacing w:after="160" w:line="259" w:lineRule="auto"/>
        <w:rPr>
          <w:i/>
          <w:iCs/>
          <w:u w:val="single"/>
        </w:rPr>
      </w:pPr>
      <w:r w:rsidRPr="00820C89">
        <w:rPr>
          <w:i/>
          <w:iCs/>
          <w:u w:val="single"/>
        </w:rPr>
        <w:t>What do you hear participants say about the program?</w:t>
      </w:r>
    </w:p>
    <w:p w14:paraId="59E91EA2" w14:textId="77777777" w:rsidR="00C1765C" w:rsidRPr="00820C89" w:rsidRDefault="00C1765C" w:rsidP="00C1765C">
      <w:pPr>
        <w:pStyle w:val="ListParagraph"/>
        <w:ind w:left="785"/>
      </w:pPr>
    </w:p>
    <w:p w14:paraId="5F4907E3" w14:textId="77777777" w:rsidR="00C1765C" w:rsidRPr="00820C89" w:rsidRDefault="00C1765C" w:rsidP="00715F70">
      <w:pPr>
        <w:pStyle w:val="ListParagraph"/>
        <w:numPr>
          <w:ilvl w:val="0"/>
          <w:numId w:val="127"/>
        </w:numPr>
        <w:spacing w:after="160" w:line="259" w:lineRule="auto"/>
      </w:pPr>
      <w:r w:rsidRPr="00820C89">
        <w:t>What impact has the program had on your organisation?</w:t>
      </w:r>
    </w:p>
    <w:p w14:paraId="0FC083E8" w14:textId="77777777" w:rsidR="00C1765C" w:rsidRPr="00820C89" w:rsidRDefault="00C1765C" w:rsidP="00715F70">
      <w:pPr>
        <w:pStyle w:val="ListParagraph"/>
        <w:numPr>
          <w:ilvl w:val="0"/>
          <w:numId w:val="139"/>
        </w:numPr>
        <w:spacing w:after="160" w:line="259" w:lineRule="auto"/>
        <w:rPr>
          <w:i/>
          <w:iCs/>
          <w:u w:val="single"/>
        </w:rPr>
      </w:pPr>
      <w:r w:rsidRPr="00820C89">
        <w:rPr>
          <w:i/>
          <w:iCs/>
          <w:u w:val="single"/>
        </w:rPr>
        <w:t>Have you changed the way you work?</w:t>
      </w:r>
    </w:p>
    <w:p w14:paraId="67911918" w14:textId="77777777" w:rsidR="00C1765C" w:rsidRPr="00820C89" w:rsidRDefault="00C1765C" w:rsidP="00715F70">
      <w:pPr>
        <w:pStyle w:val="ListParagraph"/>
        <w:numPr>
          <w:ilvl w:val="0"/>
          <w:numId w:val="139"/>
        </w:numPr>
        <w:spacing w:after="160" w:line="259" w:lineRule="auto"/>
        <w:rPr>
          <w:i/>
          <w:iCs/>
          <w:u w:val="single"/>
        </w:rPr>
      </w:pPr>
      <w:r w:rsidRPr="00820C89">
        <w:rPr>
          <w:i/>
          <w:iCs/>
          <w:u w:val="single"/>
        </w:rPr>
        <w:t>Have you introduced any new Indigenous work practices?</w:t>
      </w:r>
    </w:p>
    <w:p w14:paraId="447CA84D" w14:textId="77777777" w:rsidR="00C1765C" w:rsidRPr="00820C89" w:rsidRDefault="00C1765C" w:rsidP="00715F70">
      <w:pPr>
        <w:pStyle w:val="ListParagraph"/>
        <w:numPr>
          <w:ilvl w:val="0"/>
          <w:numId w:val="139"/>
        </w:numPr>
        <w:spacing w:after="160" w:line="259" w:lineRule="auto"/>
        <w:rPr>
          <w:i/>
          <w:iCs/>
          <w:u w:val="single"/>
        </w:rPr>
      </w:pPr>
      <w:r w:rsidRPr="00820C89">
        <w:rPr>
          <w:i/>
          <w:iCs/>
          <w:u w:val="single"/>
        </w:rPr>
        <w:t xml:space="preserve">What is the likelihood of your organisation employing Indigenous job seekers in the future? </w:t>
      </w:r>
    </w:p>
    <w:p w14:paraId="7D51721A" w14:textId="77777777" w:rsidR="00C1765C" w:rsidRPr="00820C89" w:rsidRDefault="00C1765C" w:rsidP="00C1765C">
      <w:pPr>
        <w:rPr>
          <w:b/>
          <w:bCs/>
        </w:rPr>
      </w:pPr>
      <w:r w:rsidRPr="00820C89">
        <w:rPr>
          <w:b/>
          <w:bCs/>
        </w:rPr>
        <w:t>Success factors</w:t>
      </w:r>
    </w:p>
    <w:p w14:paraId="3893515F" w14:textId="77777777" w:rsidR="00C1765C" w:rsidRPr="00820C89" w:rsidRDefault="00C1765C" w:rsidP="00715F70">
      <w:pPr>
        <w:pStyle w:val="ListParagraph"/>
        <w:numPr>
          <w:ilvl w:val="0"/>
          <w:numId w:val="127"/>
        </w:numPr>
        <w:spacing w:after="160" w:line="259" w:lineRule="auto"/>
      </w:pPr>
      <w:r w:rsidRPr="00820C89">
        <w:t>In your experience, what influences whether an employer has more or less success implementing the program?</w:t>
      </w:r>
    </w:p>
    <w:p w14:paraId="06A58228" w14:textId="77777777" w:rsidR="00C1765C" w:rsidRPr="00820C89" w:rsidRDefault="00C1765C" w:rsidP="00715F70">
      <w:pPr>
        <w:pStyle w:val="ListParagraph"/>
        <w:numPr>
          <w:ilvl w:val="0"/>
          <w:numId w:val="127"/>
        </w:numPr>
        <w:spacing w:after="160" w:line="259" w:lineRule="auto"/>
        <w:rPr>
          <w:b/>
          <w:bCs/>
        </w:rPr>
      </w:pPr>
      <w:r w:rsidRPr="00820C89">
        <w:t>In your experience, what influences whether a participant has more or less success in the program?</w:t>
      </w:r>
    </w:p>
    <w:p w14:paraId="167EE770" w14:textId="77777777" w:rsidR="00C1765C" w:rsidRPr="00820C89" w:rsidRDefault="00C1765C" w:rsidP="00715F70">
      <w:pPr>
        <w:pStyle w:val="ListParagraph"/>
        <w:numPr>
          <w:ilvl w:val="0"/>
          <w:numId w:val="127"/>
        </w:numPr>
        <w:spacing w:after="160" w:line="259" w:lineRule="auto"/>
        <w:rPr>
          <w:b/>
          <w:bCs/>
        </w:rPr>
      </w:pPr>
      <w:r w:rsidRPr="00820C89">
        <w:t>What advice would you give another employer who is interested in participating in this program?</w:t>
      </w:r>
    </w:p>
    <w:p w14:paraId="1D81824A" w14:textId="77777777" w:rsidR="00C1765C" w:rsidRPr="00820C89" w:rsidRDefault="00C1765C" w:rsidP="00715F70">
      <w:pPr>
        <w:pStyle w:val="ListParagraph"/>
        <w:numPr>
          <w:ilvl w:val="0"/>
          <w:numId w:val="127"/>
        </w:numPr>
        <w:spacing w:after="160" w:line="259" w:lineRule="auto"/>
        <w:rPr>
          <w:b/>
          <w:bCs/>
          <w:i/>
          <w:iCs/>
          <w:u w:val="single"/>
        </w:rPr>
      </w:pPr>
      <w:r w:rsidRPr="00820C89">
        <w:rPr>
          <w:i/>
          <w:iCs/>
          <w:u w:val="single"/>
        </w:rPr>
        <w:t>Given your first-hand experience with the program, how do you think it could be improved?</w:t>
      </w:r>
    </w:p>
    <w:p w14:paraId="0C70191E" w14:textId="77777777" w:rsidR="00C1765C" w:rsidRPr="00820C89" w:rsidRDefault="00C1765C" w:rsidP="00715F70">
      <w:pPr>
        <w:pStyle w:val="ListParagraph"/>
        <w:numPr>
          <w:ilvl w:val="0"/>
          <w:numId w:val="127"/>
        </w:numPr>
        <w:spacing w:after="160" w:line="259" w:lineRule="auto"/>
        <w:rPr>
          <w:b/>
          <w:bCs/>
          <w:color w:val="FF0000"/>
        </w:rPr>
      </w:pPr>
      <w:r w:rsidRPr="00820C89">
        <w:t>In your opinion, what does the ideal version of these Indigenous Employment Programs look like?</w:t>
      </w:r>
    </w:p>
    <w:p w14:paraId="43804B45" w14:textId="77777777" w:rsidR="00C1765C" w:rsidRPr="00820C89" w:rsidRDefault="00C1765C" w:rsidP="00C1765C">
      <w:pPr>
        <w:pBdr>
          <w:bottom w:val="single" w:sz="4" w:space="0" w:color="auto"/>
        </w:pBdr>
        <w:rPr>
          <w:b/>
          <w:bCs/>
          <w:color w:val="FF0000"/>
          <w:sz w:val="24"/>
          <w:szCs w:val="24"/>
        </w:rPr>
      </w:pPr>
      <w:r w:rsidRPr="00820C89">
        <w:rPr>
          <w:b/>
          <w:bCs/>
          <w:color w:val="FF0000"/>
          <w:sz w:val="24"/>
          <w:szCs w:val="24"/>
        </w:rPr>
        <w:br w:type="page"/>
      </w:r>
    </w:p>
    <w:p w14:paraId="2BD478D3" w14:textId="77777777" w:rsidR="00C1765C" w:rsidRPr="00820C89" w:rsidRDefault="00C1765C" w:rsidP="00C1765C">
      <w:pPr>
        <w:keepNext/>
        <w:keepLines/>
        <w:spacing w:before="240" w:after="0" w:line="280" w:lineRule="atLeast"/>
        <w:outlineLvl w:val="1"/>
        <w:rPr>
          <w:rFonts w:eastAsia="MingLiU" w:cs="Times New Roman"/>
          <w:b/>
          <w:bCs/>
          <w:color w:val="62B5E5"/>
          <w:sz w:val="22"/>
          <w:szCs w:val="26"/>
        </w:rPr>
      </w:pPr>
      <w:bookmarkStart w:id="573" w:name="_Toc82694535"/>
      <w:bookmarkStart w:id="574" w:name="_Toc101343359"/>
      <w:bookmarkStart w:id="575" w:name="_Toc45206380"/>
      <w:bookmarkStart w:id="576" w:name="_Toc45206421"/>
      <w:r w:rsidRPr="00820C89">
        <w:rPr>
          <w:rFonts w:eastAsia="MingLiU" w:cs="Times New Roman"/>
          <w:b/>
          <w:bCs/>
          <w:color w:val="62B5E5"/>
          <w:sz w:val="22"/>
          <w:szCs w:val="26"/>
        </w:rPr>
        <w:lastRenderedPageBreak/>
        <w:t>Program participant/employee Information Sheet – Indigenous Employment Programs evaluation</w:t>
      </w:r>
      <w:bookmarkEnd w:id="573"/>
      <w:bookmarkEnd w:id="574"/>
    </w:p>
    <w:p w14:paraId="112BF991" w14:textId="77777777" w:rsidR="00C1765C" w:rsidRPr="00820C89" w:rsidRDefault="00C1765C" w:rsidP="00715F70">
      <w:pPr>
        <w:keepNext/>
        <w:keepLines/>
        <w:tabs>
          <w:tab w:val="left" w:pos="340"/>
        </w:tabs>
        <w:spacing w:after="0"/>
        <w:outlineLvl w:val="2"/>
        <w:rPr>
          <w:rFonts w:eastAsia="MingLiU" w:cs="Times New Roman"/>
          <w:b/>
          <w:bCs/>
          <w:iCs/>
          <w:color w:val="75787B"/>
        </w:rPr>
      </w:pPr>
      <w:r w:rsidRPr="00820C89">
        <w:rPr>
          <w:rFonts w:eastAsia="MingLiU" w:cs="Times New Roman"/>
          <w:b/>
          <w:bCs/>
          <w:iCs/>
          <w:color w:val="75787B"/>
        </w:rPr>
        <w:t>Background to this evaluation</w:t>
      </w:r>
    </w:p>
    <w:p w14:paraId="5F11EB04" w14:textId="77777777" w:rsidR="00C1765C" w:rsidRPr="00820C89" w:rsidRDefault="00C1765C" w:rsidP="00715F70">
      <w:pPr>
        <w:keepNext/>
        <w:keepLines/>
        <w:spacing w:after="0"/>
        <w:rPr>
          <w:rFonts w:eastAsia="MingLiU" w:cs="Segoe UI"/>
          <w:bCs/>
          <w:lang w:val="da-DK"/>
        </w:rPr>
      </w:pPr>
      <w:r w:rsidRPr="00820C89">
        <w:rPr>
          <w:rFonts w:eastAsia="MingLiU" w:cs="Segoe UI"/>
          <w:bCs/>
          <w:lang w:val="da-DK"/>
        </w:rPr>
        <w:t>We (Deloitte Access Economics) are evaluating three programs (funded by the National Indigenous Australians Agency):</w:t>
      </w:r>
    </w:p>
    <w:p w14:paraId="4D71F343" w14:textId="77777777" w:rsidR="00C1765C" w:rsidRPr="00820C89" w:rsidRDefault="00C1765C" w:rsidP="00715F70">
      <w:pPr>
        <w:pStyle w:val="ListParagraph"/>
        <w:keepNext/>
        <w:keepLines/>
        <w:numPr>
          <w:ilvl w:val="0"/>
          <w:numId w:val="183"/>
        </w:numPr>
        <w:spacing w:before="170" w:after="0"/>
        <w:ind w:left="284" w:hanging="284"/>
        <w:rPr>
          <w:rFonts w:eastAsia="MingLiU" w:cs="Segoe UI"/>
          <w:bCs/>
          <w:lang w:val="da-DK"/>
        </w:rPr>
      </w:pPr>
      <w:r w:rsidRPr="00820C89">
        <w:rPr>
          <w:rFonts w:eastAsia="MingLiU" w:cs="Segoe UI"/>
          <w:bCs/>
          <w:lang w:val="da-DK"/>
        </w:rPr>
        <w:t>Employment Parity Initiative</w:t>
      </w:r>
    </w:p>
    <w:p w14:paraId="278E2004" w14:textId="77777777" w:rsidR="00C1765C" w:rsidRPr="00820C89" w:rsidRDefault="00C1765C" w:rsidP="00715F70">
      <w:pPr>
        <w:pStyle w:val="ListParagraph"/>
        <w:keepNext/>
        <w:keepLines/>
        <w:numPr>
          <w:ilvl w:val="0"/>
          <w:numId w:val="183"/>
        </w:numPr>
        <w:spacing w:before="170" w:after="0"/>
        <w:ind w:left="284" w:hanging="284"/>
        <w:rPr>
          <w:rFonts w:eastAsia="MingLiU" w:cs="Segoe UI"/>
          <w:bCs/>
          <w:lang w:val="da-DK"/>
        </w:rPr>
      </w:pPr>
      <w:r w:rsidRPr="00820C89">
        <w:rPr>
          <w:rFonts w:eastAsia="MingLiU" w:cs="Segoe UI"/>
          <w:bCs/>
          <w:lang w:val="da-DK"/>
        </w:rPr>
        <w:t>Vocational Training and Employment Centres</w:t>
      </w:r>
    </w:p>
    <w:p w14:paraId="126F08A8" w14:textId="77777777" w:rsidR="00C1765C" w:rsidRPr="00820C89" w:rsidRDefault="00C1765C" w:rsidP="00715F70">
      <w:pPr>
        <w:pStyle w:val="ListParagraph"/>
        <w:keepNext/>
        <w:keepLines/>
        <w:numPr>
          <w:ilvl w:val="0"/>
          <w:numId w:val="183"/>
        </w:numPr>
        <w:spacing w:before="170" w:after="0"/>
        <w:ind w:left="284" w:hanging="284"/>
        <w:rPr>
          <w:rFonts w:eastAsia="MingLiU" w:cs="Segoe UI"/>
          <w:bCs/>
          <w:lang w:val="da-DK"/>
        </w:rPr>
      </w:pPr>
      <w:r w:rsidRPr="00820C89">
        <w:rPr>
          <w:rFonts w:eastAsia="MingLiU" w:cs="Segoe UI"/>
          <w:bCs/>
          <w:lang w:val="da-DK"/>
        </w:rPr>
        <w:t>Tailored Employment Assistance Grants – Employment. </w:t>
      </w:r>
    </w:p>
    <w:p w14:paraId="48ABC848" w14:textId="77777777" w:rsidR="00C1765C" w:rsidRPr="00820C89" w:rsidRDefault="00C1765C" w:rsidP="00715F70">
      <w:pPr>
        <w:keepNext/>
        <w:keepLines/>
        <w:spacing w:after="0"/>
        <w:rPr>
          <w:rFonts w:eastAsia="MingLiU" w:cs="Segoe UI"/>
          <w:bCs/>
        </w:rPr>
      </w:pPr>
      <w:r w:rsidRPr="00820C89">
        <w:rPr>
          <w:rFonts w:eastAsia="MingLiU" w:cs="Segoe UI"/>
          <w:bCs/>
          <w:lang w:val="da-DK"/>
        </w:rPr>
        <w:t xml:space="preserve">As part of this research, we are speaking with a range of people who fund, deliver and/or participate in the program. </w:t>
      </w:r>
    </w:p>
    <w:p w14:paraId="012F554A" w14:textId="77777777" w:rsidR="00C1765C" w:rsidRPr="00820C89" w:rsidRDefault="00C1765C" w:rsidP="00715F70">
      <w:pPr>
        <w:rPr>
          <w:rFonts w:eastAsia="Verdana" w:cs="Times New Roman"/>
        </w:rPr>
      </w:pPr>
      <w:r w:rsidRPr="00820C89">
        <w:rPr>
          <w:rFonts w:eastAsia="Verdana" w:cs="Times New Roman"/>
        </w:rPr>
        <w:t xml:space="preserve">The evaluation will take place over 2020, with a final report delivered to the Department in December 2020. </w:t>
      </w:r>
    </w:p>
    <w:p w14:paraId="0FE7B747"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Purpose of this information sheet</w:t>
      </w:r>
    </w:p>
    <w:p w14:paraId="476EC588" w14:textId="77777777" w:rsidR="00C1765C" w:rsidRPr="00820C89" w:rsidRDefault="00C1765C" w:rsidP="00C1765C">
      <w:pPr>
        <w:rPr>
          <w:rFonts w:eastAsia="Verdana" w:cs="Times New Roman"/>
        </w:rPr>
      </w:pPr>
      <w:r w:rsidRPr="00820C89">
        <w:rPr>
          <w:rFonts w:eastAsia="Verdana" w:cs="Times New Roman"/>
        </w:rPr>
        <w:t>This information sheet is provided to let you know about the work we are doing.</w:t>
      </w:r>
    </w:p>
    <w:p w14:paraId="7F9CD439" w14:textId="77777777" w:rsidR="00C1765C" w:rsidRPr="00820C89" w:rsidRDefault="00C1765C" w:rsidP="00C1765C">
      <w:pPr>
        <w:rPr>
          <w:rFonts w:eastAsia="Verdana" w:cs="Times New Roman"/>
        </w:rPr>
      </w:pPr>
      <w:r w:rsidRPr="00820C89">
        <w:rPr>
          <w:rFonts w:eastAsia="Verdana" w:cs="Times New Roman"/>
        </w:rPr>
        <w:t xml:space="preserve">Please sign the consent form below to show you have read and understood the information sheet and wish to participate in this interview. </w:t>
      </w:r>
    </w:p>
    <w:p w14:paraId="3E8680C0" w14:textId="77777777" w:rsidR="00C1765C" w:rsidRPr="00820C89" w:rsidRDefault="00C1765C" w:rsidP="00C1765C">
      <w:pPr>
        <w:spacing w:after="240"/>
        <w:rPr>
          <w:rFonts w:eastAsia="Verdana" w:cs="Times New Roman"/>
        </w:rPr>
      </w:pPr>
      <w:r w:rsidRPr="00820C89">
        <w:rPr>
          <w:rFonts w:eastAsia="Verdana" w:cs="Times New Roman"/>
        </w:rPr>
        <w:t xml:space="preserve">If you would like to discuss this letter, please </w:t>
      </w:r>
      <w:r w:rsidRPr="00820C89">
        <w:rPr>
          <w:rFonts w:eastAsia="Verdana" w:cs="Times New Roman"/>
          <w:lang w:eastAsia="zh-CN"/>
        </w:rPr>
        <w:t xml:space="preserve">contact NIAA’s evaluation team at </w:t>
      </w:r>
      <w:hyperlink r:id="rId133" w:history="1">
        <w:r w:rsidRPr="00820C89">
          <w:rPr>
            <w:rFonts w:eastAsia="Verdana" w:cs="Times New Roman"/>
            <w:color w:val="00A3E0"/>
            <w:u w:val="single"/>
          </w:rPr>
          <w:t>IEPevaluation@deloitte.com.au</w:t>
        </w:r>
      </w:hyperlink>
    </w:p>
    <w:p w14:paraId="49060AE9" w14:textId="77777777" w:rsidR="00C1765C" w:rsidRPr="00820C89" w:rsidRDefault="00C1765C" w:rsidP="00715F70">
      <w:pPr>
        <w:keepNext/>
        <w:keepLines/>
        <w:tabs>
          <w:tab w:val="left" w:pos="340"/>
        </w:tabs>
        <w:spacing w:after="0"/>
        <w:outlineLvl w:val="2"/>
        <w:rPr>
          <w:rFonts w:eastAsia="MingLiU" w:cs="Times New Roman"/>
          <w:b/>
          <w:bCs/>
        </w:rPr>
      </w:pPr>
      <w:r w:rsidRPr="00820C89">
        <w:rPr>
          <w:rFonts w:eastAsia="MingLiU" w:cs="Times New Roman"/>
          <w:b/>
          <w:bCs/>
        </w:rPr>
        <w:t>This evaluation</w:t>
      </w:r>
    </w:p>
    <w:p w14:paraId="07DD593A" w14:textId="77777777" w:rsidR="00C1765C" w:rsidRPr="00820C89" w:rsidRDefault="00C1765C" w:rsidP="00715F70">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What is the purpose of this evaluation?</w:t>
      </w:r>
    </w:p>
    <w:p w14:paraId="51B4AB9C" w14:textId="77777777" w:rsidR="00C1765C" w:rsidRPr="00820C89" w:rsidRDefault="00C1765C" w:rsidP="00C1765C">
      <w:pPr>
        <w:rPr>
          <w:rFonts w:eastAsia="Verdana" w:cs="Segoe UI"/>
        </w:rPr>
      </w:pPr>
      <w:r w:rsidRPr="00820C89">
        <w:rPr>
          <w:rFonts w:eastAsia="Verdana" w:cs="Segoe UI"/>
        </w:rPr>
        <w:t>The purpose of this evaluation is to explore how well the three programs are supporting employment outcomes for Indigenous Australians. The evaluation is an opportunity to hear opinions on what is and what is not working well about these programs.</w:t>
      </w:r>
    </w:p>
    <w:p w14:paraId="1B285997" w14:textId="77777777" w:rsidR="00C1765C" w:rsidRPr="00820C89" w:rsidRDefault="00C1765C" w:rsidP="00C1765C">
      <w:pPr>
        <w:rPr>
          <w:rFonts w:eastAsia="Verdana" w:cs="Segoe UI"/>
        </w:rPr>
      </w:pPr>
      <w:r w:rsidRPr="00820C89">
        <w:rPr>
          <w:rFonts w:eastAsia="Verdana" w:cs="Segoe UI"/>
        </w:rPr>
        <w:t xml:space="preserve">The findings of this evaluation will be used to improve these, and other related programs, into the future. </w:t>
      </w:r>
    </w:p>
    <w:p w14:paraId="7601A821"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Who will be conducting these evaluations?</w:t>
      </w:r>
    </w:p>
    <w:p w14:paraId="389BF59F" w14:textId="77777777" w:rsidR="00C1765C" w:rsidRPr="00820C89" w:rsidRDefault="00C1765C" w:rsidP="00C1765C">
      <w:pPr>
        <w:rPr>
          <w:rFonts w:eastAsia="Verdana" w:cs="Times New Roman"/>
        </w:rPr>
      </w:pPr>
      <w:r w:rsidRPr="00820C89">
        <w:rPr>
          <w:rFonts w:eastAsia="Verdana" w:cs="Times New Roman"/>
        </w:rPr>
        <w:t xml:space="preserve">We (Deloitte Access Economics) have a lot of experience assessing programs. We will also be working with the Gaimaragal Group on this research project, who have specific skills in storytelling and community interviewing.  </w:t>
      </w:r>
    </w:p>
    <w:p w14:paraId="522AA383" w14:textId="77777777" w:rsidR="00C1765C" w:rsidRPr="00820C89" w:rsidRDefault="00C1765C" w:rsidP="00C1765C">
      <w:pPr>
        <w:rPr>
          <w:rFonts w:eastAsia="Verdana" w:cs="Times New Roman"/>
        </w:rPr>
      </w:pPr>
      <w:r w:rsidRPr="00820C89">
        <w:rPr>
          <w:rFonts w:eastAsia="Verdana" w:cs="Times New Roman"/>
        </w:rPr>
        <w:t>Further information on Deloitte Access Economics can be found at the following link:</w:t>
      </w:r>
    </w:p>
    <w:p w14:paraId="48CFAEC2" w14:textId="77777777" w:rsidR="00C1765C" w:rsidRPr="00820C89" w:rsidRDefault="00F1362E" w:rsidP="00C1765C">
      <w:pPr>
        <w:rPr>
          <w:rFonts w:eastAsia="Verdana" w:cs="Times New Roman"/>
        </w:rPr>
      </w:pPr>
      <w:hyperlink r:id="rId134" w:history="1">
        <w:r w:rsidR="00C1765C" w:rsidRPr="00820C89">
          <w:rPr>
            <w:rFonts w:eastAsia="Verdana" w:cs="Times New Roman"/>
            <w:color w:val="00A3E0"/>
            <w:u w:val="single"/>
          </w:rPr>
          <w:t>https://www2.deloitte.com/au/en/pages/economics/solutions/education-policy-analysis.html</w:t>
        </w:r>
      </w:hyperlink>
      <w:r w:rsidR="00C1765C" w:rsidRPr="00820C89">
        <w:rPr>
          <w:rFonts w:eastAsia="Verdana" w:cs="Times New Roman"/>
        </w:rPr>
        <w:t xml:space="preserve">. </w:t>
      </w:r>
    </w:p>
    <w:p w14:paraId="62701DF8"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Who is organising and funding the research?</w:t>
      </w:r>
    </w:p>
    <w:p w14:paraId="023A969A" w14:textId="77777777" w:rsidR="00C1765C" w:rsidRPr="00820C89" w:rsidRDefault="00C1765C" w:rsidP="00C1765C">
      <w:pPr>
        <w:rPr>
          <w:rFonts w:eastAsia="Verdana" w:cs="Times New Roman"/>
        </w:rPr>
      </w:pPr>
      <w:r w:rsidRPr="00820C89">
        <w:rPr>
          <w:rFonts w:eastAsia="Verdana" w:cs="Times New Roman"/>
        </w:rPr>
        <w:t>This research is being funded by the National Indigenous Australians Agency. No member of the research team will personally benefit from this research project (other than their ordinary wages).</w:t>
      </w:r>
    </w:p>
    <w:p w14:paraId="1CB04DD1"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Who will be consulted?</w:t>
      </w:r>
    </w:p>
    <w:p w14:paraId="32A6036D" w14:textId="77777777" w:rsidR="00C1765C" w:rsidRPr="00820C89" w:rsidRDefault="00C1765C" w:rsidP="00C1765C">
      <w:pPr>
        <w:rPr>
          <w:rFonts w:eastAsia="Verdana" w:cs="Times New Roman"/>
        </w:rPr>
      </w:pPr>
      <w:r w:rsidRPr="00820C89">
        <w:rPr>
          <w:rFonts w:eastAsia="Verdana" w:cs="Times New Roman"/>
        </w:rPr>
        <w:t>The following groups of people will be invited to interviews:</w:t>
      </w:r>
    </w:p>
    <w:p w14:paraId="25DE356E" w14:textId="77777777" w:rsidR="00C1765C" w:rsidRPr="00820C89" w:rsidRDefault="00C1765C" w:rsidP="00715F70">
      <w:pPr>
        <w:pStyle w:val="ListParagraph"/>
        <w:numPr>
          <w:ilvl w:val="0"/>
          <w:numId w:val="184"/>
        </w:numPr>
        <w:spacing w:before="170" w:after="0"/>
        <w:ind w:left="284" w:hanging="284"/>
        <w:rPr>
          <w:rFonts w:eastAsia="Verdana" w:cs="Times New Roman"/>
          <w:szCs w:val="17"/>
        </w:rPr>
      </w:pPr>
      <w:r w:rsidRPr="00820C89">
        <w:rPr>
          <w:rFonts w:eastAsia="Verdana" w:cs="Times New Roman"/>
          <w:szCs w:val="17"/>
        </w:rPr>
        <w:t>Commonwealth government representatives</w:t>
      </w:r>
    </w:p>
    <w:p w14:paraId="58B485B7" w14:textId="77777777" w:rsidR="00C1765C" w:rsidRPr="00820C89" w:rsidRDefault="00C1765C" w:rsidP="00715F70">
      <w:pPr>
        <w:pStyle w:val="ListParagraph"/>
        <w:numPr>
          <w:ilvl w:val="0"/>
          <w:numId w:val="184"/>
        </w:numPr>
        <w:spacing w:before="170" w:after="0"/>
        <w:ind w:left="284" w:hanging="284"/>
        <w:rPr>
          <w:rFonts w:eastAsia="Verdana" w:cs="Times New Roman"/>
          <w:szCs w:val="17"/>
        </w:rPr>
      </w:pPr>
      <w:r w:rsidRPr="00820C89">
        <w:rPr>
          <w:rFonts w:eastAsia="Verdana" w:cs="Times New Roman"/>
          <w:szCs w:val="17"/>
        </w:rPr>
        <w:t>State and territory government representatives</w:t>
      </w:r>
    </w:p>
    <w:p w14:paraId="207AA5A2" w14:textId="77777777" w:rsidR="00C1765C" w:rsidRPr="00820C89" w:rsidRDefault="00C1765C" w:rsidP="00715F70">
      <w:pPr>
        <w:pStyle w:val="ListParagraph"/>
        <w:numPr>
          <w:ilvl w:val="0"/>
          <w:numId w:val="184"/>
        </w:numPr>
        <w:spacing w:before="170" w:after="0"/>
        <w:ind w:left="284" w:hanging="284"/>
        <w:rPr>
          <w:rFonts w:eastAsia="Verdana" w:cs="Times New Roman"/>
          <w:szCs w:val="17"/>
        </w:rPr>
      </w:pPr>
      <w:r w:rsidRPr="00820C89">
        <w:rPr>
          <w:rFonts w:eastAsia="Verdana" w:cs="Times New Roman"/>
          <w:szCs w:val="17"/>
        </w:rPr>
        <w:t>Indigenous representatives</w:t>
      </w:r>
    </w:p>
    <w:p w14:paraId="1C30FDC3" w14:textId="77777777" w:rsidR="00C1765C" w:rsidRPr="00820C89" w:rsidRDefault="00C1765C" w:rsidP="00715F70">
      <w:pPr>
        <w:pStyle w:val="ListParagraph"/>
        <w:numPr>
          <w:ilvl w:val="0"/>
          <w:numId w:val="184"/>
        </w:numPr>
        <w:spacing w:before="170" w:after="0"/>
        <w:ind w:left="284" w:hanging="284"/>
        <w:rPr>
          <w:rFonts w:eastAsia="Verdana" w:cs="Times New Roman"/>
          <w:szCs w:val="17"/>
        </w:rPr>
      </w:pPr>
      <w:r w:rsidRPr="00820C89">
        <w:rPr>
          <w:rFonts w:eastAsia="Verdana" w:cs="Times New Roman"/>
          <w:szCs w:val="17"/>
        </w:rPr>
        <w:t>Program providers</w:t>
      </w:r>
    </w:p>
    <w:p w14:paraId="1E83E760" w14:textId="77777777" w:rsidR="00C1765C" w:rsidRPr="00820C89" w:rsidRDefault="00C1765C" w:rsidP="00715F70">
      <w:pPr>
        <w:pStyle w:val="ListParagraph"/>
        <w:numPr>
          <w:ilvl w:val="0"/>
          <w:numId w:val="184"/>
        </w:numPr>
        <w:spacing w:before="170" w:after="0"/>
        <w:ind w:left="284" w:hanging="284"/>
        <w:rPr>
          <w:rFonts w:eastAsia="Verdana" w:cs="Times New Roman"/>
          <w:szCs w:val="17"/>
        </w:rPr>
      </w:pPr>
      <w:r w:rsidRPr="00820C89">
        <w:rPr>
          <w:rFonts w:eastAsia="Verdana" w:cs="Times New Roman"/>
          <w:szCs w:val="17"/>
        </w:rPr>
        <w:t>Employers (including EPI Partners)</w:t>
      </w:r>
    </w:p>
    <w:p w14:paraId="455016EE" w14:textId="77777777" w:rsidR="00C1765C" w:rsidRPr="00820C89" w:rsidRDefault="00C1765C" w:rsidP="00715F70">
      <w:pPr>
        <w:pStyle w:val="ListParagraph"/>
        <w:numPr>
          <w:ilvl w:val="0"/>
          <w:numId w:val="184"/>
        </w:numPr>
        <w:spacing w:before="170" w:after="0"/>
        <w:ind w:left="284" w:hanging="284"/>
        <w:rPr>
          <w:rFonts w:eastAsia="Verdana" w:cs="Times New Roman"/>
          <w:szCs w:val="17"/>
        </w:rPr>
      </w:pPr>
      <w:r w:rsidRPr="00820C89">
        <w:rPr>
          <w:rFonts w:eastAsia="Verdana" w:cs="Times New Roman"/>
          <w:szCs w:val="17"/>
        </w:rPr>
        <w:t>Participants/employees.</w:t>
      </w:r>
    </w:p>
    <w:p w14:paraId="2C8C861F" w14:textId="77777777" w:rsidR="00C1765C" w:rsidRPr="00820C89" w:rsidRDefault="00C1765C" w:rsidP="00715F70">
      <w:pPr>
        <w:pStyle w:val="ListParagraph"/>
        <w:numPr>
          <w:ilvl w:val="0"/>
          <w:numId w:val="184"/>
        </w:numPr>
        <w:spacing w:before="170" w:after="0"/>
        <w:ind w:left="284" w:hanging="284"/>
        <w:rPr>
          <w:rFonts w:eastAsia="Verdana" w:cs="Times New Roman"/>
          <w:szCs w:val="17"/>
        </w:rPr>
      </w:pPr>
      <w:r w:rsidRPr="00820C89">
        <w:rPr>
          <w:rFonts w:eastAsia="Verdana" w:cs="Times New Roman"/>
          <w:szCs w:val="17"/>
        </w:rPr>
        <w:t xml:space="preserve">Other stakeholders who have an interest in the employment programs (including community members, other employment program providers and individuals who chose not to participate it the program). </w:t>
      </w:r>
    </w:p>
    <w:p w14:paraId="26022F0D" w14:textId="77777777" w:rsidR="00C1765C" w:rsidRPr="00820C89" w:rsidRDefault="00C1765C" w:rsidP="00C1765C">
      <w:pPr>
        <w:spacing w:after="0"/>
        <w:ind w:left="340" w:hanging="340"/>
        <w:contextualSpacing/>
        <w:rPr>
          <w:rFonts w:eastAsia="Verdana" w:cs="Times New Roman"/>
          <w:szCs w:val="17"/>
        </w:rPr>
      </w:pPr>
    </w:p>
    <w:p w14:paraId="3CD3CCC1" w14:textId="77777777" w:rsidR="00C1765C" w:rsidRPr="00820C89" w:rsidRDefault="00C1765C" w:rsidP="00C1765C">
      <w:pPr>
        <w:spacing w:after="0"/>
        <w:ind w:left="340" w:hanging="340"/>
        <w:contextualSpacing/>
        <w:rPr>
          <w:rFonts w:eastAsia="Verdana" w:cs="Times New Roman"/>
          <w:szCs w:val="17"/>
        </w:rPr>
      </w:pPr>
      <w:r w:rsidRPr="00820C89">
        <w:rPr>
          <w:rFonts w:eastAsia="Verdana" w:cs="Times New Roman"/>
          <w:szCs w:val="17"/>
        </w:rPr>
        <w:t>Only peopled aged over 18 will be allowed to participate.</w:t>
      </w:r>
    </w:p>
    <w:p w14:paraId="2462E972"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When will the evaluation be finalised?</w:t>
      </w:r>
    </w:p>
    <w:p w14:paraId="01A29262" w14:textId="77777777" w:rsidR="00C1765C" w:rsidRPr="00820C89" w:rsidRDefault="00C1765C" w:rsidP="00C1765C">
      <w:pPr>
        <w:rPr>
          <w:rFonts w:eastAsia="Verdana" w:cs="Times New Roman"/>
        </w:rPr>
      </w:pPr>
      <w:r w:rsidRPr="00820C89">
        <w:rPr>
          <w:rFonts w:eastAsia="Verdana" w:cs="Times New Roman"/>
        </w:rPr>
        <w:t>The research findings will be provided to the NIAA in January 2021.</w:t>
      </w:r>
    </w:p>
    <w:p w14:paraId="54D67684" w14:textId="77777777" w:rsidR="00C1765C" w:rsidRPr="00820C89" w:rsidRDefault="00C1765C" w:rsidP="00C1765C">
      <w:pPr>
        <w:keepNext/>
        <w:keepLines/>
        <w:spacing w:after="0"/>
        <w:outlineLvl w:val="2"/>
        <w:rPr>
          <w:rFonts w:eastAsia="MingLiU" w:cs="Times New Roman"/>
          <w:b/>
          <w:bCs/>
        </w:rPr>
      </w:pPr>
      <w:r w:rsidRPr="00820C89">
        <w:rPr>
          <w:rFonts w:eastAsia="MingLiU" w:cs="Times New Roman"/>
          <w:b/>
          <w:bCs/>
        </w:rPr>
        <w:lastRenderedPageBreak/>
        <w:t>Your involvement</w:t>
      </w:r>
    </w:p>
    <w:p w14:paraId="428D99A5"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Why have I been invited to participate?</w:t>
      </w:r>
    </w:p>
    <w:p w14:paraId="4D4C1F44" w14:textId="77777777" w:rsidR="00C1765C" w:rsidRPr="00820C89" w:rsidRDefault="00C1765C" w:rsidP="00C1765C">
      <w:pPr>
        <w:rPr>
          <w:rFonts w:eastAsia="Verdana" w:cs="Times New Roman"/>
        </w:rPr>
      </w:pPr>
      <w:r w:rsidRPr="00820C89">
        <w:rPr>
          <w:rFonts w:eastAsia="Verdana" w:cs="Times New Roman"/>
        </w:rPr>
        <w:t xml:space="preserve">Each person has been invited to participate because we believe their opinions on Indigenous employment programs are important. </w:t>
      </w:r>
    </w:p>
    <w:p w14:paraId="7C5842C0" w14:textId="77777777" w:rsidR="00C1765C" w:rsidRPr="00820C89" w:rsidRDefault="00C1765C" w:rsidP="00C1765C">
      <w:pPr>
        <w:rPr>
          <w:rFonts w:eastAsia="Verdana" w:cs="Times New Roman"/>
        </w:rPr>
      </w:pPr>
      <w:r w:rsidRPr="00820C89">
        <w:rPr>
          <w:rFonts w:eastAsia="Verdana" w:cs="Times New Roman"/>
        </w:rPr>
        <w:t>This research is an opportunity for people who have experienced the program to share their views on what is or is not working well. This will ensure that these, and other related programs, can be improved into the future.</w:t>
      </w:r>
    </w:p>
    <w:p w14:paraId="6105B1CA"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Do I have to take part in this evaluation?</w:t>
      </w:r>
    </w:p>
    <w:p w14:paraId="32827DE8" w14:textId="77777777" w:rsidR="00C1765C" w:rsidRPr="00820C89" w:rsidRDefault="00C1765C" w:rsidP="00C1765C">
      <w:pPr>
        <w:rPr>
          <w:rFonts w:eastAsia="Verdana" w:cs="Times New Roman"/>
        </w:rPr>
      </w:pPr>
      <w:r w:rsidRPr="00820C89">
        <w:rPr>
          <w:rFonts w:eastAsia="Verdana" w:cs="Times New Roman"/>
        </w:rPr>
        <w:t>Participation in this research project is voluntary and you will not receive any payment for choosing to take part.</w:t>
      </w:r>
    </w:p>
    <w:p w14:paraId="5324F9DB" w14:textId="77777777" w:rsidR="00C1765C" w:rsidRPr="00820C89" w:rsidRDefault="00C1765C" w:rsidP="00C1765C">
      <w:pPr>
        <w:rPr>
          <w:rFonts w:eastAsia="Verdana" w:cs="Times New Roman"/>
        </w:rPr>
      </w:pPr>
      <w:r w:rsidRPr="00820C89">
        <w:rPr>
          <w:rFonts w:eastAsia="Verdana" w:cs="Times New Roman"/>
        </w:rPr>
        <w:t>If you decide to take part, you will be given this Participant Information Sheet and Consent Form to sign and a copy to keep.</w:t>
      </w:r>
    </w:p>
    <w:p w14:paraId="4C9238D3" w14:textId="77777777" w:rsidR="00C1765C" w:rsidRPr="00820C89" w:rsidRDefault="00C1765C" w:rsidP="00C1765C">
      <w:pPr>
        <w:rPr>
          <w:rFonts w:eastAsia="Verdana" w:cs="Times New Roman"/>
        </w:rPr>
      </w:pPr>
      <w:r w:rsidRPr="00820C89">
        <w:rPr>
          <w:rFonts w:eastAsia="Verdana" w:cs="Times New Roman"/>
        </w:rPr>
        <w:t xml:space="preserve">If you do not wish to take part, you do not have to. You may also withdraw consent at any time by contacting </w:t>
      </w:r>
      <w:hyperlink r:id="rId135" w:history="1">
        <w:r w:rsidRPr="00820C89">
          <w:rPr>
            <w:rFonts w:eastAsia="Verdana" w:cs="Times New Roman"/>
            <w:color w:val="00A3E0"/>
            <w:u w:val="single"/>
          </w:rPr>
          <w:t>IEPevaluation@deloitte.com.au</w:t>
        </w:r>
      </w:hyperlink>
      <w:r w:rsidRPr="00820C89">
        <w:rPr>
          <w:rFonts w:eastAsia="Verdana" w:cs="Times New Roman"/>
          <w:color w:val="00A3E0"/>
          <w:u w:val="single"/>
        </w:rPr>
        <w:t>.</w:t>
      </w:r>
      <w:r w:rsidRPr="00820C89">
        <w:rPr>
          <w:rFonts w:eastAsia="Verdana" w:cs="Times New Roman"/>
        </w:rPr>
        <w:t xml:space="preserve"> This will not affect your relationship with the NIAA or Deloitte Access Economics.</w:t>
      </w:r>
    </w:p>
    <w:p w14:paraId="209AD092"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What is required of you?</w:t>
      </w:r>
    </w:p>
    <w:p w14:paraId="6E402350" w14:textId="77777777" w:rsidR="00C1765C" w:rsidRPr="00820C89" w:rsidRDefault="00C1765C" w:rsidP="00C1765C">
      <w:pPr>
        <w:rPr>
          <w:rFonts w:eastAsia="Verdana" w:cs="Times New Roman"/>
        </w:rPr>
      </w:pPr>
      <w:r w:rsidRPr="00820C89">
        <w:rPr>
          <w:rFonts w:eastAsia="Verdana" w:cs="Times New Roman"/>
        </w:rPr>
        <w:t xml:space="preserve">Everyone will be invited to participate in a 90 minute group discussion (four to eight participants in each session) between July and September. </w:t>
      </w:r>
    </w:p>
    <w:p w14:paraId="2D97AFB2" w14:textId="77777777" w:rsidR="00C1765C" w:rsidRPr="00820C89" w:rsidRDefault="00C1765C" w:rsidP="00C1765C">
      <w:pPr>
        <w:rPr>
          <w:rFonts w:eastAsia="Verdana" w:cs="Times New Roman"/>
          <w:color w:val="000000"/>
          <w:shd w:val="clear" w:color="auto" w:fill="FFFFFF"/>
        </w:rPr>
      </w:pPr>
      <w:r w:rsidRPr="00820C89">
        <w:rPr>
          <w:rFonts w:eastAsia="Verdana" w:cs="Times New Roman"/>
          <w:color w:val="000000"/>
          <w:shd w:val="clear" w:color="auto" w:fill="FFFFFF"/>
        </w:rPr>
        <w:t>Some of these interviews will be held face-to-face, and some via teleconference – depending on your location and your preference. If the interview is held over teleconference, you will be given the opportunity to elect a platform that you are comfortable using. We are able to hold teleconferences via Skype, Microsoft Teams, Zoom, or over the phone.</w:t>
      </w:r>
    </w:p>
    <w:p w14:paraId="2F3C0E6A" w14:textId="77777777" w:rsidR="00C1765C" w:rsidRPr="00820C89" w:rsidRDefault="00C1765C" w:rsidP="00C1765C">
      <w:pPr>
        <w:rPr>
          <w:rFonts w:eastAsia="Verdana" w:cs="Times New Roman"/>
          <w:color w:val="000000"/>
          <w:shd w:val="clear" w:color="auto" w:fill="FFFFFF"/>
        </w:rPr>
      </w:pPr>
      <w:r w:rsidRPr="00820C89">
        <w:rPr>
          <w:rFonts w:eastAsia="Verdana" w:cs="Times New Roman"/>
          <w:color w:val="000000"/>
          <w:shd w:val="clear" w:color="auto" w:fill="FFFFFF"/>
        </w:rPr>
        <w:t>For interviews that can be held face-to-face, Deloitte Access Economics is willing to work with you to schedule the interview at a time and location that is suitable for you.</w:t>
      </w:r>
    </w:p>
    <w:p w14:paraId="2E01CEAD"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What are the potential risks?</w:t>
      </w:r>
    </w:p>
    <w:p w14:paraId="16629858" w14:textId="77777777" w:rsidR="00C1765C" w:rsidRPr="00820C89" w:rsidRDefault="00C1765C" w:rsidP="00C1765C">
      <w:pPr>
        <w:rPr>
          <w:rFonts w:eastAsia="Verdana" w:cs="Times New Roman"/>
        </w:rPr>
      </w:pPr>
      <w:r w:rsidRPr="00820C89">
        <w:rPr>
          <w:rFonts w:eastAsia="Verdana" w:cs="Times New Roman"/>
        </w:rPr>
        <w:t>You may experience some emotional distress by taking part in the discussion. If you do so at any stage, you may ask for a break in the interview, skip the question, or end the interview without consequence. We may pause or conclude the discussion if we detect you are experiencing distress and encourage you to let the Deloitte Access Economics research team know if you have any concerns. We are also happy for a support person to be present with you during the interview, such as a case worker or carer.</w:t>
      </w:r>
    </w:p>
    <w:p w14:paraId="5F7B251C" w14:textId="77777777" w:rsidR="00C1765C" w:rsidRPr="00820C89" w:rsidRDefault="00C1765C" w:rsidP="00C1765C">
      <w:pPr>
        <w:rPr>
          <w:rFonts w:eastAsia="Verdana" w:cs="Times New Roman"/>
        </w:rPr>
      </w:pPr>
      <w:r w:rsidRPr="00820C89">
        <w:rPr>
          <w:rFonts w:eastAsia="Verdana" w:cs="Times New Roman"/>
        </w:rPr>
        <w:t>If you want to talk to a confidential support service, you may like to contact one of the following organisations:</w:t>
      </w:r>
    </w:p>
    <w:p w14:paraId="124B8568" w14:textId="77777777" w:rsidR="00C1765C" w:rsidRPr="00820C89" w:rsidRDefault="00C1765C" w:rsidP="00C1765C">
      <w:pPr>
        <w:spacing w:after="0"/>
        <w:ind w:left="340" w:hanging="340"/>
        <w:contextualSpacing/>
        <w:rPr>
          <w:rFonts w:eastAsia="Verdana" w:cs="Times New Roman"/>
          <w:szCs w:val="17"/>
        </w:rPr>
      </w:pPr>
      <w:r w:rsidRPr="00820C89">
        <w:rPr>
          <w:rFonts w:eastAsia="Verdana" w:cs="Times New Roman"/>
          <w:szCs w:val="17"/>
        </w:rPr>
        <w:t>Lifeline, on 13 11 44 (24 hours / 7 days a week)</w:t>
      </w:r>
    </w:p>
    <w:p w14:paraId="76499F46" w14:textId="77777777" w:rsidR="00C1765C" w:rsidRPr="00820C89" w:rsidRDefault="00C1765C" w:rsidP="00C1765C">
      <w:pPr>
        <w:spacing w:after="0"/>
        <w:ind w:left="340" w:hanging="340"/>
        <w:contextualSpacing/>
        <w:rPr>
          <w:rFonts w:eastAsia="Verdana" w:cs="Times New Roman"/>
          <w:szCs w:val="17"/>
        </w:rPr>
      </w:pPr>
      <w:r w:rsidRPr="00820C89">
        <w:rPr>
          <w:rFonts w:eastAsia="Verdana" w:cs="Times New Roman"/>
          <w:szCs w:val="17"/>
        </w:rPr>
        <w:t>Beyond Blue on 1300 22 4636 (24 hours / 7 days a week).</w:t>
      </w:r>
    </w:p>
    <w:p w14:paraId="01703EFD" w14:textId="77777777" w:rsidR="00C1765C" w:rsidRPr="00820C89" w:rsidRDefault="00C1765C" w:rsidP="00C1765C">
      <w:pPr>
        <w:keepNext/>
        <w:keepLines/>
        <w:spacing w:after="0"/>
        <w:outlineLvl w:val="2"/>
        <w:rPr>
          <w:rFonts w:eastAsia="MingLiU" w:cs="Times New Roman"/>
          <w:b/>
          <w:bCs/>
        </w:rPr>
      </w:pPr>
      <w:r w:rsidRPr="00820C89">
        <w:rPr>
          <w:rFonts w:eastAsia="MingLiU" w:cs="Times New Roman"/>
          <w:b/>
          <w:bCs/>
        </w:rPr>
        <w:t>Management of information collected</w:t>
      </w:r>
    </w:p>
    <w:p w14:paraId="4A2D1B71"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Do I need to complete a consent form?</w:t>
      </w:r>
    </w:p>
    <w:p w14:paraId="3F82AC59" w14:textId="77777777" w:rsidR="00C1765C" w:rsidRPr="00820C89" w:rsidRDefault="00C1765C" w:rsidP="00C1765C">
      <w:pPr>
        <w:rPr>
          <w:rFonts w:eastAsia="Verdana" w:cs="Times New Roman"/>
        </w:rPr>
      </w:pPr>
      <w:r w:rsidRPr="00820C89">
        <w:rPr>
          <w:rFonts w:eastAsia="Verdana" w:cs="Times New Roman"/>
        </w:rPr>
        <w:t xml:space="preserve">If you decide to take part in an interview, you will be asked to sign a Consent Form to confirm you have read the participant information sheet, or have had it read to you by someone you trust and understand all content included within. You may ask questions about this interview by contacting the research team using contact details provided at the end of this letter. </w:t>
      </w:r>
    </w:p>
    <w:p w14:paraId="131A9FA9"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What information will be collected?</w:t>
      </w:r>
    </w:p>
    <w:p w14:paraId="7F6BDB40" w14:textId="77777777" w:rsidR="00C1765C" w:rsidRPr="00820C89" w:rsidRDefault="00C1765C" w:rsidP="00C1765C">
      <w:pPr>
        <w:rPr>
          <w:rFonts w:eastAsia="Verdana" w:cs="Times New Roman"/>
        </w:rPr>
      </w:pPr>
      <w:r w:rsidRPr="00820C89">
        <w:rPr>
          <w:rFonts w:eastAsia="Verdana" w:cs="Segoe UI"/>
          <w:color w:val="000000"/>
        </w:rPr>
        <w:t xml:space="preserve">Participation in the interview is entirely voluntary. </w:t>
      </w:r>
      <w:r w:rsidRPr="00820C89">
        <w:rPr>
          <w:rFonts w:eastAsia="Verdana" w:cs="Times New Roman"/>
        </w:rPr>
        <w:t xml:space="preserve">With your consent, we will be digitally recording parts of the consultations, with these recordings transcribed through internal services within Deloitte. The purpose of recording the consultations is to ensure that we use the most accurate record of our consultations available, and to undertake analysis of consultation notes in bulk. These recordings will not be shared with any other party. </w:t>
      </w:r>
    </w:p>
    <w:p w14:paraId="67C723AE" w14:textId="77777777" w:rsidR="00C1765C" w:rsidRPr="00820C89" w:rsidRDefault="00C1765C" w:rsidP="00C1765C">
      <w:pPr>
        <w:rPr>
          <w:rFonts w:eastAsia="Verdana" w:cs="Times New Roman"/>
        </w:rPr>
      </w:pPr>
      <w:r w:rsidRPr="00820C89">
        <w:rPr>
          <w:rFonts w:eastAsia="Verdana" w:cs="Times New Roman"/>
        </w:rPr>
        <w:t xml:space="preserve">You also have the option of removing a statement after you’ve made it, or withdrawing your contributions. </w:t>
      </w:r>
    </w:p>
    <w:p w14:paraId="5DB0A6BF"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lastRenderedPageBreak/>
        <w:t>How will information be stored?</w:t>
      </w:r>
    </w:p>
    <w:p w14:paraId="5CF9D3BD" w14:textId="77777777" w:rsidR="00C1765C" w:rsidRPr="00820C89" w:rsidRDefault="00C1765C" w:rsidP="00C1765C">
      <w:pPr>
        <w:spacing w:after="240"/>
        <w:jc w:val="both"/>
        <w:rPr>
          <w:rFonts w:eastAsia="Verdana" w:cs="Times New Roman"/>
        </w:rPr>
      </w:pPr>
      <w:r w:rsidRPr="00820C89">
        <w:rPr>
          <w:rFonts w:eastAsia="Verdana" w:cs="Times New Roman"/>
        </w:rPr>
        <w:t xml:space="preserve">Deloitte Access Economics will take every precaution to ensure that survey data is handled, stored, and accessed in a secure way that ensures the confidentiality of user information, and complies with all relevant privacy legislation. Deloitte Access Economics has secure data storage systems that are regularly monitored and maintained and suited to protecting confidential and sensitive information. We will store the consent form and record names and site location in our notes. This information will be securely stored (hard copy) or in a secure computer file requiring password access (digital). </w:t>
      </w:r>
    </w:p>
    <w:p w14:paraId="773CD824" w14:textId="77777777" w:rsidR="00C1765C" w:rsidRPr="00820C89" w:rsidRDefault="00C1765C" w:rsidP="00C1765C">
      <w:pPr>
        <w:rPr>
          <w:rFonts w:eastAsia="Verdana" w:cs="Times New Roman"/>
        </w:rPr>
      </w:pPr>
      <w:r w:rsidRPr="00820C89">
        <w:rPr>
          <w:rFonts w:eastAsia="Verdana" w:cs="Times New Roman"/>
        </w:rPr>
        <w:t>Any personal information that is provided to Deloitte Access Economics, such as names on consent forms, will be destroyed following the completion of the project with the Department.</w:t>
      </w:r>
    </w:p>
    <w:p w14:paraId="743CDF27" w14:textId="77777777" w:rsidR="00C1765C" w:rsidRPr="00820C89" w:rsidRDefault="00C1765C" w:rsidP="00C1765C">
      <w:pPr>
        <w:rPr>
          <w:rFonts w:eastAsia="Verdana" w:cs="Times New Roman"/>
        </w:rPr>
      </w:pPr>
      <w:r w:rsidRPr="00820C89">
        <w:rPr>
          <w:rFonts w:eastAsia="Verdana" w:cs="Times New Roman"/>
        </w:rPr>
        <w:t xml:space="preserve">Other material relating to the project including sound recordings and transcripts will be destroyed after seven years. </w:t>
      </w:r>
    </w:p>
    <w:p w14:paraId="5E49C198" w14:textId="77777777" w:rsidR="00C1765C" w:rsidRPr="00820C89" w:rsidRDefault="00C1765C" w:rsidP="00C1765C">
      <w:pPr>
        <w:rPr>
          <w:rFonts w:eastAsia="Verdana" w:cs="Times New Roman"/>
        </w:rPr>
      </w:pPr>
      <w:r w:rsidRPr="00820C89">
        <w:rPr>
          <w:rFonts w:eastAsia="Verdana" w:cs="Times New Roman"/>
        </w:rPr>
        <w:t>Individual notes from the interviews or transcripts of the recorded sections of the interviews can be provided upon request.</w:t>
      </w:r>
    </w:p>
    <w:p w14:paraId="4E94C9BF"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How will confidentiality be protected?</w:t>
      </w:r>
    </w:p>
    <w:p w14:paraId="3D0C82F2" w14:textId="77777777" w:rsidR="00C1765C" w:rsidRPr="00820C89" w:rsidRDefault="00C1765C" w:rsidP="00C1765C">
      <w:pPr>
        <w:rPr>
          <w:rFonts w:eastAsia="Verdana" w:cs="Times New Roman"/>
        </w:rPr>
      </w:pPr>
      <w:r w:rsidRPr="00820C89">
        <w:rPr>
          <w:rFonts w:eastAsia="Verdana" w:cs="Times New Roman"/>
        </w:rPr>
        <w:t>All interviews will be confidential, and you should only provide information that you are comfortable sharing with Deloitte.</w:t>
      </w:r>
    </w:p>
    <w:p w14:paraId="24086099" w14:textId="77777777" w:rsidR="00C1765C" w:rsidRPr="00820C89" w:rsidRDefault="00C1765C" w:rsidP="00C1765C">
      <w:pPr>
        <w:rPr>
          <w:rFonts w:eastAsia="Verdana" w:cs="Times New Roman"/>
        </w:rPr>
      </w:pPr>
      <w:r w:rsidRPr="00820C89">
        <w:rPr>
          <w:rFonts w:eastAsia="Verdana" w:cs="Times New Roman"/>
        </w:rPr>
        <w:t xml:space="preserve">Deloitte will never reveal your name or your personal details. However, we may provide the name of your region and administrative area to NIAA. Any summary interview content, or direct quotations from the consultations that are made available to the Department will be anonymised, and we will take utmost care to ensure that other information in the consultation that could identify yourself is not revealed. </w:t>
      </w:r>
    </w:p>
    <w:p w14:paraId="706E8986"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Can I access data that is collected about me?</w:t>
      </w:r>
    </w:p>
    <w:p w14:paraId="5B9EBF82" w14:textId="77777777" w:rsidR="00C1765C" w:rsidRPr="00820C89" w:rsidRDefault="00C1765C" w:rsidP="00C1765C">
      <w:pPr>
        <w:rPr>
          <w:rFonts w:eastAsia="Verdana" w:cs="Times New Roman"/>
        </w:rPr>
      </w:pPr>
      <w:r w:rsidRPr="00820C89">
        <w:rPr>
          <w:rFonts w:eastAsia="Verdana" w:cs="Times New Roman"/>
        </w:rPr>
        <w:t>You have the right to request access to the information about you that is collected and stored by the research team. You also have the right to request that any information with which you disagree be corrected. Please inform the research team by contacting</w:t>
      </w:r>
      <w:r w:rsidRPr="00820C89">
        <w:rPr>
          <w:rFonts w:eastAsia="Verdana" w:cs="Times New Roman"/>
          <w:lang w:eastAsia="zh-CN"/>
        </w:rPr>
        <w:t xml:space="preserve"> </w:t>
      </w:r>
      <w:hyperlink r:id="rId136" w:history="1">
        <w:r w:rsidRPr="00820C89">
          <w:rPr>
            <w:rFonts w:eastAsia="Verdana" w:cs="Times New Roman"/>
            <w:color w:val="00A3E0"/>
            <w:u w:val="single"/>
          </w:rPr>
          <w:t>IEPevaluation@deloitte.com.au</w:t>
        </w:r>
      </w:hyperlink>
    </w:p>
    <w:p w14:paraId="7425B25E"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What if I wish to lodge a complaint or seek more information regarding privacy?</w:t>
      </w:r>
    </w:p>
    <w:p w14:paraId="6538BFAD" w14:textId="77777777" w:rsidR="00C1765C" w:rsidRPr="00820C89" w:rsidRDefault="00C1765C" w:rsidP="00C1765C">
      <w:pPr>
        <w:rPr>
          <w:rFonts w:eastAsia="Verdana" w:cs="Segoe UI"/>
          <w:b/>
          <w:color w:val="000000"/>
        </w:rPr>
      </w:pPr>
      <w:r w:rsidRPr="00820C89">
        <w:rPr>
          <w:rFonts w:eastAsia="Verdana" w:cs="Segoe UI"/>
          <w:color w:val="000000"/>
        </w:rPr>
        <w:t>More information about how we will handle your personal information, how you can lodge a complaint, how you can contact us and how you may access and seek correction of your information are set out in our privacy policy at </w:t>
      </w:r>
      <w:hyperlink r:id="rId137" w:tgtFrame="_blank" w:history="1">
        <w:r w:rsidRPr="00820C89">
          <w:rPr>
            <w:rFonts w:eastAsia="Verdana" w:cs="Segoe UI"/>
            <w:color w:val="0070C0"/>
            <w:u w:val="single"/>
          </w:rPr>
          <w:t>https://www2.deloitte.com/au/en/legal/privacy.html</w:t>
        </w:r>
      </w:hyperlink>
      <w:r w:rsidRPr="00820C89">
        <w:rPr>
          <w:rFonts w:eastAsia="Verdana" w:cs="Segoe UI"/>
          <w:color w:val="000000"/>
        </w:rPr>
        <w:t>  </w:t>
      </w:r>
    </w:p>
    <w:p w14:paraId="4D1E2FAE" w14:textId="77777777" w:rsidR="00C1765C" w:rsidRPr="00820C89" w:rsidRDefault="00C1765C" w:rsidP="00C1765C">
      <w:pPr>
        <w:keepNext/>
        <w:keepLines/>
        <w:spacing w:after="0"/>
        <w:outlineLvl w:val="2"/>
        <w:rPr>
          <w:rFonts w:eastAsia="MingLiU" w:cs="Segoe UI"/>
          <w:bCs/>
          <w:color w:val="00A3E0"/>
          <w:u w:val="single"/>
        </w:rPr>
      </w:pPr>
      <w:r w:rsidRPr="00820C89">
        <w:rPr>
          <w:rFonts w:eastAsia="MingLiU" w:cs="Segoe UI"/>
          <w:bCs/>
        </w:rPr>
        <w:t xml:space="preserve">For any other enquiries, you may contact Deloitte at </w:t>
      </w:r>
      <w:hyperlink r:id="rId138" w:history="1">
        <w:r w:rsidRPr="00820C89">
          <w:rPr>
            <w:rFonts w:eastAsia="MingLiU" w:cs="Segoe UI"/>
            <w:bCs/>
            <w:color w:val="00A3E0"/>
            <w:u w:val="single"/>
          </w:rPr>
          <w:t>privacy@deloitte.com.au</w:t>
        </w:r>
      </w:hyperlink>
    </w:p>
    <w:p w14:paraId="1A180C44" w14:textId="77777777" w:rsidR="00C1765C" w:rsidRPr="00820C89" w:rsidRDefault="00C1765C" w:rsidP="00C1765C">
      <w:pPr>
        <w:keepNext/>
        <w:keepLines/>
        <w:spacing w:after="0"/>
        <w:outlineLvl w:val="2"/>
        <w:rPr>
          <w:rFonts w:eastAsia="MingLiU" w:cs="Times New Roman"/>
          <w:b/>
          <w:bCs/>
        </w:rPr>
      </w:pPr>
      <w:r w:rsidRPr="00820C89">
        <w:rPr>
          <w:rFonts w:eastAsia="MingLiU" w:cs="Times New Roman"/>
          <w:b/>
          <w:bCs/>
        </w:rPr>
        <w:t>Ethics Committee Clearance</w:t>
      </w:r>
    </w:p>
    <w:p w14:paraId="279B4F51" w14:textId="77777777" w:rsidR="00C1765C" w:rsidRPr="00820C89" w:rsidRDefault="00C1765C" w:rsidP="00C1765C">
      <w:pPr>
        <w:rPr>
          <w:rFonts w:eastAsia="Verdana" w:cs="Times New Roman"/>
        </w:rPr>
      </w:pPr>
      <w:r w:rsidRPr="00820C89">
        <w:rPr>
          <w:rFonts w:eastAsia="Verdana" w:cs="Times New Roman"/>
        </w:rPr>
        <w:t>This research project has been approved by the AIATSIS Research Ethics Committee.</w:t>
      </w:r>
    </w:p>
    <w:p w14:paraId="0C3E9C43" w14:textId="77777777" w:rsidR="00C1765C" w:rsidRPr="00820C89" w:rsidRDefault="00C1765C" w:rsidP="00C1765C">
      <w:pPr>
        <w:keepNext/>
        <w:keepLines/>
        <w:spacing w:after="0"/>
        <w:outlineLvl w:val="2"/>
        <w:rPr>
          <w:rFonts w:eastAsia="MingLiU" w:cs="Times New Roman"/>
          <w:b/>
          <w:bCs/>
        </w:rPr>
      </w:pPr>
      <w:r w:rsidRPr="00820C89">
        <w:rPr>
          <w:rFonts w:eastAsia="MingLiU" w:cs="Times New Roman"/>
          <w:b/>
          <w:bCs/>
        </w:rPr>
        <w:t>Further Communication</w:t>
      </w:r>
    </w:p>
    <w:p w14:paraId="58FD74E7" w14:textId="77777777" w:rsidR="00C1765C" w:rsidRPr="00820C89" w:rsidRDefault="00C1765C" w:rsidP="00C1765C">
      <w:pPr>
        <w:rPr>
          <w:rFonts w:eastAsia="Verdana" w:cs="Times New Roman"/>
          <w:lang w:eastAsia="zh-CN"/>
        </w:rPr>
      </w:pPr>
      <w:r w:rsidRPr="00820C89">
        <w:rPr>
          <w:rFonts w:eastAsia="Verdana" w:cs="Times New Roman"/>
          <w:lang w:eastAsia="zh-CN"/>
        </w:rPr>
        <w:t xml:space="preserve">For general enquiries about the IEP evaluation, or if you wish to make a complaint, please contact NIAA’s evaluation team at </w:t>
      </w:r>
      <w:hyperlink r:id="rId139" w:history="1">
        <w:r w:rsidRPr="00820C89">
          <w:rPr>
            <w:rFonts w:eastAsia="Verdana" w:cs="Times New Roman"/>
            <w:color w:val="00A3E0"/>
            <w:u w:val="single"/>
          </w:rPr>
          <w:t>IEPevaluation@deloitte.com.au</w:t>
        </w:r>
      </w:hyperlink>
      <w:r w:rsidRPr="00820C89">
        <w:rPr>
          <w:rFonts w:eastAsia="Verdana" w:cs="Times New Roman"/>
          <w:lang w:eastAsia="zh-CN"/>
        </w:rPr>
        <w:t xml:space="preserve">. You may also wish to contact </w:t>
      </w:r>
      <w:r w:rsidRPr="00820C89">
        <w:rPr>
          <w:rFonts w:eastAsia="Verdana" w:cs="Times New Roman"/>
        </w:rPr>
        <w:t xml:space="preserve">AIATSIS Research Ethics Committee at </w:t>
      </w:r>
      <w:hyperlink r:id="rId140" w:history="1">
        <w:r w:rsidRPr="00820C89">
          <w:rPr>
            <w:rFonts w:eastAsia="Verdana" w:cs="Times New Roman"/>
            <w:color w:val="00A3E0"/>
            <w:u w:val="single"/>
          </w:rPr>
          <w:t>ethics@aiatsis.gov.au</w:t>
        </w:r>
      </w:hyperlink>
      <w:r w:rsidRPr="00820C89">
        <w:rPr>
          <w:rFonts w:eastAsia="Verdana" w:cs="Times New Roman"/>
        </w:rPr>
        <w:t xml:space="preserve">  to discuss ethical concerns.</w:t>
      </w:r>
    </w:p>
    <w:p w14:paraId="0E7AB576" w14:textId="16B426F1" w:rsidR="004837A8" w:rsidRDefault="004837A8">
      <w:pPr>
        <w:spacing w:after="0"/>
        <w:rPr>
          <w:rFonts w:eastAsia="Verdana" w:cs="Times New Roman"/>
        </w:rPr>
      </w:pPr>
      <w:r>
        <w:rPr>
          <w:rFonts w:eastAsia="Verdana" w:cs="Times New Roman"/>
        </w:rPr>
        <w:br w:type="page"/>
      </w:r>
    </w:p>
    <w:p w14:paraId="61237026"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lastRenderedPageBreak/>
        <w:t>CONSENT FORM FOR ____________________</w:t>
      </w:r>
    </w:p>
    <w:p w14:paraId="279252E0"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 TITLE: Indigenous Employment Programs Evaluation</w:t>
      </w:r>
    </w:p>
    <w:p w14:paraId="33821286"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RESEARCHERS: Deloitte Access Economics</w:t>
      </w:r>
    </w:p>
    <w:p w14:paraId="200D6C88" w14:textId="77777777" w:rsidR="00C1765C" w:rsidRPr="00820C89" w:rsidRDefault="00C1765C" w:rsidP="00C1765C">
      <w:pPr>
        <w:rPr>
          <w:rFonts w:eastAsia="Verdana" w:cs="Times New Roman"/>
          <w:i/>
        </w:rPr>
      </w:pPr>
      <w:r w:rsidRPr="00820C89">
        <w:rPr>
          <w:rFonts w:eastAsia="Verdana" w:cs="Times New Roman"/>
        </w:rPr>
        <w:t xml:space="preserve">Deloitte Access Economics have given me information about the </w:t>
      </w:r>
      <w:r w:rsidRPr="00820C89">
        <w:rPr>
          <w:rFonts w:eastAsia="Verdana" w:cs="Times New Roman"/>
          <w:i/>
        </w:rPr>
        <w:t>Indigenous Employment Programs Evaluation.</w:t>
      </w:r>
    </w:p>
    <w:p w14:paraId="3E096CAE" w14:textId="77777777" w:rsidR="00C1765C" w:rsidRPr="00820C89" w:rsidRDefault="00C1765C" w:rsidP="00C1765C">
      <w:pPr>
        <w:rPr>
          <w:rFonts w:eastAsia="Verdana" w:cs="Times New Roman"/>
          <w:iCs/>
        </w:rPr>
      </w:pPr>
      <w:r w:rsidRPr="00820C89">
        <w:rPr>
          <w:rFonts w:eastAsia="Verdana" w:cs="Times New Roman"/>
          <w:iCs/>
        </w:rPr>
        <w:t>I voluntarily consent to my participation in the evaluation and in doing so acknowledge that the details regarding the evaluation and my involvement have been explained to me.</w:t>
      </w:r>
    </w:p>
    <w:p w14:paraId="0A9B2FCC" w14:textId="77777777" w:rsidR="00C1765C" w:rsidRPr="00820C89" w:rsidRDefault="00C1765C" w:rsidP="00C1765C">
      <w:pPr>
        <w:rPr>
          <w:rFonts w:eastAsia="Verdana" w:cs="Times New Roman"/>
          <w:b/>
          <w:bCs/>
          <w:iCs/>
        </w:rPr>
      </w:pPr>
      <w:r w:rsidRPr="00820C89">
        <w:rPr>
          <w:rFonts w:eastAsia="Verdana" w:cs="Times New Roman"/>
          <w:b/>
          <w:bCs/>
          <w:iCs/>
        </w:rPr>
        <w:br/>
        <w:t>I confirm that I:</w:t>
      </w:r>
    </w:p>
    <w:p w14:paraId="7E855DC0"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received the Participant Information Sheet</w:t>
      </w:r>
    </w:p>
    <w:p w14:paraId="5D6A9B3D"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have read, or had someone read to me in a language I understand, the Participant Information Sheet</w:t>
      </w:r>
    </w:p>
    <w:p w14:paraId="5DD2632D" w14:textId="77777777" w:rsidR="00C1765C" w:rsidRPr="00820C89" w:rsidRDefault="00C1765C" w:rsidP="00715F70">
      <w:pPr>
        <w:pStyle w:val="ListParagraph"/>
        <w:numPr>
          <w:ilvl w:val="0"/>
          <w:numId w:val="185"/>
        </w:numPr>
        <w:spacing w:before="170" w:after="0"/>
        <w:ind w:left="284" w:hanging="284"/>
        <w:rPr>
          <w:rFonts w:eastAsia="Verdana" w:cs="Times New Roman"/>
          <w:szCs w:val="17"/>
        </w:rPr>
      </w:pPr>
      <w:r w:rsidRPr="00820C89">
        <w:rPr>
          <w:rFonts w:eastAsia="Verdana" w:cs="Times New Roman"/>
          <w:szCs w:val="17"/>
        </w:rPr>
        <w:t>understand all information included in the Participant Information Sheet.</w:t>
      </w:r>
    </w:p>
    <w:p w14:paraId="6B33A464" w14:textId="77777777" w:rsidR="00C1765C" w:rsidRPr="00820C89" w:rsidRDefault="00C1765C" w:rsidP="00C1765C">
      <w:pPr>
        <w:pStyle w:val="ListParagraph"/>
        <w:ind w:left="284"/>
        <w:rPr>
          <w:rFonts w:eastAsia="Verdana" w:cs="Times New Roman"/>
          <w:szCs w:val="17"/>
        </w:rPr>
      </w:pPr>
    </w:p>
    <w:p w14:paraId="37367183" w14:textId="77777777" w:rsidR="00C1765C" w:rsidRPr="00820C89" w:rsidRDefault="00C1765C" w:rsidP="00C1765C">
      <w:pPr>
        <w:rPr>
          <w:rFonts w:eastAsia="Verdana" w:cs="Times New Roman"/>
          <w:b/>
          <w:bCs/>
        </w:rPr>
      </w:pPr>
      <w:r w:rsidRPr="00820C89">
        <w:rPr>
          <w:rFonts w:eastAsia="Verdana" w:cs="Times New Roman"/>
          <w:b/>
          <w:bCs/>
        </w:rPr>
        <w:t>In accordance with this Participant Information sheet, I understand:</w:t>
      </w:r>
    </w:p>
    <w:p w14:paraId="3EAD78B2"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what this project is about</w:t>
      </w:r>
    </w:p>
    <w:p w14:paraId="1FFC10CB"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participating in an interview will assist the research team in evaluating the effectiveness of the Indigenous Employment Programs</w:t>
      </w:r>
    </w:p>
    <w:p w14:paraId="241D0434"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my information will be analysed by the evaluation team and used to inform the findings of a report</w:t>
      </w:r>
    </w:p>
    <w:p w14:paraId="08370B2C"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this evaluation will be completed in December 2020</w:t>
      </w:r>
    </w:p>
    <w:p w14:paraId="42B44703"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 have been provided contact details for the research team and am able to ask questions/lodge complaints regarding the evaluation and my participation at any time</w:t>
      </w:r>
    </w:p>
    <w:p w14:paraId="1915287E" w14:textId="77777777" w:rsidR="00C1765C" w:rsidRPr="00820C89" w:rsidRDefault="00C1765C" w:rsidP="00715F70">
      <w:pPr>
        <w:pStyle w:val="ListParagraph"/>
        <w:numPr>
          <w:ilvl w:val="0"/>
          <w:numId w:val="186"/>
        </w:numPr>
        <w:spacing w:before="170" w:after="0"/>
        <w:rPr>
          <w:rFonts w:asciiTheme="minorHAnsi" w:hAnsiTheme="minorHAnsi"/>
          <w:sz w:val="22"/>
          <w:szCs w:val="22"/>
        </w:rPr>
      </w:pPr>
      <w:r w:rsidRPr="00820C89">
        <w:rPr>
          <w:rFonts w:eastAsia="Verdana" w:cs="Times New Roman"/>
          <w:szCs w:val="17"/>
        </w:rPr>
        <w:t>I am satisfied with the information I have received</w:t>
      </w:r>
    </w:p>
    <w:p w14:paraId="5BBF1A8D" w14:textId="77777777" w:rsidR="00C1765C" w:rsidRPr="00820C89" w:rsidRDefault="00C1765C" w:rsidP="00715F70">
      <w:pPr>
        <w:pStyle w:val="ListParagraph"/>
        <w:numPr>
          <w:ilvl w:val="0"/>
          <w:numId w:val="186"/>
        </w:numPr>
        <w:spacing w:before="170" w:after="0"/>
        <w:rPr>
          <w:rFonts w:asciiTheme="minorHAnsi" w:hAnsiTheme="minorHAnsi"/>
          <w:sz w:val="22"/>
          <w:szCs w:val="22"/>
        </w:rPr>
      </w:pPr>
      <w:r w:rsidRPr="00820C89">
        <w:rPr>
          <w:rFonts w:eastAsia="Verdana" w:cs="Times New Roman"/>
          <w:b/>
          <w:bCs/>
          <w:szCs w:val="17"/>
        </w:rPr>
        <w:t>participation is voluntary</w:t>
      </w:r>
    </w:p>
    <w:p w14:paraId="4D6A7694"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b/>
          <w:bCs/>
          <w:szCs w:val="17"/>
        </w:rPr>
        <w:t>I am free to withdraw from the interview at any time</w:t>
      </w:r>
      <w:r w:rsidRPr="00820C89">
        <w:rPr>
          <w:rFonts w:eastAsia="Verdana" w:cs="Times New Roman"/>
          <w:szCs w:val="17"/>
        </w:rPr>
        <w:t xml:space="preserve"> and if I decide not to continue the interview after it has started, my information will not be used</w:t>
      </w:r>
    </w:p>
    <w:p w14:paraId="0853E010"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what participation will involve, including the nature and expected length of interviews, when interviews will take place and the timeframe of this evaluation (as described in the Participant Information Sheet and contact made by Deloitte)</w:t>
      </w:r>
    </w:p>
    <w:p w14:paraId="14C7868E"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 will not be paid for participating in this evaluation</w:t>
      </w:r>
    </w:p>
    <w:p w14:paraId="4581A6AA"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due to the potential risks of participating, I am able to include a support person in the interview and am able to contact the external support agencies listed on the Participant Information Sheet</w:t>
      </w:r>
    </w:p>
    <w:p w14:paraId="19E3A0A0"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 xml:space="preserve">that the </w:t>
      </w:r>
      <w:r w:rsidRPr="00820C89">
        <w:rPr>
          <w:rFonts w:eastAsia="Verdana" w:cs="Times New Roman"/>
          <w:b/>
          <w:bCs/>
          <w:szCs w:val="17"/>
        </w:rPr>
        <w:t>information I provide will remain confidential</w:t>
      </w:r>
      <w:r w:rsidRPr="00820C89">
        <w:rPr>
          <w:rFonts w:eastAsia="Verdana" w:cs="Times New Roman"/>
          <w:szCs w:val="17"/>
        </w:rPr>
        <w:t xml:space="preserve"> and my name, contact details and organisation details will be collected for administrative purposes only. I have the right to access personal information. </w:t>
      </w:r>
      <w:r w:rsidRPr="00820C89">
        <w:rPr>
          <w:rFonts w:eastAsia="Verdana" w:cs="Times New Roman"/>
          <w:b/>
          <w:bCs/>
          <w:szCs w:val="17"/>
        </w:rPr>
        <w:t>Personal details, and any culturally sensitive information that is collected, will only be accessible to the research team</w:t>
      </w:r>
      <w:r w:rsidRPr="00820C89">
        <w:rPr>
          <w:rFonts w:eastAsia="Verdana" w:cs="Times New Roman"/>
          <w:szCs w:val="17"/>
        </w:rPr>
        <w:t xml:space="preserve"> and such information will be destroyed after the completion of this project.</w:t>
      </w:r>
    </w:p>
    <w:p w14:paraId="4C95DDEF"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If I give consent for the interview to be recorded, these recordings will be kept on a secure server for seven years, only accessible to the evaluation team, for the purposes of this evaluation. This consent to be recorded can be withdrawn at any time and I have the right to access this recording.</w:t>
      </w:r>
    </w:p>
    <w:p w14:paraId="2C70026D" w14:textId="77777777" w:rsidR="00C1765C" w:rsidRPr="00820C89" w:rsidRDefault="00C1765C" w:rsidP="00715F70">
      <w:pPr>
        <w:pStyle w:val="ListParagraph"/>
        <w:numPr>
          <w:ilvl w:val="0"/>
          <w:numId w:val="186"/>
        </w:numPr>
        <w:spacing w:before="170" w:after="0"/>
        <w:rPr>
          <w:rFonts w:eastAsia="Verdana" w:cs="Times New Roman"/>
          <w:szCs w:val="17"/>
        </w:rPr>
      </w:pPr>
      <w:r w:rsidRPr="00820C89">
        <w:rPr>
          <w:rFonts w:eastAsia="Verdana" w:cs="Times New Roman"/>
          <w:szCs w:val="17"/>
        </w:rPr>
        <w:t xml:space="preserve">I am able to contact AIATSIS regarding any ethical concerns at </w:t>
      </w:r>
      <w:hyperlink r:id="rId141" w:history="1">
        <w:r w:rsidRPr="00820C89">
          <w:rPr>
            <w:rFonts w:eastAsia="Verdana" w:cs="Times New Roman"/>
            <w:color w:val="00A3E0"/>
            <w:szCs w:val="17"/>
            <w:u w:val="single"/>
          </w:rPr>
          <w:t>ethics@aiatsis.gov.au</w:t>
        </w:r>
      </w:hyperlink>
      <w:r w:rsidRPr="00820C89">
        <w:rPr>
          <w:rFonts w:eastAsia="Verdana" w:cs="Times New Roman"/>
          <w:szCs w:val="17"/>
        </w:rPr>
        <w:t xml:space="preserve">  </w:t>
      </w:r>
    </w:p>
    <w:p w14:paraId="6019D8F3" w14:textId="77777777" w:rsidR="00C1765C" w:rsidRPr="00820C89" w:rsidRDefault="00C1765C" w:rsidP="00715F70">
      <w:pPr>
        <w:pStyle w:val="ListParagraph"/>
        <w:numPr>
          <w:ilvl w:val="0"/>
          <w:numId w:val="186"/>
        </w:numPr>
        <w:spacing w:before="170" w:after="0"/>
        <w:rPr>
          <w:rFonts w:eastAsia="Verdana" w:cs="Times New Roman"/>
          <w:b/>
          <w:bCs/>
        </w:rPr>
      </w:pPr>
      <w:r w:rsidRPr="00820C89">
        <w:rPr>
          <w:rFonts w:eastAsia="Verdana" w:cs="Times New Roman"/>
          <w:szCs w:val="17"/>
        </w:rPr>
        <w:t xml:space="preserve">If I have any questions, concerns or complaints I can contact the evaluation team at </w:t>
      </w:r>
      <w:hyperlink r:id="rId142" w:history="1">
        <w:r w:rsidRPr="00820C89">
          <w:rPr>
            <w:rFonts w:eastAsia="Verdana" w:cs="Times New Roman"/>
            <w:color w:val="00A3E0"/>
            <w:szCs w:val="17"/>
            <w:u w:val="single"/>
          </w:rPr>
          <w:t>IEPevaluation@deloitte.com.au</w:t>
        </w:r>
      </w:hyperlink>
      <w:r w:rsidRPr="00820C89">
        <w:rPr>
          <w:rFonts w:eastAsia="Verdana" w:cs="Times New Roman"/>
          <w:color w:val="00A3E0"/>
          <w:szCs w:val="17"/>
          <w:u w:val="single"/>
        </w:rPr>
        <w:t>.</w:t>
      </w:r>
    </w:p>
    <w:p w14:paraId="5AA4DBCF" w14:textId="77777777" w:rsidR="00C1765C" w:rsidRPr="00820C89" w:rsidRDefault="00C1765C" w:rsidP="00C1765C">
      <w:pPr>
        <w:pStyle w:val="ListParagraph"/>
        <w:spacing w:after="0"/>
        <w:ind w:left="340"/>
        <w:rPr>
          <w:rFonts w:eastAsia="Verdana" w:cs="Times New Roman"/>
          <w:b/>
          <w:bCs/>
        </w:rPr>
      </w:pPr>
    </w:p>
    <w:p w14:paraId="019185DF" w14:textId="77777777" w:rsidR="00C1765C" w:rsidRPr="00820C89" w:rsidRDefault="00C1765C" w:rsidP="00C1765C">
      <w:pPr>
        <w:rPr>
          <w:rFonts w:eastAsia="Verdana" w:cs="Times New Roman"/>
          <w:b/>
          <w:bCs/>
        </w:rPr>
      </w:pPr>
      <w:r w:rsidRPr="00820C89">
        <w:rPr>
          <w:rFonts w:eastAsia="Verdana" w:cs="Times New Roman"/>
          <w:b/>
          <w:bCs/>
        </w:rPr>
        <w:t>To be completed:</w:t>
      </w:r>
    </w:p>
    <w:p w14:paraId="46C95E2E" w14:textId="77777777" w:rsidR="00C1765C" w:rsidRPr="00820C89" w:rsidRDefault="00C1765C" w:rsidP="00C1765C">
      <w:pPr>
        <w:rPr>
          <w:rFonts w:eastAsia="Verdana" w:cs="Times New Roman"/>
        </w:rPr>
      </w:pPr>
      <w:r w:rsidRPr="00820C89">
        <w:rPr>
          <w:rFonts w:eastAsia="Verdana" w:cs="Times New Roman"/>
        </w:rPr>
        <w:t>I consent to the interview being recorded    Yes / No  (please circle)</w:t>
      </w:r>
    </w:p>
    <w:p w14:paraId="362EDDF5" w14:textId="6878EE31" w:rsidR="00C1765C" w:rsidRPr="00820C89" w:rsidRDefault="00C1765C" w:rsidP="00C1765C">
      <w:pPr>
        <w:ind w:left="720"/>
        <w:rPr>
          <w:rFonts w:eastAsia="Verdana" w:cs="Arial"/>
        </w:rPr>
      </w:pPr>
    </w:p>
    <w:p w14:paraId="3F05DDBD" w14:textId="2BDB7F2D" w:rsidR="00C1765C" w:rsidRPr="00820C89" w:rsidRDefault="00C1765C" w:rsidP="00C1765C">
      <w:pPr>
        <w:rPr>
          <w:rFonts w:eastAsia="Verdana" w:cs="Times New Roman"/>
          <w:i/>
        </w:rPr>
      </w:pPr>
      <w:r w:rsidRPr="00820C89">
        <w:rPr>
          <w:rFonts w:eastAsia="Verdana" w:cs="Times New Roman"/>
          <w:i/>
        </w:rPr>
        <w:lastRenderedPageBreak/>
        <w:t>Consent to participate in the interview</w:t>
      </w:r>
    </w:p>
    <w:p w14:paraId="5F187E6A" w14:textId="1EAAA3D0" w:rsidR="00C1765C" w:rsidRPr="00820C89" w:rsidRDefault="004837A8" w:rsidP="00C1765C">
      <w:pPr>
        <w:rPr>
          <w:rFonts w:eastAsia="Verdana" w:cs="Arial"/>
        </w:rPr>
      </w:pPr>
      <w:r w:rsidRPr="00820C89">
        <w:rPr>
          <w:rFonts w:eastAsia="Verdana" w:cs="Arial"/>
          <w:noProof/>
          <w:lang w:eastAsia="en-AU"/>
        </w:rPr>
        <mc:AlternateContent>
          <mc:Choice Requires="wps">
            <w:drawing>
              <wp:anchor distT="0" distB="0" distL="114300" distR="114300" simplePos="0" relativeHeight="251658276" behindDoc="0" locked="0" layoutInCell="1" allowOverlap="1" wp14:anchorId="361F273B" wp14:editId="40161F5A">
                <wp:simplePos x="0" y="0"/>
                <wp:positionH relativeFrom="margin">
                  <wp:posOffset>0</wp:posOffset>
                </wp:positionH>
                <wp:positionV relativeFrom="paragraph">
                  <wp:posOffset>17954</wp:posOffset>
                </wp:positionV>
                <wp:extent cx="5876925" cy="1236269"/>
                <wp:effectExtent l="0" t="0" r="28575" b="21590"/>
                <wp:wrapNone/>
                <wp:docPr id="46" name="Rectangle 46"/>
                <wp:cNvGraphicFramePr/>
                <a:graphic xmlns:a="http://schemas.openxmlformats.org/drawingml/2006/main">
                  <a:graphicData uri="http://schemas.microsoft.com/office/word/2010/wordprocessingShape">
                    <wps:wsp>
                      <wps:cNvSpPr/>
                      <wps:spPr>
                        <a:xfrm>
                          <a:off x="0" y="0"/>
                          <a:ext cx="5876925" cy="1236269"/>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2FA15" id="Rectangle 46" o:spid="_x0000_s1026" style="position:absolute;margin-left:0;margin-top:1.4pt;width:462.75pt;height:97.3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" filled="f" strokeweight="2pt">
                <w10:wrap anchorx="margin"/>
              </v:rect>
            </w:pict>
          </mc:Fallback>
        </mc:AlternateContent>
      </w:r>
      <w:r w:rsidR="00C1765C" w:rsidRPr="00820C89">
        <w:rPr>
          <w:rFonts w:eastAsia="Verdana" w:cs="Arial"/>
        </w:rPr>
        <w:t>NAME OF PARTICIPANT: _________________________________________________________</w:t>
      </w:r>
    </w:p>
    <w:p w14:paraId="49B691C8" w14:textId="60187DC1" w:rsidR="00C1765C" w:rsidRPr="00820C89" w:rsidRDefault="00C1765C" w:rsidP="00C1765C">
      <w:pPr>
        <w:rPr>
          <w:rFonts w:eastAsia="Verdana" w:cs="Arial"/>
        </w:rPr>
      </w:pPr>
    </w:p>
    <w:p w14:paraId="7C03875C" w14:textId="7A7AA601" w:rsidR="00C1765C" w:rsidRPr="00820C89" w:rsidRDefault="00C1765C" w:rsidP="00C1765C">
      <w:pPr>
        <w:rPr>
          <w:rFonts w:eastAsia="Verdana" w:cs="Arial"/>
        </w:rPr>
      </w:pPr>
      <w:r w:rsidRPr="00820C89">
        <w:rPr>
          <w:rFonts w:eastAsia="Verdana" w:cs="Arial"/>
        </w:rPr>
        <w:t>SIGNATURE OF PARTICIPANT: ________________________</w:t>
      </w:r>
      <w:r w:rsidRPr="00820C89">
        <w:rPr>
          <w:rFonts w:eastAsia="Verdana" w:cs="Arial"/>
        </w:rPr>
        <w:tab/>
        <w:t xml:space="preserve">DATE: </w:t>
      </w:r>
      <w:r w:rsidRPr="00820C89">
        <w:rPr>
          <w:rFonts w:eastAsia="Verdana" w:cs="Times New Roman"/>
        </w:rPr>
        <w:t>....../....../.....</w:t>
      </w:r>
    </w:p>
    <w:p w14:paraId="2E6CCF3B" w14:textId="2F1C25A8" w:rsidR="00C1765C" w:rsidRPr="00820C89" w:rsidRDefault="00C1765C" w:rsidP="00C1765C">
      <w:pPr>
        <w:rPr>
          <w:rFonts w:eastAsia="Verdana" w:cs="Times New Roman"/>
          <w:i/>
        </w:rPr>
      </w:pPr>
    </w:p>
    <w:p w14:paraId="1F56D930" w14:textId="77777777" w:rsidR="00C1765C" w:rsidRPr="00820C89" w:rsidRDefault="00C1765C" w:rsidP="00C1765C">
      <w:pPr>
        <w:rPr>
          <w:rFonts w:eastAsia="Verdana" w:cs="Times New Roman"/>
        </w:rPr>
      </w:pPr>
    </w:p>
    <w:p w14:paraId="61D6B63D" w14:textId="77777777" w:rsidR="00C1765C" w:rsidRPr="00820C89" w:rsidRDefault="00C1765C" w:rsidP="00C1765C">
      <w:pPr>
        <w:pBdr>
          <w:bottom w:val="single" w:sz="4" w:space="1" w:color="auto"/>
        </w:pBdr>
        <w:rPr>
          <w:rFonts w:eastAsia="Verdana" w:cs="Times New Roman"/>
        </w:rPr>
      </w:pPr>
    </w:p>
    <w:p w14:paraId="051A3E05" w14:textId="77777777" w:rsidR="00C1765C" w:rsidRPr="00820C89" w:rsidRDefault="00C1765C" w:rsidP="00C1765C">
      <w:pPr>
        <w:rPr>
          <w:rFonts w:eastAsia="Verdana" w:cs="Times New Roman"/>
          <w:color w:val="44546A"/>
        </w:rPr>
      </w:pPr>
      <w:r w:rsidRPr="00820C89">
        <w:rPr>
          <w:rFonts w:eastAsia="Verdana" w:cs="Times New Roman"/>
          <w:color w:val="44546A"/>
        </w:rPr>
        <w:t>DELOITTE ACCESS ECONOMICS USE ONLY</w:t>
      </w:r>
    </w:p>
    <w:p w14:paraId="5ACA02F5" w14:textId="77777777" w:rsidR="00C1765C" w:rsidRPr="00820C89" w:rsidRDefault="00C1765C" w:rsidP="00C1765C">
      <w:pPr>
        <w:rPr>
          <w:rFonts w:eastAsia="Verdana" w:cs="Times New Roman"/>
          <w:color w:val="44546A"/>
        </w:rPr>
      </w:pPr>
      <w:r w:rsidRPr="00820C89">
        <w:rPr>
          <w:rFonts w:eastAsia="Verdana" w:cs="Times New Roman"/>
          <w:color w:val="44546A"/>
        </w:rPr>
        <w:t>I, the researcher, have described the details on the Participant Information Sheet to the interviewee and believe he/she has understood and agreed to it.</w:t>
      </w:r>
    </w:p>
    <w:p w14:paraId="12E0533D" w14:textId="77777777" w:rsidR="00C1765C" w:rsidRPr="00820C89" w:rsidRDefault="00C1765C" w:rsidP="00C1765C">
      <w:pPr>
        <w:rPr>
          <w:rFonts w:eastAsia="Verdana" w:cs="Times New Roman"/>
          <w:color w:val="44546A"/>
        </w:rPr>
      </w:pPr>
      <w:r w:rsidRPr="00820C89">
        <w:rPr>
          <w:rFonts w:eastAsia="Verdana" w:cs="Times New Roman"/>
          <w:color w:val="44546A"/>
        </w:rPr>
        <w:t>Name:</w:t>
      </w:r>
    </w:p>
    <w:p w14:paraId="42E603A8" w14:textId="77777777" w:rsidR="00C1765C" w:rsidRPr="00820C89" w:rsidRDefault="00C1765C" w:rsidP="00C1765C">
      <w:pPr>
        <w:rPr>
          <w:rFonts w:eastAsia="Verdana" w:cs="Times New Roman"/>
          <w:color w:val="44546A"/>
        </w:rPr>
      </w:pPr>
      <w:r w:rsidRPr="00820C89">
        <w:rPr>
          <w:rFonts w:eastAsia="Verdana" w:cs="Times New Roman"/>
          <w:color w:val="44546A"/>
        </w:rPr>
        <w:t>Signature:</w:t>
      </w:r>
    </w:p>
    <w:p w14:paraId="0D271C3A" w14:textId="77777777" w:rsidR="00C1765C" w:rsidRPr="00820C89" w:rsidRDefault="00C1765C" w:rsidP="00C1765C">
      <w:pPr>
        <w:rPr>
          <w:rFonts w:eastAsia="Verdana" w:cs="Times New Roman"/>
          <w:color w:val="44546A"/>
        </w:rPr>
      </w:pPr>
      <w:r w:rsidRPr="00820C89">
        <w:rPr>
          <w:rFonts w:eastAsia="Verdana" w:cs="Times New Roman"/>
          <w:color w:val="44546A"/>
        </w:rPr>
        <w:t>Date:</w:t>
      </w:r>
    </w:p>
    <w:p w14:paraId="1B874BA3" w14:textId="4264F8B7" w:rsidR="004837A8" w:rsidRDefault="004837A8">
      <w:pPr>
        <w:spacing w:after="0"/>
        <w:rPr>
          <w:rFonts w:eastAsia="Verdana" w:cs="Times New Roman"/>
          <w:color w:val="44546A"/>
        </w:rPr>
      </w:pPr>
      <w:r>
        <w:rPr>
          <w:rFonts w:eastAsia="Verdana" w:cs="Times New Roman"/>
          <w:color w:val="44546A"/>
        </w:rPr>
        <w:br w:type="page"/>
      </w:r>
    </w:p>
    <w:p w14:paraId="5024739B" w14:textId="77777777" w:rsidR="00C1765C" w:rsidRPr="00820C89" w:rsidRDefault="00C1765C" w:rsidP="00C1765C">
      <w:pPr>
        <w:pStyle w:val="Heading2un-numbered"/>
      </w:pPr>
      <w:bookmarkStart w:id="577" w:name="_Toc82694536"/>
      <w:bookmarkStart w:id="578" w:name="_Toc82710831"/>
      <w:bookmarkStart w:id="579" w:name="_Toc101343360"/>
      <w:r w:rsidRPr="00820C89">
        <w:lastRenderedPageBreak/>
        <w:t>Participant focus group questions</w:t>
      </w:r>
      <w:bookmarkEnd w:id="575"/>
      <w:bookmarkEnd w:id="576"/>
      <w:bookmarkEnd w:id="577"/>
      <w:bookmarkEnd w:id="578"/>
      <w:bookmarkEnd w:id="579"/>
    </w:p>
    <w:p w14:paraId="2173E976" w14:textId="77777777" w:rsidR="00C1765C" w:rsidRPr="00820C89" w:rsidRDefault="00C1765C" w:rsidP="00C1765C">
      <w:pPr>
        <w:rPr>
          <w:b/>
        </w:rPr>
      </w:pPr>
      <w:r w:rsidRPr="00820C89">
        <w:rPr>
          <w:b/>
        </w:rPr>
        <w:t xml:space="preserve">Background </w:t>
      </w:r>
    </w:p>
    <w:p w14:paraId="76D019C6" w14:textId="77777777" w:rsidR="00C1765C" w:rsidRPr="00820C89" w:rsidRDefault="00C1765C" w:rsidP="00715F70">
      <w:pPr>
        <w:pStyle w:val="ListParagraph"/>
        <w:numPr>
          <w:ilvl w:val="0"/>
          <w:numId w:val="123"/>
        </w:numPr>
        <w:spacing w:after="160" w:line="259" w:lineRule="auto"/>
      </w:pPr>
      <w:r w:rsidRPr="00820C89">
        <w:t>In order to best understand your perspective, I’d like to get to know you a bit better.</w:t>
      </w:r>
    </w:p>
    <w:p w14:paraId="2879ACD4" w14:textId="77777777" w:rsidR="00C1765C" w:rsidRPr="00820C89" w:rsidRDefault="00C1765C" w:rsidP="00715F70">
      <w:pPr>
        <w:pStyle w:val="ListParagraph"/>
        <w:numPr>
          <w:ilvl w:val="1"/>
          <w:numId w:val="123"/>
        </w:numPr>
        <w:spacing w:after="160" w:line="259" w:lineRule="auto"/>
        <w:rPr>
          <w:i/>
          <w:u w:val="single"/>
        </w:rPr>
      </w:pPr>
      <w:r w:rsidRPr="00820C89">
        <w:rPr>
          <w:i/>
          <w:u w:val="single"/>
        </w:rPr>
        <w:t>How would you describe your prior experiences with employment or training?</w:t>
      </w:r>
    </w:p>
    <w:p w14:paraId="5EE80A12" w14:textId="77777777" w:rsidR="00C1765C" w:rsidRPr="00820C89" w:rsidRDefault="00C1765C" w:rsidP="00715F70">
      <w:pPr>
        <w:pStyle w:val="ListParagraph"/>
        <w:numPr>
          <w:ilvl w:val="1"/>
          <w:numId w:val="123"/>
        </w:numPr>
        <w:spacing w:after="160" w:line="259" w:lineRule="auto"/>
      </w:pPr>
      <w:r w:rsidRPr="00820C89">
        <w:t>What’s been your experience, positive or negative, with employment or training programs?</w:t>
      </w:r>
    </w:p>
    <w:p w14:paraId="06D73234" w14:textId="77777777" w:rsidR="00C1765C" w:rsidRPr="00820C89" w:rsidRDefault="00C1765C" w:rsidP="00C1765C">
      <w:pPr>
        <w:pStyle w:val="ListParagraph"/>
        <w:ind w:left="1080"/>
      </w:pPr>
    </w:p>
    <w:p w14:paraId="08ADAA51" w14:textId="77777777" w:rsidR="00C1765C" w:rsidRPr="00820C89" w:rsidRDefault="00C1765C" w:rsidP="00715F70">
      <w:pPr>
        <w:pStyle w:val="ListParagraph"/>
        <w:numPr>
          <w:ilvl w:val="0"/>
          <w:numId w:val="123"/>
        </w:numPr>
        <w:spacing w:after="160" w:line="259" w:lineRule="auto"/>
      </w:pPr>
      <w:r w:rsidRPr="00820C89">
        <w:t>How would you describe your experiences with the TAEG/VTEC/EPI program and other similar programs?</w:t>
      </w:r>
    </w:p>
    <w:p w14:paraId="096BAC76" w14:textId="77777777" w:rsidR="00C1765C" w:rsidRPr="00820C89" w:rsidRDefault="00C1765C" w:rsidP="00715F70">
      <w:pPr>
        <w:pStyle w:val="ListParagraph"/>
        <w:numPr>
          <w:ilvl w:val="0"/>
          <w:numId w:val="140"/>
        </w:numPr>
        <w:spacing w:after="160" w:line="259" w:lineRule="auto"/>
      </w:pPr>
      <w:r w:rsidRPr="00820C89">
        <w:t>How long have you been involved in the program for?</w:t>
      </w:r>
    </w:p>
    <w:p w14:paraId="02C3E5D7" w14:textId="77777777" w:rsidR="00C1765C" w:rsidRPr="00820C89" w:rsidRDefault="00C1765C" w:rsidP="00715F70">
      <w:pPr>
        <w:pStyle w:val="ListParagraph"/>
        <w:numPr>
          <w:ilvl w:val="0"/>
          <w:numId w:val="140"/>
        </w:numPr>
        <w:spacing w:after="160" w:line="259" w:lineRule="auto"/>
      </w:pPr>
      <w:r w:rsidRPr="00820C89">
        <w:t>Have you worked with any other employment providers before? For example, jobactive or CDP.</w:t>
      </w:r>
    </w:p>
    <w:p w14:paraId="30551AB6" w14:textId="77777777" w:rsidR="00C1765C" w:rsidRPr="00820C89" w:rsidRDefault="00C1765C" w:rsidP="00715F70">
      <w:pPr>
        <w:pStyle w:val="ListParagraph"/>
        <w:numPr>
          <w:ilvl w:val="0"/>
          <w:numId w:val="140"/>
        </w:numPr>
        <w:spacing w:after="160" w:line="259" w:lineRule="auto"/>
        <w:rPr>
          <w:b/>
        </w:rPr>
      </w:pPr>
      <w:r w:rsidRPr="00820C89">
        <w:t>If you have experience with other providers, how do these programs compare?</w:t>
      </w:r>
    </w:p>
    <w:p w14:paraId="4BEE7509" w14:textId="77777777" w:rsidR="00C1765C" w:rsidRPr="00820C89" w:rsidRDefault="00C1765C" w:rsidP="00C1765C">
      <w:pPr>
        <w:rPr>
          <w:b/>
        </w:rPr>
      </w:pPr>
      <w:r w:rsidRPr="00820C89">
        <w:rPr>
          <w:b/>
        </w:rPr>
        <w:t>Delivery and cultural understanding</w:t>
      </w:r>
    </w:p>
    <w:p w14:paraId="160CBE9A" w14:textId="77777777" w:rsidR="00C1765C" w:rsidRPr="00820C89" w:rsidRDefault="00C1765C" w:rsidP="00715F70">
      <w:pPr>
        <w:pStyle w:val="ListParagraph"/>
        <w:numPr>
          <w:ilvl w:val="0"/>
          <w:numId w:val="123"/>
        </w:numPr>
        <w:spacing w:after="160" w:line="259" w:lineRule="auto"/>
        <w:rPr>
          <w:b/>
        </w:rPr>
      </w:pPr>
      <w:r w:rsidRPr="00820C89">
        <w:t>How would you describe your experience with the program?</w:t>
      </w:r>
    </w:p>
    <w:p w14:paraId="01F8D5BE" w14:textId="77777777" w:rsidR="00C1765C" w:rsidRPr="00820C89" w:rsidRDefault="00C1765C" w:rsidP="00715F70">
      <w:pPr>
        <w:pStyle w:val="ListParagraph"/>
        <w:numPr>
          <w:ilvl w:val="1"/>
          <w:numId w:val="123"/>
        </w:numPr>
        <w:spacing w:after="160" w:line="259" w:lineRule="auto"/>
        <w:rPr>
          <w:b/>
          <w:i/>
          <w:u w:val="single"/>
        </w:rPr>
      </w:pPr>
      <w:r w:rsidRPr="00820C89">
        <w:rPr>
          <w:i/>
          <w:u w:val="single"/>
        </w:rPr>
        <w:t>What was your experience like with the provider you worked with?</w:t>
      </w:r>
    </w:p>
    <w:p w14:paraId="422C8B8D" w14:textId="77777777" w:rsidR="00C1765C" w:rsidRPr="00820C89" w:rsidRDefault="00C1765C" w:rsidP="00715F70">
      <w:pPr>
        <w:pStyle w:val="ListParagraph"/>
        <w:numPr>
          <w:ilvl w:val="1"/>
          <w:numId w:val="123"/>
        </w:numPr>
        <w:spacing w:after="160" w:line="259" w:lineRule="auto"/>
        <w:rPr>
          <w:b/>
          <w:i/>
          <w:u w:val="single"/>
        </w:rPr>
      </w:pPr>
      <w:r w:rsidRPr="00820C89">
        <w:rPr>
          <w:i/>
          <w:u w:val="single"/>
        </w:rPr>
        <w:t>What was your experience like with the employer you worked with?</w:t>
      </w:r>
    </w:p>
    <w:p w14:paraId="41F27C89" w14:textId="77777777" w:rsidR="00C1765C" w:rsidRPr="00820C89" w:rsidRDefault="00C1765C" w:rsidP="00715F70">
      <w:pPr>
        <w:pStyle w:val="ListParagraph"/>
        <w:numPr>
          <w:ilvl w:val="1"/>
          <w:numId w:val="123"/>
        </w:numPr>
        <w:spacing w:after="160" w:line="259" w:lineRule="auto"/>
        <w:rPr>
          <w:b/>
        </w:rPr>
      </w:pPr>
      <w:r w:rsidRPr="00820C89">
        <w:t xml:space="preserve">How did you get on with the other participants? </w:t>
      </w:r>
    </w:p>
    <w:p w14:paraId="0EA07C39" w14:textId="77777777" w:rsidR="00C1765C" w:rsidRPr="00820C89" w:rsidRDefault="00C1765C" w:rsidP="00715F70">
      <w:pPr>
        <w:pStyle w:val="ListParagraph"/>
        <w:numPr>
          <w:ilvl w:val="1"/>
          <w:numId w:val="123"/>
        </w:numPr>
        <w:spacing w:after="160" w:line="259" w:lineRule="auto"/>
        <w:rPr>
          <w:b/>
        </w:rPr>
      </w:pPr>
      <w:r w:rsidRPr="00820C89">
        <w:t>Can you tell us a bit about a particularly positive or negative experience you had with the program?</w:t>
      </w:r>
    </w:p>
    <w:p w14:paraId="3DCA5220" w14:textId="77777777" w:rsidR="00C1765C" w:rsidRPr="00820C89" w:rsidRDefault="00C1765C" w:rsidP="00715F70">
      <w:pPr>
        <w:pStyle w:val="ListParagraph"/>
        <w:numPr>
          <w:ilvl w:val="1"/>
          <w:numId w:val="123"/>
        </w:numPr>
        <w:spacing w:after="160" w:line="259" w:lineRule="auto"/>
      </w:pPr>
      <w:r w:rsidRPr="00820C89">
        <w:t>What kind of input or decisions did you get to make as part of the program?</w:t>
      </w:r>
    </w:p>
    <w:p w14:paraId="15BD710A" w14:textId="77777777" w:rsidR="00C1765C" w:rsidRPr="00820C89" w:rsidRDefault="00C1765C" w:rsidP="00C1765C">
      <w:pPr>
        <w:rPr>
          <w:b/>
        </w:rPr>
      </w:pPr>
      <w:r w:rsidRPr="00820C89">
        <w:rPr>
          <w:b/>
        </w:rPr>
        <w:t>Outcomes</w:t>
      </w:r>
    </w:p>
    <w:p w14:paraId="1FA65730" w14:textId="77777777" w:rsidR="00C1765C" w:rsidRPr="00820C89" w:rsidRDefault="00C1765C" w:rsidP="00715F70">
      <w:pPr>
        <w:pStyle w:val="ListParagraph"/>
        <w:numPr>
          <w:ilvl w:val="0"/>
          <w:numId w:val="123"/>
        </w:numPr>
        <w:spacing w:after="160" w:line="259" w:lineRule="auto"/>
      </w:pPr>
      <w:r w:rsidRPr="00820C89">
        <w:t>What kind of an impact has the program had on you?</w:t>
      </w:r>
    </w:p>
    <w:p w14:paraId="4B6B9C03" w14:textId="77777777" w:rsidR="00C1765C" w:rsidRPr="00820C89" w:rsidRDefault="00C1765C" w:rsidP="00715F70">
      <w:pPr>
        <w:pStyle w:val="ListParagraph"/>
        <w:numPr>
          <w:ilvl w:val="1"/>
          <w:numId w:val="123"/>
        </w:numPr>
        <w:spacing w:after="160" w:line="259" w:lineRule="auto"/>
        <w:rPr>
          <w:i/>
          <w:u w:val="single"/>
        </w:rPr>
      </w:pPr>
      <w:r w:rsidRPr="00820C89">
        <w:rPr>
          <w:i/>
          <w:u w:val="single"/>
        </w:rPr>
        <w:t>Can you tell us about your experience finding employment through the program?</w:t>
      </w:r>
    </w:p>
    <w:p w14:paraId="7A4CF52E" w14:textId="77777777" w:rsidR="00C1765C" w:rsidRPr="00820C89" w:rsidRDefault="00C1765C" w:rsidP="00715F70">
      <w:pPr>
        <w:pStyle w:val="ListParagraph"/>
        <w:numPr>
          <w:ilvl w:val="1"/>
          <w:numId w:val="123"/>
        </w:numPr>
        <w:spacing w:after="160" w:line="259" w:lineRule="auto"/>
        <w:rPr>
          <w:i/>
          <w:u w:val="single"/>
        </w:rPr>
      </w:pPr>
      <w:r w:rsidRPr="00820C89">
        <w:rPr>
          <w:i/>
          <w:u w:val="single"/>
        </w:rPr>
        <w:t>What aspects of the program were really useful or not useful at all?</w:t>
      </w:r>
    </w:p>
    <w:p w14:paraId="7566DA99" w14:textId="77777777" w:rsidR="00C1765C" w:rsidRPr="00820C89" w:rsidRDefault="00C1765C" w:rsidP="00715F70">
      <w:pPr>
        <w:pStyle w:val="ListParagraph"/>
        <w:numPr>
          <w:ilvl w:val="1"/>
          <w:numId w:val="123"/>
        </w:numPr>
        <w:spacing w:after="160" w:line="259" w:lineRule="auto"/>
        <w:rPr>
          <w:i/>
          <w:u w:val="single"/>
        </w:rPr>
      </w:pPr>
      <w:r w:rsidRPr="00820C89">
        <w:rPr>
          <w:i/>
          <w:u w:val="single"/>
        </w:rPr>
        <w:t xml:space="preserve">What do you enjoy or not enjoy about the work you are currently doing? </w:t>
      </w:r>
    </w:p>
    <w:p w14:paraId="05DD0736" w14:textId="77777777" w:rsidR="00C1765C" w:rsidRPr="00820C89" w:rsidRDefault="00C1765C" w:rsidP="00715F70">
      <w:pPr>
        <w:pStyle w:val="ListParagraph"/>
        <w:numPr>
          <w:ilvl w:val="1"/>
          <w:numId w:val="123"/>
        </w:numPr>
        <w:spacing w:after="160" w:line="259" w:lineRule="auto"/>
      </w:pPr>
      <w:r w:rsidRPr="00820C89">
        <w:t>What positive or negative impact did the program have on your overall wellbeing?</w:t>
      </w:r>
    </w:p>
    <w:p w14:paraId="0B6A5E30" w14:textId="77777777" w:rsidR="00C1765C" w:rsidRPr="00820C89" w:rsidRDefault="00C1765C" w:rsidP="00715F70">
      <w:pPr>
        <w:pStyle w:val="ListParagraph"/>
        <w:numPr>
          <w:ilvl w:val="1"/>
          <w:numId w:val="123"/>
        </w:numPr>
        <w:spacing w:after="160" w:line="259" w:lineRule="auto"/>
      </w:pPr>
      <w:r w:rsidRPr="00820C89">
        <w:t>Is there any impact we have not discussed so far?</w:t>
      </w:r>
    </w:p>
    <w:p w14:paraId="0AAC1A6D" w14:textId="77777777" w:rsidR="00C1765C" w:rsidRPr="00820C89" w:rsidRDefault="00C1765C" w:rsidP="00C1765C">
      <w:r w:rsidRPr="00820C89">
        <w:rPr>
          <w:b/>
        </w:rPr>
        <w:t xml:space="preserve">Success factors &amp; </w:t>
      </w:r>
      <w:r w:rsidRPr="00820C89">
        <w:rPr>
          <w:b/>
          <w:bCs/>
        </w:rPr>
        <w:t>policy</w:t>
      </w:r>
      <w:r w:rsidRPr="00820C89">
        <w:rPr>
          <w:b/>
        </w:rPr>
        <w:t xml:space="preserve"> / program landscape</w:t>
      </w:r>
    </w:p>
    <w:p w14:paraId="077E89EA" w14:textId="77777777" w:rsidR="00C1765C" w:rsidRPr="00820C89" w:rsidRDefault="00C1765C" w:rsidP="00715F70">
      <w:pPr>
        <w:pStyle w:val="ListParagraph"/>
        <w:numPr>
          <w:ilvl w:val="0"/>
          <w:numId w:val="123"/>
        </w:numPr>
        <w:spacing w:after="160" w:line="259" w:lineRule="auto"/>
      </w:pPr>
      <w:r w:rsidRPr="00820C89">
        <w:t>What advice would you give to another participant who is interested in being involved in one of these programs?</w:t>
      </w:r>
    </w:p>
    <w:p w14:paraId="1C7D7FF8" w14:textId="77777777" w:rsidR="00C1765C" w:rsidRPr="00820C89" w:rsidRDefault="00C1765C" w:rsidP="00715F70">
      <w:pPr>
        <w:pStyle w:val="ListParagraph"/>
        <w:numPr>
          <w:ilvl w:val="0"/>
          <w:numId w:val="123"/>
        </w:numPr>
        <w:spacing w:after="160" w:line="259" w:lineRule="auto"/>
        <w:rPr>
          <w:b/>
          <w:i/>
          <w:u w:val="single"/>
        </w:rPr>
      </w:pPr>
      <w:r w:rsidRPr="00820C89">
        <w:rPr>
          <w:i/>
          <w:u w:val="single"/>
        </w:rPr>
        <w:t>Given your first-hand experience with the program, how do you think it could be improved?</w:t>
      </w:r>
    </w:p>
    <w:p w14:paraId="15A31C25" w14:textId="77777777" w:rsidR="00C1765C" w:rsidRPr="00820C89" w:rsidRDefault="00C1765C" w:rsidP="00715F70">
      <w:pPr>
        <w:pStyle w:val="ListParagraph"/>
        <w:numPr>
          <w:ilvl w:val="0"/>
          <w:numId w:val="123"/>
        </w:numPr>
        <w:spacing w:after="160" w:line="259" w:lineRule="auto"/>
        <w:rPr>
          <w:b/>
          <w:color w:val="FF0000"/>
        </w:rPr>
      </w:pPr>
      <w:r w:rsidRPr="00820C89">
        <w:t>In your opinion, what does the ideal Indigenous Employment Programs look like?</w:t>
      </w:r>
    </w:p>
    <w:p w14:paraId="7F0A9AD2" w14:textId="077EB01D" w:rsidR="00C1765C" w:rsidRPr="004837A8" w:rsidRDefault="00C1765C" w:rsidP="004837A8">
      <w:pPr>
        <w:pStyle w:val="ListParagraph"/>
        <w:numPr>
          <w:ilvl w:val="0"/>
          <w:numId w:val="123"/>
        </w:numPr>
        <w:spacing w:after="160" w:line="259" w:lineRule="auto"/>
        <w:rPr>
          <w:b/>
          <w:color w:val="FF0000"/>
        </w:rPr>
      </w:pPr>
      <w:r w:rsidRPr="00820C89">
        <w:t xml:space="preserve">Is there anything else you would like to tell us about your experience? </w:t>
      </w:r>
      <w:bookmarkEnd w:id="527"/>
    </w:p>
    <w:p w14:paraId="54E279A0" w14:textId="77777777" w:rsidR="00C1765C" w:rsidRPr="00820C89" w:rsidRDefault="00C1765C" w:rsidP="00C1765C"/>
    <w:p w14:paraId="0F60DB66" w14:textId="77777777" w:rsidR="00C1765C" w:rsidRPr="00820C89" w:rsidRDefault="00C1765C" w:rsidP="00C1765C">
      <w:pPr>
        <w:pStyle w:val="Heading2un-numbered"/>
        <w:sectPr w:rsidR="00C1765C" w:rsidRPr="00820C89" w:rsidSect="0095405D">
          <w:pgSz w:w="11906" w:h="16838" w:code="9"/>
          <w:pgMar w:top="1440" w:right="1440" w:bottom="1440" w:left="1440" w:header="680" w:footer="425" w:gutter="0"/>
          <w:cols w:space="284"/>
          <w:docGrid w:linePitch="360"/>
        </w:sectPr>
      </w:pPr>
    </w:p>
    <w:p w14:paraId="11CD9D97" w14:textId="2BA3F3E0" w:rsidR="00C1765C" w:rsidRPr="00820C89" w:rsidRDefault="00C1765C" w:rsidP="00565631">
      <w:pPr>
        <w:pStyle w:val="Appendixhead1"/>
        <w:spacing w:before="170"/>
        <w:ind w:left="3969" w:hanging="3827"/>
      </w:pPr>
      <w:bookmarkStart w:id="580" w:name="_Toc45206381"/>
      <w:r w:rsidRPr="00820C89">
        <w:lastRenderedPageBreak/>
        <w:t>Draft regional consultation sample (location, TAEG and VTEC providers)</w:t>
      </w:r>
      <w:bookmarkEnd w:id="580"/>
    </w:p>
    <w:tbl>
      <w:tblPr>
        <w:tblW w:w="13759" w:type="dxa"/>
        <w:tblLook w:val="04A0" w:firstRow="1" w:lastRow="0" w:firstColumn="1" w:lastColumn="0" w:noHBand="0" w:noVBand="1"/>
      </w:tblPr>
      <w:tblGrid>
        <w:gridCol w:w="1276"/>
        <w:gridCol w:w="1053"/>
        <w:gridCol w:w="1088"/>
        <w:gridCol w:w="991"/>
        <w:gridCol w:w="1281"/>
        <w:gridCol w:w="1950"/>
        <w:gridCol w:w="1389"/>
        <w:gridCol w:w="1384"/>
        <w:gridCol w:w="898"/>
        <w:gridCol w:w="1214"/>
        <w:gridCol w:w="1235"/>
      </w:tblGrid>
      <w:tr w:rsidR="00C1765C" w:rsidRPr="00820C89" w14:paraId="115334E7" w14:textId="77777777" w:rsidTr="00B41800">
        <w:trPr>
          <w:cantSplit/>
          <w:trHeight w:val="555"/>
          <w:tblHeader/>
        </w:trPr>
        <w:tc>
          <w:tcPr>
            <w:tcW w:w="1276"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182372EA" w14:textId="77777777" w:rsidR="00C1765C" w:rsidRPr="00820C89" w:rsidRDefault="00C1765C" w:rsidP="006D2536">
            <w:pPr>
              <w:spacing w:after="0" w:line="240" w:lineRule="auto"/>
              <w:rPr>
                <w:rFonts w:eastAsia="Times New Roman" w:cs="Times New Roman"/>
                <w:b/>
                <w:bCs/>
                <w:color w:val="FFFFFF"/>
                <w:sz w:val="16"/>
                <w:szCs w:val="16"/>
                <w:lang w:eastAsia="en-AU"/>
              </w:rPr>
            </w:pPr>
            <w:bookmarkStart w:id="581" w:name="RANGE!B3:M24"/>
            <w:r w:rsidRPr="00820C89">
              <w:rPr>
                <w:rFonts w:eastAsia="Times New Roman" w:cs="Times New Roman"/>
                <w:b/>
                <w:bCs/>
                <w:color w:val="FFFFFF"/>
                <w:sz w:val="16"/>
                <w:szCs w:val="16"/>
                <w:lang w:eastAsia="en-AU"/>
              </w:rPr>
              <w:t>NIAA Region</w:t>
            </w:r>
            <w:bookmarkEnd w:id="581"/>
          </w:p>
        </w:tc>
        <w:tc>
          <w:tcPr>
            <w:tcW w:w="1053" w:type="dxa"/>
            <w:tcBorders>
              <w:top w:val="single" w:sz="4" w:space="0" w:color="auto"/>
              <w:left w:val="nil"/>
              <w:bottom w:val="single" w:sz="4" w:space="0" w:color="auto"/>
              <w:right w:val="single" w:sz="4" w:space="0" w:color="auto"/>
            </w:tcBorders>
            <w:shd w:val="clear" w:color="000000" w:fill="70AD47"/>
            <w:vAlign w:val="center"/>
            <w:hideMark/>
          </w:tcPr>
          <w:p w14:paraId="22FC324F"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Location</w:t>
            </w:r>
          </w:p>
        </w:tc>
        <w:tc>
          <w:tcPr>
            <w:tcW w:w="1088" w:type="dxa"/>
            <w:tcBorders>
              <w:top w:val="single" w:sz="4" w:space="0" w:color="auto"/>
              <w:left w:val="nil"/>
              <w:bottom w:val="single" w:sz="4" w:space="0" w:color="auto"/>
              <w:right w:val="single" w:sz="4" w:space="0" w:color="auto"/>
            </w:tcBorders>
            <w:shd w:val="clear" w:color="000000" w:fill="70AD47"/>
            <w:vAlign w:val="center"/>
            <w:hideMark/>
          </w:tcPr>
          <w:p w14:paraId="4022B620"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Managing Office</w:t>
            </w:r>
          </w:p>
        </w:tc>
        <w:tc>
          <w:tcPr>
            <w:tcW w:w="991" w:type="dxa"/>
            <w:tcBorders>
              <w:top w:val="single" w:sz="4" w:space="0" w:color="auto"/>
              <w:left w:val="nil"/>
              <w:bottom w:val="single" w:sz="4" w:space="0" w:color="auto"/>
              <w:right w:val="single" w:sz="4" w:space="0" w:color="auto"/>
            </w:tcBorders>
            <w:shd w:val="clear" w:color="000000" w:fill="70AD47"/>
            <w:vAlign w:val="center"/>
            <w:hideMark/>
          </w:tcPr>
          <w:p w14:paraId="0EB1B0A9"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Program</w:t>
            </w:r>
          </w:p>
        </w:tc>
        <w:tc>
          <w:tcPr>
            <w:tcW w:w="1281" w:type="dxa"/>
            <w:tcBorders>
              <w:top w:val="single" w:sz="4" w:space="0" w:color="auto"/>
              <w:left w:val="nil"/>
              <w:bottom w:val="single" w:sz="4" w:space="0" w:color="auto"/>
              <w:right w:val="single" w:sz="4" w:space="0" w:color="auto"/>
            </w:tcBorders>
            <w:shd w:val="clear" w:color="000000" w:fill="70AD47"/>
            <w:vAlign w:val="center"/>
            <w:hideMark/>
          </w:tcPr>
          <w:p w14:paraId="51D2FE5D"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 xml:space="preserve">Provider Name </w:t>
            </w:r>
          </w:p>
        </w:tc>
        <w:tc>
          <w:tcPr>
            <w:tcW w:w="1950" w:type="dxa"/>
            <w:tcBorders>
              <w:top w:val="single" w:sz="4" w:space="0" w:color="auto"/>
              <w:left w:val="nil"/>
              <w:bottom w:val="single" w:sz="4" w:space="0" w:color="auto"/>
              <w:right w:val="single" w:sz="4" w:space="0" w:color="auto"/>
            </w:tcBorders>
            <w:shd w:val="clear" w:color="000000" w:fill="70AD47"/>
            <w:vAlign w:val="center"/>
            <w:hideMark/>
          </w:tcPr>
          <w:p w14:paraId="26750DC1"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Provider Activities</w:t>
            </w:r>
          </w:p>
        </w:tc>
        <w:tc>
          <w:tcPr>
            <w:tcW w:w="1389" w:type="dxa"/>
            <w:tcBorders>
              <w:top w:val="single" w:sz="4" w:space="0" w:color="auto"/>
              <w:left w:val="nil"/>
              <w:bottom w:val="single" w:sz="4" w:space="0" w:color="auto"/>
              <w:right w:val="single" w:sz="4" w:space="0" w:color="auto"/>
            </w:tcBorders>
            <w:shd w:val="clear" w:color="000000" w:fill="70AD47"/>
            <w:vAlign w:val="center"/>
            <w:hideMark/>
          </w:tcPr>
          <w:p w14:paraId="739D6207"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Contract Manager</w:t>
            </w:r>
          </w:p>
        </w:tc>
        <w:tc>
          <w:tcPr>
            <w:tcW w:w="1384" w:type="dxa"/>
            <w:tcBorders>
              <w:top w:val="single" w:sz="4" w:space="0" w:color="auto"/>
              <w:left w:val="nil"/>
              <w:bottom w:val="single" w:sz="4" w:space="0" w:color="auto"/>
              <w:right w:val="single" w:sz="4" w:space="0" w:color="auto"/>
            </w:tcBorders>
            <w:shd w:val="clear" w:color="000000" w:fill="70AD47"/>
            <w:vAlign w:val="center"/>
            <w:hideMark/>
          </w:tcPr>
          <w:p w14:paraId="77C69A3B"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Remoteness</w:t>
            </w:r>
          </w:p>
        </w:tc>
        <w:tc>
          <w:tcPr>
            <w:tcW w:w="898" w:type="dxa"/>
            <w:tcBorders>
              <w:top w:val="single" w:sz="4" w:space="0" w:color="auto"/>
              <w:left w:val="nil"/>
              <w:bottom w:val="single" w:sz="4" w:space="0" w:color="auto"/>
              <w:right w:val="single" w:sz="4" w:space="0" w:color="auto"/>
            </w:tcBorders>
            <w:shd w:val="clear" w:color="000000" w:fill="70AD47"/>
            <w:vAlign w:val="center"/>
            <w:hideMark/>
          </w:tcPr>
          <w:p w14:paraId="1917B4A9"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Activity Level</w:t>
            </w:r>
          </w:p>
        </w:tc>
        <w:tc>
          <w:tcPr>
            <w:tcW w:w="1214" w:type="dxa"/>
            <w:tcBorders>
              <w:top w:val="single" w:sz="4" w:space="0" w:color="auto"/>
              <w:left w:val="nil"/>
              <w:bottom w:val="single" w:sz="4" w:space="0" w:color="auto"/>
              <w:right w:val="single" w:sz="4" w:space="0" w:color="auto"/>
            </w:tcBorders>
            <w:shd w:val="clear" w:color="000000" w:fill="70AD47"/>
            <w:vAlign w:val="center"/>
            <w:hideMark/>
          </w:tcPr>
          <w:p w14:paraId="3D7A682C"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Milestone completion</w:t>
            </w:r>
          </w:p>
        </w:tc>
        <w:tc>
          <w:tcPr>
            <w:tcW w:w="1235" w:type="dxa"/>
            <w:tcBorders>
              <w:top w:val="single" w:sz="4" w:space="0" w:color="auto"/>
              <w:left w:val="nil"/>
              <w:bottom w:val="single" w:sz="4" w:space="0" w:color="auto"/>
              <w:right w:val="single" w:sz="4" w:space="0" w:color="auto"/>
            </w:tcBorders>
            <w:shd w:val="clear" w:color="000000" w:fill="70AD47"/>
            <w:vAlign w:val="center"/>
            <w:hideMark/>
          </w:tcPr>
          <w:p w14:paraId="1BFB4358"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Indigenous Ownership</w:t>
            </w:r>
          </w:p>
        </w:tc>
      </w:tr>
      <w:tr w:rsidR="00C1765C" w:rsidRPr="00820C89" w14:paraId="3B5612FA" w14:textId="77777777" w:rsidTr="00B41800">
        <w:trPr>
          <w:cantSplit/>
          <w:trHeight w:val="1020"/>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2142A8"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Greater Western Australia</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06FE7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Perth</w:t>
            </w:r>
          </w:p>
        </w:tc>
        <w:tc>
          <w:tcPr>
            <w:tcW w:w="1088" w:type="dxa"/>
            <w:tcBorders>
              <w:top w:val="nil"/>
              <w:left w:val="nil"/>
              <w:bottom w:val="single" w:sz="4" w:space="0" w:color="auto"/>
              <w:right w:val="single" w:sz="4" w:space="0" w:color="auto"/>
            </w:tcBorders>
            <w:shd w:val="clear" w:color="000000" w:fill="FFFFFF"/>
            <w:vAlign w:val="center"/>
            <w:hideMark/>
          </w:tcPr>
          <w:p w14:paraId="425D40D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Greater WA - Perth</w:t>
            </w:r>
          </w:p>
        </w:tc>
        <w:tc>
          <w:tcPr>
            <w:tcW w:w="991" w:type="dxa"/>
            <w:tcBorders>
              <w:top w:val="nil"/>
              <w:left w:val="nil"/>
              <w:bottom w:val="single" w:sz="4" w:space="0" w:color="auto"/>
              <w:right w:val="single" w:sz="4" w:space="0" w:color="auto"/>
            </w:tcBorders>
            <w:shd w:val="clear" w:color="000000" w:fill="FFFFFF"/>
            <w:vAlign w:val="center"/>
            <w:hideMark/>
          </w:tcPr>
          <w:p w14:paraId="0E8CA27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4441717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Ngalla Maya Aboriginal Corporation</w:t>
            </w:r>
          </w:p>
        </w:tc>
        <w:tc>
          <w:tcPr>
            <w:tcW w:w="1950" w:type="dxa"/>
            <w:tcBorders>
              <w:top w:val="nil"/>
              <w:left w:val="nil"/>
              <w:bottom w:val="single" w:sz="4" w:space="0" w:color="auto"/>
              <w:right w:val="single" w:sz="4" w:space="0" w:color="auto"/>
            </w:tcBorders>
            <w:shd w:val="clear" w:color="000000" w:fill="FFFFFF"/>
            <w:vAlign w:val="center"/>
            <w:hideMark/>
          </w:tcPr>
          <w:p w14:paraId="1DAAD1F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Ngalla Maya -  WA Prison Reintegration Program</w:t>
            </w:r>
            <w:r w:rsidRPr="00820C89">
              <w:rPr>
                <w:rFonts w:eastAsia="Times New Roman" w:cs="Times New Roman"/>
                <w:sz w:val="16"/>
                <w:szCs w:val="16"/>
                <w:lang w:eastAsia="en-AU"/>
              </w:rPr>
              <w:br/>
              <w:t>□ Ngalla Maya - Indigenous Prison Reintegration Program -2019</w:t>
            </w:r>
          </w:p>
        </w:tc>
        <w:tc>
          <w:tcPr>
            <w:tcW w:w="1389" w:type="dxa"/>
            <w:tcBorders>
              <w:top w:val="nil"/>
              <w:left w:val="nil"/>
              <w:bottom w:val="single" w:sz="4" w:space="0" w:color="auto"/>
              <w:right w:val="single" w:sz="4" w:space="0" w:color="auto"/>
            </w:tcBorders>
            <w:shd w:val="clear" w:color="000000" w:fill="FFFFFF"/>
            <w:vAlign w:val="center"/>
            <w:hideMark/>
          </w:tcPr>
          <w:p w14:paraId="3D452A7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Zara Pitt</w:t>
            </w:r>
          </w:p>
        </w:tc>
        <w:tc>
          <w:tcPr>
            <w:tcW w:w="1384" w:type="dxa"/>
            <w:tcBorders>
              <w:top w:val="nil"/>
              <w:left w:val="nil"/>
              <w:bottom w:val="single" w:sz="4" w:space="0" w:color="auto"/>
              <w:right w:val="single" w:sz="4" w:space="0" w:color="auto"/>
            </w:tcBorders>
            <w:shd w:val="clear" w:color="000000" w:fill="FFFFFF"/>
            <w:vAlign w:val="center"/>
            <w:hideMark/>
          </w:tcPr>
          <w:p w14:paraId="217A491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6B52732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14" w:type="dxa"/>
            <w:tcBorders>
              <w:top w:val="nil"/>
              <w:left w:val="nil"/>
              <w:bottom w:val="single" w:sz="4" w:space="0" w:color="auto"/>
              <w:right w:val="single" w:sz="4" w:space="0" w:color="auto"/>
            </w:tcBorders>
            <w:shd w:val="clear" w:color="000000" w:fill="FFFFFF"/>
            <w:vAlign w:val="center"/>
            <w:hideMark/>
          </w:tcPr>
          <w:p w14:paraId="5518BF2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31699A6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70F27262" w14:textId="77777777" w:rsidTr="00B41800">
        <w:trPr>
          <w:cantSplit/>
          <w:trHeight w:val="510"/>
        </w:trPr>
        <w:tc>
          <w:tcPr>
            <w:tcW w:w="1276" w:type="dxa"/>
            <w:vMerge/>
            <w:tcBorders>
              <w:top w:val="nil"/>
              <w:left w:val="single" w:sz="4" w:space="0" w:color="auto"/>
              <w:bottom w:val="single" w:sz="4" w:space="0" w:color="000000"/>
              <w:right w:val="single" w:sz="4" w:space="0" w:color="auto"/>
            </w:tcBorders>
            <w:vAlign w:val="center"/>
            <w:hideMark/>
          </w:tcPr>
          <w:p w14:paraId="7022D051"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029EA8EB"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1BC2EBA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Greater WA - Perth</w:t>
            </w:r>
          </w:p>
        </w:tc>
        <w:tc>
          <w:tcPr>
            <w:tcW w:w="991" w:type="dxa"/>
            <w:tcBorders>
              <w:top w:val="nil"/>
              <w:left w:val="nil"/>
              <w:bottom w:val="single" w:sz="4" w:space="0" w:color="auto"/>
              <w:right w:val="single" w:sz="4" w:space="0" w:color="auto"/>
            </w:tcBorders>
            <w:shd w:val="clear" w:color="000000" w:fill="FFFFFF"/>
            <w:vAlign w:val="center"/>
            <w:hideMark/>
          </w:tcPr>
          <w:p w14:paraId="1FD74CE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21AECFC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Newmont Boddington gold</w:t>
            </w:r>
          </w:p>
        </w:tc>
        <w:tc>
          <w:tcPr>
            <w:tcW w:w="1950" w:type="dxa"/>
            <w:tcBorders>
              <w:top w:val="nil"/>
              <w:left w:val="nil"/>
              <w:bottom w:val="single" w:sz="4" w:space="0" w:color="auto"/>
              <w:right w:val="single" w:sz="4" w:space="0" w:color="auto"/>
            </w:tcBorders>
            <w:shd w:val="clear" w:color="000000" w:fill="FFFFFF"/>
            <w:vAlign w:val="center"/>
            <w:hideMark/>
          </w:tcPr>
          <w:p w14:paraId="4A64E6A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NBG -Gnaalla Work Ready Program</w:t>
            </w:r>
          </w:p>
        </w:tc>
        <w:tc>
          <w:tcPr>
            <w:tcW w:w="1389" w:type="dxa"/>
            <w:tcBorders>
              <w:top w:val="nil"/>
              <w:left w:val="nil"/>
              <w:bottom w:val="single" w:sz="4" w:space="0" w:color="auto"/>
              <w:right w:val="single" w:sz="4" w:space="0" w:color="auto"/>
            </w:tcBorders>
            <w:shd w:val="clear" w:color="000000" w:fill="FFFFFF"/>
            <w:vAlign w:val="center"/>
            <w:hideMark/>
          </w:tcPr>
          <w:p w14:paraId="1BF219D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Michelle Depiazzi</w:t>
            </w:r>
          </w:p>
        </w:tc>
        <w:tc>
          <w:tcPr>
            <w:tcW w:w="1384" w:type="dxa"/>
            <w:tcBorders>
              <w:top w:val="nil"/>
              <w:left w:val="nil"/>
              <w:bottom w:val="single" w:sz="4" w:space="0" w:color="auto"/>
              <w:right w:val="single" w:sz="4" w:space="0" w:color="auto"/>
            </w:tcBorders>
            <w:shd w:val="clear" w:color="000000" w:fill="FFFFFF"/>
            <w:vAlign w:val="center"/>
            <w:hideMark/>
          </w:tcPr>
          <w:p w14:paraId="31D73B2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290446E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242073D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0C09D9B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45056554" w14:textId="77777777" w:rsidTr="00B41800">
        <w:trPr>
          <w:cantSplit/>
          <w:trHeight w:val="1530"/>
        </w:trPr>
        <w:tc>
          <w:tcPr>
            <w:tcW w:w="1276" w:type="dxa"/>
            <w:vMerge/>
            <w:tcBorders>
              <w:top w:val="nil"/>
              <w:left w:val="single" w:sz="4" w:space="0" w:color="auto"/>
              <w:bottom w:val="single" w:sz="4" w:space="0" w:color="000000"/>
              <w:right w:val="single" w:sz="4" w:space="0" w:color="auto"/>
            </w:tcBorders>
            <w:vAlign w:val="center"/>
            <w:hideMark/>
          </w:tcPr>
          <w:p w14:paraId="201B1430"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49E22F35"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0539DFD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Greater WA - Perth</w:t>
            </w:r>
          </w:p>
        </w:tc>
        <w:tc>
          <w:tcPr>
            <w:tcW w:w="991" w:type="dxa"/>
            <w:tcBorders>
              <w:top w:val="nil"/>
              <w:left w:val="nil"/>
              <w:bottom w:val="single" w:sz="4" w:space="0" w:color="auto"/>
              <w:right w:val="single" w:sz="4" w:space="0" w:color="auto"/>
            </w:tcBorders>
            <w:shd w:val="clear" w:color="000000" w:fill="FFFFFF"/>
            <w:vAlign w:val="center"/>
            <w:hideMark/>
          </w:tcPr>
          <w:p w14:paraId="184C2D6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3D77293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The Wirrpanda Foundation</w:t>
            </w:r>
          </w:p>
        </w:tc>
        <w:tc>
          <w:tcPr>
            <w:tcW w:w="1950" w:type="dxa"/>
            <w:tcBorders>
              <w:top w:val="nil"/>
              <w:left w:val="nil"/>
              <w:bottom w:val="single" w:sz="4" w:space="0" w:color="auto"/>
              <w:right w:val="single" w:sz="4" w:space="0" w:color="auto"/>
            </w:tcBorders>
            <w:shd w:val="clear" w:color="000000" w:fill="FFFFFF"/>
            <w:vAlign w:val="center"/>
            <w:hideMark/>
          </w:tcPr>
          <w:p w14:paraId="1F7486B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The Wirrpanda Foundation Limited 2018</w:t>
            </w:r>
          </w:p>
        </w:tc>
        <w:tc>
          <w:tcPr>
            <w:tcW w:w="1389" w:type="dxa"/>
            <w:tcBorders>
              <w:top w:val="nil"/>
              <w:left w:val="nil"/>
              <w:bottom w:val="single" w:sz="4" w:space="0" w:color="auto"/>
              <w:right w:val="single" w:sz="4" w:space="0" w:color="auto"/>
            </w:tcBorders>
            <w:shd w:val="clear" w:color="000000" w:fill="FFFFFF"/>
            <w:vAlign w:val="center"/>
            <w:hideMark/>
          </w:tcPr>
          <w:p w14:paraId="5461A1C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Jane Arlow</w:t>
            </w:r>
          </w:p>
        </w:tc>
        <w:tc>
          <w:tcPr>
            <w:tcW w:w="1384" w:type="dxa"/>
            <w:tcBorders>
              <w:top w:val="nil"/>
              <w:left w:val="nil"/>
              <w:bottom w:val="single" w:sz="4" w:space="0" w:color="auto"/>
              <w:right w:val="single" w:sz="4" w:space="0" w:color="auto"/>
            </w:tcBorders>
            <w:shd w:val="clear" w:color="000000" w:fill="FFFFFF"/>
            <w:vAlign w:val="center"/>
            <w:hideMark/>
          </w:tcPr>
          <w:p w14:paraId="4088341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44427C2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14" w:type="dxa"/>
            <w:tcBorders>
              <w:top w:val="nil"/>
              <w:left w:val="nil"/>
              <w:bottom w:val="single" w:sz="4" w:space="0" w:color="auto"/>
              <w:right w:val="single" w:sz="4" w:space="0" w:color="auto"/>
            </w:tcBorders>
            <w:shd w:val="clear" w:color="000000" w:fill="FFFFFF"/>
            <w:vAlign w:val="center"/>
            <w:hideMark/>
          </w:tcPr>
          <w:p w14:paraId="45A1569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35" w:type="dxa"/>
            <w:tcBorders>
              <w:top w:val="nil"/>
              <w:left w:val="nil"/>
              <w:bottom w:val="single" w:sz="4" w:space="0" w:color="auto"/>
              <w:right w:val="single" w:sz="4" w:space="0" w:color="auto"/>
            </w:tcBorders>
            <w:shd w:val="clear" w:color="000000" w:fill="FFFFFF"/>
            <w:vAlign w:val="center"/>
            <w:hideMark/>
          </w:tcPr>
          <w:p w14:paraId="598456D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1AD301C1" w14:textId="77777777" w:rsidTr="00B41800">
        <w:trPr>
          <w:cantSplit/>
          <w:trHeight w:val="153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7B0D29D1"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South Australia</w:t>
            </w:r>
          </w:p>
        </w:tc>
        <w:tc>
          <w:tcPr>
            <w:tcW w:w="1053" w:type="dxa"/>
            <w:tcBorders>
              <w:top w:val="nil"/>
              <w:left w:val="nil"/>
              <w:bottom w:val="single" w:sz="4" w:space="0" w:color="auto"/>
              <w:right w:val="single" w:sz="4" w:space="0" w:color="auto"/>
            </w:tcBorders>
            <w:shd w:val="clear" w:color="000000" w:fill="FFFFFF"/>
            <w:vAlign w:val="center"/>
            <w:hideMark/>
          </w:tcPr>
          <w:p w14:paraId="430A431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Adelaide</w:t>
            </w:r>
          </w:p>
        </w:tc>
        <w:tc>
          <w:tcPr>
            <w:tcW w:w="1088" w:type="dxa"/>
            <w:tcBorders>
              <w:top w:val="nil"/>
              <w:left w:val="nil"/>
              <w:bottom w:val="single" w:sz="4" w:space="0" w:color="auto"/>
              <w:right w:val="single" w:sz="4" w:space="0" w:color="auto"/>
            </w:tcBorders>
            <w:shd w:val="clear" w:color="000000" w:fill="FFFFFF"/>
            <w:vAlign w:val="center"/>
            <w:hideMark/>
          </w:tcPr>
          <w:p w14:paraId="7BBDAA0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SA - Adelaide</w:t>
            </w:r>
          </w:p>
        </w:tc>
        <w:tc>
          <w:tcPr>
            <w:tcW w:w="991" w:type="dxa"/>
            <w:tcBorders>
              <w:top w:val="nil"/>
              <w:left w:val="nil"/>
              <w:bottom w:val="single" w:sz="4" w:space="0" w:color="auto"/>
              <w:right w:val="single" w:sz="4" w:space="0" w:color="auto"/>
            </w:tcBorders>
            <w:shd w:val="clear" w:color="000000" w:fill="FFFFFF"/>
            <w:vAlign w:val="center"/>
            <w:hideMark/>
          </w:tcPr>
          <w:p w14:paraId="3631412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1A9DA1B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Tapa Warpulayl-itya</w:t>
            </w:r>
          </w:p>
        </w:tc>
        <w:tc>
          <w:tcPr>
            <w:tcW w:w="1950" w:type="dxa"/>
            <w:tcBorders>
              <w:top w:val="nil"/>
              <w:left w:val="nil"/>
              <w:bottom w:val="single" w:sz="4" w:space="0" w:color="auto"/>
              <w:right w:val="single" w:sz="4" w:space="0" w:color="auto"/>
            </w:tcBorders>
            <w:shd w:val="clear" w:color="000000" w:fill="FFFFFF"/>
            <w:vAlign w:val="center"/>
            <w:hideMark/>
          </w:tcPr>
          <w:p w14:paraId="2C5242A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 i-itya Pty Ltd</w:t>
            </w:r>
          </w:p>
        </w:tc>
        <w:tc>
          <w:tcPr>
            <w:tcW w:w="1389" w:type="dxa"/>
            <w:tcBorders>
              <w:top w:val="nil"/>
              <w:left w:val="nil"/>
              <w:bottom w:val="single" w:sz="4" w:space="0" w:color="auto"/>
              <w:right w:val="single" w:sz="4" w:space="0" w:color="auto"/>
            </w:tcBorders>
            <w:shd w:val="clear" w:color="000000" w:fill="FFFFFF"/>
            <w:vAlign w:val="center"/>
            <w:hideMark/>
          </w:tcPr>
          <w:p w14:paraId="6AD2B6B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Kylie Cederblad</w:t>
            </w:r>
          </w:p>
        </w:tc>
        <w:tc>
          <w:tcPr>
            <w:tcW w:w="1384" w:type="dxa"/>
            <w:tcBorders>
              <w:top w:val="nil"/>
              <w:left w:val="nil"/>
              <w:bottom w:val="single" w:sz="4" w:space="0" w:color="auto"/>
              <w:right w:val="single" w:sz="4" w:space="0" w:color="auto"/>
            </w:tcBorders>
            <w:shd w:val="clear" w:color="000000" w:fill="FFFFFF"/>
            <w:vAlign w:val="center"/>
            <w:hideMark/>
          </w:tcPr>
          <w:p w14:paraId="30B9367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4C6C64B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75601A9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02E809F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727C6F6D" w14:textId="77777777" w:rsidTr="00B41800">
        <w:trPr>
          <w:cantSplit/>
          <w:trHeight w:val="510"/>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F7055C"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lastRenderedPageBreak/>
              <w:t>VIC TAS</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95666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Melbourne</w:t>
            </w:r>
          </w:p>
        </w:tc>
        <w:tc>
          <w:tcPr>
            <w:tcW w:w="1088" w:type="dxa"/>
            <w:tcBorders>
              <w:top w:val="nil"/>
              <w:left w:val="nil"/>
              <w:bottom w:val="single" w:sz="4" w:space="0" w:color="auto"/>
              <w:right w:val="single" w:sz="4" w:space="0" w:color="auto"/>
            </w:tcBorders>
            <w:shd w:val="clear" w:color="000000" w:fill="FFFFFF"/>
            <w:vAlign w:val="center"/>
            <w:hideMark/>
          </w:tcPr>
          <w:p w14:paraId="048637F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VIC TAS - Melbourne</w:t>
            </w:r>
          </w:p>
        </w:tc>
        <w:tc>
          <w:tcPr>
            <w:tcW w:w="991" w:type="dxa"/>
            <w:tcBorders>
              <w:top w:val="nil"/>
              <w:left w:val="nil"/>
              <w:bottom w:val="single" w:sz="4" w:space="0" w:color="auto"/>
              <w:right w:val="single" w:sz="4" w:space="0" w:color="auto"/>
            </w:tcBorders>
            <w:shd w:val="clear" w:color="000000" w:fill="FFFFFF"/>
            <w:vAlign w:val="center"/>
            <w:hideMark/>
          </w:tcPr>
          <w:p w14:paraId="2C1CC6B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66FFE36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AFL Sportsready</w:t>
            </w:r>
          </w:p>
        </w:tc>
        <w:tc>
          <w:tcPr>
            <w:tcW w:w="1950" w:type="dxa"/>
            <w:tcBorders>
              <w:top w:val="nil"/>
              <w:left w:val="nil"/>
              <w:bottom w:val="single" w:sz="4" w:space="0" w:color="auto"/>
              <w:right w:val="single" w:sz="4" w:space="0" w:color="auto"/>
            </w:tcBorders>
            <w:shd w:val="clear" w:color="000000" w:fill="FFFFFF"/>
            <w:vAlign w:val="center"/>
            <w:hideMark/>
          </w:tcPr>
          <w:p w14:paraId="01C38B2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AFL Sportsready JLEP National Traineeships  2017-2019</w:t>
            </w:r>
          </w:p>
        </w:tc>
        <w:tc>
          <w:tcPr>
            <w:tcW w:w="1389" w:type="dxa"/>
            <w:tcBorders>
              <w:top w:val="nil"/>
              <w:left w:val="nil"/>
              <w:bottom w:val="single" w:sz="4" w:space="0" w:color="auto"/>
              <w:right w:val="single" w:sz="4" w:space="0" w:color="auto"/>
            </w:tcBorders>
            <w:shd w:val="clear" w:color="000000" w:fill="FFFFFF"/>
            <w:vAlign w:val="center"/>
            <w:hideMark/>
          </w:tcPr>
          <w:p w14:paraId="45BD715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Janelle Searle</w:t>
            </w:r>
          </w:p>
        </w:tc>
        <w:tc>
          <w:tcPr>
            <w:tcW w:w="1384" w:type="dxa"/>
            <w:tcBorders>
              <w:top w:val="nil"/>
              <w:left w:val="nil"/>
              <w:bottom w:val="single" w:sz="4" w:space="0" w:color="auto"/>
              <w:right w:val="single" w:sz="4" w:space="0" w:color="auto"/>
            </w:tcBorders>
            <w:shd w:val="clear" w:color="000000" w:fill="FFFFFF"/>
            <w:vAlign w:val="center"/>
            <w:hideMark/>
          </w:tcPr>
          <w:p w14:paraId="0FB1F63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393F842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54BCD24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35" w:type="dxa"/>
            <w:tcBorders>
              <w:top w:val="nil"/>
              <w:left w:val="nil"/>
              <w:bottom w:val="single" w:sz="4" w:space="0" w:color="auto"/>
              <w:right w:val="single" w:sz="4" w:space="0" w:color="auto"/>
            </w:tcBorders>
            <w:shd w:val="clear" w:color="000000" w:fill="FFFFFF"/>
            <w:vAlign w:val="center"/>
            <w:hideMark/>
          </w:tcPr>
          <w:p w14:paraId="6ADB19D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22A65D5B" w14:textId="77777777" w:rsidTr="00B41800">
        <w:trPr>
          <w:cantSplit/>
          <w:trHeight w:val="1275"/>
        </w:trPr>
        <w:tc>
          <w:tcPr>
            <w:tcW w:w="1276" w:type="dxa"/>
            <w:vMerge/>
            <w:tcBorders>
              <w:top w:val="nil"/>
              <w:left w:val="single" w:sz="4" w:space="0" w:color="auto"/>
              <w:bottom w:val="single" w:sz="4" w:space="0" w:color="000000"/>
              <w:right w:val="single" w:sz="4" w:space="0" w:color="auto"/>
            </w:tcBorders>
            <w:vAlign w:val="center"/>
            <w:hideMark/>
          </w:tcPr>
          <w:p w14:paraId="2ACBACB3"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62AD0B7E"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239ED10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VIC TAS - Melbourne</w:t>
            </w:r>
          </w:p>
        </w:tc>
        <w:tc>
          <w:tcPr>
            <w:tcW w:w="991" w:type="dxa"/>
            <w:tcBorders>
              <w:top w:val="nil"/>
              <w:left w:val="nil"/>
              <w:bottom w:val="single" w:sz="4" w:space="0" w:color="auto"/>
              <w:right w:val="single" w:sz="4" w:space="0" w:color="auto"/>
            </w:tcBorders>
            <w:shd w:val="clear" w:color="000000" w:fill="FFFFFF"/>
            <w:vAlign w:val="center"/>
            <w:hideMark/>
          </w:tcPr>
          <w:p w14:paraId="1EC5640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159BA87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Goal Indigenous Services</w:t>
            </w:r>
          </w:p>
        </w:tc>
        <w:tc>
          <w:tcPr>
            <w:tcW w:w="1950" w:type="dxa"/>
            <w:tcBorders>
              <w:top w:val="nil"/>
              <w:left w:val="nil"/>
              <w:bottom w:val="single" w:sz="4" w:space="0" w:color="auto"/>
              <w:right w:val="single" w:sz="4" w:space="0" w:color="auto"/>
            </w:tcBorders>
            <w:shd w:val="clear" w:color="000000" w:fill="FFFFFF"/>
            <w:vAlign w:val="center"/>
            <w:hideMark/>
          </w:tcPr>
          <w:p w14:paraId="0F9A354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 GOAL Indigenous Services Vic/Tas 2019-2020</w:t>
            </w:r>
          </w:p>
        </w:tc>
        <w:tc>
          <w:tcPr>
            <w:tcW w:w="1389" w:type="dxa"/>
            <w:tcBorders>
              <w:top w:val="nil"/>
              <w:left w:val="nil"/>
              <w:bottom w:val="single" w:sz="4" w:space="0" w:color="auto"/>
              <w:right w:val="single" w:sz="4" w:space="0" w:color="auto"/>
            </w:tcBorders>
            <w:shd w:val="clear" w:color="000000" w:fill="FFFFFF"/>
            <w:vAlign w:val="center"/>
            <w:hideMark/>
          </w:tcPr>
          <w:p w14:paraId="29FB5F3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Janelle Searle</w:t>
            </w:r>
          </w:p>
        </w:tc>
        <w:tc>
          <w:tcPr>
            <w:tcW w:w="1384" w:type="dxa"/>
            <w:tcBorders>
              <w:top w:val="nil"/>
              <w:left w:val="nil"/>
              <w:bottom w:val="single" w:sz="4" w:space="0" w:color="auto"/>
              <w:right w:val="single" w:sz="4" w:space="0" w:color="auto"/>
            </w:tcBorders>
            <w:shd w:val="clear" w:color="000000" w:fill="FFFFFF"/>
            <w:vAlign w:val="center"/>
            <w:hideMark/>
          </w:tcPr>
          <w:p w14:paraId="2B80296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6EC03FC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605AE74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TBC</w:t>
            </w:r>
          </w:p>
        </w:tc>
        <w:tc>
          <w:tcPr>
            <w:tcW w:w="1235" w:type="dxa"/>
            <w:tcBorders>
              <w:top w:val="nil"/>
              <w:left w:val="nil"/>
              <w:bottom w:val="single" w:sz="4" w:space="0" w:color="auto"/>
              <w:right w:val="single" w:sz="4" w:space="0" w:color="auto"/>
            </w:tcBorders>
            <w:shd w:val="clear" w:color="000000" w:fill="FFFFFF"/>
            <w:vAlign w:val="center"/>
            <w:hideMark/>
          </w:tcPr>
          <w:p w14:paraId="1A67FEC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32365FAE" w14:textId="77777777" w:rsidTr="00B41800">
        <w:trPr>
          <w:cantSplit/>
          <w:trHeight w:val="51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63583AF5"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Gulf and North QLD</w:t>
            </w:r>
          </w:p>
        </w:tc>
        <w:tc>
          <w:tcPr>
            <w:tcW w:w="1053" w:type="dxa"/>
            <w:tcBorders>
              <w:top w:val="nil"/>
              <w:left w:val="nil"/>
              <w:bottom w:val="single" w:sz="4" w:space="0" w:color="auto"/>
              <w:right w:val="single" w:sz="4" w:space="0" w:color="auto"/>
            </w:tcBorders>
            <w:shd w:val="clear" w:color="000000" w:fill="FFFFFF"/>
            <w:vAlign w:val="center"/>
            <w:hideMark/>
          </w:tcPr>
          <w:p w14:paraId="4ADAAD1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Mt. Isa</w:t>
            </w:r>
          </w:p>
        </w:tc>
        <w:tc>
          <w:tcPr>
            <w:tcW w:w="1088" w:type="dxa"/>
            <w:tcBorders>
              <w:top w:val="nil"/>
              <w:left w:val="nil"/>
              <w:bottom w:val="single" w:sz="4" w:space="0" w:color="auto"/>
              <w:right w:val="single" w:sz="4" w:space="0" w:color="auto"/>
            </w:tcBorders>
            <w:shd w:val="clear" w:color="000000" w:fill="FFFFFF"/>
            <w:vAlign w:val="center"/>
            <w:hideMark/>
          </w:tcPr>
          <w:p w14:paraId="422FD86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Gulf and North QLD - Mount Isa</w:t>
            </w:r>
          </w:p>
        </w:tc>
        <w:tc>
          <w:tcPr>
            <w:tcW w:w="991" w:type="dxa"/>
            <w:tcBorders>
              <w:top w:val="nil"/>
              <w:left w:val="nil"/>
              <w:bottom w:val="single" w:sz="4" w:space="0" w:color="auto"/>
              <w:right w:val="single" w:sz="4" w:space="0" w:color="auto"/>
            </w:tcBorders>
            <w:shd w:val="clear" w:color="000000" w:fill="FFFFFF"/>
            <w:vAlign w:val="center"/>
            <w:hideMark/>
          </w:tcPr>
          <w:p w14:paraId="408E8B7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378A159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Dugalunji Aboriginal Coporation</w:t>
            </w:r>
          </w:p>
        </w:tc>
        <w:tc>
          <w:tcPr>
            <w:tcW w:w="1950" w:type="dxa"/>
            <w:tcBorders>
              <w:top w:val="nil"/>
              <w:left w:val="nil"/>
              <w:bottom w:val="single" w:sz="4" w:space="0" w:color="auto"/>
              <w:right w:val="single" w:sz="4" w:space="0" w:color="auto"/>
            </w:tcBorders>
            <w:shd w:val="clear" w:color="000000" w:fill="FFFFFF"/>
            <w:vAlign w:val="center"/>
            <w:hideMark/>
          </w:tcPr>
          <w:p w14:paraId="476B6A9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Resource Industries and Infrastructure Program</w:t>
            </w:r>
          </w:p>
        </w:tc>
        <w:tc>
          <w:tcPr>
            <w:tcW w:w="1389" w:type="dxa"/>
            <w:tcBorders>
              <w:top w:val="nil"/>
              <w:left w:val="nil"/>
              <w:bottom w:val="single" w:sz="4" w:space="0" w:color="auto"/>
              <w:right w:val="single" w:sz="4" w:space="0" w:color="auto"/>
            </w:tcBorders>
            <w:shd w:val="clear" w:color="000000" w:fill="FFFFFF"/>
            <w:vAlign w:val="center"/>
            <w:hideMark/>
          </w:tcPr>
          <w:p w14:paraId="7EE5252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Matthew Galvin</w:t>
            </w:r>
          </w:p>
        </w:tc>
        <w:tc>
          <w:tcPr>
            <w:tcW w:w="1384" w:type="dxa"/>
            <w:tcBorders>
              <w:top w:val="nil"/>
              <w:left w:val="nil"/>
              <w:bottom w:val="single" w:sz="4" w:space="0" w:color="auto"/>
              <w:right w:val="single" w:sz="4" w:space="0" w:color="auto"/>
            </w:tcBorders>
            <w:shd w:val="clear" w:color="000000" w:fill="FFFFFF"/>
            <w:vAlign w:val="center"/>
            <w:hideMark/>
          </w:tcPr>
          <w:p w14:paraId="37CF448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w:t>
            </w:r>
          </w:p>
        </w:tc>
        <w:tc>
          <w:tcPr>
            <w:tcW w:w="898" w:type="dxa"/>
            <w:tcBorders>
              <w:top w:val="nil"/>
              <w:left w:val="nil"/>
              <w:bottom w:val="single" w:sz="4" w:space="0" w:color="auto"/>
              <w:right w:val="single" w:sz="4" w:space="0" w:color="auto"/>
            </w:tcBorders>
            <w:shd w:val="clear" w:color="000000" w:fill="FFFFFF"/>
            <w:vAlign w:val="center"/>
            <w:hideMark/>
          </w:tcPr>
          <w:p w14:paraId="2583BBB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49C6285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5205590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5155DA62" w14:textId="77777777" w:rsidTr="00B41800">
        <w:trPr>
          <w:cantSplit/>
          <w:trHeight w:val="1275"/>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0157C5"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Eastern NSW</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911E4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Sydney</w:t>
            </w:r>
          </w:p>
        </w:tc>
        <w:tc>
          <w:tcPr>
            <w:tcW w:w="1088" w:type="dxa"/>
            <w:tcBorders>
              <w:top w:val="nil"/>
              <w:left w:val="nil"/>
              <w:bottom w:val="single" w:sz="4" w:space="0" w:color="auto"/>
              <w:right w:val="single" w:sz="4" w:space="0" w:color="auto"/>
            </w:tcBorders>
            <w:shd w:val="clear" w:color="000000" w:fill="FFFFFF"/>
            <w:vAlign w:val="center"/>
            <w:hideMark/>
          </w:tcPr>
          <w:p w14:paraId="33441BA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Eastern NSW - Sydney</w:t>
            </w:r>
          </w:p>
        </w:tc>
        <w:tc>
          <w:tcPr>
            <w:tcW w:w="991" w:type="dxa"/>
            <w:tcBorders>
              <w:top w:val="nil"/>
              <w:left w:val="nil"/>
              <w:bottom w:val="single" w:sz="4" w:space="0" w:color="auto"/>
              <w:right w:val="single" w:sz="4" w:space="0" w:color="auto"/>
            </w:tcBorders>
            <w:shd w:val="clear" w:color="000000" w:fill="FFFFFF"/>
            <w:vAlign w:val="center"/>
            <w:hideMark/>
          </w:tcPr>
          <w:p w14:paraId="56E5D1E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49B2448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xml:space="preserve">Cbeyond Coaching </w:t>
            </w:r>
          </w:p>
        </w:tc>
        <w:tc>
          <w:tcPr>
            <w:tcW w:w="1950" w:type="dxa"/>
            <w:tcBorders>
              <w:top w:val="nil"/>
              <w:left w:val="nil"/>
              <w:bottom w:val="single" w:sz="4" w:space="0" w:color="auto"/>
              <w:right w:val="single" w:sz="4" w:space="0" w:color="auto"/>
            </w:tcBorders>
            <w:shd w:val="clear" w:color="000000" w:fill="FFFFFF"/>
            <w:vAlign w:val="center"/>
            <w:hideMark/>
          </w:tcPr>
          <w:p w14:paraId="56FC2FC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Indigenous Pathology Employment Pathways Project</w:t>
            </w:r>
          </w:p>
        </w:tc>
        <w:tc>
          <w:tcPr>
            <w:tcW w:w="1389" w:type="dxa"/>
            <w:tcBorders>
              <w:top w:val="nil"/>
              <w:left w:val="nil"/>
              <w:bottom w:val="single" w:sz="4" w:space="0" w:color="auto"/>
              <w:right w:val="single" w:sz="4" w:space="0" w:color="auto"/>
            </w:tcBorders>
            <w:shd w:val="clear" w:color="000000" w:fill="FFFFFF"/>
            <w:vAlign w:val="center"/>
            <w:hideMark/>
          </w:tcPr>
          <w:p w14:paraId="23C1063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Alain Du Buisson-Perrine</w:t>
            </w:r>
          </w:p>
        </w:tc>
        <w:tc>
          <w:tcPr>
            <w:tcW w:w="1384" w:type="dxa"/>
            <w:tcBorders>
              <w:top w:val="nil"/>
              <w:left w:val="nil"/>
              <w:bottom w:val="single" w:sz="4" w:space="0" w:color="auto"/>
              <w:right w:val="single" w:sz="4" w:space="0" w:color="auto"/>
            </w:tcBorders>
            <w:shd w:val="clear" w:color="000000" w:fill="FFFFFF"/>
            <w:vAlign w:val="center"/>
            <w:hideMark/>
          </w:tcPr>
          <w:p w14:paraId="3F180C3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1898DE6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3B9952D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TBC</w:t>
            </w:r>
          </w:p>
        </w:tc>
        <w:tc>
          <w:tcPr>
            <w:tcW w:w="1235" w:type="dxa"/>
            <w:tcBorders>
              <w:top w:val="nil"/>
              <w:left w:val="nil"/>
              <w:bottom w:val="single" w:sz="4" w:space="0" w:color="auto"/>
              <w:right w:val="single" w:sz="4" w:space="0" w:color="auto"/>
            </w:tcBorders>
            <w:shd w:val="clear" w:color="000000" w:fill="FFFFFF"/>
            <w:vAlign w:val="center"/>
            <w:hideMark/>
          </w:tcPr>
          <w:p w14:paraId="040BBCC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1E536B21" w14:textId="77777777" w:rsidTr="00B41800">
        <w:trPr>
          <w:cantSplit/>
          <w:trHeight w:val="765"/>
        </w:trPr>
        <w:tc>
          <w:tcPr>
            <w:tcW w:w="1276" w:type="dxa"/>
            <w:vMerge/>
            <w:tcBorders>
              <w:top w:val="nil"/>
              <w:left w:val="single" w:sz="4" w:space="0" w:color="auto"/>
              <w:bottom w:val="single" w:sz="4" w:space="0" w:color="000000"/>
              <w:right w:val="single" w:sz="4" w:space="0" w:color="auto"/>
            </w:tcBorders>
            <w:vAlign w:val="center"/>
            <w:hideMark/>
          </w:tcPr>
          <w:p w14:paraId="65A7D55D"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72B142F9"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156343C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Eastern NSW - Sydney</w:t>
            </w:r>
          </w:p>
        </w:tc>
        <w:tc>
          <w:tcPr>
            <w:tcW w:w="991" w:type="dxa"/>
            <w:tcBorders>
              <w:top w:val="nil"/>
              <w:left w:val="nil"/>
              <w:bottom w:val="single" w:sz="4" w:space="0" w:color="auto"/>
              <w:right w:val="single" w:sz="4" w:space="0" w:color="auto"/>
            </w:tcBorders>
            <w:shd w:val="clear" w:color="000000" w:fill="FFFFFF"/>
            <w:vAlign w:val="center"/>
            <w:hideMark/>
          </w:tcPr>
          <w:p w14:paraId="1C2B930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4EB4C27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NSW Aboriginal Land Council</w:t>
            </w:r>
          </w:p>
        </w:tc>
        <w:tc>
          <w:tcPr>
            <w:tcW w:w="1950" w:type="dxa"/>
            <w:tcBorders>
              <w:top w:val="nil"/>
              <w:left w:val="nil"/>
              <w:bottom w:val="single" w:sz="4" w:space="0" w:color="auto"/>
              <w:right w:val="single" w:sz="4" w:space="0" w:color="auto"/>
            </w:tcBorders>
            <w:shd w:val="clear" w:color="000000" w:fill="FFFFFF"/>
            <w:vAlign w:val="center"/>
            <w:hideMark/>
          </w:tcPr>
          <w:p w14:paraId="0796502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NSWALC Employment and Training - Sydney and Illawarra</w:t>
            </w:r>
          </w:p>
        </w:tc>
        <w:tc>
          <w:tcPr>
            <w:tcW w:w="1389" w:type="dxa"/>
            <w:tcBorders>
              <w:top w:val="nil"/>
              <w:left w:val="nil"/>
              <w:bottom w:val="single" w:sz="4" w:space="0" w:color="auto"/>
              <w:right w:val="single" w:sz="4" w:space="0" w:color="auto"/>
            </w:tcBorders>
            <w:shd w:val="clear" w:color="000000" w:fill="FFFFFF"/>
            <w:vAlign w:val="center"/>
            <w:hideMark/>
          </w:tcPr>
          <w:p w14:paraId="2C8D2BE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Judy Johnson</w:t>
            </w:r>
          </w:p>
        </w:tc>
        <w:tc>
          <w:tcPr>
            <w:tcW w:w="1384" w:type="dxa"/>
            <w:tcBorders>
              <w:top w:val="nil"/>
              <w:left w:val="nil"/>
              <w:bottom w:val="single" w:sz="4" w:space="0" w:color="auto"/>
              <w:right w:val="single" w:sz="4" w:space="0" w:color="auto"/>
            </w:tcBorders>
            <w:shd w:val="clear" w:color="000000" w:fill="FFFFFF"/>
            <w:vAlign w:val="center"/>
            <w:hideMark/>
          </w:tcPr>
          <w:p w14:paraId="3EDAFB7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71ECD77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26120F8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1DE9684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4181E721" w14:textId="77777777" w:rsidTr="00B41800">
        <w:trPr>
          <w:cantSplit/>
          <w:trHeight w:val="510"/>
        </w:trPr>
        <w:tc>
          <w:tcPr>
            <w:tcW w:w="1276" w:type="dxa"/>
            <w:vMerge/>
            <w:tcBorders>
              <w:top w:val="nil"/>
              <w:left w:val="single" w:sz="4" w:space="0" w:color="auto"/>
              <w:bottom w:val="single" w:sz="4" w:space="0" w:color="000000"/>
              <w:right w:val="single" w:sz="4" w:space="0" w:color="auto"/>
            </w:tcBorders>
            <w:vAlign w:val="center"/>
            <w:hideMark/>
          </w:tcPr>
          <w:p w14:paraId="01418EF5"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4B1608CC"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275C520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Eastern NSW - Sydney</w:t>
            </w:r>
          </w:p>
        </w:tc>
        <w:tc>
          <w:tcPr>
            <w:tcW w:w="991" w:type="dxa"/>
            <w:tcBorders>
              <w:top w:val="nil"/>
              <w:left w:val="nil"/>
              <w:bottom w:val="single" w:sz="4" w:space="0" w:color="auto"/>
              <w:right w:val="single" w:sz="4" w:space="0" w:color="auto"/>
            </w:tcBorders>
            <w:shd w:val="clear" w:color="000000" w:fill="FFFFFF"/>
            <w:vAlign w:val="center"/>
            <w:hideMark/>
          </w:tcPr>
          <w:p w14:paraId="1BC2B1C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172AE8B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Yarn’n Aboriginal Employment Services</w:t>
            </w:r>
          </w:p>
        </w:tc>
        <w:tc>
          <w:tcPr>
            <w:tcW w:w="1950" w:type="dxa"/>
            <w:tcBorders>
              <w:top w:val="nil"/>
              <w:left w:val="nil"/>
              <w:bottom w:val="single" w:sz="4" w:space="0" w:color="auto"/>
              <w:right w:val="single" w:sz="4" w:space="0" w:color="auto"/>
            </w:tcBorders>
            <w:shd w:val="clear" w:color="000000" w:fill="FFFFFF"/>
            <w:vAlign w:val="center"/>
            <w:hideMark/>
          </w:tcPr>
          <w:p w14:paraId="642EDB5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Yarn'n Sydney</w:t>
            </w:r>
          </w:p>
        </w:tc>
        <w:tc>
          <w:tcPr>
            <w:tcW w:w="1389" w:type="dxa"/>
            <w:tcBorders>
              <w:top w:val="nil"/>
              <w:left w:val="nil"/>
              <w:bottom w:val="single" w:sz="4" w:space="0" w:color="auto"/>
              <w:right w:val="single" w:sz="4" w:space="0" w:color="auto"/>
            </w:tcBorders>
            <w:shd w:val="clear" w:color="000000" w:fill="FFFFFF"/>
            <w:vAlign w:val="center"/>
            <w:hideMark/>
          </w:tcPr>
          <w:p w14:paraId="74A1AC8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Connor Chambers</w:t>
            </w:r>
          </w:p>
        </w:tc>
        <w:tc>
          <w:tcPr>
            <w:tcW w:w="1384" w:type="dxa"/>
            <w:tcBorders>
              <w:top w:val="nil"/>
              <w:left w:val="nil"/>
              <w:bottom w:val="single" w:sz="4" w:space="0" w:color="auto"/>
              <w:right w:val="single" w:sz="4" w:space="0" w:color="auto"/>
            </w:tcBorders>
            <w:shd w:val="clear" w:color="000000" w:fill="FFFFFF"/>
            <w:vAlign w:val="center"/>
            <w:hideMark/>
          </w:tcPr>
          <w:p w14:paraId="79640CD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0E4E23B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14" w:type="dxa"/>
            <w:tcBorders>
              <w:top w:val="nil"/>
              <w:left w:val="nil"/>
              <w:bottom w:val="single" w:sz="4" w:space="0" w:color="auto"/>
              <w:right w:val="single" w:sz="4" w:space="0" w:color="auto"/>
            </w:tcBorders>
            <w:shd w:val="clear" w:color="000000" w:fill="FFFFFF"/>
            <w:vAlign w:val="center"/>
            <w:hideMark/>
          </w:tcPr>
          <w:p w14:paraId="66BD34E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35" w:type="dxa"/>
            <w:tcBorders>
              <w:top w:val="nil"/>
              <w:left w:val="nil"/>
              <w:bottom w:val="single" w:sz="4" w:space="0" w:color="auto"/>
              <w:right w:val="single" w:sz="4" w:space="0" w:color="auto"/>
            </w:tcBorders>
            <w:shd w:val="clear" w:color="000000" w:fill="FFFFFF"/>
            <w:vAlign w:val="center"/>
            <w:hideMark/>
          </w:tcPr>
          <w:p w14:paraId="03A3E48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55D40901" w14:textId="77777777" w:rsidTr="00B41800">
        <w:trPr>
          <w:cantSplit/>
          <w:trHeight w:val="1020"/>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8CB4A8"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Western NSW</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FB587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Dubbo</w:t>
            </w:r>
          </w:p>
        </w:tc>
        <w:tc>
          <w:tcPr>
            <w:tcW w:w="1088" w:type="dxa"/>
            <w:tcBorders>
              <w:top w:val="nil"/>
              <w:left w:val="nil"/>
              <w:bottom w:val="single" w:sz="4" w:space="0" w:color="auto"/>
              <w:right w:val="single" w:sz="4" w:space="0" w:color="auto"/>
            </w:tcBorders>
            <w:shd w:val="clear" w:color="000000" w:fill="FFFFFF"/>
            <w:vAlign w:val="center"/>
            <w:hideMark/>
          </w:tcPr>
          <w:p w14:paraId="1C7C9E8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Western NSW - Orange</w:t>
            </w:r>
          </w:p>
        </w:tc>
        <w:tc>
          <w:tcPr>
            <w:tcW w:w="991" w:type="dxa"/>
            <w:tcBorders>
              <w:top w:val="nil"/>
              <w:left w:val="nil"/>
              <w:bottom w:val="single" w:sz="4" w:space="0" w:color="auto"/>
              <w:right w:val="single" w:sz="4" w:space="0" w:color="auto"/>
            </w:tcBorders>
            <w:shd w:val="clear" w:color="000000" w:fill="FFFFFF"/>
            <w:vAlign w:val="center"/>
            <w:hideMark/>
          </w:tcPr>
          <w:p w14:paraId="73D957D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740C781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 Enterprise Development Institute</w:t>
            </w:r>
          </w:p>
        </w:tc>
        <w:tc>
          <w:tcPr>
            <w:tcW w:w="1950" w:type="dxa"/>
            <w:tcBorders>
              <w:top w:val="nil"/>
              <w:left w:val="nil"/>
              <w:bottom w:val="single" w:sz="4" w:space="0" w:color="auto"/>
              <w:right w:val="single" w:sz="4" w:space="0" w:color="auto"/>
            </w:tcBorders>
            <w:shd w:val="clear" w:color="000000" w:fill="FFFFFF"/>
            <w:vAlign w:val="center"/>
            <w:hideMark/>
          </w:tcPr>
          <w:p w14:paraId="1D67532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 MPREC - Western NSW</w:t>
            </w:r>
            <w:r w:rsidRPr="00820C89">
              <w:rPr>
                <w:rFonts w:eastAsia="Times New Roman" w:cs="Times New Roman"/>
                <w:sz w:val="16"/>
                <w:szCs w:val="16"/>
                <w:lang w:eastAsia="en-AU"/>
              </w:rPr>
              <w:br/>
              <w:t>□ VTEC 2018 Murdi Paaki Enterprise Corporation Ltd Western NSW</w:t>
            </w:r>
          </w:p>
        </w:tc>
        <w:tc>
          <w:tcPr>
            <w:tcW w:w="1389" w:type="dxa"/>
            <w:tcBorders>
              <w:top w:val="nil"/>
              <w:left w:val="nil"/>
              <w:bottom w:val="single" w:sz="4" w:space="0" w:color="auto"/>
              <w:right w:val="single" w:sz="4" w:space="0" w:color="auto"/>
            </w:tcBorders>
            <w:shd w:val="clear" w:color="000000" w:fill="FFFFFF"/>
            <w:vAlign w:val="center"/>
            <w:hideMark/>
          </w:tcPr>
          <w:p w14:paraId="1FED1E4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Gargi Ganguly</w:t>
            </w:r>
          </w:p>
        </w:tc>
        <w:tc>
          <w:tcPr>
            <w:tcW w:w="1384" w:type="dxa"/>
            <w:tcBorders>
              <w:top w:val="nil"/>
              <w:left w:val="nil"/>
              <w:bottom w:val="single" w:sz="4" w:space="0" w:color="auto"/>
              <w:right w:val="single" w:sz="4" w:space="0" w:color="auto"/>
            </w:tcBorders>
            <w:shd w:val="clear" w:color="000000" w:fill="FFFFFF"/>
            <w:vAlign w:val="center"/>
            <w:hideMark/>
          </w:tcPr>
          <w:p w14:paraId="66AFB5A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w:t>
            </w:r>
          </w:p>
        </w:tc>
        <w:tc>
          <w:tcPr>
            <w:tcW w:w="898" w:type="dxa"/>
            <w:tcBorders>
              <w:top w:val="nil"/>
              <w:left w:val="nil"/>
              <w:bottom w:val="single" w:sz="4" w:space="0" w:color="auto"/>
              <w:right w:val="single" w:sz="4" w:space="0" w:color="auto"/>
            </w:tcBorders>
            <w:shd w:val="clear" w:color="000000" w:fill="FFFFFF"/>
            <w:vAlign w:val="center"/>
            <w:hideMark/>
          </w:tcPr>
          <w:p w14:paraId="7DD9A1E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14" w:type="dxa"/>
            <w:tcBorders>
              <w:top w:val="nil"/>
              <w:left w:val="nil"/>
              <w:bottom w:val="single" w:sz="4" w:space="0" w:color="auto"/>
              <w:right w:val="single" w:sz="4" w:space="0" w:color="auto"/>
            </w:tcBorders>
            <w:shd w:val="clear" w:color="000000" w:fill="FFFFFF"/>
            <w:vAlign w:val="center"/>
            <w:hideMark/>
          </w:tcPr>
          <w:p w14:paraId="21254F5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2F61CBC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437BF414" w14:textId="77777777" w:rsidTr="00B41800">
        <w:trPr>
          <w:cantSplit/>
          <w:trHeight w:val="510"/>
        </w:trPr>
        <w:tc>
          <w:tcPr>
            <w:tcW w:w="1276" w:type="dxa"/>
            <w:vMerge/>
            <w:tcBorders>
              <w:top w:val="nil"/>
              <w:left w:val="single" w:sz="4" w:space="0" w:color="auto"/>
              <w:bottom w:val="single" w:sz="4" w:space="0" w:color="000000"/>
              <w:right w:val="single" w:sz="4" w:space="0" w:color="auto"/>
            </w:tcBorders>
            <w:vAlign w:val="center"/>
            <w:hideMark/>
          </w:tcPr>
          <w:p w14:paraId="426A5889"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04D34C33"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391EFE7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Western NSW - Dubbo</w:t>
            </w:r>
          </w:p>
        </w:tc>
        <w:tc>
          <w:tcPr>
            <w:tcW w:w="991" w:type="dxa"/>
            <w:tcBorders>
              <w:top w:val="nil"/>
              <w:left w:val="nil"/>
              <w:bottom w:val="single" w:sz="4" w:space="0" w:color="auto"/>
              <w:right w:val="single" w:sz="4" w:space="0" w:color="auto"/>
            </w:tcBorders>
            <w:shd w:val="clear" w:color="000000" w:fill="FFFFFF"/>
            <w:vAlign w:val="center"/>
            <w:hideMark/>
          </w:tcPr>
          <w:p w14:paraId="751609E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6987C75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Fletcher International Exports</w:t>
            </w:r>
          </w:p>
        </w:tc>
        <w:tc>
          <w:tcPr>
            <w:tcW w:w="1950" w:type="dxa"/>
            <w:tcBorders>
              <w:top w:val="nil"/>
              <w:left w:val="nil"/>
              <w:bottom w:val="single" w:sz="4" w:space="0" w:color="auto"/>
              <w:right w:val="single" w:sz="4" w:space="0" w:color="auto"/>
            </w:tcBorders>
            <w:shd w:val="clear" w:color="000000" w:fill="FFFFFF"/>
            <w:vAlign w:val="center"/>
            <w:hideMark/>
          </w:tcPr>
          <w:p w14:paraId="18F7A41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Fletcher Aboriginal Cultural Employment Strategy (FACES)</w:t>
            </w:r>
          </w:p>
        </w:tc>
        <w:tc>
          <w:tcPr>
            <w:tcW w:w="1389" w:type="dxa"/>
            <w:tcBorders>
              <w:top w:val="nil"/>
              <w:left w:val="nil"/>
              <w:bottom w:val="single" w:sz="4" w:space="0" w:color="auto"/>
              <w:right w:val="single" w:sz="4" w:space="0" w:color="auto"/>
            </w:tcBorders>
            <w:shd w:val="clear" w:color="000000" w:fill="FFFFFF"/>
            <w:vAlign w:val="center"/>
            <w:hideMark/>
          </w:tcPr>
          <w:p w14:paraId="6F5E920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Carrin Parkins</w:t>
            </w:r>
          </w:p>
        </w:tc>
        <w:tc>
          <w:tcPr>
            <w:tcW w:w="1384" w:type="dxa"/>
            <w:tcBorders>
              <w:top w:val="nil"/>
              <w:left w:val="nil"/>
              <w:bottom w:val="single" w:sz="4" w:space="0" w:color="auto"/>
              <w:right w:val="single" w:sz="4" w:space="0" w:color="auto"/>
            </w:tcBorders>
            <w:shd w:val="clear" w:color="000000" w:fill="FFFFFF"/>
            <w:vAlign w:val="center"/>
            <w:hideMark/>
          </w:tcPr>
          <w:p w14:paraId="1A1596B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w:t>
            </w:r>
          </w:p>
        </w:tc>
        <w:tc>
          <w:tcPr>
            <w:tcW w:w="898" w:type="dxa"/>
            <w:tcBorders>
              <w:top w:val="nil"/>
              <w:left w:val="nil"/>
              <w:bottom w:val="single" w:sz="4" w:space="0" w:color="auto"/>
              <w:right w:val="single" w:sz="4" w:space="0" w:color="auto"/>
            </w:tcBorders>
            <w:shd w:val="clear" w:color="000000" w:fill="FFFFFF"/>
            <w:vAlign w:val="center"/>
            <w:hideMark/>
          </w:tcPr>
          <w:p w14:paraId="4944123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537CC8F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7536698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2F06F021" w14:textId="77777777" w:rsidTr="00B41800">
        <w:trPr>
          <w:cantSplit/>
          <w:trHeight w:val="510"/>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4F8367"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Central Australia</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70BB9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Alice Springs</w:t>
            </w:r>
          </w:p>
        </w:tc>
        <w:tc>
          <w:tcPr>
            <w:tcW w:w="1088" w:type="dxa"/>
            <w:tcBorders>
              <w:top w:val="nil"/>
              <w:left w:val="nil"/>
              <w:bottom w:val="single" w:sz="4" w:space="0" w:color="auto"/>
              <w:right w:val="single" w:sz="4" w:space="0" w:color="auto"/>
            </w:tcBorders>
            <w:shd w:val="clear" w:color="000000" w:fill="FFFFFF"/>
            <w:vAlign w:val="center"/>
            <w:hideMark/>
          </w:tcPr>
          <w:p w14:paraId="3DDA74E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Central Australia - Alice Springs</w:t>
            </w:r>
          </w:p>
        </w:tc>
        <w:tc>
          <w:tcPr>
            <w:tcW w:w="991" w:type="dxa"/>
            <w:tcBorders>
              <w:top w:val="nil"/>
              <w:left w:val="nil"/>
              <w:bottom w:val="single" w:sz="4" w:space="0" w:color="auto"/>
              <w:right w:val="single" w:sz="4" w:space="0" w:color="auto"/>
            </w:tcBorders>
            <w:shd w:val="clear" w:color="000000" w:fill="FFFFFF"/>
            <w:vAlign w:val="center"/>
            <w:hideMark/>
          </w:tcPr>
          <w:p w14:paraId="00C3162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5735F9B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xml:space="preserve">Centre for Appropriate  technology </w:t>
            </w:r>
          </w:p>
        </w:tc>
        <w:tc>
          <w:tcPr>
            <w:tcW w:w="1950" w:type="dxa"/>
            <w:tcBorders>
              <w:top w:val="nil"/>
              <w:left w:val="nil"/>
              <w:bottom w:val="single" w:sz="4" w:space="0" w:color="auto"/>
              <w:right w:val="single" w:sz="4" w:space="0" w:color="auto"/>
            </w:tcBorders>
            <w:shd w:val="clear" w:color="000000" w:fill="FFFFFF"/>
            <w:vAlign w:val="center"/>
            <w:hideMark/>
          </w:tcPr>
          <w:p w14:paraId="4CBA8F2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Centre for Appropriate Technologies (CAT) Direct Employment</w:t>
            </w:r>
          </w:p>
        </w:tc>
        <w:tc>
          <w:tcPr>
            <w:tcW w:w="1389" w:type="dxa"/>
            <w:tcBorders>
              <w:top w:val="nil"/>
              <w:left w:val="nil"/>
              <w:bottom w:val="single" w:sz="4" w:space="0" w:color="auto"/>
              <w:right w:val="single" w:sz="4" w:space="0" w:color="auto"/>
            </w:tcBorders>
            <w:shd w:val="clear" w:color="000000" w:fill="FFFFFF"/>
            <w:vAlign w:val="center"/>
            <w:hideMark/>
          </w:tcPr>
          <w:p w14:paraId="2C12485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Renton Kelly</w:t>
            </w:r>
          </w:p>
        </w:tc>
        <w:tc>
          <w:tcPr>
            <w:tcW w:w="1384" w:type="dxa"/>
            <w:tcBorders>
              <w:top w:val="nil"/>
              <w:left w:val="nil"/>
              <w:bottom w:val="single" w:sz="4" w:space="0" w:color="auto"/>
              <w:right w:val="single" w:sz="4" w:space="0" w:color="auto"/>
            </w:tcBorders>
            <w:shd w:val="clear" w:color="000000" w:fill="FFFFFF"/>
            <w:vAlign w:val="center"/>
            <w:hideMark/>
          </w:tcPr>
          <w:p w14:paraId="546D4F6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Remote</w:t>
            </w:r>
          </w:p>
        </w:tc>
        <w:tc>
          <w:tcPr>
            <w:tcW w:w="898" w:type="dxa"/>
            <w:tcBorders>
              <w:top w:val="nil"/>
              <w:left w:val="nil"/>
              <w:bottom w:val="single" w:sz="4" w:space="0" w:color="auto"/>
              <w:right w:val="single" w:sz="4" w:space="0" w:color="auto"/>
            </w:tcBorders>
            <w:shd w:val="clear" w:color="000000" w:fill="FFFFFF"/>
            <w:vAlign w:val="center"/>
            <w:hideMark/>
          </w:tcPr>
          <w:p w14:paraId="008AEAB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6C5A79D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TBC</w:t>
            </w:r>
          </w:p>
        </w:tc>
        <w:tc>
          <w:tcPr>
            <w:tcW w:w="1235" w:type="dxa"/>
            <w:tcBorders>
              <w:top w:val="nil"/>
              <w:left w:val="nil"/>
              <w:bottom w:val="single" w:sz="4" w:space="0" w:color="auto"/>
              <w:right w:val="single" w:sz="4" w:space="0" w:color="auto"/>
            </w:tcBorders>
            <w:shd w:val="clear" w:color="000000" w:fill="FFFFFF"/>
            <w:vAlign w:val="center"/>
            <w:hideMark/>
          </w:tcPr>
          <w:p w14:paraId="660027E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3C09C845" w14:textId="77777777" w:rsidTr="00B41800">
        <w:trPr>
          <w:cantSplit/>
          <w:trHeight w:val="510"/>
        </w:trPr>
        <w:tc>
          <w:tcPr>
            <w:tcW w:w="1276" w:type="dxa"/>
            <w:vMerge/>
            <w:tcBorders>
              <w:top w:val="nil"/>
              <w:left w:val="single" w:sz="4" w:space="0" w:color="auto"/>
              <w:bottom w:val="single" w:sz="4" w:space="0" w:color="000000"/>
              <w:right w:val="single" w:sz="4" w:space="0" w:color="auto"/>
            </w:tcBorders>
            <w:vAlign w:val="center"/>
            <w:hideMark/>
          </w:tcPr>
          <w:p w14:paraId="3836F276"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2F0075DB"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3FB615F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Central Australia - Alice Springs</w:t>
            </w:r>
          </w:p>
        </w:tc>
        <w:tc>
          <w:tcPr>
            <w:tcW w:w="991" w:type="dxa"/>
            <w:tcBorders>
              <w:top w:val="nil"/>
              <w:left w:val="nil"/>
              <w:bottom w:val="single" w:sz="4" w:space="0" w:color="auto"/>
              <w:right w:val="single" w:sz="4" w:space="0" w:color="auto"/>
            </w:tcBorders>
            <w:shd w:val="clear" w:color="000000" w:fill="FFFFFF"/>
            <w:vAlign w:val="center"/>
            <w:hideMark/>
          </w:tcPr>
          <w:p w14:paraId="47769D6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2C8109A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Saltbush Social Enterprises</w:t>
            </w:r>
          </w:p>
        </w:tc>
        <w:tc>
          <w:tcPr>
            <w:tcW w:w="1950" w:type="dxa"/>
            <w:tcBorders>
              <w:top w:val="nil"/>
              <w:left w:val="nil"/>
              <w:bottom w:val="single" w:sz="4" w:space="0" w:color="auto"/>
              <w:right w:val="single" w:sz="4" w:space="0" w:color="auto"/>
            </w:tcBorders>
            <w:shd w:val="clear" w:color="000000" w:fill="FFFFFF"/>
            <w:vAlign w:val="center"/>
            <w:hideMark/>
          </w:tcPr>
          <w:p w14:paraId="6D5C1CF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Saltbush</w:t>
            </w:r>
          </w:p>
        </w:tc>
        <w:tc>
          <w:tcPr>
            <w:tcW w:w="1389" w:type="dxa"/>
            <w:tcBorders>
              <w:top w:val="nil"/>
              <w:left w:val="nil"/>
              <w:bottom w:val="single" w:sz="4" w:space="0" w:color="auto"/>
              <w:right w:val="single" w:sz="4" w:space="0" w:color="auto"/>
            </w:tcBorders>
            <w:shd w:val="clear" w:color="000000" w:fill="FFFFFF"/>
            <w:vAlign w:val="center"/>
            <w:hideMark/>
          </w:tcPr>
          <w:p w14:paraId="01D00CA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Dianne Bramich</w:t>
            </w:r>
          </w:p>
        </w:tc>
        <w:tc>
          <w:tcPr>
            <w:tcW w:w="1384" w:type="dxa"/>
            <w:tcBorders>
              <w:top w:val="nil"/>
              <w:left w:val="nil"/>
              <w:bottom w:val="single" w:sz="4" w:space="0" w:color="auto"/>
              <w:right w:val="single" w:sz="4" w:space="0" w:color="auto"/>
            </w:tcBorders>
            <w:shd w:val="clear" w:color="000000" w:fill="FFFFFF"/>
            <w:vAlign w:val="center"/>
            <w:hideMark/>
          </w:tcPr>
          <w:p w14:paraId="2581D26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Remote</w:t>
            </w:r>
          </w:p>
        </w:tc>
        <w:tc>
          <w:tcPr>
            <w:tcW w:w="898" w:type="dxa"/>
            <w:tcBorders>
              <w:top w:val="nil"/>
              <w:left w:val="nil"/>
              <w:bottom w:val="single" w:sz="4" w:space="0" w:color="auto"/>
              <w:right w:val="single" w:sz="4" w:space="0" w:color="auto"/>
            </w:tcBorders>
            <w:shd w:val="clear" w:color="000000" w:fill="FFFFFF"/>
            <w:vAlign w:val="center"/>
            <w:hideMark/>
          </w:tcPr>
          <w:p w14:paraId="0071D00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14" w:type="dxa"/>
            <w:tcBorders>
              <w:top w:val="nil"/>
              <w:left w:val="nil"/>
              <w:bottom w:val="single" w:sz="4" w:space="0" w:color="auto"/>
              <w:right w:val="single" w:sz="4" w:space="0" w:color="auto"/>
            </w:tcBorders>
            <w:shd w:val="clear" w:color="000000" w:fill="FFFFFF"/>
            <w:vAlign w:val="center"/>
            <w:hideMark/>
          </w:tcPr>
          <w:p w14:paraId="29466AC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0D7AD35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16FCAA18" w14:textId="77777777" w:rsidTr="00B41800">
        <w:trPr>
          <w:cantSplit/>
          <w:trHeight w:val="510"/>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54C83B"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 xml:space="preserve">Far North QLD </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927AC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Cairns</w:t>
            </w:r>
          </w:p>
        </w:tc>
        <w:tc>
          <w:tcPr>
            <w:tcW w:w="1088" w:type="dxa"/>
            <w:tcBorders>
              <w:top w:val="nil"/>
              <w:left w:val="nil"/>
              <w:bottom w:val="single" w:sz="4" w:space="0" w:color="auto"/>
              <w:right w:val="single" w:sz="4" w:space="0" w:color="auto"/>
            </w:tcBorders>
            <w:shd w:val="clear" w:color="000000" w:fill="FFFFFF"/>
            <w:vAlign w:val="center"/>
            <w:hideMark/>
          </w:tcPr>
          <w:p w14:paraId="0F7C8A4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Far North QLD - Cairns</w:t>
            </w:r>
          </w:p>
        </w:tc>
        <w:tc>
          <w:tcPr>
            <w:tcW w:w="991" w:type="dxa"/>
            <w:tcBorders>
              <w:top w:val="nil"/>
              <w:left w:val="nil"/>
              <w:bottom w:val="single" w:sz="4" w:space="0" w:color="auto"/>
              <w:right w:val="single" w:sz="4" w:space="0" w:color="auto"/>
            </w:tcBorders>
            <w:shd w:val="clear" w:color="000000" w:fill="FFFFFF"/>
            <w:vAlign w:val="center"/>
            <w:hideMark/>
          </w:tcPr>
          <w:p w14:paraId="37D2380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16BC947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Australian Training Works</w:t>
            </w:r>
          </w:p>
        </w:tc>
        <w:tc>
          <w:tcPr>
            <w:tcW w:w="1950" w:type="dxa"/>
            <w:tcBorders>
              <w:top w:val="nil"/>
              <w:left w:val="nil"/>
              <w:bottom w:val="single" w:sz="4" w:space="0" w:color="auto"/>
              <w:right w:val="single" w:sz="4" w:space="0" w:color="auto"/>
            </w:tcBorders>
            <w:shd w:val="clear" w:color="000000" w:fill="FFFFFF"/>
            <w:vAlign w:val="center"/>
            <w:hideMark/>
          </w:tcPr>
          <w:p w14:paraId="5B98D2A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 Australian Training Works Far North Qld</w:t>
            </w:r>
          </w:p>
        </w:tc>
        <w:tc>
          <w:tcPr>
            <w:tcW w:w="1389" w:type="dxa"/>
            <w:tcBorders>
              <w:top w:val="nil"/>
              <w:left w:val="nil"/>
              <w:bottom w:val="single" w:sz="4" w:space="0" w:color="auto"/>
              <w:right w:val="single" w:sz="4" w:space="0" w:color="auto"/>
            </w:tcBorders>
            <w:shd w:val="clear" w:color="000000" w:fill="FFFFFF"/>
            <w:vAlign w:val="center"/>
            <w:hideMark/>
          </w:tcPr>
          <w:p w14:paraId="10D7263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Glenys Huyser</w:t>
            </w:r>
          </w:p>
        </w:tc>
        <w:tc>
          <w:tcPr>
            <w:tcW w:w="1384" w:type="dxa"/>
            <w:tcBorders>
              <w:top w:val="nil"/>
              <w:left w:val="nil"/>
              <w:bottom w:val="single" w:sz="4" w:space="0" w:color="auto"/>
              <w:right w:val="single" w:sz="4" w:space="0" w:color="auto"/>
            </w:tcBorders>
            <w:shd w:val="clear" w:color="000000" w:fill="FFFFFF"/>
            <w:vAlign w:val="center"/>
            <w:hideMark/>
          </w:tcPr>
          <w:p w14:paraId="28E0FC7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w:t>
            </w:r>
          </w:p>
        </w:tc>
        <w:tc>
          <w:tcPr>
            <w:tcW w:w="898" w:type="dxa"/>
            <w:tcBorders>
              <w:top w:val="nil"/>
              <w:left w:val="nil"/>
              <w:bottom w:val="single" w:sz="4" w:space="0" w:color="auto"/>
              <w:right w:val="single" w:sz="4" w:space="0" w:color="auto"/>
            </w:tcBorders>
            <w:shd w:val="clear" w:color="000000" w:fill="FFFFFF"/>
            <w:vAlign w:val="center"/>
            <w:hideMark/>
          </w:tcPr>
          <w:p w14:paraId="5A434DA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6307F93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TBC</w:t>
            </w:r>
          </w:p>
        </w:tc>
        <w:tc>
          <w:tcPr>
            <w:tcW w:w="1235" w:type="dxa"/>
            <w:tcBorders>
              <w:top w:val="nil"/>
              <w:left w:val="nil"/>
              <w:bottom w:val="single" w:sz="4" w:space="0" w:color="auto"/>
              <w:right w:val="single" w:sz="4" w:space="0" w:color="auto"/>
            </w:tcBorders>
            <w:shd w:val="clear" w:color="000000" w:fill="FFFFFF"/>
            <w:vAlign w:val="center"/>
            <w:hideMark/>
          </w:tcPr>
          <w:p w14:paraId="43F1314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5B0E2E95" w14:textId="77777777" w:rsidTr="00B41800">
        <w:trPr>
          <w:cantSplit/>
          <w:trHeight w:val="510"/>
        </w:trPr>
        <w:tc>
          <w:tcPr>
            <w:tcW w:w="1276" w:type="dxa"/>
            <w:vMerge/>
            <w:tcBorders>
              <w:top w:val="nil"/>
              <w:left w:val="single" w:sz="4" w:space="0" w:color="auto"/>
              <w:bottom w:val="single" w:sz="4" w:space="0" w:color="000000"/>
              <w:right w:val="single" w:sz="4" w:space="0" w:color="auto"/>
            </w:tcBorders>
            <w:vAlign w:val="center"/>
            <w:hideMark/>
          </w:tcPr>
          <w:p w14:paraId="761615C2"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484DB8C6"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68B6632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Far North QLD - Cairns</w:t>
            </w:r>
          </w:p>
        </w:tc>
        <w:tc>
          <w:tcPr>
            <w:tcW w:w="991" w:type="dxa"/>
            <w:tcBorders>
              <w:top w:val="nil"/>
              <w:left w:val="nil"/>
              <w:bottom w:val="single" w:sz="4" w:space="0" w:color="auto"/>
              <w:right w:val="single" w:sz="4" w:space="0" w:color="auto"/>
            </w:tcBorders>
            <w:shd w:val="clear" w:color="000000" w:fill="FFFFFF"/>
            <w:vAlign w:val="center"/>
            <w:hideMark/>
          </w:tcPr>
          <w:p w14:paraId="380716E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030765A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Lone Star Company</w:t>
            </w:r>
          </w:p>
        </w:tc>
        <w:tc>
          <w:tcPr>
            <w:tcW w:w="1950" w:type="dxa"/>
            <w:tcBorders>
              <w:top w:val="nil"/>
              <w:left w:val="nil"/>
              <w:bottom w:val="single" w:sz="4" w:space="0" w:color="auto"/>
              <w:right w:val="single" w:sz="4" w:space="0" w:color="auto"/>
            </w:tcBorders>
            <w:shd w:val="clear" w:color="000000" w:fill="FFFFFF"/>
            <w:vAlign w:val="center"/>
            <w:hideMark/>
          </w:tcPr>
          <w:p w14:paraId="4DD4870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Lone Star- Film and Television Employment Project</w:t>
            </w:r>
          </w:p>
        </w:tc>
        <w:tc>
          <w:tcPr>
            <w:tcW w:w="1389" w:type="dxa"/>
            <w:tcBorders>
              <w:top w:val="nil"/>
              <w:left w:val="nil"/>
              <w:bottom w:val="single" w:sz="4" w:space="0" w:color="auto"/>
              <w:right w:val="single" w:sz="4" w:space="0" w:color="auto"/>
            </w:tcBorders>
            <w:shd w:val="clear" w:color="000000" w:fill="FFFFFF"/>
            <w:vAlign w:val="center"/>
            <w:hideMark/>
          </w:tcPr>
          <w:p w14:paraId="6D4DB21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Glenys Huyser</w:t>
            </w:r>
          </w:p>
        </w:tc>
        <w:tc>
          <w:tcPr>
            <w:tcW w:w="1384" w:type="dxa"/>
            <w:tcBorders>
              <w:top w:val="nil"/>
              <w:left w:val="nil"/>
              <w:bottom w:val="single" w:sz="4" w:space="0" w:color="auto"/>
              <w:right w:val="single" w:sz="4" w:space="0" w:color="auto"/>
            </w:tcBorders>
            <w:shd w:val="clear" w:color="000000" w:fill="FFFFFF"/>
            <w:vAlign w:val="center"/>
            <w:hideMark/>
          </w:tcPr>
          <w:p w14:paraId="58B658A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w:t>
            </w:r>
          </w:p>
        </w:tc>
        <w:tc>
          <w:tcPr>
            <w:tcW w:w="898" w:type="dxa"/>
            <w:tcBorders>
              <w:top w:val="nil"/>
              <w:left w:val="nil"/>
              <w:bottom w:val="single" w:sz="4" w:space="0" w:color="auto"/>
              <w:right w:val="single" w:sz="4" w:space="0" w:color="auto"/>
            </w:tcBorders>
            <w:shd w:val="clear" w:color="000000" w:fill="FFFFFF"/>
            <w:vAlign w:val="center"/>
            <w:hideMark/>
          </w:tcPr>
          <w:p w14:paraId="6673C3F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0232285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TBC</w:t>
            </w:r>
          </w:p>
        </w:tc>
        <w:tc>
          <w:tcPr>
            <w:tcW w:w="1235" w:type="dxa"/>
            <w:tcBorders>
              <w:top w:val="nil"/>
              <w:left w:val="nil"/>
              <w:bottom w:val="single" w:sz="4" w:space="0" w:color="auto"/>
              <w:right w:val="single" w:sz="4" w:space="0" w:color="auto"/>
            </w:tcBorders>
            <w:shd w:val="clear" w:color="000000" w:fill="FFFFFF"/>
            <w:vAlign w:val="center"/>
            <w:hideMark/>
          </w:tcPr>
          <w:p w14:paraId="59422EE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5B76B7C5" w14:textId="77777777" w:rsidTr="00B41800">
        <w:trPr>
          <w:cantSplit/>
          <w:trHeight w:val="1275"/>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1DF2BA"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South Queensland</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F5B94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Brisbane</w:t>
            </w:r>
          </w:p>
        </w:tc>
        <w:tc>
          <w:tcPr>
            <w:tcW w:w="1088" w:type="dxa"/>
            <w:tcBorders>
              <w:top w:val="nil"/>
              <w:left w:val="nil"/>
              <w:bottom w:val="single" w:sz="4" w:space="0" w:color="auto"/>
              <w:right w:val="single" w:sz="4" w:space="0" w:color="auto"/>
            </w:tcBorders>
            <w:shd w:val="clear" w:color="000000" w:fill="FFFFFF"/>
            <w:vAlign w:val="center"/>
            <w:hideMark/>
          </w:tcPr>
          <w:p w14:paraId="62D21F0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South QLD - Brisbane</w:t>
            </w:r>
          </w:p>
        </w:tc>
        <w:tc>
          <w:tcPr>
            <w:tcW w:w="991" w:type="dxa"/>
            <w:tcBorders>
              <w:top w:val="nil"/>
              <w:left w:val="nil"/>
              <w:bottom w:val="single" w:sz="4" w:space="0" w:color="auto"/>
              <w:right w:val="single" w:sz="4" w:space="0" w:color="auto"/>
            </w:tcBorders>
            <w:shd w:val="clear" w:color="000000" w:fill="FFFFFF"/>
            <w:vAlign w:val="center"/>
            <w:hideMark/>
          </w:tcPr>
          <w:p w14:paraId="31FE278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7E3FAF9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Yourtown</w:t>
            </w:r>
          </w:p>
        </w:tc>
        <w:tc>
          <w:tcPr>
            <w:tcW w:w="1950" w:type="dxa"/>
            <w:tcBorders>
              <w:top w:val="nil"/>
              <w:left w:val="nil"/>
              <w:bottom w:val="single" w:sz="4" w:space="0" w:color="auto"/>
              <w:right w:val="single" w:sz="4" w:space="0" w:color="auto"/>
            </w:tcBorders>
            <w:shd w:val="clear" w:color="000000" w:fill="FFFFFF"/>
            <w:vAlign w:val="center"/>
            <w:hideMark/>
          </w:tcPr>
          <w:p w14:paraId="6C4071F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Yourtown - School Based Traineeship Project - 2018</w:t>
            </w:r>
          </w:p>
        </w:tc>
        <w:tc>
          <w:tcPr>
            <w:tcW w:w="1389" w:type="dxa"/>
            <w:tcBorders>
              <w:top w:val="nil"/>
              <w:left w:val="nil"/>
              <w:bottom w:val="single" w:sz="4" w:space="0" w:color="auto"/>
              <w:right w:val="single" w:sz="4" w:space="0" w:color="auto"/>
            </w:tcBorders>
            <w:shd w:val="clear" w:color="000000" w:fill="FFFFFF"/>
            <w:vAlign w:val="center"/>
            <w:hideMark/>
          </w:tcPr>
          <w:p w14:paraId="7F604A5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Katherine Jurd</w:t>
            </w:r>
          </w:p>
        </w:tc>
        <w:tc>
          <w:tcPr>
            <w:tcW w:w="1384" w:type="dxa"/>
            <w:tcBorders>
              <w:top w:val="nil"/>
              <w:left w:val="nil"/>
              <w:bottom w:val="single" w:sz="4" w:space="0" w:color="auto"/>
              <w:right w:val="single" w:sz="4" w:space="0" w:color="auto"/>
            </w:tcBorders>
            <w:shd w:val="clear" w:color="000000" w:fill="FFFFFF"/>
            <w:vAlign w:val="center"/>
            <w:hideMark/>
          </w:tcPr>
          <w:p w14:paraId="2C12094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4AFB093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1B9D58B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7E609D1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328B2A44" w14:textId="77777777" w:rsidTr="00B41800">
        <w:trPr>
          <w:cantSplit/>
          <w:trHeight w:val="1020"/>
        </w:trPr>
        <w:tc>
          <w:tcPr>
            <w:tcW w:w="1276" w:type="dxa"/>
            <w:vMerge/>
            <w:tcBorders>
              <w:top w:val="nil"/>
              <w:left w:val="single" w:sz="4" w:space="0" w:color="auto"/>
              <w:bottom w:val="single" w:sz="4" w:space="0" w:color="000000"/>
              <w:right w:val="single" w:sz="4" w:space="0" w:color="auto"/>
            </w:tcBorders>
            <w:vAlign w:val="center"/>
            <w:hideMark/>
          </w:tcPr>
          <w:p w14:paraId="7474E0B2"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42DD0E97"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35858F7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South QLD - Brisbane</w:t>
            </w:r>
          </w:p>
        </w:tc>
        <w:tc>
          <w:tcPr>
            <w:tcW w:w="991" w:type="dxa"/>
            <w:tcBorders>
              <w:top w:val="nil"/>
              <w:left w:val="nil"/>
              <w:bottom w:val="single" w:sz="4" w:space="0" w:color="auto"/>
              <w:right w:val="single" w:sz="4" w:space="0" w:color="auto"/>
            </w:tcBorders>
            <w:shd w:val="clear" w:color="000000" w:fill="FFFFFF"/>
            <w:vAlign w:val="center"/>
            <w:hideMark/>
          </w:tcPr>
          <w:p w14:paraId="5FDED06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01EDF46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Indigenous Workstars</w:t>
            </w:r>
          </w:p>
        </w:tc>
        <w:tc>
          <w:tcPr>
            <w:tcW w:w="1950" w:type="dxa"/>
            <w:tcBorders>
              <w:top w:val="nil"/>
              <w:left w:val="nil"/>
              <w:bottom w:val="single" w:sz="4" w:space="0" w:color="auto"/>
              <w:right w:val="single" w:sz="4" w:space="0" w:color="auto"/>
            </w:tcBorders>
            <w:shd w:val="clear" w:color="000000" w:fill="FFFFFF"/>
            <w:vAlign w:val="center"/>
            <w:hideMark/>
          </w:tcPr>
          <w:p w14:paraId="20C51BD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 -Indigenous Workstars VTEC-Central Qld &amp; Sunshine Coast</w:t>
            </w:r>
          </w:p>
        </w:tc>
        <w:tc>
          <w:tcPr>
            <w:tcW w:w="1389" w:type="dxa"/>
            <w:tcBorders>
              <w:top w:val="nil"/>
              <w:left w:val="nil"/>
              <w:bottom w:val="single" w:sz="4" w:space="0" w:color="auto"/>
              <w:right w:val="single" w:sz="4" w:space="0" w:color="auto"/>
            </w:tcBorders>
            <w:shd w:val="clear" w:color="000000" w:fill="FFFFFF"/>
            <w:vAlign w:val="center"/>
            <w:hideMark/>
          </w:tcPr>
          <w:p w14:paraId="44C9981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Cathy Irwin</w:t>
            </w:r>
          </w:p>
        </w:tc>
        <w:tc>
          <w:tcPr>
            <w:tcW w:w="1384" w:type="dxa"/>
            <w:tcBorders>
              <w:top w:val="nil"/>
              <w:left w:val="nil"/>
              <w:bottom w:val="single" w:sz="4" w:space="0" w:color="auto"/>
              <w:right w:val="single" w:sz="4" w:space="0" w:color="auto"/>
            </w:tcBorders>
            <w:shd w:val="clear" w:color="000000" w:fill="FFFFFF"/>
            <w:vAlign w:val="center"/>
            <w:hideMark/>
          </w:tcPr>
          <w:p w14:paraId="04DD8A4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420F3F7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5E0227A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13B8C5D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12B064D3" w14:textId="77777777" w:rsidTr="00B41800">
        <w:trPr>
          <w:cantSplit/>
          <w:trHeight w:val="93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FE14607"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Top End and Tiwi Islands</w:t>
            </w:r>
          </w:p>
        </w:tc>
        <w:tc>
          <w:tcPr>
            <w:tcW w:w="1053" w:type="dxa"/>
            <w:tcBorders>
              <w:top w:val="nil"/>
              <w:left w:val="nil"/>
              <w:bottom w:val="single" w:sz="4" w:space="0" w:color="auto"/>
              <w:right w:val="single" w:sz="4" w:space="0" w:color="auto"/>
            </w:tcBorders>
            <w:shd w:val="clear" w:color="000000" w:fill="FFFFFF"/>
            <w:vAlign w:val="center"/>
            <w:hideMark/>
          </w:tcPr>
          <w:p w14:paraId="20482D6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Darwin</w:t>
            </w:r>
          </w:p>
        </w:tc>
        <w:tc>
          <w:tcPr>
            <w:tcW w:w="1088" w:type="dxa"/>
            <w:tcBorders>
              <w:top w:val="nil"/>
              <w:left w:val="nil"/>
              <w:bottom w:val="single" w:sz="4" w:space="0" w:color="auto"/>
              <w:right w:val="single" w:sz="4" w:space="0" w:color="auto"/>
            </w:tcBorders>
            <w:shd w:val="clear" w:color="000000" w:fill="FFFFFF"/>
            <w:vAlign w:val="center"/>
            <w:hideMark/>
          </w:tcPr>
          <w:p w14:paraId="0C03488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Central Australia - Alice Springs</w:t>
            </w:r>
          </w:p>
        </w:tc>
        <w:tc>
          <w:tcPr>
            <w:tcW w:w="991" w:type="dxa"/>
            <w:tcBorders>
              <w:top w:val="nil"/>
              <w:left w:val="nil"/>
              <w:bottom w:val="single" w:sz="4" w:space="0" w:color="auto"/>
              <w:right w:val="single" w:sz="4" w:space="0" w:color="auto"/>
            </w:tcBorders>
            <w:shd w:val="clear" w:color="000000" w:fill="FFFFFF"/>
            <w:vAlign w:val="center"/>
            <w:hideMark/>
          </w:tcPr>
          <w:p w14:paraId="750210A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6B46881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Karen Sheldon Group</w:t>
            </w:r>
          </w:p>
        </w:tc>
        <w:tc>
          <w:tcPr>
            <w:tcW w:w="1950" w:type="dxa"/>
            <w:tcBorders>
              <w:top w:val="nil"/>
              <w:left w:val="nil"/>
              <w:bottom w:val="single" w:sz="4" w:space="0" w:color="auto"/>
              <w:right w:val="single" w:sz="4" w:space="0" w:color="auto"/>
            </w:tcBorders>
            <w:shd w:val="clear" w:color="000000" w:fill="FFFFFF"/>
            <w:vAlign w:val="center"/>
            <w:hideMark/>
          </w:tcPr>
          <w:p w14:paraId="0BDF28D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 Karen Sheldon NT</w:t>
            </w:r>
          </w:p>
        </w:tc>
        <w:tc>
          <w:tcPr>
            <w:tcW w:w="1389" w:type="dxa"/>
            <w:tcBorders>
              <w:top w:val="nil"/>
              <w:left w:val="nil"/>
              <w:bottom w:val="single" w:sz="4" w:space="0" w:color="auto"/>
              <w:right w:val="single" w:sz="4" w:space="0" w:color="auto"/>
            </w:tcBorders>
            <w:shd w:val="clear" w:color="000000" w:fill="FFFFFF"/>
            <w:vAlign w:val="center"/>
            <w:hideMark/>
          </w:tcPr>
          <w:p w14:paraId="0B2E247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Dianne Bramich</w:t>
            </w:r>
          </w:p>
        </w:tc>
        <w:tc>
          <w:tcPr>
            <w:tcW w:w="1384" w:type="dxa"/>
            <w:tcBorders>
              <w:top w:val="nil"/>
              <w:left w:val="nil"/>
              <w:bottom w:val="single" w:sz="4" w:space="0" w:color="auto"/>
              <w:right w:val="single" w:sz="4" w:space="0" w:color="auto"/>
            </w:tcBorders>
            <w:shd w:val="clear" w:color="000000" w:fill="FFFFFF"/>
            <w:vAlign w:val="center"/>
            <w:hideMark/>
          </w:tcPr>
          <w:p w14:paraId="0439755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2B58815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7D660F6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4F6938A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3684EF94" w14:textId="77777777" w:rsidTr="00B41800">
        <w:trPr>
          <w:cantSplit/>
          <w:trHeight w:val="51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4189E90"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Kimberley</w:t>
            </w:r>
          </w:p>
        </w:tc>
        <w:tc>
          <w:tcPr>
            <w:tcW w:w="1053" w:type="dxa"/>
            <w:tcBorders>
              <w:top w:val="nil"/>
              <w:left w:val="nil"/>
              <w:bottom w:val="single" w:sz="4" w:space="0" w:color="auto"/>
              <w:right w:val="single" w:sz="4" w:space="0" w:color="auto"/>
            </w:tcBorders>
            <w:shd w:val="clear" w:color="000000" w:fill="FFFFFF"/>
            <w:vAlign w:val="center"/>
            <w:hideMark/>
          </w:tcPr>
          <w:p w14:paraId="0F87BEB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Kimberley</w:t>
            </w:r>
          </w:p>
        </w:tc>
        <w:tc>
          <w:tcPr>
            <w:tcW w:w="1088" w:type="dxa"/>
            <w:tcBorders>
              <w:top w:val="nil"/>
              <w:left w:val="nil"/>
              <w:bottom w:val="single" w:sz="4" w:space="0" w:color="auto"/>
              <w:right w:val="single" w:sz="4" w:space="0" w:color="auto"/>
            </w:tcBorders>
            <w:shd w:val="clear" w:color="000000" w:fill="FFFFFF"/>
            <w:vAlign w:val="center"/>
            <w:hideMark/>
          </w:tcPr>
          <w:p w14:paraId="65AC92D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Greater WA - Perth</w:t>
            </w:r>
          </w:p>
        </w:tc>
        <w:tc>
          <w:tcPr>
            <w:tcW w:w="991" w:type="dxa"/>
            <w:tcBorders>
              <w:top w:val="nil"/>
              <w:left w:val="nil"/>
              <w:bottom w:val="single" w:sz="4" w:space="0" w:color="auto"/>
              <w:right w:val="single" w:sz="4" w:space="0" w:color="auto"/>
            </w:tcBorders>
            <w:shd w:val="clear" w:color="000000" w:fill="FFFFFF"/>
            <w:vAlign w:val="center"/>
            <w:hideMark/>
          </w:tcPr>
          <w:p w14:paraId="28899DC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42763E5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Group Training Australia</w:t>
            </w:r>
          </w:p>
        </w:tc>
        <w:tc>
          <w:tcPr>
            <w:tcW w:w="1950" w:type="dxa"/>
            <w:tcBorders>
              <w:top w:val="nil"/>
              <w:left w:val="nil"/>
              <w:bottom w:val="single" w:sz="4" w:space="0" w:color="auto"/>
              <w:right w:val="single" w:sz="4" w:space="0" w:color="auto"/>
            </w:tcBorders>
            <w:shd w:val="clear" w:color="000000" w:fill="FFFFFF"/>
            <w:vAlign w:val="center"/>
            <w:hideMark/>
          </w:tcPr>
          <w:p w14:paraId="4D43980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 NAEN National  2018 - 2019 Kimberley Region</w:t>
            </w:r>
          </w:p>
        </w:tc>
        <w:tc>
          <w:tcPr>
            <w:tcW w:w="1389" w:type="dxa"/>
            <w:tcBorders>
              <w:top w:val="nil"/>
              <w:left w:val="nil"/>
              <w:bottom w:val="single" w:sz="4" w:space="0" w:color="auto"/>
              <w:right w:val="single" w:sz="4" w:space="0" w:color="auto"/>
            </w:tcBorders>
            <w:shd w:val="clear" w:color="000000" w:fill="FFFFFF"/>
            <w:vAlign w:val="center"/>
            <w:hideMark/>
          </w:tcPr>
          <w:p w14:paraId="352B41D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Michelle Depiazzi</w:t>
            </w:r>
          </w:p>
        </w:tc>
        <w:tc>
          <w:tcPr>
            <w:tcW w:w="1384" w:type="dxa"/>
            <w:tcBorders>
              <w:top w:val="nil"/>
              <w:left w:val="nil"/>
              <w:bottom w:val="single" w:sz="4" w:space="0" w:color="auto"/>
              <w:right w:val="single" w:sz="4" w:space="0" w:color="auto"/>
            </w:tcBorders>
            <w:shd w:val="clear" w:color="000000" w:fill="FFFFFF"/>
            <w:vAlign w:val="center"/>
            <w:hideMark/>
          </w:tcPr>
          <w:p w14:paraId="578AC3E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Remote</w:t>
            </w:r>
          </w:p>
        </w:tc>
        <w:tc>
          <w:tcPr>
            <w:tcW w:w="898" w:type="dxa"/>
            <w:tcBorders>
              <w:top w:val="nil"/>
              <w:left w:val="nil"/>
              <w:bottom w:val="single" w:sz="4" w:space="0" w:color="auto"/>
              <w:right w:val="single" w:sz="4" w:space="0" w:color="auto"/>
            </w:tcBorders>
            <w:shd w:val="clear" w:color="000000" w:fill="FFFFFF"/>
            <w:vAlign w:val="center"/>
            <w:hideMark/>
          </w:tcPr>
          <w:p w14:paraId="01896D9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103E5EC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43C6A3C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469DF1BB" w14:textId="77777777" w:rsidTr="00B41800">
        <w:trPr>
          <w:cantSplit/>
          <w:trHeight w:val="51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4E7D570"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Arnhem Land</w:t>
            </w:r>
          </w:p>
        </w:tc>
        <w:tc>
          <w:tcPr>
            <w:tcW w:w="1053" w:type="dxa"/>
            <w:tcBorders>
              <w:top w:val="nil"/>
              <w:left w:val="nil"/>
              <w:bottom w:val="single" w:sz="4" w:space="0" w:color="auto"/>
              <w:right w:val="single" w:sz="4" w:space="0" w:color="auto"/>
            </w:tcBorders>
            <w:shd w:val="clear" w:color="000000" w:fill="FFFFFF"/>
            <w:vAlign w:val="center"/>
            <w:hideMark/>
          </w:tcPr>
          <w:p w14:paraId="6CF3E6E7" w14:textId="77777777" w:rsidR="00C1765C" w:rsidRPr="00820C89" w:rsidRDefault="00C1765C" w:rsidP="006D2536">
            <w:pPr>
              <w:spacing w:after="0" w:line="240" w:lineRule="auto"/>
              <w:rPr>
                <w:rFonts w:eastAsia="Times New Roman" w:cs="Times New Roman"/>
                <w:i/>
                <w:iCs/>
                <w:sz w:val="16"/>
                <w:szCs w:val="16"/>
                <w:lang w:eastAsia="en-AU"/>
              </w:rPr>
            </w:pPr>
            <w:r w:rsidRPr="00820C89">
              <w:rPr>
                <w:rFonts w:eastAsia="Times New Roman" w:cs="Times New Roman"/>
                <w:i/>
                <w:iCs/>
                <w:sz w:val="16"/>
                <w:szCs w:val="16"/>
                <w:lang w:eastAsia="en-AU"/>
              </w:rPr>
              <w:t>TBC</w:t>
            </w:r>
          </w:p>
        </w:tc>
        <w:tc>
          <w:tcPr>
            <w:tcW w:w="1088" w:type="dxa"/>
            <w:tcBorders>
              <w:top w:val="nil"/>
              <w:left w:val="nil"/>
              <w:bottom w:val="single" w:sz="4" w:space="0" w:color="auto"/>
              <w:right w:val="single" w:sz="4" w:space="0" w:color="auto"/>
            </w:tcBorders>
            <w:shd w:val="clear" w:color="000000" w:fill="FFFFFF"/>
            <w:vAlign w:val="center"/>
            <w:hideMark/>
          </w:tcPr>
          <w:p w14:paraId="63EE151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w:t>
            </w:r>
          </w:p>
        </w:tc>
        <w:tc>
          <w:tcPr>
            <w:tcW w:w="991" w:type="dxa"/>
            <w:tcBorders>
              <w:top w:val="nil"/>
              <w:left w:val="nil"/>
              <w:bottom w:val="single" w:sz="4" w:space="0" w:color="auto"/>
              <w:right w:val="single" w:sz="4" w:space="0" w:color="auto"/>
            </w:tcBorders>
            <w:shd w:val="clear" w:color="000000" w:fill="FFFFFF"/>
            <w:vAlign w:val="center"/>
            <w:hideMark/>
          </w:tcPr>
          <w:p w14:paraId="3FACFAA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w:t>
            </w:r>
          </w:p>
        </w:tc>
        <w:tc>
          <w:tcPr>
            <w:tcW w:w="1281" w:type="dxa"/>
            <w:tcBorders>
              <w:top w:val="nil"/>
              <w:left w:val="nil"/>
              <w:bottom w:val="single" w:sz="4" w:space="0" w:color="auto"/>
              <w:right w:val="single" w:sz="4" w:space="0" w:color="auto"/>
            </w:tcBorders>
            <w:shd w:val="clear" w:color="000000" w:fill="FFFFFF"/>
            <w:vAlign w:val="center"/>
            <w:hideMark/>
          </w:tcPr>
          <w:p w14:paraId="6A1817C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w:t>
            </w:r>
          </w:p>
        </w:tc>
        <w:tc>
          <w:tcPr>
            <w:tcW w:w="1950" w:type="dxa"/>
            <w:tcBorders>
              <w:top w:val="nil"/>
              <w:left w:val="nil"/>
              <w:bottom w:val="single" w:sz="4" w:space="0" w:color="auto"/>
              <w:right w:val="single" w:sz="4" w:space="0" w:color="auto"/>
            </w:tcBorders>
            <w:shd w:val="clear" w:color="000000" w:fill="FFFFFF"/>
            <w:vAlign w:val="center"/>
            <w:hideMark/>
          </w:tcPr>
          <w:p w14:paraId="395521F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w:t>
            </w:r>
          </w:p>
        </w:tc>
        <w:tc>
          <w:tcPr>
            <w:tcW w:w="1389" w:type="dxa"/>
            <w:tcBorders>
              <w:top w:val="nil"/>
              <w:left w:val="nil"/>
              <w:bottom w:val="single" w:sz="4" w:space="0" w:color="auto"/>
              <w:right w:val="single" w:sz="4" w:space="0" w:color="auto"/>
            </w:tcBorders>
            <w:shd w:val="clear" w:color="000000" w:fill="FFFFFF"/>
            <w:vAlign w:val="center"/>
            <w:hideMark/>
          </w:tcPr>
          <w:p w14:paraId="120486B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w:t>
            </w:r>
          </w:p>
        </w:tc>
        <w:tc>
          <w:tcPr>
            <w:tcW w:w="1384" w:type="dxa"/>
            <w:tcBorders>
              <w:top w:val="nil"/>
              <w:left w:val="nil"/>
              <w:bottom w:val="single" w:sz="4" w:space="0" w:color="auto"/>
              <w:right w:val="single" w:sz="4" w:space="0" w:color="auto"/>
            </w:tcBorders>
            <w:shd w:val="clear" w:color="000000" w:fill="FFFFFF"/>
            <w:vAlign w:val="center"/>
            <w:hideMark/>
          </w:tcPr>
          <w:p w14:paraId="52B1556D" w14:textId="77777777" w:rsidR="00C1765C" w:rsidRPr="00820C89" w:rsidRDefault="00C1765C" w:rsidP="006D2536">
            <w:pPr>
              <w:spacing w:after="0" w:line="240" w:lineRule="auto"/>
              <w:jc w:val="center"/>
              <w:rPr>
                <w:rFonts w:eastAsia="Times New Roman" w:cs="Times New Roman"/>
                <w:sz w:val="16"/>
                <w:szCs w:val="16"/>
                <w:lang w:eastAsia="en-AU"/>
              </w:rPr>
            </w:pPr>
            <w:r w:rsidRPr="00820C89">
              <w:rPr>
                <w:rFonts w:eastAsia="Times New Roman" w:cs="Times New Roman"/>
                <w:sz w:val="16"/>
                <w:szCs w:val="16"/>
                <w:lang w:eastAsia="en-AU"/>
              </w:rPr>
              <w:t> </w:t>
            </w:r>
          </w:p>
        </w:tc>
        <w:tc>
          <w:tcPr>
            <w:tcW w:w="898" w:type="dxa"/>
            <w:tcBorders>
              <w:top w:val="nil"/>
              <w:left w:val="nil"/>
              <w:bottom w:val="single" w:sz="4" w:space="0" w:color="auto"/>
              <w:right w:val="single" w:sz="4" w:space="0" w:color="auto"/>
            </w:tcBorders>
            <w:shd w:val="clear" w:color="000000" w:fill="FFFFFF"/>
            <w:vAlign w:val="center"/>
            <w:hideMark/>
          </w:tcPr>
          <w:p w14:paraId="782717DA" w14:textId="77777777" w:rsidR="00C1765C" w:rsidRPr="00820C89" w:rsidRDefault="00C1765C" w:rsidP="006D2536">
            <w:pPr>
              <w:spacing w:after="0" w:line="240" w:lineRule="auto"/>
              <w:jc w:val="center"/>
              <w:rPr>
                <w:rFonts w:eastAsia="Times New Roman" w:cs="Times New Roman"/>
                <w:sz w:val="16"/>
                <w:szCs w:val="16"/>
                <w:lang w:eastAsia="en-AU"/>
              </w:rPr>
            </w:pPr>
            <w:r w:rsidRPr="00820C89">
              <w:rPr>
                <w:rFonts w:eastAsia="Times New Roman" w:cs="Times New Roman"/>
                <w:sz w:val="16"/>
                <w:szCs w:val="16"/>
                <w:lang w:eastAsia="en-AU"/>
              </w:rPr>
              <w:t> </w:t>
            </w:r>
          </w:p>
        </w:tc>
        <w:tc>
          <w:tcPr>
            <w:tcW w:w="1214" w:type="dxa"/>
            <w:tcBorders>
              <w:top w:val="nil"/>
              <w:left w:val="nil"/>
              <w:bottom w:val="single" w:sz="4" w:space="0" w:color="auto"/>
              <w:right w:val="single" w:sz="4" w:space="0" w:color="auto"/>
            </w:tcBorders>
            <w:shd w:val="clear" w:color="000000" w:fill="FFFFFF"/>
            <w:vAlign w:val="center"/>
            <w:hideMark/>
          </w:tcPr>
          <w:p w14:paraId="0ECAFD8F" w14:textId="77777777" w:rsidR="00C1765C" w:rsidRPr="00820C89" w:rsidRDefault="00C1765C" w:rsidP="006D2536">
            <w:pPr>
              <w:spacing w:after="0" w:line="240" w:lineRule="auto"/>
              <w:jc w:val="center"/>
              <w:rPr>
                <w:rFonts w:eastAsia="Times New Roman" w:cs="Times New Roman"/>
                <w:sz w:val="16"/>
                <w:szCs w:val="16"/>
                <w:lang w:eastAsia="en-AU"/>
              </w:rPr>
            </w:pPr>
            <w:r w:rsidRPr="00820C89">
              <w:rPr>
                <w:rFonts w:eastAsia="Times New Roman" w:cs="Times New Roman"/>
                <w:sz w:val="16"/>
                <w:szCs w:val="16"/>
                <w:lang w:eastAsia="en-AU"/>
              </w:rPr>
              <w:t> </w:t>
            </w:r>
          </w:p>
        </w:tc>
        <w:tc>
          <w:tcPr>
            <w:tcW w:w="1235" w:type="dxa"/>
            <w:tcBorders>
              <w:top w:val="nil"/>
              <w:left w:val="nil"/>
              <w:bottom w:val="single" w:sz="4" w:space="0" w:color="auto"/>
              <w:right w:val="single" w:sz="4" w:space="0" w:color="auto"/>
            </w:tcBorders>
            <w:shd w:val="clear" w:color="000000" w:fill="FFFFFF"/>
            <w:vAlign w:val="center"/>
            <w:hideMark/>
          </w:tcPr>
          <w:p w14:paraId="1C6E1810" w14:textId="77777777" w:rsidR="00C1765C" w:rsidRPr="00820C89" w:rsidRDefault="00C1765C" w:rsidP="006D2536">
            <w:pPr>
              <w:spacing w:after="0" w:line="240" w:lineRule="auto"/>
              <w:jc w:val="center"/>
              <w:rPr>
                <w:rFonts w:eastAsia="Times New Roman" w:cs="Times New Roman"/>
                <w:sz w:val="16"/>
                <w:szCs w:val="16"/>
                <w:lang w:eastAsia="en-AU"/>
              </w:rPr>
            </w:pPr>
            <w:r w:rsidRPr="00820C89">
              <w:rPr>
                <w:rFonts w:eastAsia="Times New Roman" w:cs="Times New Roman"/>
                <w:sz w:val="16"/>
                <w:szCs w:val="16"/>
                <w:lang w:eastAsia="en-AU"/>
              </w:rPr>
              <w:t> </w:t>
            </w:r>
          </w:p>
        </w:tc>
      </w:tr>
    </w:tbl>
    <w:p w14:paraId="344F7D8F" w14:textId="77777777" w:rsidR="00C1765C" w:rsidRPr="00820C89" w:rsidRDefault="00C1765C" w:rsidP="00C1765C">
      <w:pPr>
        <w:spacing w:after="0"/>
        <w:rPr>
          <w:rFonts w:eastAsia="Times New Roman" w:cs="Arial"/>
          <w:sz w:val="60"/>
          <w:szCs w:val="20"/>
        </w:rPr>
        <w:sectPr w:rsidR="00C1765C" w:rsidRPr="00820C89" w:rsidSect="00B4609D">
          <w:pgSz w:w="16838" w:h="11906" w:orient="landscape" w:code="9"/>
          <w:pgMar w:top="1440" w:right="1440" w:bottom="1440" w:left="1440" w:header="680" w:footer="425" w:gutter="0"/>
          <w:cols w:space="284"/>
          <w:docGrid w:linePitch="360"/>
        </w:sectPr>
      </w:pPr>
    </w:p>
    <w:p w14:paraId="68909CA1" w14:textId="54F2945B" w:rsidR="00C1765C" w:rsidRPr="00820C89" w:rsidRDefault="00C1765C" w:rsidP="00C1765C">
      <w:pPr>
        <w:pStyle w:val="Heading1un-numbered"/>
        <w:rPr>
          <w:lang w:eastAsia="en-AU"/>
        </w:rPr>
      </w:pPr>
      <w:bookmarkStart w:id="582" w:name="_Toc82710832"/>
      <w:bookmarkStart w:id="583" w:name="_Toc101343361"/>
      <w:r w:rsidRPr="00820C89">
        <w:rPr>
          <w:lang w:eastAsia="en-AU"/>
        </w:rPr>
        <w:lastRenderedPageBreak/>
        <w:t>Limitation of our work</w:t>
      </w:r>
      <w:bookmarkEnd w:id="582"/>
      <w:bookmarkEnd w:id="583"/>
    </w:p>
    <w:p w14:paraId="0ED5C9D9" w14:textId="77777777" w:rsidR="00C1765C" w:rsidRPr="00820C89" w:rsidRDefault="00C1765C" w:rsidP="00C1765C">
      <w:pPr>
        <w:pStyle w:val="Heading2un-numbered"/>
      </w:pPr>
      <w:bookmarkStart w:id="584" w:name="_Toc82710833"/>
      <w:bookmarkStart w:id="585" w:name="_Toc101343362"/>
      <w:r w:rsidRPr="00820C89">
        <w:t>General use restriction</w:t>
      </w:r>
      <w:bookmarkEnd w:id="584"/>
      <w:bookmarkEnd w:id="585"/>
    </w:p>
    <w:p w14:paraId="701A879C" w14:textId="77777777" w:rsidR="00AD6D8D" w:rsidRDefault="00C1765C" w:rsidP="00AD6D8D">
      <w:pPr>
        <w:spacing w:after="2160"/>
      </w:pPr>
      <w:r w:rsidRPr="00820C89">
        <w:t>This report is prepared solely for the use of the National Indigenous Australians Agency. This report is not intended to and should not be used or relied upon by anyone else and we accept no duty of care to any other person or entity. The report has been prepared for the purpose of the Indigenous Employment Programs evaluation as set out in the contract dated 28 February 2020</w:t>
      </w:r>
      <w:r w:rsidR="00AD6D8D">
        <w:t xml:space="preserve">. </w:t>
      </w:r>
      <w:r w:rsidRPr="00820C89">
        <w:t>You should not refer to or use our name or the advice for any other purpose.</w:t>
      </w:r>
    </w:p>
    <w:p w14:paraId="25070AFA" w14:textId="77777777" w:rsidR="00AD6D8D" w:rsidRDefault="00AD6D8D" w:rsidP="00AD6D8D">
      <w:pPr>
        <w:spacing w:before="360" w:after="240"/>
        <w:rPr>
          <w:rFonts w:asciiTheme="majorHAnsi" w:hAnsiTheme="majorHAnsi"/>
          <w:sz w:val="14"/>
        </w:rPr>
      </w:pPr>
      <w:r>
        <w:rPr>
          <w:noProof/>
          <w:lang w:eastAsia="en-AU"/>
        </w:rPr>
        <mc:AlternateContent>
          <mc:Choice Requires="wpc">
            <w:drawing>
              <wp:inline distT="0" distB="0" distL="0" distR="0" wp14:anchorId="0F867CEE" wp14:editId="35736691">
                <wp:extent cx="2084400" cy="913710"/>
                <wp:effectExtent l="0" t="0" r="0"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Oval 5"/>
                        <wps:cNvSpPr>
                          <a:spLocks noChangeArrowheads="1"/>
                        </wps:cNvSpPr>
                        <wps:spPr bwMode="auto">
                          <a:xfrm>
                            <a:off x="1729740" y="243840"/>
                            <a:ext cx="96520" cy="97155"/>
                          </a:xfrm>
                          <a:prstGeom prst="ellipse">
                            <a:avLst/>
                          </a:prstGeom>
                          <a:solidFill>
                            <a:srgbClr val="85B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
                        <wps:cNvSpPr>
                          <a:spLocks noEditPoints="1"/>
                        </wps:cNvSpPr>
                        <wps:spPr bwMode="auto">
                          <a:xfrm>
                            <a:off x="635" y="635"/>
                            <a:ext cx="276860" cy="334645"/>
                          </a:xfrm>
                          <a:custGeom>
                            <a:avLst/>
                            <a:gdLst>
                              <a:gd name="T0" fmla="*/ 361 w 361"/>
                              <a:gd name="T1" fmla="*/ 209 h 436"/>
                              <a:gd name="T2" fmla="*/ 303 w 361"/>
                              <a:gd name="T3" fmla="*/ 377 h 436"/>
                              <a:gd name="T4" fmla="*/ 138 w 361"/>
                              <a:gd name="T5" fmla="*/ 436 h 436"/>
                              <a:gd name="T6" fmla="*/ 0 w 361"/>
                              <a:gd name="T7" fmla="*/ 436 h 436"/>
                              <a:gd name="T8" fmla="*/ 0 w 361"/>
                              <a:gd name="T9" fmla="*/ 0 h 436"/>
                              <a:gd name="T10" fmla="*/ 147 w 361"/>
                              <a:gd name="T11" fmla="*/ 0 h 436"/>
                              <a:gd name="T12" fmla="*/ 306 w 361"/>
                              <a:gd name="T13" fmla="*/ 54 h 436"/>
                              <a:gd name="T14" fmla="*/ 361 w 361"/>
                              <a:gd name="T15" fmla="*/ 209 h 436"/>
                              <a:gd name="T16" fmla="*/ 242 w 361"/>
                              <a:gd name="T17" fmla="*/ 213 h 436"/>
                              <a:gd name="T18" fmla="*/ 219 w 361"/>
                              <a:gd name="T19" fmla="*/ 124 h 436"/>
                              <a:gd name="T20" fmla="*/ 148 w 361"/>
                              <a:gd name="T21" fmla="*/ 95 h 436"/>
                              <a:gd name="T22" fmla="*/ 115 w 361"/>
                              <a:gd name="T23" fmla="*/ 95 h 436"/>
                              <a:gd name="T24" fmla="*/ 115 w 361"/>
                              <a:gd name="T25" fmla="*/ 339 h 436"/>
                              <a:gd name="T26" fmla="*/ 141 w 361"/>
                              <a:gd name="T27" fmla="*/ 339 h 436"/>
                              <a:gd name="T28" fmla="*/ 217 w 361"/>
                              <a:gd name="T29" fmla="*/ 308 h 436"/>
                              <a:gd name="T30" fmla="*/ 242 w 361"/>
                              <a:gd name="T31" fmla="*/ 213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1" h="436">
                                <a:moveTo>
                                  <a:pt x="361" y="209"/>
                                </a:moveTo>
                                <a:cubicBezTo>
                                  <a:pt x="361" y="282"/>
                                  <a:pt x="342" y="338"/>
                                  <a:pt x="303" y="377"/>
                                </a:cubicBezTo>
                                <a:cubicBezTo>
                                  <a:pt x="264" y="416"/>
                                  <a:pt x="209" y="436"/>
                                  <a:pt x="138" y="436"/>
                                </a:cubicBezTo>
                                <a:cubicBezTo>
                                  <a:pt x="0" y="436"/>
                                  <a:pt x="0" y="436"/>
                                  <a:pt x="0" y="436"/>
                                </a:cubicBezTo>
                                <a:cubicBezTo>
                                  <a:pt x="0" y="0"/>
                                  <a:pt x="0" y="0"/>
                                  <a:pt x="0" y="0"/>
                                </a:cubicBezTo>
                                <a:cubicBezTo>
                                  <a:pt x="147" y="0"/>
                                  <a:pt x="147" y="0"/>
                                  <a:pt x="147" y="0"/>
                                </a:cubicBezTo>
                                <a:cubicBezTo>
                                  <a:pt x="216" y="0"/>
                                  <a:pt x="268" y="18"/>
                                  <a:pt x="306" y="54"/>
                                </a:cubicBezTo>
                                <a:cubicBezTo>
                                  <a:pt x="343" y="89"/>
                                  <a:pt x="361" y="141"/>
                                  <a:pt x="361" y="209"/>
                                </a:cubicBezTo>
                                <a:moveTo>
                                  <a:pt x="242" y="213"/>
                                </a:moveTo>
                                <a:cubicBezTo>
                                  <a:pt x="242" y="173"/>
                                  <a:pt x="234" y="143"/>
                                  <a:pt x="219" y="124"/>
                                </a:cubicBezTo>
                                <a:cubicBezTo>
                                  <a:pt x="203" y="105"/>
                                  <a:pt x="180" y="95"/>
                                  <a:pt x="148" y="95"/>
                                </a:cubicBezTo>
                                <a:cubicBezTo>
                                  <a:pt x="115" y="95"/>
                                  <a:pt x="115" y="95"/>
                                  <a:pt x="115" y="95"/>
                                </a:cubicBezTo>
                                <a:cubicBezTo>
                                  <a:pt x="115" y="339"/>
                                  <a:pt x="115" y="339"/>
                                  <a:pt x="115" y="339"/>
                                </a:cubicBezTo>
                                <a:cubicBezTo>
                                  <a:pt x="141" y="339"/>
                                  <a:pt x="141" y="339"/>
                                  <a:pt x="141" y="339"/>
                                </a:cubicBezTo>
                                <a:cubicBezTo>
                                  <a:pt x="175" y="339"/>
                                  <a:pt x="201" y="329"/>
                                  <a:pt x="217" y="308"/>
                                </a:cubicBezTo>
                                <a:cubicBezTo>
                                  <a:pt x="234" y="288"/>
                                  <a:pt x="242" y="256"/>
                                  <a:pt x="242" y="213"/>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570230" y="-635"/>
                            <a:ext cx="84455" cy="335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8"/>
                        <wps:cNvSpPr>
                          <a:spLocks noEditPoints="1"/>
                        </wps:cNvSpPr>
                        <wps:spPr bwMode="auto">
                          <a:xfrm>
                            <a:off x="687705" y="81280"/>
                            <a:ext cx="243205" cy="259080"/>
                          </a:xfrm>
                          <a:custGeom>
                            <a:avLst/>
                            <a:gdLst>
                              <a:gd name="T0" fmla="*/ 317 w 317"/>
                              <a:gd name="T1" fmla="*/ 168 h 337"/>
                              <a:gd name="T2" fmla="*/ 275 w 317"/>
                              <a:gd name="T3" fmla="*/ 292 h 337"/>
                              <a:gd name="T4" fmla="*/ 158 w 317"/>
                              <a:gd name="T5" fmla="*/ 337 h 337"/>
                              <a:gd name="T6" fmla="*/ 42 w 317"/>
                              <a:gd name="T7" fmla="*/ 291 h 337"/>
                              <a:gd name="T8" fmla="*/ 0 w 317"/>
                              <a:gd name="T9" fmla="*/ 168 h 337"/>
                              <a:gd name="T10" fmla="*/ 42 w 317"/>
                              <a:gd name="T11" fmla="*/ 44 h 337"/>
                              <a:gd name="T12" fmla="*/ 159 w 317"/>
                              <a:gd name="T13" fmla="*/ 0 h 337"/>
                              <a:gd name="T14" fmla="*/ 242 w 317"/>
                              <a:gd name="T15" fmla="*/ 20 h 337"/>
                              <a:gd name="T16" fmla="*/ 298 w 317"/>
                              <a:gd name="T17" fmla="*/ 79 h 337"/>
                              <a:gd name="T18" fmla="*/ 317 w 317"/>
                              <a:gd name="T19" fmla="*/ 168 h 337"/>
                              <a:gd name="T20" fmla="*/ 111 w 317"/>
                              <a:gd name="T21" fmla="*/ 168 h 337"/>
                              <a:gd name="T22" fmla="*/ 122 w 317"/>
                              <a:gd name="T23" fmla="*/ 232 h 337"/>
                              <a:gd name="T24" fmla="*/ 159 w 317"/>
                              <a:gd name="T25" fmla="*/ 254 h 337"/>
                              <a:gd name="T26" fmla="*/ 195 w 317"/>
                              <a:gd name="T27" fmla="*/ 232 h 337"/>
                              <a:gd name="T28" fmla="*/ 205 w 317"/>
                              <a:gd name="T29" fmla="*/ 168 h 337"/>
                              <a:gd name="T30" fmla="*/ 195 w 317"/>
                              <a:gd name="T31" fmla="*/ 105 h 337"/>
                              <a:gd name="T32" fmla="*/ 158 w 317"/>
                              <a:gd name="T33" fmla="*/ 84 h 337"/>
                              <a:gd name="T34" fmla="*/ 122 w 317"/>
                              <a:gd name="T35" fmla="*/ 105 h 337"/>
                              <a:gd name="T36" fmla="*/ 111 w 317"/>
                              <a:gd name="T37" fmla="*/ 16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7" h="337">
                                <a:moveTo>
                                  <a:pt x="317" y="168"/>
                                </a:moveTo>
                                <a:cubicBezTo>
                                  <a:pt x="317" y="221"/>
                                  <a:pt x="303" y="262"/>
                                  <a:pt x="275" y="292"/>
                                </a:cubicBezTo>
                                <a:cubicBezTo>
                                  <a:pt x="247" y="322"/>
                                  <a:pt x="208" y="337"/>
                                  <a:pt x="158" y="337"/>
                                </a:cubicBezTo>
                                <a:cubicBezTo>
                                  <a:pt x="109" y="337"/>
                                  <a:pt x="71" y="322"/>
                                  <a:pt x="42" y="291"/>
                                </a:cubicBezTo>
                                <a:cubicBezTo>
                                  <a:pt x="14" y="261"/>
                                  <a:pt x="0" y="220"/>
                                  <a:pt x="0" y="168"/>
                                </a:cubicBezTo>
                                <a:cubicBezTo>
                                  <a:pt x="0" y="115"/>
                                  <a:pt x="14" y="73"/>
                                  <a:pt x="42" y="44"/>
                                </a:cubicBezTo>
                                <a:cubicBezTo>
                                  <a:pt x="70" y="15"/>
                                  <a:pt x="109" y="0"/>
                                  <a:pt x="159" y="0"/>
                                </a:cubicBezTo>
                                <a:cubicBezTo>
                                  <a:pt x="191" y="0"/>
                                  <a:pt x="218" y="7"/>
                                  <a:pt x="242" y="20"/>
                                </a:cubicBezTo>
                                <a:cubicBezTo>
                                  <a:pt x="266" y="34"/>
                                  <a:pt x="284" y="53"/>
                                  <a:pt x="298" y="79"/>
                                </a:cubicBezTo>
                                <a:cubicBezTo>
                                  <a:pt x="310" y="104"/>
                                  <a:pt x="317" y="134"/>
                                  <a:pt x="317" y="168"/>
                                </a:cubicBezTo>
                                <a:moveTo>
                                  <a:pt x="111" y="168"/>
                                </a:moveTo>
                                <a:cubicBezTo>
                                  <a:pt x="111" y="196"/>
                                  <a:pt x="115" y="217"/>
                                  <a:pt x="122" y="232"/>
                                </a:cubicBezTo>
                                <a:cubicBezTo>
                                  <a:pt x="129" y="246"/>
                                  <a:pt x="142" y="254"/>
                                  <a:pt x="159" y="254"/>
                                </a:cubicBezTo>
                                <a:cubicBezTo>
                                  <a:pt x="176" y="254"/>
                                  <a:pt x="188" y="246"/>
                                  <a:pt x="195" y="232"/>
                                </a:cubicBezTo>
                                <a:cubicBezTo>
                                  <a:pt x="202" y="217"/>
                                  <a:pt x="205" y="196"/>
                                  <a:pt x="205" y="168"/>
                                </a:cubicBezTo>
                                <a:cubicBezTo>
                                  <a:pt x="205" y="140"/>
                                  <a:pt x="202" y="119"/>
                                  <a:pt x="195" y="105"/>
                                </a:cubicBezTo>
                                <a:cubicBezTo>
                                  <a:pt x="188" y="91"/>
                                  <a:pt x="175" y="84"/>
                                  <a:pt x="158" y="84"/>
                                </a:cubicBezTo>
                                <a:cubicBezTo>
                                  <a:pt x="141" y="84"/>
                                  <a:pt x="129" y="91"/>
                                  <a:pt x="122" y="105"/>
                                </a:cubicBezTo>
                                <a:cubicBezTo>
                                  <a:pt x="115" y="119"/>
                                  <a:pt x="111" y="140"/>
                                  <a:pt x="111" y="168"/>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9"/>
                        <wps:cNvSpPr>
                          <a:spLocks noChangeArrowheads="1"/>
                        </wps:cNvSpPr>
                        <wps:spPr bwMode="auto">
                          <a:xfrm>
                            <a:off x="964565" y="85725"/>
                            <a:ext cx="83185" cy="249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
                        <wps:cNvSpPr>
                          <a:spLocks noChangeArrowheads="1"/>
                        </wps:cNvSpPr>
                        <wps:spPr bwMode="auto">
                          <a:xfrm>
                            <a:off x="964565" y="-635"/>
                            <a:ext cx="83185" cy="55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11"/>
                        <wps:cNvSpPr>
                          <a:spLocks/>
                        </wps:cNvSpPr>
                        <wps:spPr bwMode="auto">
                          <a:xfrm>
                            <a:off x="1081405" y="6985"/>
                            <a:ext cx="178435" cy="333375"/>
                          </a:xfrm>
                          <a:custGeom>
                            <a:avLst/>
                            <a:gdLst>
                              <a:gd name="T0" fmla="*/ 179 w 232"/>
                              <a:gd name="T1" fmla="*/ 345 h 434"/>
                              <a:gd name="T2" fmla="*/ 232 w 232"/>
                              <a:gd name="T3" fmla="*/ 334 h 434"/>
                              <a:gd name="T4" fmla="*/ 232 w 232"/>
                              <a:gd name="T5" fmla="*/ 416 h 434"/>
                              <a:gd name="T6" fmla="*/ 189 w 232"/>
                              <a:gd name="T7" fmla="*/ 430 h 434"/>
                              <a:gd name="T8" fmla="*/ 142 w 232"/>
                              <a:gd name="T9" fmla="*/ 434 h 434"/>
                              <a:gd name="T10" fmla="*/ 63 w 232"/>
                              <a:gd name="T11" fmla="*/ 406 h 434"/>
                              <a:gd name="T12" fmla="*/ 38 w 232"/>
                              <a:gd name="T13" fmla="*/ 321 h 434"/>
                              <a:gd name="T14" fmla="*/ 38 w 232"/>
                              <a:gd name="T15" fmla="*/ 187 h 434"/>
                              <a:gd name="T16" fmla="*/ 0 w 232"/>
                              <a:gd name="T17" fmla="*/ 187 h 434"/>
                              <a:gd name="T18" fmla="*/ 0 w 232"/>
                              <a:gd name="T19" fmla="*/ 103 h 434"/>
                              <a:gd name="T20" fmla="*/ 38 w 232"/>
                              <a:gd name="T21" fmla="*/ 103 h 434"/>
                              <a:gd name="T22" fmla="*/ 38 w 232"/>
                              <a:gd name="T23" fmla="*/ 20 h 434"/>
                              <a:gd name="T24" fmla="*/ 149 w 232"/>
                              <a:gd name="T25" fmla="*/ 0 h 434"/>
                              <a:gd name="T26" fmla="*/ 149 w 232"/>
                              <a:gd name="T27" fmla="*/ 103 h 434"/>
                              <a:gd name="T28" fmla="*/ 219 w 232"/>
                              <a:gd name="T29" fmla="*/ 103 h 434"/>
                              <a:gd name="T30" fmla="*/ 219 w 232"/>
                              <a:gd name="T31" fmla="*/ 187 h 434"/>
                              <a:gd name="T32" fmla="*/ 149 w 232"/>
                              <a:gd name="T33" fmla="*/ 187 h 434"/>
                              <a:gd name="T34" fmla="*/ 149 w 232"/>
                              <a:gd name="T35" fmla="*/ 314 h 434"/>
                              <a:gd name="T36" fmla="*/ 179 w 232"/>
                              <a:gd name="T37" fmla="*/ 345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2" h="434">
                                <a:moveTo>
                                  <a:pt x="179" y="345"/>
                                </a:moveTo>
                                <a:cubicBezTo>
                                  <a:pt x="193" y="345"/>
                                  <a:pt x="211" y="341"/>
                                  <a:pt x="232" y="334"/>
                                </a:cubicBezTo>
                                <a:cubicBezTo>
                                  <a:pt x="232" y="416"/>
                                  <a:pt x="232" y="416"/>
                                  <a:pt x="232" y="416"/>
                                </a:cubicBezTo>
                                <a:cubicBezTo>
                                  <a:pt x="217" y="422"/>
                                  <a:pt x="203" y="427"/>
                                  <a:pt x="189" y="430"/>
                                </a:cubicBezTo>
                                <a:cubicBezTo>
                                  <a:pt x="176" y="433"/>
                                  <a:pt x="160" y="434"/>
                                  <a:pt x="142" y="434"/>
                                </a:cubicBezTo>
                                <a:cubicBezTo>
                                  <a:pt x="105" y="434"/>
                                  <a:pt x="79" y="425"/>
                                  <a:pt x="63" y="406"/>
                                </a:cubicBezTo>
                                <a:cubicBezTo>
                                  <a:pt x="46" y="388"/>
                                  <a:pt x="38" y="359"/>
                                  <a:pt x="38" y="321"/>
                                </a:cubicBezTo>
                                <a:cubicBezTo>
                                  <a:pt x="38" y="187"/>
                                  <a:pt x="38" y="187"/>
                                  <a:pt x="38" y="187"/>
                                </a:cubicBezTo>
                                <a:cubicBezTo>
                                  <a:pt x="0" y="187"/>
                                  <a:pt x="0" y="187"/>
                                  <a:pt x="0" y="187"/>
                                </a:cubicBezTo>
                                <a:cubicBezTo>
                                  <a:pt x="0" y="103"/>
                                  <a:pt x="0" y="103"/>
                                  <a:pt x="0" y="103"/>
                                </a:cubicBezTo>
                                <a:cubicBezTo>
                                  <a:pt x="38" y="103"/>
                                  <a:pt x="38" y="103"/>
                                  <a:pt x="38" y="103"/>
                                </a:cubicBezTo>
                                <a:cubicBezTo>
                                  <a:pt x="38" y="20"/>
                                  <a:pt x="38" y="20"/>
                                  <a:pt x="38" y="20"/>
                                </a:cubicBezTo>
                                <a:cubicBezTo>
                                  <a:pt x="149" y="0"/>
                                  <a:pt x="149" y="0"/>
                                  <a:pt x="149" y="0"/>
                                </a:cubicBezTo>
                                <a:cubicBezTo>
                                  <a:pt x="149" y="103"/>
                                  <a:pt x="149" y="103"/>
                                  <a:pt x="149" y="103"/>
                                </a:cubicBezTo>
                                <a:cubicBezTo>
                                  <a:pt x="219" y="103"/>
                                  <a:pt x="219" y="103"/>
                                  <a:pt x="219" y="103"/>
                                </a:cubicBezTo>
                                <a:cubicBezTo>
                                  <a:pt x="219" y="187"/>
                                  <a:pt x="219" y="187"/>
                                  <a:pt x="219" y="187"/>
                                </a:cubicBezTo>
                                <a:cubicBezTo>
                                  <a:pt x="149" y="187"/>
                                  <a:pt x="149" y="187"/>
                                  <a:pt x="149" y="187"/>
                                </a:cubicBezTo>
                                <a:cubicBezTo>
                                  <a:pt x="149" y="314"/>
                                  <a:pt x="149" y="314"/>
                                  <a:pt x="149" y="314"/>
                                </a:cubicBezTo>
                                <a:cubicBezTo>
                                  <a:pt x="149" y="335"/>
                                  <a:pt x="159" y="345"/>
                                  <a:pt x="179" y="345"/>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
                        <wps:cNvSpPr>
                          <a:spLocks/>
                        </wps:cNvSpPr>
                        <wps:spPr bwMode="auto">
                          <a:xfrm>
                            <a:off x="1276350" y="6985"/>
                            <a:ext cx="177165" cy="333375"/>
                          </a:xfrm>
                          <a:custGeom>
                            <a:avLst/>
                            <a:gdLst>
                              <a:gd name="T0" fmla="*/ 178 w 231"/>
                              <a:gd name="T1" fmla="*/ 345 h 434"/>
                              <a:gd name="T2" fmla="*/ 231 w 231"/>
                              <a:gd name="T3" fmla="*/ 334 h 434"/>
                              <a:gd name="T4" fmla="*/ 231 w 231"/>
                              <a:gd name="T5" fmla="*/ 416 h 434"/>
                              <a:gd name="T6" fmla="*/ 189 w 231"/>
                              <a:gd name="T7" fmla="*/ 430 h 434"/>
                              <a:gd name="T8" fmla="*/ 142 w 231"/>
                              <a:gd name="T9" fmla="*/ 434 h 434"/>
                              <a:gd name="T10" fmla="*/ 63 w 231"/>
                              <a:gd name="T11" fmla="*/ 406 h 434"/>
                              <a:gd name="T12" fmla="*/ 38 w 231"/>
                              <a:gd name="T13" fmla="*/ 321 h 434"/>
                              <a:gd name="T14" fmla="*/ 38 w 231"/>
                              <a:gd name="T15" fmla="*/ 187 h 434"/>
                              <a:gd name="T16" fmla="*/ 0 w 231"/>
                              <a:gd name="T17" fmla="*/ 187 h 434"/>
                              <a:gd name="T18" fmla="*/ 0 w 231"/>
                              <a:gd name="T19" fmla="*/ 103 h 434"/>
                              <a:gd name="T20" fmla="*/ 38 w 231"/>
                              <a:gd name="T21" fmla="*/ 103 h 434"/>
                              <a:gd name="T22" fmla="*/ 38 w 231"/>
                              <a:gd name="T23" fmla="*/ 18 h 434"/>
                              <a:gd name="T24" fmla="*/ 149 w 231"/>
                              <a:gd name="T25" fmla="*/ 0 h 434"/>
                              <a:gd name="T26" fmla="*/ 149 w 231"/>
                              <a:gd name="T27" fmla="*/ 103 h 434"/>
                              <a:gd name="T28" fmla="*/ 219 w 231"/>
                              <a:gd name="T29" fmla="*/ 103 h 434"/>
                              <a:gd name="T30" fmla="*/ 219 w 231"/>
                              <a:gd name="T31" fmla="*/ 187 h 434"/>
                              <a:gd name="T32" fmla="*/ 149 w 231"/>
                              <a:gd name="T33" fmla="*/ 187 h 434"/>
                              <a:gd name="T34" fmla="*/ 149 w 231"/>
                              <a:gd name="T35" fmla="*/ 314 h 434"/>
                              <a:gd name="T36" fmla="*/ 178 w 231"/>
                              <a:gd name="T37" fmla="*/ 345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1" h="434">
                                <a:moveTo>
                                  <a:pt x="178" y="345"/>
                                </a:moveTo>
                                <a:cubicBezTo>
                                  <a:pt x="193" y="345"/>
                                  <a:pt x="211" y="341"/>
                                  <a:pt x="231" y="334"/>
                                </a:cubicBezTo>
                                <a:cubicBezTo>
                                  <a:pt x="231" y="416"/>
                                  <a:pt x="231" y="416"/>
                                  <a:pt x="231" y="416"/>
                                </a:cubicBezTo>
                                <a:cubicBezTo>
                                  <a:pt x="217" y="422"/>
                                  <a:pt x="203" y="427"/>
                                  <a:pt x="189" y="430"/>
                                </a:cubicBezTo>
                                <a:cubicBezTo>
                                  <a:pt x="176" y="433"/>
                                  <a:pt x="160" y="434"/>
                                  <a:pt x="142" y="434"/>
                                </a:cubicBezTo>
                                <a:cubicBezTo>
                                  <a:pt x="105" y="434"/>
                                  <a:pt x="79" y="425"/>
                                  <a:pt x="63" y="406"/>
                                </a:cubicBezTo>
                                <a:cubicBezTo>
                                  <a:pt x="46" y="388"/>
                                  <a:pt x="38" y="359"/>
                                  <a:pt x="38" y="321"/>
                                </a:cubicBezTo>
                                <a:cubicBezTo>
                                  <a:pt x="38" y="187"/>
                                  <a:pt x="38" y="187"/>
                                  <a:pt x="38" y="187"/>
                                </a:cubicBezTo>
                                <a:cubicBezTo>
                                  <a:pt x="0" y="187"/>
                                  <a:pt x="0" y="187"/>
                                  <a:pt x="0" y="187"/>
                                </a:cubicBezTo>
                                <a:cubicBezTo>
                                  <a:pt x="0" y="103"/>
                                  <a:pt x="0" y="103"/>
                                  <a:pt x="0" y="103"/>
                                </a:cubicBezTo>
                                <a:cubicBezTo>
                                  <a:pt x="38" y="103"/>
                                  <a:pt x="38" y="103"/>
                                  <a:pt x="38" y="103"/>
                                </a:cubicBezTo>
                                <a:cubicBezTo>
                                  <a:pt x="38" y="18"/>
                                  <a:pt x="38" y="18"/>
                                  <a:pt x="38" y="18"/>
                                </a:cubicBezTo>
                                <a:cubicBezTo>
                                  <a:pt x="149" y="0"/>
                                  <a:pt x="149" y="0"/>
                                  <a:pt x="149" y="0"/>
                                </a:cubicBezTo>
                                <a:cubicBezTo>
                                  <a:pt x="149" y="103"/>
                                  <a:pt x="149" y="103"/>
                                  <a:pt x="149" y="103"/>
                                </a:cubicBezTo>
                                <a:cubicBezTo>
                                  <a:pt x="219" y="103"/>
                                  <a:pt x="219" y="103"/>
                                  <a:pt x="219" y="103"/>
                                </a:cubicBezTo>
                                <a:cubicBezTo>
                                  <a:pt x="219" y="187"/>
                                  <a:pt x="219" y="187"/>
                                  <a:pt x="219" y="187"/>
                                </a:cubicBezTo>
                                <a:cubicBezTo>
                                  <a:pt x="149" y="187"/>
                                  <a:pt x="149" y="187"/>
                                  <a:pt x="149" y="187"/>
                                </a:cubicBezTo>
                                <a:cubicBezTo>
                                  <a:pt x="149" y="314"/>
                                  <a:pt x="149" y="314"/>
                                  <a:pt x="149" y="314"/>
                                </a:cubicBezTo>
                                <a:cubicBezTo>
                                  <a:pt x="149" y="335"/>
                                  <a:pt x="159" y="345"/>
                                  <a:pt x="178" y="345"/>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wps:cNvSpPr>
                          <a:spLocks noEditPoints="1"/>
                        </wps:cNvSpPr>
                        <wps:spPr bwMode="auto">
                          <a:xfrm>
                            <a:off x="1473200" y="81280"/>
                            <a:ext cx="235585" cy="259080"/>
                          </a:xfrm>
                          <a:custGeom>
                            <a:avLst/>
                            <a:gdLst>
                              <a:gd name="T0" fmla="*/ 268 w 307"/>
                              <a:gd name="T1" fmla="*/ 38 h 337"/>
                              <a:gd name="T2" fmla="*/ 157 w 307"/>
                              <a:gd name="T3" fmla="*/ 0 h 337"/>
                              <a:gd name="T4" fmla="*/ 41 w 307"/>
                              <a:gd name="T5" fmla="*/ 44 h 337"/>
                              <a:gd name="T6" fmla="*/ 0 w 307"/>
                              <a:gd name="T7" fmla="*/ 171 h 337"/>
                              <a:gd name="T8" fmla="*/ 44 w 307"/>
                              <a:gd name="T9" fmla="*/ 294 h 337"/>
                              <a:gd name="T10" fmla="*/ 167 w 307"/>
                              <a:gd name="T11" fmla="*/ 337 h 337"/>
                              <a:gd name="T12" fmla="*/ 233 w 307"/>
                              <a:gd name="T13" fmla="*/ 332 h 337"/>
                              <a:gd name="T14" fmla="*/ 286 w 307"/>
                              <a:gd name="T15" fmla="*/ 313 h 337"/>
                              <a:gd name="T16" fmla="*/ 269 w 307"/>
                              <a:gd name="T17" fmla="*/ 240 h 337"/>
                              <a:gd name="T18" fmla="*/ 233 w 307"/>
                              <a:gd name="T19" fmla="*/ 251 h 337"/>
                              <a:gd name="T20" fmla="*/ 180 w 307"/>
                              <a:gd name="T21" fmla="*/ 257 h 337"/>
                              <a:gd name="T22" fmla="*/ 130 w 307"/>
                              <a:gd name="T23" fmla="*/ 242 h 337"/>
                              <a:gd name="T24" fmla="*/ 111 w 307"/>
                              <a:gd name="T25" fmla="*/ 199 h 337"/>
                              <a:gd name="T26" fmla="*/ 307 w 307"/>
                              <a:gd name="T27" fmla="*/ 199 h 337"/>
                              <a:gd name="T28" fmla="*/ 307 w 307"/>
                              <a:gd name="T29" fmla="*/ 149 h 337"/>
                              <a:gd name="T30" fmla="*/ 268 w 307"/>
                              <a:gd name="T31" fmla="*/ 38 h 337"/>
                              <a:gd name="T32" fmla="*/ 113 w 307"/>
                              <a:gd name="T33" fmla="*/ 128 h 337"/>
                              <a:gd name="T34" fmla="*/ 128 w 307"/>
                              <a:gd name="T35" fmla="*/ 89 h 337"/>
                              <a:gd name="T36" fmla="*/ 161 w 307"/>
                              <a:gd name="T37" fmla="*/ 76 h 337"/>
                              <a:gd name="T38" fmla="*/ 194 w 307"/>
                              <a:gd name="T39" fmla="*/ 90 h 337"/>
                              <a:gd name="T40" fmla="*/ 207 w 307"/>
                              <a:gd name="T41" fmla="*/ 128 h 337"/>
                              <a:gd name="T42" fmla="*/ 113 w 307"/>
                              <a:gd name="T43" fmla="*/ 12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7" h="337">
                                <a:moveTo>
                                  <a:pt x="268" y="38"/>
                                </a:moveTo>
                                <a:cubicBezTo>
                                  <a:pt x="242" y="13"/>
                                  <a:pt x="205" y="0"/>
                                  <a:pt x="157" y="0"/>
                                </a:cubicBezTo>
                                <a:cubicBezTo>
                                  <a:pt x="106" y="0"/>
                                  <a:pt x="68" y="15"/>
                                  <a:pt x="41" y="44"/>
                                </a:cubicBezTo>
                                <a:cubicBezTo>
                                  <a:pt x="13" y="73"/>
                                  <a:pt x="0" y="116"/>
                                  <a:pt x="0" y="171"/>
                                </a:cubicBezTo>
                                <a:cubicBezTo>
                                  <a:pt x="0" y="224"/>
                                  <a:pt x="14" y="265"/>
                                  <a:pt x="44" y="294"/>
                                </a:cubicBezTo>
                                <a:cubicBezTo>
                                  <a:pt x="73" y="323"/>
                                  <a:pt x="114" y="337"/>
                                  <a:pt x="167" y="337"/>
                                </a:cubicBezTo>
                                <a:cubicBezTo>
                                  <a:pt x="192" y="337"/>
                                  <a:pt x="214" y="335"/>
                                  <a:pt x="233" y="332"/>
                                </a:cubicBezTo>
                                <a:cubicBezTo>
                                  <a:pt x="251" y="328"/>
                                  <a:pt x="269" y="322"/>
                                  <a:pt x="286" y="313"/>
                                </a:cubicBezTo>
                                <a:cubicBezTo>
                                  <a:pt x="269" y="240"/>
                                  <a:pt x="269" y="240"/>
                                  <a:pt x="269" y="240"/>
                                </a:cubicBezTo>
                                <a:cubicBezTo>
                                  <a:pt x="256" y="245"/>
                                  <a:pt x="245" y="249"/>
                                  <a:pt x="233" y="251"/>
                                </a:cubicBezTo>
                                <a:cubicBezTo>
                                  <a:pt x="217" y="255"/>
                                  <a:pt x="199" y="257"/>
                                  <a:pt x="180" y="257"/>
                                </a:cubicBezTo>
                                <a:cubicBezTo>
                                  <a:pt x="159" y="257"/>
                                  <a:pt x="142" y="252"/>
                                  <a:pt x="130" y="242"/>
                                </a:cubicBezTo>
                                <a:cubicBezTo>
                                  <a:pt x="118" y="231"/>
                                  <a:pt x="111" y="217"/>
                                  <a:pt x="111" y="199"/>
                                </a:cubicBezTo>
                                <a:cubicBezTo>
                                  <a:pt x="307" y="199"/>
                                  <a:pt x="307" y="199"/>
                                  <a:pt x="307" y="199"/>
                                </a:cubicBezTo>
                                <a:cubicBezTo>
                                  <a:pt x="307" y="149"/>
                                  <a:pt x="307" y="149"/>
                                  <a:pt x="307" y="149"/>
                                </a:cubicBezTo>
                                <a:cubicBezTo>
                                  <a:pt x="307" y="101"/>
                                  <a:pt x="294" y="64"/>
                                  <a:pt x="268" y="38"/>
                                </a:cubicBezTo>
                                <a:moveTo>
                                  <a:pt x="113" y="128"/>
                                </a:moveTo>
                                <a:cubicBezTo>
                                  <a:pt x="114" y="110"/>
                                  <a:pt x="119" y="97"/>
                                  <a:pt x="128" y="89"/>
                                </a:cubicBezTo>
                                <a:cubicBezTo>
                                  <a:pt x="137" y="81"/>
                                  <a:pt x="148" y="76"/>
                                  <a:pt x="161" y="76"/>
                                </a:cubicBezTo>
                                <a:cubicBezTo>
                                  <a:pt x="175" y="76"/>
                                  <a:pt x="186" y="81"/>
                                  <a:pt x="194" y="90"/>
                                </a:cubicBezTo>
                                <a:cubicBezTo>
                                  <a:pt x="202" y="100"/>
                                  <a:pt x="207" y="112"/>
                                  <a:pt x="207" y="128"/>
                                </a:cubicBezTo>
                                <a:lnTo>
                                  <a:pt x="113"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
                        <wps:cNvSpPr>
                          <a:spLocks noEditPoints="1"/>
                        </wps:cNvSpPr>
                        <wps:spPr bwMode="auto">
                          <a:xfrm>
                            <a:off x="302895" y="81280"/>
                            <a:ext cx="235585" cy="259080"/>
                          </a:xfrm>
                          <a:custGeom>
                            <a:avLst/>
                            <a:gdLst>
                              <a:gd name="T0" fmla="*/ 268 w 307"/>
                              <a:gd name="T1" fmla="*/ 38 h 337"/>
                              <a:gd name="T2" fmla="*/ 157 w 307"/>
                              <a:gd name="T3" fmla="*/ 0 h 337"/>
                              <a:gd name="T4" fmla="*/ 41 w 307"/>
                              <a:gd name="T5" fmla="*/ 44 h 337"/>
                              <a:gd name="T6" fmla="*/ 0 w 307"/>
                              <a:gd name="T7" fmla="*/ 171 h 337"/>
                              <a:gd name="T8" fmla="*/ 44 w 307"/>
                              <a:gd name="T9" fmla="*/ 294 h 337"/>
                              <a:gd name="T10" fmla="*/ 167 w 307"/>
                              <a:gd name="T11" fmla="*/ 337 h 337"/>
                              <a:gd name="T12" fmla="*/ 233 w 307"/>
                              <a:gd name="T13" fmla="*/ 332 h 337"/>
                              <a:gd name="T14" fmla="*/ 286 w 307"/>
                              <a:gd name="T15" fmla="*/ 313 h 337"/>
                              <a:gd name="T16" fmla="*/ 269 w 307"/>
                              <a:gd name="T17" fmla="*/ 240 h 337"/>
                              <a:gd name="T18" fmla="*/ 234 w 307"/>
                              <a:gd name="T19" fmla="*/ 251 h 337"/>
                              <a:gd name="T20" fmla="*/ 180 w 307"/>
                              <a:gd name="T21" fmla="*/ 257 h 337"/>
                              <a:gd name="T22" fmla="*/ 130 w 307"/>
                              <a:gd name="T23" fmla="*/ 242 h 337"/>
                              <a:gd name="T24" fmla="*/ 111 w 307"/>
                              <a:gd name="T25" fmla="*/ 199 h 337"/>
                              <a:gd name="T26" fmla="*/ 307 w 307"/>
                              <a:gd name="T27" fmla="*/ 199 h 337"/>
                              <a:gd name="T28" fmla="*/ 307 w 307"/>
                              <a:gd name="T29" fmla="*/ 149 h 337"/>
                              <a:gd name="T30" fmla="*/ 268 w 307"/>
                              <a:gd name="T31" fmla="*/ 38 h 337"/>
                              <a:gd name="T32" fmla="*/ 113 w 307"/>
                              <a:gd name="T33" fmla="*/ 128 h 337"/>
                              <a:gd name="T34" fmla="*/ 128 w 307"/>
                              <a:gd name="T35" fmla="*/ 89 h 337"/>
                              <a:gd name="T36" fmla="*/ 161 w 307"/>
                              <a:gd name="T37" fmla="*/ 76 h 337"/>
                              <a:gd name="T38" fmla="*/ 194 w 307"/>
                              <a:gd name="T39" fmla="*/ 90 h 337"/>
                              <a:gd name="T40" fmla="*/ 207 w 307"/>
                              <a:gd name="T41" fmla="*/ 128 h 337"/>
                              <a:gd name="T42" fmla="*/ 113 w 307"/>
                              <a:gd name="T43" fmla="*/ 12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7" h="337">
                                <a:moveTo>
                                  <a:pt x="268" y="38"/>
                                </a:moveTo>
                                <a:cubicBezTo>
                                  <a:pt x="242" y="13"/>
                                  <a:pt x="205" y="0"/>
                                  <a:pt x="157" y="0"/>
                                </a:cubicBezTo>
                                <a:cubicBezTo>
                                  <a:pt x="106" y="0"/>
                                  <a:pt x="68" y="15"/>
                                  <a:pt x="41" y="44"/>
                                </a:cubicBezTo>
                                <a:cubicBezTo>
                                  <a:pt x="14" y="73"/>
                                  <a:pt x="0" y="116"/>
                                  <a:pt x="0" y="171"/>
                                </a:cubicBezTo>
                                <a:cubicBezTo>
                                  <a:pt x="0" y="224"/>
                                  <a:pt x="15" y="265"/>
                                  <a:pt x="44" y="294"/>
                                </a:cubicBezTo>
                                <a:cubicBezTo>
                                  <a:pt x="73" y="323"/>
                                  <a:pt x="114" y="337"/>
                                  <a:pt x="167" y="337"/>
                                </a:cubicBezTo>
                                <a:cubicBezTo>
                                  <a:pt x="193" y="337"/>
                                  <a:pt x="215" y="335"/>
                                  <a:pt x="233" y="332"/>
                                </a:cubicBezTo>
                                <a:cubicBezTo>
                                  <a:pt x="251" y="328"/>
                                  <a:pt x="269" y="322"/>
                                  <a:pt x="286" y="313"/>
                                </a:cubicBezTo>
                                <a:cubicBezTo>
                                  <a:pt x="269" y="240"/>
                                  <a:pt x="269" y="240"/>
                                  <a:pt x="269" y="240"/>
                                </a:cubicBezTo>
                                <a:cubicBezTo>
                                  <a:pt x="257" y="245"/>
                                  <a:pt x="245" y="249"/>
                                  <a:pt x="234" y="251"/>
                                </a:cubicBezTo>
                                <a:cubicBezTo>
                                  <a:pt x="217" y="255"/>
                                  <a:pt x="200" y="257"/>
                                  <a:pt x="180" y="257"/>
                                </a:cubicBezTo>
                                <a:cubicBezTo>
                                  <a:pt x="159" y="257"/>
                                  <a:pt x="143" y="252"/>
                                  <a:pt x="130" y="242"/>
                                </a:cubicBezTo>
                                <a:cubicBezTo>
                                  <a:pt x="118" y="231"/>
                                  <a:pt x="112" y="217"/>
                                  <a:pt x="111" y="199"/>
                                </a:cubicBezTo>
                                <a:cubicBezTo>
                                  <a:pt x="307" y="199"/>
                                  <a:pt x="307" y="199"/>
                                  <a:pt x="307" y="199"/>
                                </a:cubicBezTo>
                                <a:cubicBezTo>
                                  <a:pt x="307" y="149"/>
                                  <a:pt x="307" y="149"/>
                                  <a:pt x="307" y="149"/>
                                </a:cubicBezTo>
                                <a:cubicBezTo>
                                  <a:pt x="307" y="101"/>
                                  <a:pt x="294" y="64"/>
                                  <a:pt x="268" y="38"/>
                                </a:cubicBezTo>
                                <a:moveTo>
                                  <a:pt x="113" y="128"/>
                                </a:moveTo>
                                <a:cubicBezTo>
                                  <a:pt x="115" y="110"/>
                                  <a:pt x="120" y="97"/>
                                  <a:pt x="128" y="89"/>
                                </a:cubicBezTo>
                                <a:cubicBezTo>
                                  <a:pt x="137" y="81"/>
                                  <a:pt x="148" y="76"/>
                                  <a:pt x="161" y="76"/>
                                </a:cubicBezTo>
                                <a:cubicBezTo>
                                  <a:pt x="175" y="76"/>
                                  <a:pt x="186" y="81"/>
                                  <a:pt x="194" y="90"/>
                                </a:cubicBezTo>
                                <a:cubicBezTo>
                                  <a:pt x="203" y="100"/>
                                  <a:pt x="207" y="112"/>
                                  <a:pt x="207" y="128"/>
                                </a:cubicBezTo>
                                <a:lnTo>
                                  <a:pt x="113"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0367A51A" id="Canvas 18" o:spid="_x0000_s1026" editas="canvas" style="width:164.15pt;height:71.95pt;mso-position-horizontal-relative:char;mso-position-vertical-relative:line" coordsize="20840,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840;height:9131;visibility:visible;mso-wrap-style:square">
                  <v:fill o:detectmouseclick="t"/>
                  <v:path o:connecttype="none"/>
                </v:shape>
                <v:oval id="Oval 5" o:spid="_x0000_s1028" style="position:absolute;left:17297;top:2438;width:965;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" fillcolor="#85bc22" stroked="f"/>
                <v:shape id="Freeform 6" o:spid="_x0000_s1029" style="position:absolute;left:6;top:6;width:2768;height:3346;visibility:visible;mso-wrap-style:square;v-text-anchor:top" coordsize="3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" path="m361,209v,73,-19,129,-58,168c264,416,209,436,138,436,,436,,436,,436,,,,,,,147,,147,,147,v69,,121,18,159,54c343,89,361,141,361,209t-119,4c242,173,234,143,219,124,203,105,180,95,148,95v-33,,-33,,-33,c115,339,115,339,115,339v26,,26,,26,c175,339,201,329,217,308v17,-20,25,-52,25,-95e" fillcolor="black" stroked="f">
                  <v:path arrowok="t" o:connecttype="custom" o:connectlocs="276860,160415;232378,289360;105836,334645;0,334645;0,0;112738,0;234679,41447;276860,160415;185596,163485;167957,95174;113505,72916;88196,72916;88196,260194;108136,260194;166423,236401;185596,163485" o:connectangles="0,0,0,0,0,0,0,0,0,0,0,0,0,0,0,0"/>
                  <o:lock v:ext="edit" verticies="t"/>
                </v:shape>
                <v:rect id="Rectangle 7" o:spid="_x0000_s1030" style="position:absolute;left:5702;top:-6;width:844;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shape id="Freeform 8" o:spid="_x0000_s1031" style="position:absolute;left:6877;top:812;width:2432;height:2591;visibility:visible;mso-wrap-style:square;v-text-anchor:top" coordsize="31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" path="m317,168v,53,-14,94,-42,124c247,322,208,337,158,337,109,337,71,322,42,291,14,261,,220,,168,,115,14,73,42,44,70,15,109,,159,v32,,59,7,83,20c266,34,284,53,298,79v12,25,19,55,19,89m111,168v,28,4,49,11,64c129,246,142,254,159,254v17,,29,-8,36,-22c202,217,205,196,205,168v,-28,-3,-49,-10,-63c188,91,175,84,158,84v-17,,-29,7,-36,21c115,119,111,140,111,168e" fillcolor="black" stroked="f">
                  <v:path arrowok="t" o:connecttype="custom" o:connectlocs="243205,129156;210982,224485;121219,259080;32223,223716;0,129156;32223,33826;121986,0;185664,15376;228628,60734;243205,129156;85160,129156;93599,178358;121986,195271;149606,178358;157278,129156;149606,80722;121219,64578;93599,80722;85160,129156" o:connectangles="0,0,0,0,0,0,0,0,0,0,0,0,0,0,0,0,0,0,0"/>
                  <o:lock v:ext="edit" verticies="t"/>
                </v:shape>
                <v:rect id="Rectangle 9" o:spid="_x0000_s1032" style="position:absolute;left:9645;top:857;width:832;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rect id="Rectangle 10" o:spid="_x0000_s1033" style="position:absolute;left:9645;top:-6;width:832;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shape id="Freeform 11" o:spid="_x0000_s1034" style="position:absolute;left:10814;top:69;width:1784;height:3334;visibility:visible;mso-wrap-style:square;v-text-anchor:top" coordsize="2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" path="m179,345v14,,32,-4,53,-11c232,416,232,416,232,416v-15,6,-29,11,-43,14c176,433,160,434,142,434v-37,,-63,-9,-79,-28c46,388,38,359,38,321v,-134,,-134,,-134c,187,,187,,187,,103,,103,,103v38,,38,,38,c38,20,38,20,38,20,149,,149,,149,v,103,,103,,103c219,103,219,103,219,103v,84,,84,,84c149,187,149,187,149,187v,127,,127,,127c149,335,159,345,179,345e" fillcolor="black" stroked="f">
                  <v:path arrowok="t" o:connecttype="custom" o:connectlocs="137672,265010;178435,256560;178435,319548;145363,330302;109215,333375;48454,311867;29226,246575;29226,143643;0,143643;0,79119;29226,79119;29226,15363;114598,0;114598,79119;168436,79119;168436,143643;114598,143643;114598,241198;137672,265010" o:connectangles="0,0,0,0,0,0,0,0,0,0,0,0,0,0,0,0,0,0,0"/>
                </v:shape>
                <v:shape id="Freeform 12" o:spid="_x0000_s1035" style="position:absolute;left:12763;top:69;width:1772;height:3334;visibility:visible;mso-wrap-style:square;v-text-anchor:top" coordsize="2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" path="m178,345v15,,33,-4,53,-11c231,416,231,416,231,416v-14,6,-28,11,-42,14c176,433,160,434,142,434v-37,,-63,-9,-79,-28c46,388,38,359,38,321v,-134,,-134,,-134c,187,,187,,187,,103,,103,,103v38,,38,,38,c38,18,38,18,38,18,149,,149,,149,v,103,,103,,103c219,103,219,103,219,103v,84,,84,,84c149,187,149,187,149,187v,127,,127,,127c149,335,159,345,178,345e" fillcolor="black" stroked="f">
                  <v:path arrowok="t" o:connecttype="custom" o:connectlocs="136517,265010;177165,256560;177165,319548;144953,330302;108907,333375;48318,311867;29144,246575;29144,143643;0,143643;0,79119;29144,79119;29144,13827;114275,0;114275,79119;167962,79119;167962,143643;114275,143643;114275,241198;136517,265010" o:connectangles="0,0,0,0,0,0,0,0,0,0,0,0,0,0,0,0,0,0,0"/>
                </v:shape>
                <v:shape id="Freeform 13" o:spid="_x0000_s1036" style="position:absolute;left:14732;top:812;width:2355;height:2591;visibility:visible;mso-wrap-style:square;v-text-anchor:top" coordsize="30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" path="m268,38c242,13,205,,157,,106,,68,15,41,44,13,73,,116,,171v,53,14,94,44,123c73,323,114,337,167,337v25,,47,-2,66,-5c251,328,269,322,286,313,269,240,269,240,269,240v-13,5,-24,9,-36,11c217,255,199,257,180,257v-21,,-38,-5,-50,-15c118,231,111,217,111,199v196,,196,,196,c307,149,307,149,307,149,307,101,294,64,268,38m113,128v1,-18,6,-31,15,-39c137,81,148,76,161,76v14,,25,5,33,14c202,100,207,112,207,128r-94,xe" fillcolor="black" stroked="f">
                  <v:path arrowok="t" o:connecttype="custom" o:connectlocs="205657,29214;120478,0;31462,33826;0,131462;33765,226022;128152,259080;178799,255236;219470,240629;206425,184508;178799,192965;138128,197577;99759,186046;85179,152988;235585,152988;235585,114549;205657,29214;86714,98404;98224,68422;123548,58428;148871,69191;158847,98404;86714,98404" o:connectangles="0,0,0,0,0,0,0,0,0,0,0,0,0,0,0,0,0,0,0,0,0,0"/>
                  <o:lock v:ext="edit" verticies="t"/>
                </v:shape>
                <v:shape id="Freeform 14" o:spid="_x0000_s1037" style="position:absolute;left:3028;top:812;width:2356;height:2591;visibility:visible;mso-wrap-style:square;v-text-anchor:top" coordsize="30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" path="m268,38c242,13,205,,157,,106,,68,15,41,44,14,73,,116,,171v,53,15,94,44,123c73,323,114,337,167,337v26,,48,-2,66,-5c251,328,269,322,286,313,269,240,269,240,269,240v-12,5,-24,9,-35,11c217,255,200,257,180,257v-21,,-37,-5,-50,-15c118,231,112,217,111,199v196,,196,,196,c307,149,307,149,307,149,307,101,294,64,268,38m113,128v2,-18,7,-31,15,-39c137,81,148,76,161,76v14,,25,5,33,14c203,100,207,112,207,128r-94,xe" fillcolor="black" stroked="f">
                  <v:path arrowok="t" o:connecttype="custom" o:connectlocs="205657,29214;120478,0;31462,33826;0,131462;33765,226022;128152,259080;178799,255236;219470,240629;206425,184508;179566,192965;138128,197577;99759,186046;85179,152988;235585,152988;235585,114549;205657,29214;86714,98404;98224,68422;123548,58428;148871,69191;158847,98404;86714,98404" o:connectangles="0,0,0,0,0,0,0,0,0,0,0,0,0,0,0,0,0,0,0,0,0,0"/>
                  <o:lock v:ext="edit" verticies="t"/>
                </v:shape>
                <w10:anchorlock/>
              </v:group>
            </w:pict>
          </mc:Fallback>
        </mc:AlternateContent>
      </w:r>
    </w:p>
    <w:p w14:paraId="59B729B4" w14:textId="5059B7A5" w:rsidR="00AD6D8D" w:rsidRPr="00AD6D8D" w:rsidRDefault="00AD6D8D" w:rsidP="00AD6D8D">
      <w:pPr>
        <w:spacing w:before="360" w:after="240"/>
        <w:rPr>
          <w:rFonts w:asciiTheme="majorHAnsi" w:hAnsiTheme="majorHAnsi"/>
          <w:sz w:val="14"/>
          <w:szCs w:val="14"/>
        </w:rPr>
      </w:pPr>
      <w:r w:rsidRPr="00AD6D8D">
        <w:rPr>
          <w:rFonts w:asciiTheme="majorHAnsi" w:hAnsiTheme="majorHAnsi"/>
          <w:sz w:val="14"/>
          <w:szCs w:val="14"/>
        </w:rPr>
        <w:t xml:space="preserve">Deloitte Access Economics is Australia’s pre-eminent economics advisory practice and a member of Deloitte's global economics group. For more information, please visit our website: </w:t>
      </w:r>
      <w:hyperlink r:id="rId143" w:history="1">
        <w:r w:rsidRPr="00AD6D8D">
          <w:rPr>
            <w:rStyle w:val="Hyperlink"/>
            <w:rFonts w:asciiTheme="majorHAnsi" w:hAnsiTheme="majorHAnsi"/>
            <w:sz w:val="14"/>
            <w:szCs w:val="14"/>
          </w:rPr>
          <w:t>www.deloitte.com/au/deloitte-access-economics</w:t>
        </w:r>
      </w:hyperlink>
      <w:r w:rsidRPr="00AD6D8D">
        <w:rPr>
          <w:rFonts w:asciiTheme="majorHAnsi" w:hAnsiTheme="majorHAnsi"/>
          <w:sz w:val="14"/>
          <w:szCs w:val="14"/>
        </w:rPr>
        <w:t xml:space="preserve"> </w:t>
      </w:r>
    </w:p>
    <w:p w14:paraId="62C7D05B" w14:textId="77777777" w:rsidR="00AD6D8D" w:rsidRPr="00AD6D8D" w:rsidRDefault="00AD6D8D" w:rsidP="00AD6D8D">
      <w:pPr>
        <w:pStyle w:val="Legaltext"/>
        <w:rPr>
          <w:rFonts w:asciiTheme="majorHAnsi" w:hAnsiTheme="majorHAnsi"/>
        </w:rPr>
      </w:pPr>
      <w:r w:rsidRPr="00AD6D8D">
        <w:rPr>
          <w:rFonts w:asciiTheme="majorHAnsi" w:hAnsiTheme="majorHAnsi"/>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26911777" w14:textId="77777777" w:rsidR="00AD6D8D" w:rsidRPr="00AD6D8D" w:rsidRDefault="00AD6D8D" w:rsidP="00AD6D8D">
      <w:pPr>
        <w:pStyle w:val="Legaltext"/>
        <w:rPr>
          <w:rFonts w:asciiTheme="majorHAnsi" w:hAnsiTheme="majorHAnsi"/>
        </w:rPr>
      </w:pPr>
    </w:p>
    <w:p w14:paraId="273DF2FE" w14:textId="77777777" w:rsidR="00AD6D8D" w:rsidRPr="00AD6D8D" w:rsidRDefault="00AD6D8D" w:rsidP="00AD6D8D">
      <w:pPr>
        <w:pStyle w:val="Legaltext"/>
        <w:rPr>
          <w:rFonts w:asciiTheme="majorHAnsi" w:hAnsiTheme="majorHAnsi"/>
        </w:rPr>
      </w:pPr>
      <w:r w:rsidRPr="00AD6D8D">
        <w:rPr>
          <w:rFonts w:asciiTheme="majorHAnsi" w:hAnsiTheme="majorHAnsi"/>
        </w:rPr>
        <w:t>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www.deloitte.com.</w:t>
      </w:r>
    </w:p>
    <w:p w14:paraId="0E9FCE0C" w14:textId="77777777" w:rsidR="00AD6D8D" w:rsidRPr="00AD6D8D" w:rsidRDefault="00AD6D8D" w:rsidP="00AD6D8D">
      <w:pPr>
        <w:pStyle w:val="Legaltext"/>
        <w:rPr>
          <w:rFonts w:asciiTheme="majorHAnsi" w:hAnsiTheme="majorHAnsi"/>
        </w:rPr>
      </w:pPr>
    </w:p>
    <w:p w14:paraId="23B058AF" w14:textId="77777777" w:rsidR="00AD6D8D" w:rsidRPr="00AD6D8D" w:rsidRDefault="00AD6D8D" w:rsidP="00AD6D8D">
      <w:pPr>
        <w:pStyle w:val="Legaltext"/>
        <w:rPr>
          <w:rFonts w:asciiTheme="majorHAnsi" w:hAnsiTheme="majorHAnsi"/>
          <w:b/>
        </w:rPr>
      </w:pPr>
      <w:r w:rsidRPr="00AD6D8D">
        <w:rPr>
          <w:rFonts w:asciiTheme="majorHAnsi" w:hAnsiTheme="majorHAnsi"/>
          <w:b/>
        </w:rPr>
        <w:t xml:space="preserve">Deloitte Asia Pacific </w:t>
      </w:r>
    </w:p>
    <w:p w14:paraId="3F46FF80" w14:textId="77777777" w:rsidR="00AD6D8D" w:rsidRPr="00AD6D8D" w:rsidRDefault="00AD6D8D" w:rsidP="00AD6D8D">
      <w:pPr>
        <w:pStyle w:val="Legaltext"/>
        <w:rPr>
          <w:rFonts w:asciiTheme="majorHAnsi" w:hAnsiTheme="majorHAnsi"/>
        </w:rPr>
      </w:pPr>
      <w:r w:rsidRPr="00AD6D8D">
        <w:rPr>
          <w:rFonts w:asciiTheme="majorHAnsi" w:hAnsiTheme="majorHAnsi"/>
        </w:rP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21C4A7BF" w14:textId="77777777" w:rsidR="00AD6D8D" w:rsidRPr="00AD6D8D" w:rsidRDefault="00AD6D8D" w:rsidP="00AD6D8D">
      <w:pPr>
        <w:pStyle w:val="Legaltext"/>
        <w:rPr>
          <w:rFonts w:asciiTheme="majorHAnsi" w:hAnsiTheme="majorHAnsi"/>
        </w:rPr>
      </w:pPr>
    </w:p>
    <w:p w14:paraId="1064007D" w14:textId="77777777" w:rsidR="00AD6D8D" w:rsidRPr="00AD6D8D" w:rsidRDefault="00AD6D8D" w:rsidP="00AD6D8D">
      <w:pPr>
        <w:pStyle w:val="Legaltext"/>
        <w:rPr>
          <w:rFonts w:asciiTheme="majorHAnsi" w:hAnsiTheme="majorHAnsi"/>
          <w:b/>
        </w:rPr>
      </w:pPr>
      <w:r w:rsidRPr="00AD6D8D">
        <w:rPr>
          <w:rFonts w:asciiTheme="majorHAnsi" w:hAnsiTheme="majorHAnsi"/>
          <w:b/>
        </w:rPr>
        <w:t>Deloitte Australia</w:t>
      </w:r>
    </w:p>
    <w:p w14:paraId="6773746E" w14:textId="77777777" w:rsidR="00AD6D8D" w:rsidRPr="00AD6D8D" w:rsidRDefault="00AD6D8D" w:rsidP="00AD6D8D">
      <w:pPr>
        <w:pStyle w:val="Legaltext"/>
        <w:rPr>
          <w:rFonts w:asciiTheme="majorHAnsi" w:hAnsiTheme="majorHAnsi"/>
        </w:rPr>
      </w:pPr>
      <w:r w:rsidRPr="00AD6D8D">
        <w:rPr>
          <w:rFonts w:asciiTheme="majorHAnsi" w:hAnsiTheme="majorHAnsi"/>
        </w:rPr>
        <w:t>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53468291" w14:textId="77777777" w:rsidR="00AD6D8D" w:rsidRPr="00AD6D8D" w:rsidRDefault="00AD6D8D" w:rsidP="00AD6D8D">
      <w:pPr>
        <w:pStyle w:val="Legaltext"/>
        <w:rPr>
          <w:rFonts w:asciiTheme="majorHAnsi" w:hAnsiTheme="majorHAnsi"/>
        </w:rPr>
      </w:pPr>
    </w:p>
    <w:p w14:paraId="530BD003" w14:textId="77777777" w:rsidR="00AD6D8D" w:rsidRPr="00AD6D8D" w:rsidRDefault="00AD6D8D" w:rsidP="00AD6D8D">
      <w:pPr>
        <w:pStyle w:val="Legaltext"/>
        <w:rPr>
          <w:rFonts w:asciiTheme="majorHAnsi" w:hAnsiTheme="majorHAnsi"/>
        </w:rPr>
      </w:pPr>
      <w:r w:rsidRPr="00AD6D8D">
        <w:rPr>
          <w:rFonts w:asciiTheme="majorHAnsi" w:hAnsiTheme="majorHAnsi"/>
        </w:rPr>
        <w:t>Liability limited by a scheme approved under Professional Standards Legislation.</w:t>
      </w:r>
    </w:p>
    <w:p w14:paraId="0737ED0B" w14:textId="59292A0A" w:rsidR="00AD6D8D" w:rsidRDefault="00AD6D8D" w:rsidP="00AD6D8D">
      <w:pPr>
        <w:pStyle w:val="Legaltext"/>
        <w:rPr>
          <w:rFonts w:asciiTheme="majorHAnsi" w:hAnsiTheme="majorHAnsi"/>
        </w:rPr>
      </w:pPr>
      <w:r w:rsidRPr="00AD6D8D">
        <w:rPr>
          <w:rFonts w:asciiTheme="majorHAnsi" w:hAnsiTheme="majorHAnsi"/>
        </w:rPr>
        <w:t>Member of Deloitte Asia Pacific Limited and the Deloitte Network.</w:t>
      </w:r>
    </w:p>
    <w:p w14:paraId="2013CF38" w14:textId="08BF9FA3" w:rsidR="007629C6" w:rsidRPr="00785D08" w:rsidRDefault="00AD6D8D" w:rsidP="00AD6D8D">
      <w:pPr>
        <w:spacing w:before="240"/>
        <w:rPr>
          <w:rFonts w:asciiTheme="majorHAnsi" w:hAnsiTheme="majorHAnsi"/>
        </w:rPr>
      </w:pPr>
      <w:r w:rsidRPr="00AD6D8D">
        <w:rPr>
          <w:rFonts w:asciiTheme="majorHAnsi" w:hAnsiTheme="majorHAnsi"/>
          <w:sz w:val="14"/>
        </w:rPr>
        <w:t>©2021 Deloitte Access Eco</w:t>
      </w:r>
      <w:r>
        <w:rPr>
          <w:rFonts w:asciiTheme="majorHAnsi" w:hAnsiTheme="majorHAnsi"/>
          <w:sz w:val="14"/>
        </w:rPr>
        <w:t>nomics. Deloitte Touche Tohmatsu</w:t>
      </w:r>
    </w:p>
    <w:sectPr w:rsidR="007629C6" w:rsidRPr="00785D08" w:rsidSect="006159BC">
      <w:footerReference w:type="default" r:id="rId144"/>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C5556" w14:textId="77777777" w:rsidR="00F1362E" w:rsidRDefault="00F1362E" w:rsidP="00C702C7">
      <w:pPr>
        <w:spacing w:line="240" w:lineRule="auto"/>
      </w:pPr>
    </w:p>
  </w:endnote>
  <w:endnote w:type="continuationSeparator" w:id="0">
    <w:p w14:paraId="1B2D952D" w14:textId="77777777" w:rsidR="00F1362E" w:rsidRDefault="00F1362E" w:rsidP="00C702C7">
      <w:pPr>
        <w:spacing w:line="240" w:lineRule="auto"/>
      </w:pPr>
      <w:r>
        <w:continuationSeparator/>
      </w:r>
    </w:p>
  </w:endnote>
  <w:endnote w:type="continuationNotice" w:id="1">
    <w:p w14:paraId="7CC7BA94" w14:textId="77777777" w:rsidR="00F1362E" w:rsidRDefault="00F136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871860"/>
      <w:docPartObj>
        <w:docPartGallery w:val="Page Numbers (Bottom of Page)"/>
        <w:docPartUnique/>
      </w:docPartObj>
    </w:sdtPr>
    <w:sdtEndPr>
      <w:rPr>
        <w:noProof/>
      </w:rPr>
    </w:sdtEndPr>
    <w:sdtContent>
      <w:p w14:paraId="3BB2E4D6" w14:textId="38BA0352" w:rsidR="00F1362E" w:rsidRDefault="00F1362E">
        <w:pPr>
          <w:pStyle w:val="Footer"/>
        </w:pPr>
        <w:r>
          <w:fldChar w:fldCharType="begin"/>
        </w:r>
        <w:r>
          <w:instrText xml:space="preserve"> PAGE   \* MERGEFORMAT </w:instrText>
        </w:r>
        <w:r>
          <w:fldChar w:fldCharType="separate"/>
        </w:r>
        <w:r w:rsidR="00E2403C">
          <w:rPr>
            <w:noProof/>
          </w:rPr>
          <w:t>iv</w:t>
        </w:r>
        <w:r>
          <w:rPr>
            <w:noProof/>
          </w:rPr>
          <w:fldChar w:fldCharType="end"/>
        </w:r>
      </w:p>
    </w:sdtContent>
  </w:sdt>
  <w:p w14:paraId="5901C6C6" w14:textId="77777777" w:rsidR="00F1362E" w:rsidRPr="00FD7D79" w:rsidRDefault="00F1362E" w:rsidP="00FD7D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07E5" w14:textId="29D6A20A" w:rsidR="00F1362E" w:rsidRPr="00672300" w:rsidRDefault="00F1362E"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58123A">
      <w:rPr>
        <w:rStyle w:val="PageNumber"/>
        <w:noProof/>
      </w:rPr>
      <w:t>176</w:t>
    </w:r>
    <w:r w:rsidRPr="006C4F67">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5AD8E" w14:textId="1052E542" w:rsidR="00F1362E" w:rsidRPr="007E7D93" w:rsidRDefault="00F1362E"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58123A">
      <w:rPr>
        <w:rStyle w:val="PageNumber"/>
        <w:noProof/>
      </w:rPr>
      <w:t>177</w:t>
    </w:r>
    <w:r w:rsidRPr="006C4F67">
      <w:rPr>
        <w:rStyle w:val="PageNumber"/>
      </w:rPr>
      <w:fldChar w:fldCharType="end"/>
    </w:r>
  </w:p>
  <w:p w14:paraId="7FCFF853" w14:textId="77777777" w:rsidR="00F1362E" w:rsidRDefault="00F1362E"/>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210AB" w14:textId="1AD1CD6F" w:rsidR="00F1362E" w:rsidRPr="007E7D93" w:rsidRDefault="00F1362E"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E2403C">
      <w:rPr>
        <w:rStyle w:val="PageNumber"/>
        <w:noProof/>
      </w:rPr>
      <w:t>280</w:t>
    </w:r>
    <w:r w:rsidRPr="006C4F67">
      <w:rPr>
        <w:rStyle w:val="PageNumber"/>
      </w:rPr>
      <w:fldChar w:fldCharType="end"/>
    </w:r>
  </w:p>
  <w:p w14:paraId="786641CA" w14:textId="77777777" w:rsidR="00F1362E" w:rsidRDefault="00F1362E"/>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32E42" w14:textId="77777777" w:rsidR="00F1362E" w:rsidRPr="00AD6D8D" w:rsidRDefault="00F1362E" w:rsidP="00AD6D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4B83E" w14:textId="058413C2" w:rsidR="00F1362E" w:rsidRPr="00672300" w:rsidRDefault="00F1362E" w:rsidP="00E22EA3">
    <w:pPr>
      <w:pStyle w:val="Footer"/>
      <w:tabs>
        <w:tab w:val="clear" w:pos="7371"/>
        <w:tab w:val="left" w:pos="3130"/>
      </w:tabs>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E2403C">
      <w:rPr>
        <w:rStyle w:val="PageNumber"/>
        <w:noProof/>
      </w:rPr>
      <w:t>xviii</w:t>
    </w:r>
    <w:r w:rsidRPr="006C4F67">
      <w:rPr>
        <w:rStyle w:val="PageNumber"/>
      </w:rPr>
      <w:fldChar w:fldCharType="end"/>
    </w:r>
    <w:r>
      <w:rPr>
        <w:rStyle w:val="PageNumber"/>
      </w:rPr>
      <w:tab/>
    </w:r>
  </w:p>
  <w:p w14:paraId="2A6D25B9" w14:textId="77777777" w:rsidR="00F1362E" w:rsidRDefault="00F1362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F3F63" w14:textId="384B8977" w:rsidR="00F1362E" w:rsidRPr="007E7D93" w:rsidRDefault="00F1362E"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58123A">
      <w:rPr>
        <w:rStyle w:val="PageNumber"/>
        <w:noProof/>
      </w:rPr>
      <w:t>56</w:t>
    </w:r>
    <w:r w:rsidRPr="006C4F6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1D6F4" w14:textId="50D62167" w:rsidR="00F1362E" w:rsidRPr="00672300" w:rsidRDefault="00F1362E"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58123A">
      <w:rPr>
        <w:rStyle w:val="PageNumber"/>
        <w:noProof/>
      </w:rPr>
      <w:t>118</w:t>
    </w:r>
    <w:r w:rsidRPr="006C4F6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A5BC7" w14:textId="6DE02AA1" w:rsidR="00F1362E" w:rsidRDefault="00F1362E" w:rsidP="00E2403C">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58123A">
      <w:rPr>
        <w:rStyle w:val="PageNumber"/>
        <w:noProof/>
      </w:rPr>
      <w:t>140</w:t>
    </w:r>
    <w:r w:rsidRPr="006C4F6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58958" w14:textId="77777777" w:rsidR="00F1362E" w:rsidRDefault="00F136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17C21" w14:textId="1D199EA6" w:rsidR="00F1362E" w:rsidRPr="00B66F45" w:rsidRDefault="00F1362E" w:rsidP="00B66F45">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58123A">
      <w:rPr>
        <w:rStyle w:val="PageNumber"/>
        <w:noProof/>
      </w:rPr>
      <w:t>173</w:t>
    </w:r>
    <w:r w:rsidRPr="006C4F67">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EB81A" w14:textId="1358BE35" w:rsidR="00F1362E" w:rsidRDefault="00F1362E">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58123A">
      <w:rPr>
        <w:rStyle w:val="PageNumber"/>
        <w:noProof/>
      </w:rPr>
      <w:t>141</w:t>
    </w:r>
    <w:r w:rsidRPr="006C4F67">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9B23E" w14:textId="75D8148E" w:rsidR="00F1362E" w:rsidRPr="00FD7D79" w:rsidRDefault="00F1362E" w:rsidP="00FD7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5E15D" w14:textId="77777777" w:rsidR="00F1362E" w:rsidRDefault="00F1362E" w:rsidP="00C702C7">
      <w:pPr>
        <w:spacing w:line="240" w:lineRule="auto"/>
      </w:pPr>
      <w:r>
        <w:separator/>
      </w:r>
    </w:p>
  </w:footnote>
  <w:footnote w:type="continuationSeparator" w:id="0">
    <w:p w14:paraId="53F2B3AE" w14:textId="77777777" w:rsidR="00F1362E" w:rsidRDefault="00F1362E" w:rsidP="00C702C7">
      <w:pPr>
        <w:spacing w:line="240" w:lineRule="auto"/>
      </w:pPr>
      <w:r>
        <w:continuationSeparator/>
      </w:r>
    </w:p>
  </w:footnote>
  <w:footnote w:type="continuationNotice" w:id="1">
    <w:p w14:paraId="63C75BE9" w14:textId="77777777" w:rsidR="00F1362E" w:rsidRDefault="00F1362E">
      <w:pPr>
        <w:spacing w:after="0" w:line="240" w:lineRule="auto"/>
      </w:pPr>
    </w:p>
  </w:footnote>
  <w:footnote w:id="2">
    <w:p w14:paraId="689EF9CB" w14:textId="77777777" w:rsidR="00F1362E" w:rsidRDefault="00F1362E" w:rsidP="00B15A20">
      <w:pPr>
        <w:pStyle w:val="FootnoteText"/>
      </w:pPr>
      <w:r w:rsidRPr="00E5697D">
        <w:rPr>
          <w:rFonts w:asciiTheme="majorHAnsi" w:hAnsiTheme="majorHAnsi"/>
          <w:vertAlign w:val="superscript"/>
        </w:rPr>
        <w:footnoteRef/>
      </w:r>
      <w:r w:rsidRPr="00E5697D">
        <w:rPr>
          <w:rFonts w:asciiTheme="majorHAnsi" w:hAnsiTheme="majorHAnsi"/>
        </w:rPr>
        <w:t xml:space="preserve"> The events of 2020 resulted in the prolonging of the evaluation, ultimately to ensure the integrity of the Indigenous voice was not lost in response to a temporary inability to be with stakeholders in place. </w:t>
      </w:r>
    </w:p>
  </w:footnote>
  <w:footnote w:id="3">
    <w:p w14:paraId="35E1D6AF" w14:textId="77777777" w:rsidR="00F1362E" w:rsidRPr="00D9545F" w:rsidRDefault="00F1362E" w:rsidP="00B15A20">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Commonwealth of Australia. (2015). ‘The Forrest Review (2014): Creating Parity’.</w:t>
      </w:r>
    </w:p>
  </w:footnote>
  <w:footnote w:id="4">
    <w:p w14:paraId="33F5CDAB" w14:textId="77777777" w:rsidR="00F1362E" w:rsidRPr="00D9545F" w:rsidRDefault="00F1362E" w:rsidP="00B15A20">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Note that the TAEG program offers three streams of funding, related to employment, school-based traineeships and cadetships. The employment stream of funding is the only stream which is in-scope for this evaluation. </w:t>
      </w:r>
    </w:p>
  </w:footnote>
  <w:footnote w:id="5">
    <w:p w14:paraId="77DFE7A5" w14:textId="77777777" w:rsidR="00F1362E" w:rsidRPr="00D9545F" w:rsidRDefault="00F1362E" w:rsidP="00B15A20">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Productivity Commission (2020), </w:t>
      </w:r>
      <w:r w:rsidRPr="00D9545F">
        <w:rPr>
          <w:rFonts w:asciiTheme="majorHAnsi" w:hAnsiTheme="majorHAnsi"/>
          <w:i/>
          <w:iCs/>
          <w:szCs w:val="16"/>
        </w:rPr>
        <w:t xml:space="preserve">Indigenous Evaluation Strategy, </w:t>
      </w:r>
      <w:r w:rsidRPr="00D9545F">
        <w:rPr>
          <w:rFonts w:asciiTheme="majorHAnsi" w:hAnsiTheme="majorHAnsi"/>
          <w:szCs w:val="16"/>
        </w:rPr>
        <w:t>Australian Government.</w:t>
      </w:r>
    </w:p>
  </w:footnote>
  <w:footnote w:id="6">
    <w:p w14:paraId="0B1005DD" w14:textId="77777777" w:rsidR="00F1362E" w:rsidRDefault="00F1362E" w:rsidP="00287B57">
      <w:pPr>
        <w:pStyle w:val="FootnoteText"/>
      </w:pPr>
      <w:r>
        <w:rPr>
          <w:rStyle w:val="FootnoteReference"/>
        </w:rPr>
        <w:footnoteRef/>
      </w:r>
      <w:r>
        <w:t xml:space="preserve"> </w:t>
      </w:r>
      <w:r w:rsidRPr="009C01B1">
        <w:t>S. Barlo, W.E. Boyd, M. Hughes, S. Wilson, ‘Yarning as protected space: relational accountability in research’, AlterNative, 2021, Vol. 17(1) 40–48</w:t>
      </w:r>
    </w:p>
  </w:footnote>
  <w:footnote w:id="7">
    <w:p w14:paraId="63C68C91" w14:textId="77777777" w:rsidR="00F1362E" w:rsidRDefault="00F1362E" w:rsidP="00B15A20">
      <w:pPr>
        <w:pStyle w:val="FootnoteText"/>
      </w:pPr>
      <w:r>
        <w:rPr>
          <w:rStyle w:val="FootnoteReference"/>
        </w:rPr>
        <w:footnoteRef/>
      </w:r>
      <w:r>
        <w:t xml:space="preserve"> P</w:t>
      </w:r>
      <w:r w:rsidRPr="00CB3A68">
        <w:rPr>
          <w:rFonts w:asciiTheme="majorHAnsi" w:hAnsiTheme="majorHAnsi"/>
        </w:rPr>
        <w:t xml:space="preserve">ermanent disengagement from the workforce is </w:t>
      </w:r>
      <w:r>
        <w:rPr>
          <w:rFonts w:asciiTheme="majorHAnsi" w:hAnsiTheme="majorHAnsi"/>
        </w:rPr>
        <w:t>the</w:t>
      </w:r>
      <w:r w:rsidRPr="00CB3A68">
        <w:rPr>
          <w:rFonts w:asciiTheme="majorHAnsi" w:hAnsiTheme="majorHAnsi"/>
        </w:rPr>
        <w:t xml:space="preserve"> outcome </w:t>
      </w:r>
      <w:r>
        <w:rPr>
          <w:rFonts w:asciiTheme="majorHAnsi" w:hAnsiTheme="majorHAnsi"/>
        </w:rPr>
        <w:t>that must be</w:t>
      </w:r>
      <w:r w:rsidRPr="00CB3A68">
        <w:rPr>
          <w:rFonts w:asciiTheme="majorHAnsi" w:hAnsiTheme="majorHAnsi"/>
        </w:rPr>
        <w:t xml:space="preserve"> avoided</w:t>
      </w:r>
      <w:r>
        <w:rPr>
          <w:rFonts w:asciiTheme="majorHAnsi" w:hAnsiTheme="majorHAnsi"/>
        </w:rPr>
        <w:t xml:space="preserve">, more so then </w:t>
      </w:r>
      <w:r w:rsidRPr="00CB3A68">
        <w:rPr>
          <w:rFonts w:asciiTheme="majorHAnsi" w:hAnsiTheme="majorHAnsi"/>
        </w:rPr>
        <w:t>some ‘churn’, in particular for those starting the furthest back</w:t>
      </w:r>
      <w:r>
        <w:rPr>
          <w:rFonts w:asciiTheme="majorHAnsi" w:hAnsiTheme="majorHAnsi"/>
        </w:rPr>
        <w:t xml:space="preserve"> from the finish line</w:t>
      </w:r>
      <w:r w:rsidRPr="00CB3A68">
        <w:rPr>
          <w:rFonts w:asciiTheme="majorHAnsi" w:hAnsiTheme="majorHAnsi"/>
        </w:rPr>
        <w:t>.</w:t>
      </w:r>
    </w:p>
  </w:footnote>
  <w:footnote w:id="8">
    <w:p w14:paraId="530B789B" w14:textId="77777777" w:rsidR="00F1362E" w:rsidRDefault="00F1362E" w:rsidP="00B15A20">
      <w:pPr>
        <w:pStyle w:val="FootnoteText"/>
      </w:pPr>
      <w:r>
        <w:rPr>
          <w:rStyle w:val="FootnoteReference"/>
        </w:rPr>
        <w:footnoteRef/>
      </w:r>
      <w:r>
        <w:t xml:space="preserve"> That is,</w:t>
      </w:r>
      <w:r>
        <w:rPr>
          <w:rFonts w:asciiTheme="majorHAnsi" w:hAnsiTheme="majorHAnsi"/>
        </w:rPr>
        <w:t xml:space="preserve"> you could increase Indigenous labour supply and demand at the same time, if the participant could help service the local needs.</w:t>
      </w:r>
    </w:p>
  </w:footnote>
  <w:footnote w:id="9">
    <w:p w14:paraId="7A1EBBA8" w14:textId="77777777" w:rsidR="00F1362E" w:rsidRDefault="00F1362E" w:rsidP="00B15A20">
      <w:pPr>
        <w:pStyle w:val="FootnoteText"/>
      </w:pPr>
      <w:r>
        <w:rPr>
          <w:rStyle w:val="FootnoteReference"/>
        </w:rPr>
        <w:footnoteRef/>
      </w:r>
      <w:r>
        <w:t xml:space="preserve"> </w:t>
      </w:r>
      <w:r w:rsidRPr="004C3AC3">
        <w:rPr>
          <w:rFonts w:asciiTheme="majorHAnsi" w:hAnsiTheme="majorHAnsi"/>
        </w:rPr>
        <w:t>People and employment ultimately exist in place – this situation is not confined to Indigenous Australians, though it is often more acute for them.</w:t>
      </w:r>
    </w:p>
  </w:footnote>
  <w:footnote w:id="10">
    <w:p w14:paraId="081204B6" w14:textId="77777777" w:rsidR="00F1362E" w:rsidRDefault="00F1362E" w:rsidP="00B15A20">
      <w:pPr>
        <w:pStyle w:val="FootnoteText"/>
      </w:pPr>
      <w:r>
        <w:rPr>
          <w:rStyle w:val="FootnoteReference"/>
        </w:rPr>
        <w:footnoteRef/>
      </w:r>
      <w:r>
        <w:t xml:space="preserve"> </w:t>
      </w:r>
      <w:r>
        <w:rPr>
          <w:rFonts w:asciiTheme="majorHAnsi" w:hAnsiTheme="majorHAnsi"/>
        </w:rPr>
        <w:t>I</w:t>
      </w:r>
      <w:r w:rsidRPr="740D30BA">
        <w:rPr>
          <w:rFonts w:asciiTheme="majorHAnsi" w:hAnsiTheme="majorHAnsi"/>
        </w:rPr>
        <w:t xml:space="preserve">n some instances, you simply cannot rely on the </w:t>
      </w:r>
      <w:r w:rsidRPr="5E96E1CB">
        <w:rPr>
          <w:rFonts w:asciiTheme="majorHAnsi" w:hAnsiTheme="majorHAnsi"/>
        </w:rPr>
        <w:t>market to meet the service need, and you need to provide/procure more directly.</w:t>
      </w:r>
    </w:p>
  </w:footnote>
  <w:footnote w:id="11">
    <w:p w14:paraId="364B6427" w14:textId="77777777" w:rsidR="00F1362E" w:rsidRDefault="00F1362E" w:rsidP="00B15A20">
      <w:pPr>
        <w:pStyle w:val="FootnoteText"/>
      </w:pPr>
      <w:r>
        <w:rPr>
          <w:rStyle w:val="FootnoteReference"/>
        </w:rPr>
        <w:footnoteRef/>
      </w:r>
      <w:r>
        <w:t xml:space="preserve"> I</w:t>
      </w:r>
      <w:r w:rsidRPr="004C3AC3">
        <w:rPr>
          <w:rFonts w:asciiTheme="majorHAnsi" w:hAnsiTheme="majorHAnsi"/>
        </w:rPr>
        <w:t xml:space="preserve">n certain contexts they </w:t>
      </w:r>
      <w:r>
        <w:rPr>
          <w:rFonts w:asciiTheme="majorHAnsi" w:hAnsiTheme="majorHAnsi"/>
        </w:rPr>
        <w:t>will</w:t>
      </w:r>
      <w:r w:rsidRPr="004C3AC3">
        <w:rPr>
          <w:rFonts w:asciiTheme="majorHAnsi" w:hAnsiTheme="majorHAnsi"/>
        </w:rPr>
        <w:t xml:space="preserve"> be a more trusted/relational institutional structure</w:t>
      </w:r>
      <w:r>
        <w:rPr>
          <w:rFonts w:asciiTheme="majorHAnsi" w:hAnsiTheme="majorHAnsi"/>
        </w:rPr>
        <w:t>.</w:t>
      </w:r>
    </w:p>
  </w:footnote>
  <w:footnote w:id="12">
    <w:p w14:paraId="054E0231" w14:textId="77777777" w:rsidR="00F1362E" w:rsidRDefault="00F1362E" w:rsidP="00B15A20">
      <w:pPr>
        <w:pStyle w:val="FootnoteText"/>
      </w:pPr>
      <w:r>
        <w:rPr>
          <w:rStyle w:val="FootnoteReference"/>
        </w:rPr>
        <w:footnoteRef/>
      </w:r>
      <w:r>
        <w:t xml:space="preserve"> </w:t>
      </w:r>
      <w:r>
        <w:rPr>
          <w:rFonts w:asciiTheme="majorHAnsi" w:hAnsiTheme="majorHAnsi"/>
        </w:rPr>
        <w:t>A</w:t>
      </w:r>
      <w:r w:rsidRPr="004C3AC3">
        <w:rPr>
          <w:rFonts w:asciiTheme="majorHAnsi" w:hAnsiTheme="majorHAnsi"/>
        </w:rPr>
        <w:t xml:space="preserve">nd where we </w:t>
      </w:r>
      <w:r>
        <w:rPr>
          <w:rFonts w:asciiTheme="majorHAnsi" w:hAnsiTheme="majorHAnsi"/>
        </w:rPr>
        <w:t>assess</w:t>
      </w:r>
      <w:r w:rsidRPr="004C3AC3">
        <w:rPr>
          <w:rFonts w:asciiTheme="majorHAnsi" w:hAnsiTheme="majorHAnsi"/>
        </w:rPr>
        <w:t xml:space="preserve"> that our rate of ‘full-employment’ is beyond what we have previously achieved</w:t>
      </w:r>
      <w:r>
        <w:rPr>
          <w:rFonts w:asciiTheme="majorHAnsi" w:hAnsiTheme="majorHAnsi"/>
        </w:rPr>
        <w:t>, as is currently being contemplated by many of Australia’s leading economists.</w:t>
      </w:r>
    </w:p>
  </w:footnote>
  <w:footnote w:id="13">
    <w:p w14:paraId="5B4B0C3D" w14:textId="77777777" w:rsidR="00F1362E" w:rsidRDefault="00F1362E" w:rsidP="009300EB">
      <w:pPr>
        <w:pStyle w:val="FootnoteText"/>
      </w:pPr>
      <w:r>
        <w:rPr>
          <w:rStyle w:val="FootnoteReference"/>
        </w:rPr>
        <w:footnoteRef/>
      </w:r>
      <w:r>
        <w:t xml:space="preserve"> T</w:t>
      </w:r>
      <w:r>
        <w:rPr>
          <w:rFonts w:asciiTheme="majorHAnsi" w:hAnsiTheme="majorHAnsi"/>
        </w:rPr>
        <w:t>his is also important to</w:t>
      </w:r>
      <w:r w:rsidRPr="009E281B">
        <w:rPr>
          <w:rFonts w:asciiTheme="majorHAnsi" w:hAnsiTheme="majorHAnsi"/>
        </w:rPr>
        <w:t xml:space="preserve"> minim</w:t>
      </w:r>
      <w:r>
        <w:rPr>
          <w:rFonts w:asciiTheme="majorHAnsi" w:hAnsiTheme="majorHAnsi"/>
        </w:rPr>
        <w:t>ise</w:t>
      </w:r>
      <w:r w:rsidRPr="009E281B">
        <w:rPr>
          <w:rFonts w:asciiTheme="majorHAnsi" w:hAnsiTheme="majorHAnsi"/>
        </w:rPr>
        <w:t xml:space="preserve"> reinvention or worse still, deficient approaches</w:t>
      </w:r>
      <w:r>
        <w:rPr>
          <w:rFonts w:asciiTheme="majorHAnsi" w:hAnsiTheme="majorHAnsi"/>
        </w:rPr>
        <w:t>, which can often occur in unmonitored/unevaluated grants-based programs.</w:t>
      </w:r>
    </w:p>
  </w:footnote>
  <w:footnote w:id="14">
    <w:p w14:paraId="27FDA606" w14:textId="77777777" w:rsidR="00F1362E" w:rsidRDefault="00F1362E" w:rsidP="006E7C8A">
      <w:pPr>
        <w:pStyle w:val="FootnoteText"/>
      </w:pPr>
      <w:r>
        <w:rPr>
          <w:rStyle w:val="FootnoteReference"/>
        </w:rPr>
        <w:footnoteRef/>
      </w:r>
      <w:r>
        <w:t xml:space="preserve"> At a minimum, a healthy cross-section of past, current and potential future participants and providers, employers and the regional and central brokers – in a balanced way, so positions of power do not compromise the process.</w:t>
      </w:r>
    </w:p>
  </w:footnote>
  <w:footnote w:id="15">
    <w:p w14:paraId="48D6EF4C" w14:textId="77777777" w:rsidR="00F1362E" w:rsidRDefault="00F1362E" w:rsidP="006E7C8A">
      <w:pPr>
        <w:pStyle w:val="FootnoteText"/>
      </w:pPr>
      <w:r w:rsidRPr="00873E7A">
        <w:rPr>
          <w:rStyle w:val="FootnoteReference"/>
        </w:rPr>
        <w:footnoteRef/>
      </w:r>
      <w:r w:rsidRPr="00873E7A">
        <w:t xml:space="preserve"> Where this enables an expansive and more personalised view of ‘meaningful and sustainable’ employment, this too will demand new approaches to measurement and assessment. It reiterates the importance of all reviewers and evaluators taking a longer-term, more participant-centric view in their work. This in turn will also continue to depend on vast improvement in the measurement systems of government, which underpin/reinforce much of the way the assessments have been conducted to date.</w:t>
      </w:r>
    </w:p>
  </w:footnote>
  <w:footnote w:id="16">
    <w:p w14:paraId="78A71C82" w14:textId="77777777" w:rsidR="00F1362E" w:rsidRDefault="00F1362E">
      <w:pPr>
        <w:pStyle w:val="FootnoteText"/>
      </w:pPr>
      <w:r>
        <w:rPr>
          <w:rStyle w:val="FootnoteReference"/>
        </w:rPr>
        <w:footnoteRef/>
      </w:r>
      <w:r>
        <w:t xml:space="preserve"> </w:t>
      </w:r>
      <w:r w:rsidRPr="007F69A6">
        <w:t>Parra-Luna, F. (2020). The role of systems theory in political science: The case of unemployment in Spain. Acta Europeana Systemica , 7(1), 137-152.</w:t>
      </w:r>
    </w:p>
  </w:footnote>
  <w:footnote w:id="17">
    <w:p w14:paraId="3DFDA8A1" w14:textId="77777777" w:rsidR="00F1362E" w:rsidRPr="00D9545F" w:rsidRDefault="00F1362E" w:rsidP="0044472D">
      <w:pPr>
        <w:pStyle w:val="FootnoteText"/>
        <w:rPr>
          <w:rStyle w:val="Hyperlink"/>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Australian Bureau of Statistics (2019), ‘National Aboriginal and Torres Strait Islander Health Survey’. Accessed from: https://www.abs.gov.au/AUSSTATS/abs@.nsf/Lookup/4715.0Explanatory%20Notes12018-19?OpenDocument.</w:t>
      </w:r>
    </w:p>
    <w:p w14:paraId="473AF6A3" w14:textId="77777777" w:rsidR="00F1362E" w:rsidRPr="00D9545F" w:rsidRDefault="00F1362E" w:rsidP="0044472D">
      <w:pPr>
        <w:pStyle w:val="FootnoteText"/>
        <w:rPr>
          <w:rFonts w:asciiTheme="majorHAnsi" w:hAnsiTheme="majorHAnsi"/>
          <w:szCs w:val="16"/>
        </w:rPr>
      </w:pPr>
    </w:p>
  </w:footnote>
  <w:footnote w:id="18">
    <w:p w14:paraId="3C14B65D" w14:textId="77777777" w:rsidR="00F1362E" w:rsidRPr="00D9545F" w:rsidRDefault="00F136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Australian Institute of Health and Welfare (2019), ‘Indigenous income and finance ‘. Accessed from: https://www.aihw.gov.au/reports/australias-welfare/indigenous-income-and-finance</w:t>
      </w:r>
    </w:p>
  </w:footnote>
  <w:footnote w:id="19">
    <w:p w14:paraId="01A4DDE3" w14:textId="77777777" w:rsidR="00F1362E" w:rsidRPr="00D9545F" w:rsidRDefault="00F136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Australian Institute of Health and Welfare (2019), ‘Indigenous income and finance ‘. Accessed from: https://www.aihw.gov.au/reports/australias-welfare/indigenous-income-and-finance</w:t>
      </w:r>
    </w:p>
  </w:footnote>
  <w:footnote w:id="20">
    <w:p w14:paraId="2CE1079C" w14:textId="77777777" w:rsidR="00F1362E" w:rsidRPr="00D9545F" w:rsidRDefault="00F1362E" w:rsidP="00F844A8">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Venn, D. and Biddle, N. (2018). ‘Recent trends in indigenous employment’ </w:t>
      </w:r>
      <w:r w:rsidRPr="00D9545F">
        <w:rPr>
          <w:rFonts w:asciiTheme="majorHAnsi" w:hAnsiTheme="majorHAnsi"/>
          <w:i/>
          <w:iCs/>
          <w:szCs w:val="16"/>
        </w:rPr>
        <w:t>Journal of Australian Political Economy.</w:t>
      </w:r>
    </w:p>
  </w:footnote>
  <w:footnote w:id="21">
    <w:p w14:paraId="4FEDC3B7" w14:textId="77777777" w:rsidR="00F1362E" w:rsidRPr="00D9545F" w:rsidRDefault="00F1362E" w:rsidP="006506CA">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Ibid.</w:t>
      </w:r>
    </w:p>
  </w:footnote>
  <w:footnote w:id="22">
    <w:p w14:paraId="6F7A12DD" w14:textId="77777777" w:rsidR="00F1362E" w:rsidRPr="00D9545F" w:rsidRDefault="00F1362E" w:rsidP="00AA53FA">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Note that the TAEG program offers three streams of funding, related to employment, school-based traineeships and cadetships. The employment stream of funding is the only stream which is in-scope for this evaluation.</w:t>
      </w:r>
    </w:p>
  </w:footnote>
  <w:footnote w:id="23">
    <w:p w14:paraId="3932A677" w14:textId="77777777" w:rsidR="00F1362E" w:rsidRDefault="00F1362E">
      <w:pPr>
        <w:pStyle w:val="FootnoteText"/>
      </w:pPr>
      <w:r>
        <w:rPr>
          <w:rStyle w:val="FootnoteReference"/>
        </w:rPr>
        <w:footnoteRef/>
      </w:r>
      <w:r>
        <w:rPr>
          <w:rFonts w:asciiTheme="majorHAnsi" w:hAnsiTheme="majorHAnsi"/>
          <w:szCs w:val="16"/>
        </w:rPr>
        <w:t>Andrew Forrest</w:t>
      </w:r>
      <w:r w:rsidRPr="00D9545F">
        <w:rPr>
          <w:rFonts w:asciiTheme="majorHAnsi" w:hAnsiTheme="majorHAnsi"/>
          <w:szCs w:val="16"/>
        </w:rPr>
        <w:t xml:space="preserve"> (</w:t>
      </w:r>
      <w:r>
        <w:rPr>
          <w:rFonts w:asciiTheme="majorHAnsi" w:hAnsiTheme="majorHAnsi"/>
          <w:szCs w:val="16"/>
        </w:rPr>
        <w:t>2014</w:t>
      </w:r>
      <w:r w:rsidRPr="00D9545F">
        <w:rPr>
          <w:rFonts w:asciiTheme="majorHAnsi" w:hAnsiTheme="majorHAnsi"/>
          <w:szCs w:val="16"/>
        </w:rPr>
        <w:t xml:space="preserve">), </w:t>
      </w:r>
      <w:r>
        <w:rPr>
          <w:rFonts w:asciiTheme="majorHAnsi" w:hAnsiTheme="majorHAnsi"/>
          <w:i/>
          <w:iCs/>
          <w:szCs w:val="16"/>
        </w:rPr>
        <w:t>The Forrest Review: Creating Parity</w:t>
      </w:r>
      <w:r w:rsidRPr="00D9545F">
        <w:rPr>
          <w:rFonts w:asciiTheme="majorHAnsi" w:hAnsiTheme="majorHAnsi"/>
          <w:szCs w:val="16"/>
        </w:rPr>
        <w:t>.</w:t>
      </w:r>
    </w:p>
  </w:footnote>
  <w:footnote w:id="24">
    <w:p w14:paraId="6728F892" w14:textId="77777777" w:rsidR="00F1362E" w:rsidRDefault="00F1362E" w:rsidP="00C812A1">
      <w:pPr>
        <w:pStyle w:val="FootnoteText"/>
      </w:pPr>
      <w:r>
        <w:rPr>
          <w:rStyle w:val="FootnoteReference"/>
        </w:rPr>
        <w:footnoteRef/>
      </w:r>
      <w:r w:rsidRPr="00D9545F">
        <w:rPr>
          <w:rFonts w:asciiTheme="majorHAnsi" w:hAnsiTheme="majorHAnsi"/>
          <w:szCs w:val="16"/>
        </w:rPr>
        <w:t xml:space="preserve">Productivity Commission (2020), </w:t>
      </w:r>
      <w:r w:rsidRPr="00D9545F">
        <w:rPr>
          <w:rFonts w:asciiTheme="majorHAnsi" w:hAnsiTheme="majorHAnsi"/>
          <w:i/>
          <w:iCs/>
          <w:szCs w:val="16"/>
        </w:rPr>
        <w:t xml:space="preserve">Indigenous Evaluation Strategy, </w:t>
      </w:r>
      <w:r w:rsidRPr="00D9545F">
        <w:rPr>
          <w:rFonts w:asciiTheme="majorHAnsi" w:hAnsiTheme="majorHAnsi"/>
          <w:szCs w:val="16"/>
        </w:rPr>
        <w:t>Australian Government.</w:t>
      </w:r>
    </w:p>
  </w:footnote>
  <w:footnote w:id="25">
    <w:p w14:paraId="29D4F4F9" w14:textId="77777777" w:rsidR="00F1362E" w:rsidRDefault="00F1362E">
      <w:pPr>
        <w:pStyle w:val="FootnoteText"/>
      </w:pPr>
      <w:r>
        <w:rPr>
          <w:rStyle w:val="FootnoteReference"/>
        </w:rPr>
        <w:footnoteRef/>
      </w:r>
      <w:r>
        <w:t xml:space="preserve">Department of Prime Minister and Cabinet (2018), </w:t>
      </w:r>
      <w:r w:rsidRPr="0004192D">
        <w:rPr>
          <w:i/>
          <w:iCs/>
        </w:rPr>
        <w:t>Indigenous Advancement Strategy: Evaluation Framework</w:t>
      </w:r>
      <w:r>
        <w:t>.</w:t>
      </w:r>
    </w:p>
  </w:footnote>
  <w:footnote w:id="26">
    <w:p w14:paraId="69C6B891" w14:textId="77777777" w:rsidR="00F1362E" w:rsidRDefault="00F1362E">
      <w:pPr>
        <w:pStyle w:val="FootnoteText"/>
      </w:pPr>
      <w:r>
        <w:rPr>
          <w:rStyle w:val="FootnoteReference"/>
        </w:rPr>
        <w:footnoteRef/>
      </w:r>
      <w:r>
        <w:t>Note: This includes one initial consultation with each of the 12 NIAA Regional Offices, and a second follow-up consultation with six of the regions that were selected for deep dives (i.e. further provider and participant consultations).</w:t>
      </w:r>
    </w:p>
  </w:footnote>
  <w:footnote w:id="27">
    <w:p w14:paraId="07A370CA" w14:textId="77777777" w:rsidR="00F1362E" w:rsidRDefault="00F1362E" w:rsidP="00A92427">
      <w:pPr>
        <w:pStyle w:val="FootnoteText"/>
      </w:pPr>
      <w:r>
        <w:rPr>
          <w:rStyle w:val="FootnoteReference"/>
        </w:rPr>
        <w:footnoteRef/>
      </w:r>
      <w:r w:rsidRPr="00D9545F">
        <w:rPr>
          <w:rFonts w:asciiTheme="majorHAnsi" w:hAnsiTheme="majorHAnsi"/>
          <w:szCs w:val="16"/>
        </w:rPr>
        <w:t xml:space="preserve">Productivity Commission (2020), </w:t>
      </w:r>
      <w:r w:rsidRPr="00D9545F">
        <w:rPr>
          <w:rFonts w:asciiTheme="majorHAnsi" w:hAnsiTheme="majorHAnsi"/>
          <w:i/>
          <w:iCs/>
          <w:szCs w:val="16"/>
        </w:rPr>
        <w:t xml:space="preserve">Indigenous Evaluation Strategy, </w:t>
      </w:r>
      <w:r w:rsidRPr="00D9545F">
        <w:rPr>
          <w:rFonts w:asciiTheme="majorHAnsi" w:hAnsiTheme="majorHAnsi"/>
          <w:szCs w:val="16"/>
        </w:rPr>
        <w:t>Australian Government</w:t>
      </w:r>
      <w:r>
        <w:rPr>
          <w:rFonts w:asciiTheme="majorHAnsi" w:hAnsiTheme="majorHAnsi"/>
          <w:szCs w:val="16"/>
        </w:rPr>
        <w:t xml:space="preserve">, </w:t>
      </w:r>
      <w:r>
        <w:t xml:space="preserve">Department of Prime Minister and Cabinet (2018), </w:t>
      </w:r>
      <w:r w:rsidRPr="00611B83">
        <w:rPr>
          <w:i/>
          <w:iCs/>
        </w:rPr>
        <w:t>Indigenous Advancement Strategy: Evaluation Framework</w:t>
      </w:r>
      <w:r>
        <w:t>.</w:t>
      </w:r>
    </w:p>
  </w:footnote>
  <w:footnote w:id="28">
    <w:p w14:paraId="242AAE41" w14:textId="77777777" w:rsidR="00F1362E" w:rsidRPr="00353FCD" w:rsidRDefault="00F1362E" w:rsidP="008B7FEE">
      <w:pPr>
        <w:pStyle w:val="FootnoteText"/>
        <w:rPr>
          <w:i/>
          <w:iCs/>
        </w:rPr>
      </w:pPr>
      <w:r>
        <w:rPr>
          <w:rStyle w:val="FootnoteReference"/>
        </w:rPr>
        <w:footnoteRef/>
      </w:r>
      <w:r>
        <w:t xml:space="preserve"> Klein, E. (2014). ‘Academic perspectives on the Forrest Review: creating parity’ </w:t>
      </w:r>
      <w:r>
        <w:rPr>
          <w:i/>
          <w:iCs/>
        </w:rPr>
        <w:t xml:space="preserve">Centre for Aboriginal Economic Policy Research. </w:t>
      </w:r>
    </w:p>
    <w:p w14:paraId="146BC849" w14:textId="77777777" w:rsidR="00F1362E" w:rsidRDefault="00F1362E" w:rsidP="008B7FEE">
      <w:pPr>
        <w:pStyle w:val="FootnoteText"/>
      </w:pPr>
    </w:p>
  </w:footnote>
  <w:footnote w:id="29">
    <w:p w14:paraId="00A4BAC1" w14:textId="77777777" w:rsidR="00F1362E" w:rsidRDefault="00F1362E" w:rsidP="00D5380A">
      <w:pPr>
        <w:pStyle w:val="FootnoteText"/>
      </w:pPr>
      <w:r>
        <w:rPr>
          <w:rStyle w:val="FootnoteReference"/>
        </w:rPr>
        <w:footnoteRef/>
      </w:r>
      <w:r>
        <w:t xml:space="preserve">OECD, </w:t>
      </w:r>
      <w:r w:rsidRPr="0004192D">
        <w:rPr>
          <w:i/>
          <w:iCs/>
        </w:rPr>
        <w:t xml:space="preserve">Improving Governance with Policy Evaluation: Lessons </w:t>
      </w:r>
      <w:r>
        <w:rPr>
          <w:i/>
          <w:iCs/>
        </w:rPr>
        <w:t>f</w:t>
      </w:r>
      <w:r w:rsidRPr="0004192D">
        <w:rPr>
          <w:i/>
          <w:iCs/>
        </w:rPr>
        <w:t>rom Country Experiences</w:t>
      </w:r>
      <w:r>
        <w:t xml:space="preserve"> (2021).</w:t>
      </w:r>
    </w:p>
  </w:footnote>
  <w:footnote w:id="30">
    <w:p w14:paraId="49B8F67F" w14:textId="77777777" w:rsidR="00F1362E" w:rsidRPr="00D9545F" w:rsidRDefault="00F1362E" w:rsidP="00BC0140">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Miles Morgan Australia. (2015). ‘Progress Evaluation of the Vocational Training and Employment Centre Programme.’</w:t>
      </w:r>
    </w:p>
  </w:footnote>
  <w:footnote w:id="31">
    <w:p w14:paraId="57D540E0" w14:textId="77777777" w:rsidR="00F1362E" w:rsidRPr="00D9545F" w:rsidRDefault="00F1362E" w:rsidP="00BC0140">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Commonwealth of Australia, Education and Employment References Committee. (2018). Jobactive: failing 6</w:t>
      </w:r>
    </w:p>
  </w:footnote>
  <w:footnote w:id="32">
    <w:p w14:paraId="2B26A9F1" w14:textId="7953528A" w:rsidR="00F1362E" w:rsidRPr="00D9545F" w:rsidRDefault="00F1362E" w:rsidP="001444B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While this was the intention, during consultation, it was established that the pilot </w:t>
      </w:r>
      <w:r>
        <w:rPr>
          <w:rFonts w:asciiTheme="majorHAnsi" w:hAnsiTheme="majorHAnsi"/>
          <w:szCs w:val="16"/>
        </w:rPr>
        <w:t>did not go ahead</w:t>
      </w:r>
      <w:r w:rsidRPr="00D9545F">
        <w:rPr>
          <w:rFonts w:asciiTheme="majorHAnsi" w:hAnsiTheme="majorHAnsi"/>
          <w:szCs w:val="16"/>
        </w:rPr>
        <w:t xml:space="preserve">. </w:t>
      </w:r>
    </w:p>
  </w:footnote>
  <w:footnote w:id="33">
    <w:p w14:paraId="055250DB" w14:textId="77777777" w:rsidR="00F1362E" w:rsidRDefault="00F1362E">
      <w:pPr>
        <w:pStyle w:val="FootnoteText"/>
      </w:pPr>
      <w:r>
        <w:rPr>
          <w:rStyle w:val="FootnoteReference"/>
        </w:rPr>
        <w:footnoteRef/>
      </w:r>
      <w:r w:rsidRPr="00D9545F">
        <w:rPr>
          <w:rFonts w:asciiTheme="majorHAnsi" w:hAnsiTheme="majorHAnsi"/>
          <w:szCs w:val="16"/>
        </w:rPr>
        <w:t xml:space="preserve">Productivity Commission (2020), </w:t>
      </w:r>
      <w:r w:rsidRPr="00D9545F">
        <w:rPr>
          <w:rFonts w:asciiTheme="majorHAnsi" w:hAnsiTheme="majorHAnsi"/>
          <w:i/>
          <w:iCs/>
          <w:szCs w:val="16"/>
        </w:rPr>
        <w:t xml:space="preserve">Indigenous Evaluation Strategy, </w:t>
      </w:r>
      <w:r w:rsidRPr="00D9545F">
        <w:rPr>
          <w:rFonts w:asciiTheme="majorHAnsi" w:hAnsiTheme="majorHAnsi"/>
          <w:szCs w:val="16"/>
        </w:rPr>
        <w:t>Australian Government.</w:t>
      </w:r>
    </w:p>
  </w:footnote>
  <w:footnote w:id="34">
    <w:p w14:paraId="24BF4E87" w14:textId="77777777" w:rsidR="00F1362E" w:rsidRDefault="00F1362E" w:rsidP="00D5380A">
      <w:pPr>
        <w:pStyle w:val="FootnoteText"/>
      </w:pPr>
      <w:r>
        <w:rPr>
          <w:rStyle w:val="FootnoteReference"/>
        </w:rPr>
        <w:footnoteRef/>
      </w:r>
      <w:r w:rsidRPr="006C5A45">
        <w:t>https://onlinelibrary.wiley.com/doi/10.1111/1467-8500.12310</w:t>
      </w:r>
    </w:p>
  </w:footnote>
  <w:footnote w:id="35">
    <w:p w14:paraId="5A345347" w14:textId="77777777" w:rsidR="00F1362E" w:rsidRDefault="00F1362E" w:rsidP="00D5380A">
      <w:pPr>
        <w:pStyle w:val="FootnoteText"/>
      </w:pPr>
      <w:r>
        <w:rPr>
          <w:rStyle w:val="FootnoteReference"/>
        </w:rPr>
        <w:footnoteRef/>
      </w:r>
      <w:r>
        <w:t xml:space="preserve"> </w:t>
      </w:r>
      <w:r w:rsidRPr="0045005B">
        <w:t>Sanders, E. 2014. ‘Perspectives on Participation in Design.’</w:t>
      </w:r>
    </w:p>
  </w:footnote>
  <w:footnote w:id="36">
    <w:p w14:paraId="237AEA54" w14:textId="77777777" w:rsidR="00F1362E" w:rsidRPr="00D9545F" w:rsidRDefault="00F1362E" w:rsidP="00DD4EA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Klein, E. (2014). ‘Academic Perspectives on the Forrest Review (2014): Creating Parity.’ Accessed from: </w:t>
      </w:r>
      <w:hyperlink r:id="rId1" w:history="1">
        <w:r w:rsidRPr="00D9545F">
          <w:rPr>
            <w:rStyle w:val="Hyperlink"/>
            <w:rFonts w:asciiTheme="majorHAnsi" w:hAnsiTheme="majorHAnsi"/>
            <w:szCs w:val="16"/>
          </w:rPr>
          <w:t>https://caepr.cass.anu.edu.au/research/publications/academic-perspectives-forrest-review-creating-parity</w:t>
        </w:r>
      </w:hyperlink>
    </w:p>
  </w:footnote>
  <w:footnote w:id="37">
    <w:p w14:paraId="3D7C6983" w14:textId="77777777" w:rsidR="00F1362E" w:rsidRPr="00D9545F" w:rsidRDefault="00F1362E" w:rsidP="00DD4EA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Ibid.</w:t>
      </w:r>
    </w:p>
  </w:footnote>
  <w:footnote w:id="38">
    <w:p w14:paraId="44E6A320" w14:textId="77777777" w:rsidR="00F1362E" w:rsidRDefault="00F1362E" w:rsidP="00D5380A">
      <w:pPr>
        <w:pStyle w:val="FootnoteText"/>
      </w:pPr>
      <w:r>
        <w:rPr>
          <w:rStyle w:val="FootnoteReference"/>
        </w:rPr>
        <w:footnoteRef/>
      </w:r>
      <w:r>
        <w:t xml:space="preserve">See, for example: Macquarie University, </w:t>
      </w:r>
      <w:r w:rsidRPr="0004192D">
        <w:rPr>
          <w:i/>
          <w:iCs/>
        </w:rPr>
        <w:t>The use and usefulness of outcomes based funding for hospitals</w:t>
      </w:r>
      <w:r>
        <w:t xml:space="preserve"> (2019) and NSW Department of Education, </w:t>
      </w:r>
      <w:r w:rsidRPr="0004192D">
        <w:rPr>
          <w:i/>
          <w:iCs/>
        </w:rPr>
        <w:t>Needs-based funding</w:t>
      </w:r>
      <w:r>
        <w:t xml:space="preserve"> (2020). Available at: </w:t>
      </w:r>
      <w:r w:rsidRPr="002F0547">
        <w:t>https://education.nsw.gov.au/teaching-and-learning/school-excellence-and-accountability/2021-school-excellence-in-action/effective-use-of-funding-and-resources/needs-based-funding</w:t>
      </w:r>
    </w:p>
  </w:footnote>
  <w:footnote w:id="39">
    <w:p w14:paraId="47E199FC" w14:textId="77777777" w:rsidR="00F1362E" w:rsidRDefault="00F1362E" w:rsidP="00F1720D">
      <w:pPr>
        <w:pStyle w:val="FootnoteText"/>
      </w:pPr>
      <w:r>
        <w:rPr>
          <w:rStyle w:val="FootnoteReference"/>
        </w:rPr>
        <w:footnoteRef/>
      </w:r>
      <w:r>
        <w:t xml:space="preserve">Australian Public Service Commission, </w:t>
      </w:r>
      <w:r w:rsidRPr="0004192D">
        <w:rPr>
          <w:i/>
          <w:iCs/>
        </w:rPr>
        <w:t>Policy implementation through devolved government</w:t>
      </w:r>
      <w:r>
        <w:t xml:space="preserve"> (2019).</w:t>
      </w:r>
    </w:p>
  </w:footnote>
  <w:footnote w:id="40">
    <w:p w14:paraId="34DD390E" w14:textId="77777777" w:rsidR="00F1362E" w:rsidRDefault="00F1362E" w:rsidP="00F1720D">
      <w:pPr>
        <w:pStyle w:val="FootnoteText"/>
      </w:pPr>
      <w:r>
        <w:rPr>
          <w:rStyle w:val="FootnoteReference"/>
        </w:rPr>
        <w:footnoteRef/>
      </w:r>
      <w:r>
        <w:t xml:space="preserve">Deloitte Access Economics, </w:t>
      </w:r>
      <w:r w:rsidRPr="001656D4">
        <w:rPr>
          <w:i/>
          <w:iCs/>
        </w:rPr>
        <w:t>Evaluation of Skilling Queenslanders for Work</w:t>
      </w:r>
      <w:r>
        <w:t xml:space="preserve"> (2012). Available at: </w:t>
      </w:r>
      <w:r w:rsidRPr="00B03DED">
        <w:t>https://www2.deloitte.com/au/en/pages/economics/articles/evaluation-skilling-queenslanders-for-work-program.html</w:t>
      </w:r>
      <w:r>
        <w:t>.</w:t>
      </w:r>
    </w:p>
  </w:footnote>
  <w:footnote w:id="41">
    <w:p w14:paraId="42C69774" w14:textId="77777777" w:rsidR="00F1362E" w:rsidRPr="00D9545F" w:rsidRDefault="00F1362E"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Gray, M., Hunder, B. and Lohoar, S. (2012). ‘Increasing Indigenous employment rates’, Issues paper np. 3, Closing the Gap Clearninghouse. Accessed from: </w:t>
      </w:r>
      <w:hyperlink r:id="rId2" w:history="1">
        <w:r w:rsidRPr="00D9545F">
          <w:rPr>
            <w:rFonts w:asciiTheme="majorHAnsi" w:hAnsiTheme="majorHAnsi"/>
            <w:szCs w:val="16"/>
          </w:rPr>
          <w:t>https://www.aihw.gov.au/getmedia/71bb346a-1b83-4038-a2f7-647e65a21445/ctg-ip03.pdf</w:t>
        </w:r>
      </w:hyperlink>
      <w:r>
        <w:rPr>
          <w:rFonts w:asciiTheme="majorHAnsi" w:hAnsiTheme="majorHAnsi"/>
          <w:szCs w:val="16"/>
        </w:rPr>
        <w:t>.</w:t>
      </w:r>
    </w:p>
  </w:footnote>
  <w:footnote w:id="42">
    <w:p w14:paraId="57AD0273" w14:textId="77777777" w:rsidR="00F1362E" w:rsidRPr="00D9545F" w:rsidRDefault="00F1362E"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Venn, D. and Biddle, N. (2018). ‘Recent trends in indigenous employment’ </w:t>
      </w:r>
      <w:r w:rsidRPr="00D9545F">
        <w:rPr>
          <w:rFonts w:asciiTheme="majorHAnsi" w:hAnsiTheme="majorHAnsi"/>
          <w:i/>
          <w:iCs/>
          <w:szCs w:val="16"/>
        </w:rPr>
        <w:t>Journal of Australian Political Economy.</w:t>
      </w:r>
    </w:p>
  </w:footnote>
  <w:footnote w:id="43">
    <w:p w14:paraId="2343D04B" w14:textId="77777777" w:rsidR="00F1362E" w:rsidRPr="00D9545F" w:rsidRDefault="00F1362E"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Gray, M., Hunder, B. and Lohoar, S. (2012). ‘Increasing Indigenous employment rates’, Issues paper np. 3, Closing the Gap Clearinghouse. Accessed from: </w:t>
      </w:r>
      <w:hyperlink r:id="rId3" w:history="1">
        <w:r w:rsidRPr="00D9545F">
          <w:rPr>
            <w:rFonts w:asciiTheme="majorHAnsi" w:hAnsiTheme="majorHAnsi"/>
            <w:szCs w:val="16"/>
          </w:rPr>
          <w:t>https://www.aihw.gov.au/getmedia/71bb346a-1b83-4038-a2f7-647e65a21445/ctg-ip03.pdf</w:t>
        </w:r>
      </w:hyperlink>
      <w:r>
        <w:rPr>
          <w:rFonts w:asciiTheme="majorHAnsi" w:hAnsiTheme="majorHAnsi"/>
          <w:szCs w:val="16"/>
        </w:rPr>
        <w:t>.</w:t>
      </w:r>
    </w:p>
  </w:footnote>
  <w:footnote w:id="44">
    <w:p w14:paraId="7B9A90E7" w14:textId="77777777" w:rsidR="00F1362E" w:rsidRPr="00D9545F" w:rsidRDefault="00F136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SafeWork (n.d). ‘Culturally Safe Workplaces’. NSW Government. </w:t>
      </w:r>
      <w:r>
        <w:rPr>
          <w:rFonts w:asciiTheme="majorHAnsi" w:hAnsiTheme="majorHAnsi"/>
          <w:szCs w:val="16"/>
        </w:rPr>
        <w:t>Accessed</w:t>
      </w:r>
      <w:r w:rsidRPr="00D9545F">
        <w:rPr>
          <w:rFonts w:asciiTheme="majorHAnsi" w:hAnsiTheme="majorHAnsi"/>
          <w:szCs w:val="16"/>
        </w:rPr>
        <w:t xml:space="preserve"> from: https://www.safework.nsw.gov.au/safety-starts-here/our-aboriginal-program/culturally-safe-workplaces/</w:t>
      </w:r>
      <w:r>
        <w:rPr>
          <w:rFonts w:asciiTheme="majorHAnsi" w:hAnsiTheme="majorHAnsi"/>
          <w:szCs w:val="16"/>
        </w:rPr>
        <w:t>.</w:t>
      </w:r>
    </w:p>
  </w:footnote>
  <w:footnote w:id="45">
    <w:p w14:paraId="029081D9" w14:textId="77777777" w:rsidR="00F1362E" w:rsidRDefault="00F1362E" w:rsidP="00297EBC">
      <w:pPr>
        <w:pStyle w:val="FootnoteText"/>
      </w:pPr>
      <w:r>
        <w:rPr>
          <w:rStyle w:val="FootnoteReference"/>
        </w:rPr>
        <w:footnoteRef/>
      </w:r>
      <w:r>
        <w:t xml:space="preserve"> </w:t>
      </w:r>
      <w:r w:rsidRPr="00502BAB">
        <w:t xml:space="preserve">Luke, A. </w:t>
      </w:r>
      <w:r>
        <w:t>(</w:t>
      </w:r>
      <w:r w:rsidRPr="00502BAB">
        <w:t>2009</w:t>
      </w:r>
      <w:r>
        <w:t>)</w:t>
      </w:r>
      <w:r w:rsidRPr="00502BAB">
        <w:t>. On Indigenous education. Teaching Education 20, no. 1: 1–5.</w:t>
      </w:r>
    </w:p>
  </w:footnote>
  <w:footnote w:id="46">
    <w:p w14:paraId="7CD22185" w14:textId="77777777" w:rsidR="00F1362E" w:rsidRDefault="00F1362E" w:rsidP="00297EBC">
      <w:pPr>
        <w:pStyle w:val="FootnoteText"/>
      </w:pPr>
      <w:r>
        <w:rPr>
          <w:rStyle w:val="FootnoteReference"/>
        </w:rPr>
        <w:footnoteRef/>
      </w:r>
      <w:r>
        <w:t xml:space="preserve"> Bawaka Country including, S.Wright, S.Suchet-Pearson, K.Lloyd, L.Burarrwanga, R.Ganambarr, M.Ganambarr-Stubbs, B. Ganambarr, D. Maymuru and M. Graham, ‘Everything Is Love: Mobilising Knowledges, Identities, and Places as Bawaka’, in N.Gombay and M.Palomino-Schalscha (eds), Indigenous Places and Colonial Spaces: The Politics of Intertwined Relations (London: Routledge, 2018), pp. 51–71.</w:t>
      </w:r>
    </w:p>
  </w:footnote>
  <w:footnote w:id="47">
    <w:p w14:paraId="73B5EEF1" w14:textId="77777777" w:rsidR="00F1362E" w:rsidRPr="00D9545F" w:rsidRDefault="00F1362E"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t xml:space="preserve">Constable, J. (2009). ‘Engaging Aboriginal Australians in the Private Sector: A Consultative Report into Aboriginal Employment Strategies and Initiatives’, </w:t>
      </w:r>
      <w:r>
        <w:rPr>
          <w:i/>
          <w:iCs/>
        </w:rPr>
        <w:t xml:space="preserve">Diversity Council Australia; </w:t>
      </w:r>
      <w:r w:rsidRPr="00771C29">
        <w:t xml:space="preserve">Gray, M., Hunder, B. and Lohoar, S. (2012). ‘Increasing Indigenous employment rates’, Issues paper np. 3, Closing the Gap Clearninghouse. Accessed from: </w:t>
      </w:r>
      <w:hyperlink r:id="rId4" w:history="1">
        <w:r w:rsidRPr="00771C29">
          <w:t>https://www.aihw.gov.au/getmedia/71bb346a-1b83-4038-a2f7-647e65a21445/ctg-ip03.pdf</w:t>
        </w:r>
      </w:hyperlink>
      <w:r>
        <w:t>; GenerationOne. (2011). ‘Walk in My Shoes: Employer experiences of barriers and drivers in the employment cycle for Indigenous Australians’.</w:t>
      </w:r>
    </w:p>
  </w:footnote>
  <w:footnote w:id="48">
    <w:p w14:paraId="259C8BAA" w14:textId="77777777" w:rsidR="00F1362E" w:rsidRPr="00D9545F" w:rsidRDefault="00F1362E"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t xml:space="preserve">Constable, J. (2009). ‘Engaging Aboriginal Australians in the Private Sector: A Consultative Report into Aboriginal Employment Strategies and Initiatives’, </w:t>
      </w:r>
      <w:r>
        <w:rPr>
          <w:i/>
          <w:iCs/>
        </w:rPr>
        <w:t xml:space="preserve">Diversity Council Australia; </w:t>
      </w:r>
      <w:r w:rsidRPr="00771C29">
        <w:t xml:space="preserve">Gray, M., Hunder, B. and Lohoar, S. (2012). ‘Increasing Indigenous employment rates’, Issues paper np. 3, Closing the Gap Clearninghouse. Accessed from: </w:t>
      </w:r>
      <w:hyperlink r:id="rId5" w:history="1">
        <w:r w:rsidRPr="00771C29">
          <w:t>https://www.aihw.gov.au/getmedia/71bb346a-1b83-4038-a2f7-647e65a21445/ctg-ip03.pdf</w:t>
        </w:r>
      </w:hyperlink>
      <w:r>
        <w:t>; GenerationOne. (2011). ‘Walk in My Shoes: Employer experiences of barriers and drivers in the employment cycle for Indigenous Australians’.</w:t>
      </w:r>
    </w:p>
  </w:footnote>
  <w:footnote w:id="49">
    <w:p w14:paraId="01A6B2D5" w14:textId="77777777" w:rsidR="00F1362E" w:rsidRDefault="00F1362E">
      <w:pPr>
        <w:pStyle w:val="FootnoteText"/>
      </w:pPr>
      <w:r>
        <w:rPr>
          <w:rStyle w:val="FootnoteReference"/>
        </w:rPr>
        <w:footnoteRef/>
      </w:r>
      <w:r>
        <w:rPr>
          <w:rFonts w:asciiTheme="majorHAnsi" w:hAnsiTheme="majorHAnsi"/>
          <w:szCs w:val="16"/>
        </w:rPr>
        <w:t xml:space="preserve">Diversity Council Australia (2020). ‘Gari Yala – Speak the Truth’, Synopsis report. Accessed from: </w:t>
      </w:r>
      <w:r w:rsidRPr="00F500A7">
        <w:t>https://www.dca.org.au/sites/default/files/dca_synopsisreport_web_0.pdf</w:t>
      </w:r>
      <w:r>
        <w:t>.</w:t>
      </w:r>
    </w:p>
  </w:footnote>
  <w:footnote w:id="50">
    <w:p w14:paraId="73274016" w14:textId="77777777" w:rsidR="00F1362E" w:rsidRPr="00D9545F" w:rsidRDefault="00F1362E"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t xml:space="preserve">Constable, J. (2009). ‘Engaging Aboriginal Australians in the Private Sector: A Consultative Report into Aboriginal Employment Strategies and Initiatives’, </w:t>
      </w:r>
      <w:r>
        <w:rPr>
          <w:i/>
          <w:iCs/>
        </w:rPr>
        <w:t xml:space="preserve">Diversity Council Australia; </w:t>
      </w:r>
      <w:r w:rsidRPr="00771C29">
        <w:t xml:space="preserve">Gray, M., Hunder, B. and Lohoar, S. (2012). ‘Increasing Indigenous employment rates’, Issues paper np. 3, Closing the Gap Clearninghouse. Accessed from: </w:t>
      </w:r>
      <w:hyperlink r:id="rId6" w:history="1">
        <w:r w:rsidRPr="00771C29">
          <w:t>https://www.aihw.gov.au/getmedia/71bb346a-1b83-4038-a2f7-647e65a21445/ctg-ip03.pdf</w:t>
        </w:r>
      </w:hyperlink>
      <w:r>
        <w:t>; GenerationOne. (2011). ‘Walk in My Shoes: Employer experiences of barriers and drivers in the employment cycle for Indigenous Australians’.</w:t>
      </w:r>
    </w:p>
  </w:footnote>
  <w:footnote w:id="51">
    <w:p w14:paraId="43D27A5D" w14:textId="77777777" w:rsidR="00F1362E" w:rsidRPr="00D9545F" w:rsidRDefault="00F1362E" w:rsidP="001E1919">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Borland, J., Considine, M., Kalb, G. and Ribar, D. (2016). ‘What Are Best-Practice Programs for Jobseekers Facing High Barriers to Unemployment?’ </w:t>
      </w:r>
      <w:r w:rsidRPr="00D9545F">
        <w:rPr>
          <w:rFonts w:asciiTheme="majorHAnsi" w:hAnsiTheme="majorHAnsi"/>
          <w:i/>
          <w:iCs/>
          <w:szCs w:val="16"/>
        </w:rPr>
        <w:t>Melbourne Institute of Applied Economic and Social Research.</w:t>
      </w:r>
    </w:p>
  </w:footnote>
  <w:footnote w:id="52">
    <w:p w14:paraId="7CAD163A" w14:textId="77777777" w:rsidR="00F1362E" w:rsidRPr="00D9545F" w:rsidRDefault="00F1362E"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Caddy, I. and Mortimer, D. (2012). ‘’Solving’ Unemployment: An analysis of two Australian policy initiatives’, </w:t>
      </w:r>
      <w:r w:rsidRPr="00D9545F">
        <w:rPr>
          <w:rFonts w:asciiTheme="majorHAnsi" w:hAnsiTheme="majorHAnsi"/>
          <w:i/>
          <w:iCs/>
          <w:szCs w:val="16"/>
        </w:rPr>
        <w:t>International Employment Relations Review.</w:t>
      </w:r>
    </w:p>
  </w:footnote>
  <w:footnote w:id="53">
    <w:p w14:paraId="173AA41C" w14:textId="77777777" w:rsidR="00F1362E" w:rsidRPr="00D9545F" w:rsidRDefault="00F136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rPr>
          <w:rFonts w:asciiTheme="majorHAnsi" w:hAnsiTheme="majorHAnsi"/>
          <w:szCs w:val="16"/>
        </w:rPr>
        <w:t xml:space="preserve">‘Well-being concepts’, </w:t>
      </w:r>
      <w:r w:rsidRPr="005D3CE1">
        <w:rPr>
          <w:rFonts w:asciiTheme="majorHAnsi" w:hAnsiTheme="majorHAnsi"/>
          <w:i/>
          <w:szCs w:val="16"/>
        </w:rPr>
        <w:t>Centers for Disease Control and Prevention</w:t>
      </w:r>
      <w:r>
        <w:rPr>
          <w:rFonts w:asciiTheme="majorHAnsi" w:hAnsiTheme="majorHAnsi"/>
          <w:szCs w:val="16"/>
        </w:rPr>
        <w:t xml:space="preserve"> (n.d.) &lt;</w:t>
      </w:r>
      <w:r w:rsidRPr="00D9545F">
        <w:rPr>
          <w:rFonts w:asciiTheme="majorHAnsi" w:hAnsiTheme="majorHAnsi"/>
          <w:szCs w:val="16"/>
        </w:rPr>
        <w:t>https://www.cdc.gov/hrqol/wellbeing.htm#three</w:t>
      </w:r>
      <w:r>
        <w:rPr>
          <w:rFonts w:asciiTheme="majorHAnsi" w:hAnsiTheme="majorHAnsi"/>
          <w:szCs w:val="16"/>
        </w:rPr>
        <w:t xml:space="preserve">&gt;. </w:t>
      </w:r>
    </w:p>
  </w:footnote>
  <w:footnote w:id="54">
    <w:p w14:paraId="3FB69585" w14:textId="77777777" w:rsidR="00F1362E" w:rsidRPr="00D9545F" w:rsidRDefault="00F1362E" w:rsidP="007D4D09">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rPr>
          <w:rFonts w:asciiTheme="majorHAnsi" w:hAnsiTheme="majorHAnsi"/>
          <w:szCs w:val="16"/>
        </w:rPr>
        <w:t xml:space="preserve">‘Well-being concepts’, </w:t>
      </w:r>
      <w:r w:rsidRPr="005D3CE1">
        <w:rPr>
          <w:rFonts w:asciiTheme="majorHAnsi" w:hAnsiTheme="majorHAnsi"/>
          <w:i/>
          <w:szCs w:val="16"/>
        </w:rPr>
        <w:t>Centers for Disease Control and Prevention</w:t>
      </w:r>
      <w:r>
        <w:rPr>
          <w:rFonts w:asciiTheme="majorHAnsi" w:hAnsiTheme="majorHAnsi"/>
          <w:szCs w:val="16"/>
        </w:rPr>
        <w:t xml:space="preserve"> (n.d.) &lt;</w:t>
      </w:r>
      <w:r w:rsidRPr="00D9545F">
        <w:rPr>
          <w:rFonts w:asciiTheme="majorHAnsi" w:hAnsiTheme="majorHAnsi"/>
          <w:szCs w:val="16"/>
        </w:rPr>
        <w:t>https://www.cdc.gov/hrqol/wellbeing.htm#three</w:t>
      </w:r>
      <w:r>
        <w:rPr>
          <w:rFonts w:asciiTheme="majorHAnsi" w:hAnsiTheme="majorHAnsi"/>
          <w:szCs w:val="16"/>
        </w:rPr>
        <w:t>&gt;.</w:t>
      </w:r>
    </w:p>
  </w:footnote>
  <w:footnote w:id="55">
    <w:p w14:paraId="5A92F6DE" w14:textId="77777777" w:rsidR="00F1362E" w:rsidRPr="005D3CE1" w:rsidRDefault="00F1362E" w:rsidP="004A06C9">
      <w:pPr>
        <w:pStyle w:val="FootnoteText"/>
        <w:rPr>
          <w:i/>
        </w:rPr>
      </w:pPr>
      <w:r>
        <w:rPr>
          <w:rStyle w:val="FootnoteReference"/>
        </w:rPr>
        <w:footnoteRef/>
      </w:r>
      <w:r>
        <w:t xml:space="preserve">‘Mayi Kuwayu’, </w:t>
      </w:r>
      <w:r>
        <w:rPr>
          <w:i/>
        </w:rPr>
        <w:t xml:space="preserve">The National Study of Aboriginal &amp; Torres Strait Islander Wellbeing, </w:t>
      </w:r>
      <w:r w:rsidRPr="005D3CE1">
        <w:t>&lt;https://mkstudy.com.au/&gt;.</w:t>
      </w:r>
      <w:r>
        <w:rPr>
          <w:i/>
        </w:rPr>
        <w:t xml:space="preserve"> </w:t>
      </w:r>
    </w:p>
  </w:footnote>
  <w:footnote w:id="56">
    <w:p w14:paraId="53157D89" w14:textId="77777777" w:rsidR="00F1362E" w:rsidRDefault="00F1362E">
      <w:pPr>
        <w:pStyle w:val="FootnoteText"/>
      </w:pPr>
      <w:r>
        <w:rPr>
          <w:rStyle w:val="FootnoteReference"/>
        </w:rPr>
        <w:footnoteRef/>
      </w:r>
      <w:r w:rsidRPr="00803B8D">
        <w:t>Warr P. Well-being in the workplace. In: D Kahneman , E Diener, N Schwarz (eds.) Well-Being: The foundations of hedonic psychology. New York: Russell Sage Foundation Publications; 2003:392–412.</w:t>
      </w:r>
    </w:p>
  </w:footnote>
  <w:footnote w:id="57">
    <w:p w14:paraId="7A7DD745" w14:textId="77777777" w:rsidR="00F1362E" w:rsidRDefault="00F1362E">
      <w:pPr>
        <w:pStyle w:val="FootnoteText"/>
      </w:pPr>
      <w:r>
        <w:rPr>
          <w:rStyle w:val="FootnoteReference"/>
        </w:rPr>
        <w:footnoteRef/>
      </w:r>
      <w:r w:rsidRPr="0023735F">
        <w:t>Argyle, M. Causes and correlates of happiness. In: D Kahneman, E Diener, N Schwarz (Eds.) Well-being: the foundations of hedonic psychology. New York: Russell Sage Foundation; 1999:307–322:353–373.</w:t>
      </w:r>
    </w:p>
  </w:footnote>
  <w:footnote w:id="58">
    <w:p w14:paraId="48B85E7D" w14:textId="77777777" w:rsidR="00F1362E" w:rsidRDefault="00F1362E">
      <w:pPr>
        <w:pStyle w:val="FootnoteText"/>
      </w:pPr>
      <w:r>
        <w:rPr>
          <w:rStyle w:val="FootnoteReference"/>
        </w:rPr>
        <w:footnoteRef/>
      </w:r>
      <w:r>
        <w:t xml:space="preserve"> </w:t>
      </w:r>
      <w:r w:rsidRPr="00F500A7">
        <w:t>https://www.dca.org.au/sites/default/files/dca_synopsisreport_web_0.pdf</w:t>
      </w:r>
      <w:r>
        <w:t xml:space="preserve">. </w:t>
      </w:r>
    </w:p>
  </w:footnote>
  <w:footnote w:id="59">
    <w:p w14:paraId="640DB4F4" w14:textId="77777777" w:rsidR="00F1362E" w:rsidRPr="00D9545F" w:rsidRDefault="00F1362E"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B042AD">
        <w:rPr>
          <w:rFonts w:asciiTheme="majorHAnsi" w:hAnsiTheme="majorHAnsi"/>
          <w:szCs w:val="16"/>
        </w:rPr>
        <w:t xml:space="preserve"> Devins, D., Bickerstaffe, T., Nunn, A. and Mitchell, B. (2011). ‘The role of skills from worklessness to sustainable employment with progression’, </w:t>
      </w:r>
      <w:r w:rsidRPr="00B042AD">
        <w:rPr>
          <w:rFonts w:asciiTheme="majorHAnsi" w:hAnsiTheme="majorHAnsi"/>
          <w:i/>
          <w:szCs w:val="16"/>
        </w:rPr>
        <w:t xml:space="preserve">UK Commission for Employment and Skills. </w:t>
      </w:r>
      <w:r w:rsidRPr="00B042AD">
        <w:rPr>
          <w:rFonts w:asciiTheme="majorHAnsi" w:hAnsiTheme="majorHAnsi"/>
          <w:szCs w:val="16"/>
        </w:rPr>
        <w:t xml:space="preserve">Accessed from: https://assets.publishing.service.gov.uk/government/uploads/system/uploads/attachment_data/file/306143/Worklessness_to_sustainable_employment__the_role_of_skills.pdf. </w:t>
      </w:r>
    </w:p>
  </w:footnote>
  <w:footnote w:id="60">
    <w:p w14:paraId="7CE3E2C8" w14:textId="77777777" w:rsidR="00F1362E" w:rsidRPr="00D9545F" w:rsidRDefault="00F1362E" w:rsidP="009361DF">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For example see, https://www.annualreviews.org/doi/abs/10.1146/annurev-soc-071913-043237</w:t>
      </w:r>
    </w:p>
  </w:footnote>
  <w:footnote w:id="61">
    <w:p w14:paraId="4D80134F" w14:textId="54799FE6" w:rsidR="00F1362E" w:rsidRDefault="00F1362E">
      <w:pPr>
        <w:pStyle w:val="FootnoteText"/>
      </w:pPr>
      <w:r>
        <w:rPr>
          <w:rStyle w:val="FootnoteReference"/>
        </w:rPr>
        <w:footnoteRef/>
      </w:r>
      <w:r>
        <w:t>In this analysis, income support status refers to whether an individual is receiving either Newstart or Youth Allowance (Other) payments.</w:t>
      </w:r>
    </w:p>
  </w:footnote>
  <w:footnote w:id="62">
    <w:p w14:paraId="36A64BD8" w14:textId="77777777" w:rsidR="00F1362E" w:rsidRDefault="00F1362E" w:rsidP="00B7683C">
      <w:r>
        <w:rPr>
          <w:rStyle w:val="FootnoteReference"/>
        </w:rPr>
        <w:footnoteRef/>
      </w:r>
      <w:r>
        <w:t xml:space="preserve"> </w:t>
      </w:r>
      <w:r w:rsidRPr="00803778">
        <w:rPr>
          <w:sz w:val="16"/>
          <w:szCs w:val="20"/>
        </w:rPr>
        <w:t>As noted in Professor Sanders comments (</w:t>
      </w:r>
      <w:r w:rsidRPr="001656D4">
        <w:rPr>
          <w:sz w:val="16"/>
          <w:szCs w:val="20"/>
        </w:rPr>
        <w:t>page 68</w:t>
      </w:r>
      <w:r w:rsidRPr="00535F8D">
        <w:rPr>
          <w:sz w:val="16"/>
          <w:szCs w:val="20"/>
        </w:rPr>
        <w:t>), this</w:t>
      </w:r>
      <w:r w:rsidRPr="00803778">
        <w:rPr>
          <w:sz w:val="16"/>
          <w:szCs w:val="20"/>
        </w:rPr>
        <w:t xml:space="preserve"> is a poor proxy for a measure of employment, as there may be many reasons that indigenous Australians disappear from the income support system and they may have poor correlation to actual meaningful, long term paid employment.</w:t>
      </w:r>
      <w:r>
        <w:t xml:space="preserve">  </w:t>
      </w:r>
    </w:p>
    <w:p w14:paraId="24B86A1F" w14:textId="77777777" w:rsidR="00F1362E" w:rsidRDefault="00F1362E" w:rsidP="00B7683C">
      <w:pPr>
        <w:pStyle w:val="FootnoteText"/>
      </w:pPr>
    </w:p>
  </w:footnote>
  <w:footnote w:id="63">
    <w:p w14:paraId="1374C96F" w14:textId="77777777" w:rsidR="00F1362E" w:rsidRDefault="00F1362E" w:rsidP="00297EBC">
      <w:pPr>
        <w:pStyle w:val="FootnoteText"/>
      </w:pPr>
      <w:r>
        <w:rPr>
          <w:rStyle w:val="FootnoteReference"/>
        </w:rPr>
        <w:t>[1]</w:t>
      </w:r>
      <w:r>
        <w:t xml:space="preserve"> The NIAA assisted with the regression analysis, and had input into the choice of</w:t>
      </w:r>
      <w:r>
        <w:rPr>
          <w:color w:val="1F497D"/>
        </w:rPr>
        <w:t xml:space="preserve"> the </w:t>
      </w:r>
      <w:r>
        <w:t>outcome variable, and the variables include in the preferred regression models.</w:t>
      </w:r>
    </w:p>
  </w:footnote>
  <w:footnote w:id="64">
    <w:p w14:paraId="457192E5" w14:textId="77777777" w:rsidR="00F1362E" w:rsidRPr="00D9545F" w:rsidRDefault="00F1362E" w:rsidP="00630B28">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rPr>
          <w:rFonts w:asciiTheme="majorHAnsi" w:hAnsiTheme="majorHAnsi"/>
          <w:szCs w:val="16"/>
        </w:rPr>
        <w:t>Serrat, O. (2017),</w:t>
      </w:r>
      <w:r w:rsidRPr="00D9545F">
        <w:rPr>
          <w:rFonts w:asciiTheme="majorHAnsi" w:hAnsiTheme="majorHAnsi"/>
          <w:szCs w:val="16"/>
        </w:rPr>
        <w:t xml:space="preserve"> </w:t>
      </w:r>
      <w:r>
        <w:rPr>
          <w:rFonts w:asciiTheme="majorHAnsi" w:hAnsiTheme="majorHAnsi"/>
          <w:szCs w:val="16"/>
        </w:rPr>
        <w:t xml:space="preserve">‘Building Communities of Practice’, in </w:t>
      </w:r>
      <w:r>
        <w:rPr>
          <w:rFonts w:asciiTheme="majorHAnsi" w:hAnsiTheme="majorHAnsi"/>
          <w:i/>
          <w:iCs/>
          <w:szCs w:val="16"/>
        </w:rPr>
        <w:t xml:space="preserve">Knowledge Solution, </w:t>
      </w:r>
      <w:r>
        <w:rPr>
          <w:rFonts w:asciiTheme="majorHAnsi" w:hAnsiTheme="majorHAnsi"/>
          <w:szCs w:val="16"/>
        </w:rPr>
        <w:t xml:space="preserve">pp 581-588. Accessed at: </w:t>
      </w:r>
      <w:r w:rsidRPr="00D9545F">
        <w:rPr>
          <w:rFonts w:asciiTheme="majorHAnsi" w:hAnsiTheme="majorHAnsi"/>
          <w:szCs w:val="16"/>
        </w:rPr>
        <w:t>https://link.springer.com/chapter/10.1007/978-981-10-0983-9_61#:~:text=Communities%20of%20practice%20are%20groups,of%20knowledge%20in%20their%20domain.</w:t>
      </w:r>
    </w:p>
  </w:footnote>
  <w:footnote w:id="65">
    <w:p w14:paraId="311D22D3" w14:textId="77777777" w:rsidR="00F1362E" w:rsidRPr="00D9545F" w:rsidRDefault="00F1362E" w:rsidP="00630B28">
      <w:pPr>
        <w:pStyle w:val="FootnoteText"/>
        <w:rPr>
          <w:rFonts w:asciiTheme="majorHAnsi" w:hAnsiTheme="majorHAnsi"/>
          <w:szCs w:val="16"/>
        </w:rPr>
      </w:pPr>
      <w:r w:rsidRPr="00D9545F">
        <w:rPr>
          <w:rStyle w:val="FootnoteReference"/>
          <w:rFonts w:asciiTheme="majorHAnsi" w:hAnsiTheme="majorHAnsi"/>
          <w:szCs w:val="16"/>
        </w:rPr>
        <w:footnoteRef/>
      </w:r>
      <w:r>
        <w:rPr>
          <w:rFonts w:asciiTheme="majorHAnsi" w:hAnsiTheme="majorHAnsi"/>
          <w:szCs w:val="16"/>
        </w:rPr>
        <w:t>Millen et al. (2002), ‘</w:t>
      </w:r>
      <w:r w:rsidRPr="006249FD">
        <w:rPr>
          <w:rFonts w:asciiTheme="majorHAnsi" w:hAnsiTheme="majorHAnsi"/>
          <w:szCs w:val="16"/>
        </w:rPr>
        <w:t>Understanding the benefits and costs of communities of practice’,</w:t>
      </w:r>
      <w:r>
        <w:rPr>
          <w:rFonts w:asciiTheme="majorHAnsi" w:hAnsiTheme="majorHAnsi"/>
          <w:i/>
          <w:iCs/>
          <w:szCs w:val="16"/>
        </w:rPr>
        <w:t xml:space="preserve"> Communications of the ACM, </w:t>
      </w:r>
      <w:r>
        <w:rPr>
          <w:rFonts w:asciiTheme="majorHAnsi" w:hAnsiTheme="majorHAnsi"/>
          <w:szCs w:val="16"/>
        </w:rPr>
        <w:t xml:space="preserve"> 45(4), p 69-73. Accessed from: </w:t>
      </w:r>
      <w:r w:rsidRPr="00D9545F">
        <w:rPr>
          <w:rFonts w:asciiTheme="majorHAnsi" w:hAnsiTheme="majorHAnsi"/>
          <w:szCs w:val="16"/>
        </w:rPr>
        <w:t>https://www.researchgate.net/publication/220423803_Understanding_the_benefit_and_costs_of_communities_of_practice</w:t>
      </w:r>
      <w:r>
        <w:rPr>
          <w:rFonts w:asciiTheme="majorHAnsi" w:hAnsiTheme="majorHAnsi"/>
          <w:szCs w:val="16"/>
        </w:rPr>
        <w:t xml:space="preserve">. </w:t>
      </w:r>
    </w:p>
  </w:footnote>
  <w:footnote w:id="66">
    <w:p w14:paraId="5D8645C0" w14:textId="77777777" w:rsidR="00F1362E" w:rsidRDefault="00F1362E" w:rsidP="009C20B2">
      <w:pPr>
        <w:pStyle w:val="FootnoteText"/>
      </w:pPr>
      <w:r>
        <w:rPr>
          <w:rStyle w:val="FootnoteReference"/>
        </w:rPr>
        <w:footnoteRef/>
      </w:r>
      <w:r>
        <w:t xml:space="preserve"> Note: A ‘counterfactual’ refers to the outcomes that would have been achieved by the beneficiaries of a program in the absence of program participation. </w:t>
      </w:r>
    </w:p>
  </w:footnote>
  <w:footnote w:id="67">
    <w:p w14:paraId="5208A40A" w14:textId="77777777" w:rsidR="00F1362E" w:rsidRPr="0004192D" w:rsidRDefault="00F1362E" w:rsidP="008F54A1">
      <w:pPr>
        <w:pStyle w:val="FootnoteText"/>
        <w:rPr>
          <w:i/>
          <w:iCs/>
        </w:rPr>
      </w:pPr>
      <w:r>
        <w:rPr>
          <w:rStyle w:val="FootnoteReference"/>
        </w:rPr>
        <w:footnoteRef/>
      </w:r>
      <w:r>
        <w:t xml:space="preserve">See, for example Reserve Bank of Australia, </w:t>
      </w:r>
      <w:r w:rsidRPr="0004192D">
        <w:rPr>
          <w:i/>
          <w:iCs/>
        </w:rPr>
        <w:t>Factors Affecting an Individual’s Future</w:t>
      </w:r>
    </w:p>
    <w:p w14:paraId="3089F6C4" w14:textId="77777777" w:rsidR="00F1362E" w:rsidRPr="00B06851" w:rsidRDefault="00F1362E" w:rsidP="008F54A1">
      <w:pPr>
        <w:pStyle w:val="FootnoteText"/>
      </w:pPr>
      <w:r w:rsidRPr="0004192D">
        <w:rPr>
          <w:i/>
          <w:iCs/>
        </w:rPr>
        <w:t>Labour Market Status</w:t>
      </w:r>
      <w:r>
        <w:rPr>
          <w:i/>
          <w:iCs/>
        </w:rPr>
        <w:t xml:space="preserve"> </w:t>
      </w:r>
      <w:r>
        <w:t>(2016).</w:t>
      </w:r>
    </w:p>
  </w:footnote>
  <w:footnote w:id="68">
    <w:p w14:paraId="2BE56FE8" w14:textId="77777777" w:rsidR="00F1362E" w:rsidRPr="00D9545F" w:rsidRDefault="00F1362E" w:rsidP="00DE0276">
      <w:pPr>
        <w:pStyle w:val="FootnoteText"/>
        <w:rPr>
          <w:rFonts w:asciiTheme="majorHAnsi" w:hAnsiTheme="majorHAnsi"/>
          <w:szCs w:val="16"/>
        </w:rPr>
      </w:pPr>
      <w:r w:rsidRPr="00D9545F">
        <w:rPr>
          <w:rStyle w:val="FootnoteReference"/>
          <w:rFonts w:asciiTheme="majorHAnsi" w:hAnsiTheme="majorHAnsi"/>
          <w:szCs w:val="16"/>
        </w:rPr>
        <w:footnoteRef/>
      </w:r>
      <w:r w:rsidRPr="00D9545F">
        <w:rPr>
          <w:rStyle w:val="FootnoteReference"/>
          <w:rFonts w:asciiTheme="majorHAnsi" w:hAnsiTheme="majorHAnsi"/>
          <w:szCs w:val="16"/>
        </w:rPr>
        <w:t xml:space="preserve"> </w:t>
      </w:r>
      <w:r w:rsidRPr="00D9545F">
        <w:rPr>
          <w:rFonts w:asciiTheme="majorHAnsi" w:hAnsiTheme="majorHAnsi"/>
          <w:szCs w:val="16"/>
        </w:rPr>
        <w:t>UN General Assembly, United Nations Declaration on the Rights of Indigenous Peoples : resolution / adopted by the General Assembly, 2 October 2007, A/RES/61/295, available at: https://www.refworld.org/docid/471355a82.html [accessed 20 November 2020]</w:t>
      </w:r>
    </w:p>
  </w:footnote>
  <w:footnote w:id="69">
    <w:p w14:paraId="1C02EE47" w14:textId="77777777" w:rsidR="00F1362E" w:rsidRPr="00D9545F" w:rsidRDefault="00F1362E" w:rsidP="00DE0276">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OECD. (2019). ‘Indigenous Employment and Skills Strategies in Australia’, OECD Reviews on Local Job Creation, OECD Publishing, Paris, </w:t>
      </w:r>
      <w:hyperlink r:id="rId7" w:history="1">
        <w:r w:rsidRPr="00D9545F">
          <w:rPr>
            <w:rStyle w:val="Hyperlink"/>
            <w:rFonts w:asciiTheme="majorHAnsi" w:hAnsiTheme="majorHAnsi"/>
            <w:szCs w:val="16"/>
          </w:rPr>
          <w:t>https://doi.org/10.1787/dd1029ea-en</w:t>
        </w:r>
      </w:hyperlink>
      <w:r w:rsidRPr="00D9545F">
        <w:rPr>
          <w:rFonts w:asciiTheme="majorHAnsi" w:hAnsiTheme="majorHAnsi"/>
          <w:szCs w:val="16"/>
        </w:rPr>
        <w:t xml:space="preserve">. Constable, J. (2009). ‘Engaging Aboriginal Australians in the Private Sector: A Consultative Report into Aboriginal Employment Strategies and Initiatives’, </w:t>
      </w:r>
      <w:r w:rsidRPr="00D9545F">
        <w:rPr>
          <w:rFonts w:asciiTheme="majorHAnsi" w:hAnsiTheme="majorHAnsi"/>
          <w:i/>
          <w:iCs/>
          <w:szCs w:val="16"/>
        </w:rPr>
        <w:t xml:space="preserve">Diversity Council Australia; </w:t>
      </w:r>
      <w:r w:rsidRPr="00D9545F">
        <w:rPr>
          <w:rFonts w:asciiTheme="majorHAnsi" w:hAnsiTheme="majorHAnsi"/>
          <w:szCs w:val="16"/>
        </w:rPr>
        <w:t xml:space="preserve">Austin-Broos, D. (2006). “’Working for’ and ‘working among’ Western Arrente in central Australia (1), </w:t>
      </w:r>
      <w:r w:rsidRPr="00D9545F">
        <w:rPr>
          <w:rFonts w:asciiTheme="majorHAnsi" w:hAnsiTheme="majorHAnsi"/>
          <w:i/>
          <w:iCs/>
          <w:szCs w:val="16"/>
        </w:rPr>
        <w:t xml:space="preserve">Oceania </w:t>
      </w:r>
      <w:r w:rsidRPr="00D9545F">
        <w:rPr>
          <w:rFonts w:asciiTheme="majorHAnsi" w:hAnsiTheme="majorHAnsi"/>
          <w:szCs w:val="16"/>
        </w:rPr>
        <w:t xml:space="preserve">76(1). </w:t>
      </w:r>
    </w:p>
  </w:footnote>
  <w:footnote w:id="70">
    <w:p w14:paraId="22B68227" w14:textId="77777777" w:rsidR="00F1362E" w:rsidRPr="00D9545F" w:rsidRDefault="00F136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rsidRPr="00D9545F">
        <w:rPr>
          <w:rFonts w:asciiTheme="majorHAnsi" w:hAnsiTheme="majorHAnsi"/>
          <w:i/>
          <w:iCs/>
          <w:szCs w:val="16"/>
        </w:rPr>
        <w:t>Savage, J, and Norton, Non-financial benefits of higher education (Grattan Institute, 2012), Australian Council for Educational Research. Adult literacy and numeracy - what's the story? (2014) Department of the Prime Minister and Cabinet, Strengthening Skills: Expert Review of Australia’s Vocational Education and Training System (2019) &lt; https://pmc.gov.au/sites/default/files/publications/strengthening-skills-independent-review-australia-vets.pdf&gt;.</w:t>
      </w:r>
    </w:p>
  </w:footnote>
  <w:footnote w:id="71">
    <w:p w14:paraId="4EABC8CA" w14:textId="77777777" w:rsidR="00F1362E" w:rsidRPr="00D9545F" w:rsidRDefault="00F136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Department of Education, Skills and Employment. </w:t>
      </w:r>
      <w:r w:rsidRPr="00D9545F">
        <w:rPr>
          <w:rFonts w:asciiTheme="majorHAnsi" w:hAnsiTheme="majorHAnsi"/>
          <w:i/>
          <w:iCs/>
          <w:szCs w:val="16"/>
        </w:rPr>
        <w:t xml:space="preserve">Benefits of Educational Attainment </w:t>
      </w:r>
      <w:r w:rsidRPr="00D9545F">
        <w:rPr>
          <w:rFonts w:asciiTheme="majorHAnsi" w:hAnsiTheme="majorHAnsi"/>
          <w:szCs w:val="16"/>
        </w:rPr>
        <w:t>(2019) &lt;https://docs.education.gov.au/node/53004&gt;.</w:t>
      </w:r>
    </w:p>
  </w:footnote>
  <w:footnote w:id="72">
    <w:p w14:paraId="2F42D72F" w14:textId="77777777" w:rsidR="00F1362E" w:rsidRPr="00D9545F" w:rsidRDefault="00F1362E" w:rsidP="001E6FEF">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Gray, M., Hunder, B. and Lohoar, S. (2012). ‘Increasing Indigenous employment rates’, Issues paper np. 3, Closing the Gap Clearninghouse. Accessed from: </w:t>
      </w:r>
      <w:hyperlink r:id="rId8" w:history="1">
        <w:r w:rsidRPr="00D9545F">
          <w:rPr>
            <w:rFonts w:asciiTheme="majorHAnsi" w:hAnsiTheme="majorHAnsi"/>
            <w:szCs w:val="16"/>
          </w:rPr>
          <w:t>https://www.aihw.gov.au/getmedia/71bb346a-1b83-4038-a2f7-647e65a21445/ctg-ip03.pdf</w:t>
        </w:r>
      </w:hyperlink>
      <w:r w:rsidRPr="00D9545F">
        <w:rPr>
          <w:rFonts w:asciiTheme="majorHAnsi" w:hAnsiTheme="majorHAnsi" w:cstheme="minorHAnsi"/>
          <w:szCs w:val="16"/>
        </w:rPr>
        <w:t xml:space="preserve">; </w:t>
      </w:r>
      <w:r w:rsidRPr="00D9545F">
        <w:rPr>
          <w:rFonts w:asciiTheme="majorHAnsi" w:hAnsiTheme="majorHAnsi"/>
          <w:szCs w:val="16"/>
        </w:rPr>
        <w:t xml:space="preserve">OECD. (2019). ‘Indigenous Employment and Skills Strategies in Australia’, OECD Reviews on Local Job Creation, OECD Publishing, Paris, </w:t>
      </w:r>
      <w:hyperlink r:id="rId9" w:history="1">
        <w:r w:rsidRPr="00D9545F">
          <w:rPr>
            <w:rStyle w:val="Hyperlink"/>
            <w:rFonts w:asciiTheme="majorHAnsi" w:hAnsiTheme="majorHAnsi"/>
            <w:szCs w:val="16"/>
          </w:rPr>
          <w:t>https://doi.org/10.1787/dd1029ea-en</w:t>
        </w:r>
      </w:hyperlink>
      <w:r w:rsidRPr="00D9545F">
        <w:rPr>
          <w:rFonts w:asciiTheme="majorHAnsi" w:hAnsiTheme="majorHAnsi"/>
          <w:szCs w:val="16"/>
        </w:rPr>
        <w:t>.</w:t>
      </w:r>
    </w:p>
  </w:footnote>
  <w:footnote w:id="73">
    <w:p w14:paraId="3245EBD5" w14:textId="77777777" w:rsidR="00F1362E" w:rsidRDefault="00F1362E" w:rsidP="00AA7248">
      <w:pPr>
        <w:pStyle w:val="FootnoteText"/>
      </w:pPr>
      <w:r>
        <w:rPr>
          <w:rStyle w:val="FootnoteReference"/>
        </w:rPr>
        <w:footnoteRef/>
      </w:r>
      <w:r>
        <w:t xml:space="preserve"> In recognition of the NIAA’s remit as the National Indigenous Australians Agency, the term ”Indigenous Australian” is used throughout this document to reflect the variations of term used to describe Aboriginal and Torres Strait Islander or First Nations Australians  </w:t>
      </w:r>
    </w:p>
  </w:footnote>
  <w:footnote w:id="74">
    <w:p w14:paraId="3F752857" w14:textId="77777777" w:rsidR="00F1362E" w:rsidRDefault="00F1362E" w:rsidP="00AA7248">
      <w:pPr>
        <w:pStyle w:val="FootnoteText"/>
      </w:pPr>
      <w:r>
        <w:rPr>
          <w:rStyle w:val="FootnoteReference"/>
        </w:rPr>
        <w:footnoteRef/>
      </w:r>
      <w:r>
        <w:t xml:space="preserve"> Atkinson, J. et al. (2010). ‘Trauma, Transgenerational Transfer and Effects on Community Wellbeing.’ Accessed from:</w:t>
      </w:r>
      <w:r w:rsidRPr="00080DB8">
        <w:t xml:space="preserve"> </w:t>
      </w:r>
      <w:hyperlink r:id="rId10" w:history="1">
        <w:r w:rsidRPr="00EF67F8">
          <w:rPr>
            <w:rStyle w:val="Hyperlink"/>
          </w:rPr>
          <w:t>https://communitylegalqld.org.au/sites/default/files/downloads/pages/working_with_first_nations_people_-_trauma_transgenerational_transfer_and_effects_on_community_wellbeing.pdf</w:t>
        </w:r>
      </w:hyperlink>
      <w:r>
        <w:t xml:space="preserve">  </w:t>
      </w:r>
    </w:p>
  </w:footnote>
  <w:footnote w:id="75">
    <w:p w14:paraId="0C9962E8" w14:textId="77777777" w:rsidR="00F1362E" w:rsidRPr="004613ED" w:rsidRDefault="00F1362E" w:rsidP="00AA7248">
      <w:pPr>
        <w:pStyle w:val="FootnoteText"/>
      </w:pPr>
      <w:r>
        <w:rPr>
          <w:rStyle w:val="FootnoteReference"/>
        </w:rPr>
        <w:footnoteRef/>
      </w:r>
      <w:r>
        <w:t xml:space="preserve"> Burgess, J. and Dyer, S. (2009). ‘Workplace mentoring for indigenous Australians: a case study.’ </w:t>
      </w:r>
      <w:r>
        <w:rPr>
          <w:i/>
          <w:iCs/>
        </w:rPr>
        <w:t xml:space="preserve">Equal opportunities International </w:t>
      </w:r>
      <w:r>
        <w:t xml:space="preserve">28 (6), pp. 465-485. </w:t>
      </w:r>
    </w:p>
  </w:footnote>
  <w:footnote w:id="76">
    <w:p w14:paraId="737414D4" w14:textId="77777777" w:rsidR="00F1362E" w:rsidRPr="000902A8" w:rsidRDefault="00F1362E" w:rsidP="00AA7248">
      <w:pPr>
        <w:pStyle w:val="FootnoteText"/>
      </w:pPr>
      <w:r>
        <w:rPr>
          <w:rStyle w:val="FootnoteReference"/>
        </w:rPr>
        <w:footnoteRef/>
      </w:r>
      <w:r>
        <w:t xml:space="preserve"> Australian Government. (2020). ‘Closing the Gap Report 2020’. Accessed from: </w:t>
      </w:r>
      <w:hyperlink r:id="rId11" w:history="1">
        <w:r w:rsidRPr="00A6182B">
          <w:rPr>
            <w:rStyle w:val="Hyperlink"/>
          </w:rPr>
          <w:t>https://ctgreport.niaa.gov.au/employment</w:t>
        </w:r>
      </w:hyperlink>
      <w:r>
        <w:t xml:space="preserve"> </w:t>
      </w:r>
    </w:p>
  </w:footnote>
  <w:footnote w:id="77">
    <w:p w14:paraId="474FEBD9" w14:textId="77777777" w:rsidR="00F1362E" w:rsidRDefault="00F1362E" w:rsidP="00AA7248">
      <w:pPr>
        <w:pStyle w:val="FootnoteText"/>
      </w:pPr>
      <w:r>
        <w:rPr>
          <w:rStyle w:val="FootnoteReference"/>
        </w:rPr>
        <w:footnoteRef/>
      </w:r>
      <w:r>
        <w:t xml:space="preserve"> In 2008, the Indigenous employment rate was 54% compared to 73% for non-Indigenous Australians.</w:t>
      </w:r>
    </w:p>
  </w:footnote>
  <w:footnote w:id="78">
    <w:p w14:paraId="6017ADC9" w14:textId="77777777" w:rsidR="00F1362E" w:rsidRDefault="00F1362E" w:rsidP="00AA7248">
      <w:pPr>
        <w:pStyle w:val="FootnoteText"/>
      </w:pPr>
      <w:r>
        <w:rPr>
          <w:rStyle w:val="FootnoteReference"/>
        </w:rPr>
        <w:footnoteRef/>
      </w:r>
      <w:r>
        <w:t xml:space="preserve"> Ibid. </w:t>
      </w:r>
    </w:p>
  </w:footnote>
  <w:footnote w:id="79">
    <w:p w14:paraId="0772DC94" w14:textId="77777777" w:rsidR="00F1362E" w:rsidRDefault="00F1362E" w:rsidP="00AA7248">
      <w:pPr>
        <w:pStyle w:val="FootnoteText"/>
      </w:pPr>
      <w:r w:rsidRPr="003E0B07">
        <w:rPr>
          <w:rStyle w:val="FootnoteReference"/>
        </w:rPr>
        <w:footnoteRef/>
      </w:r>
      <w:r w:rsidRPr="003E0B07">
        <w:t xml:space="preserve"> The evaluation team will return to these figures later in the year to ensure the most relevant and up-to-date data is included.</w:t>
      </w:r>
      <w:r>
        <w:t xml:space="preserve"> </w:t>
      </w:r>
    </w:p>
  </w:footnote>
  <w:footnote w:id="80">
    <w:p w14:paraId="5C84C419" w14:textId="77777777" w:rsidR="00F1362E" w:rsidRDefault="00F1362E"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12" w:history="1">
        <w:r w:rsidRPr="00771C29">
          <w:t>https://www.aihw.gov.au/getmedia/71bb346a-1b83-4038-a2f7-647e65a21445/ctg-ip03.pdf</w:t>
        </w:r>
      </w:hyperlink>
    </w:p>
  </w:footnote>
  <w:footnote w:id="81">
    <w:p w14:paraId="6C63E4F8" w14:textId="77777777" w:rsidR="00F1362E" w:rsidRDefault="00F1362E" w:rsidP="00AA7248">
      <w:pPr>
        <w:pStyle w:val="FootnoteText"/>
      </w:pPr>
      <w:r>
        <w:rPr>
          <w:rStyle w:val="FootnoteReference"/>
        </w:rPr>
        <w:footnoteRef/>
      </w:r>
      <w:r>
        <w:t xml:space="preserve"> Venn, D. and Biddle, N. (2018). ‘Recent trends in indigenous employment’ </w:t>
      </w:r>
      <w:r>
        <w:rPr>
          <w:i/>
          <w:iCs/>
        </w:rPr>
        <w:t>Journal of Australian Political Economy.</w:t>
      </w:r>
    </w:p>
  </w:footnote>
  <w:footnote w:id="82">
    <w:p w14:paraId="4F5401E4" w14:textId="77777777" w:rsidR="00F1362E" w:rsidRDefault="00F1362E" w:rsidP="00AA7248">
      <w:pPr>
        <w:pStyle w:val="FootnoteText"/>
      </w:pPr>
      <w:r w:rsidRPr="003E0B07">
        <w:rPr>
          <w:rStyle w:val="FootnoteReference"/>
        </w:rPr>
        <w:footnoteRef/>
      </w:r>
      <w:r w:rsidRPr="003E0B07">
        <w:t xml:space="preserve"> </w:t>
      </w:r>
      <w:r w:rsidRPr="00771C29">
        <w:t xml:space="preserve">Gray, M., Hunder, B. and Lohoar, S. (2012). ‘Increasing Indigenous employment rates’, Issues paper np. 3, Closing the Gap Clearninghouse. Accessed from: </w:t>
      </w:r>
      <w:hyperlink r:id="rId13" w:history="1">
        <w:r w:rsidRPr="00771C29">
          <w:t>https://www.aihw.gov.au/getmedia/71bb346a-1b83-4038-a2f7-647e65a21445/ctg-ip03.pdf</w:t>
        </w:r>
      </w:hyperlink>
      <w:r>
        <w:t xml:space="preserve"> </w:t>
      </w:r>
      <w:r>
        <w:rPr>
          <w:rFonts w:cstheme="minorHAnsi"/>
          <w:sz w:val="18"/>
          <w:szCs w:val="18"/>
        </w:rPr>
        <w:t xml:space="preserve">  </w:t>
      </w:r>
    </w:p>
  </w:footnote>
  <w:footnote w:id="83">
    <w:p w14:paraId="64D97526" w14:textId="77777777" w:rsidR="00F1362E" w:rsidRDefault="00F1362E"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14" w:history="1">
        <w:r w:rsidRPr="00771C29">
          <w:t>https://www.aihw.gov.au/getmedia/71bb346a-1b83-4038-a2f7-647e65a21445/ctg-ip03.pdf</w:t>
        </w:r>
      </w:hyperlink>
      <w:r>
        <w:t xml:space="preserve"> </w:t>
      </w:r>
      <w:r>
        <w:rPr>
          <w:rFonts w:cstheme="minorHAnsi"/>
          <w:sz w:val="18"/>
          <w:szCs w:val="18"/>
        </w:rPr>
        <w:t xml:space="preserve">  </w:t>
      </w:r>
    </w:p>
  </w:footnote>
  <w:footnote w:id="84">
    <w:p w14:paraId="05700D2C" w14:textId="77777777" w:rsidR="00F1362E" w:rsidRDefault="00F1362E" w:rsidP="00AA7248">
      <w:pPr>
        <w:pStyle w:val="FootnoteText"/>
      </w:pPr>
      <w:r>
        <w:rPr>
          <w:rStyle w:val="FootnoteReference"/>
        </w:rPr>
        <w:footnoteRef/>
      </w:r>
      <w:r>
        <w:t xml:space="preserve"> Ibid.  </w:t>
      </w:r>
      <w:r>
        <w:rPr>
          <w:rFonts w:cstheme="minorHAnsi"/>
          <w:sz w:val="18"/>
          <w:szCs w:val="18"/>
        </w:rPr>
        <w:t xml:space="preserve">  </w:t>
      </w:r>
    </w:p>
  </w:footnote>
  <w:footnote w:id="85">
    <w:p w14:paraId="36B606B5" w14:textId="77777777" w:rsidR="00F1362E" w:rsidRDefault="00F1362E" w:rsidP="00AA7248">
      <w:pPr>
        <w:pStyle w:val="FootnoteText"/>
      </w:pPr>
      <w:r>
        <w:rPr>
          <w:rStyle w:val="FootnoteReference"/>
        </w:rPr>
        <w:footnoteRef/>
      </w:r>
      <w:r>
        <w:t xml:space="preserve"> Ibid.  </w:t>
      </w:r>
      <w:r>
        <w:rPr>
          <w:rFonts w:cstheme="minorHAnsi"/>
          <w:sz w:val="18"/>
          <w:szCs w:val="18"/>
        </w:rPr>
        <w:t xml:space="preserve">  </w:t>
      </w:r>
    </w:p>
  </w:footnote>
  <w:footnote w:id="86">
    <w:p w14:paraId="002C30AA" w14:textId="77777777" w:rsidR="00F1362E" w:rsidRDefault="00F1362E" w:rsidP="00AA7248">
      <w:pPr>
        <w:pStyle w:val="FootnoteText"/>
      </w:pPr>
      <w:r>
        <w:rPr>
          <w:rStyle w:val="FootnoteReference"/>
        </w:rPr>
        <w:footnoteRef/>
      </w:r>
      <w:r>
        <w:t xml:space="preserve"> Ibid.  </w:t>
      </w:r>
      <w:r>
        <w:rPr>
          <w:rFonts w:cstheme="minorHAnsi"/>
          <w:sz w:val="18"/>
          <w:szCs w:val="18"/>
        </w:rPr>
        <w:t xml:space="preserve">  </w:t>
      </w:r>
    </w:p>
  </w:footnote>
  <w:footnote w:id="87">
    <w:p w14:paraId="3A53943E" w14:textId="77777777" w:rsidR="00F1362E" w:rsidRPr="007D3646" w:rsidRDefault="00F1362E" w:rsidP="00AA7248">
      <w:pPr>
        <w:pStyle w:val="FootnoteText"/>
        <w:rPr>
          <w:i/>
          <w:iCs/>
        </w:rPr>
      </w:pPr>
      <w:r>
        <w:rPr>
          <w:rStyle w:val="FootnoteReference"/>
        </w:rPr>
        <w:footnoteRef/>
      </w:r>
      <w:r>
        <w:t xml:space="preserve"> Gelade, S. and Stehlik, T. (2004). ‘Exploring locality: The impact of context on Indigenous vocational education and training operations and outcomes.’ </w:t>
      </w:r>
      <w:r>
        <w:rPr>
          <w:i/>
          <w:iCs/>
        </w:rPr>
        <w:t>NCVER</w:t>
      </w:r>
      <w:r>
        <w:t xml:space="preserve">; Schwab, R.G. (2006). ‘Kids, Skidoos and Caribou: The Junior Canadian Ranger Program as a Model for Re-engaging Indigenous Youth in Remote Areas.’ </w:t>
      </w:r>
      <w:r>
        <w:rPr>
          <w:i/>
          <w:iCs/>
        </w:rPr>
        <w:t xml:space="preserve">Centre for Aboriginal Economic Policy Research – Australian National University </w:t>
      </w:r>
    </w:p>
  </w:footnote>
  <w:footnote w:id="88">
    <w:p w14:paraId="336AE7FE" w14:textId="77777777" w:rsidR="00F1362E" w:rsidRDefault="00F1362E" w:rsidP="00AA7248">
      <w:pPr>
        <w:pStyle w:val="FootnoteText"/>
      </w:pPr>
      <w:r>
        <w:rPr>
          <w:rStyle w:val="FootnoteReference"/>
        </w:rPr>
        <w:footnoteRef/>
      </w:r>
      <w:r>
        <w:t xml:space="preserve"> Ibid. </w:t>
      </w:r>
    </w:p>
  </w:footnote>
  <w:footnote w:id="89">
    <w:p w14:paraId="2752B87E" w14:textId="77777777" w:rsidR="00F1362E" w:rsidRPr="00172CBE" w:rsidRDefault="00F1362E" w:rsidP="00AA7248">
      <w:pPr>
        <w:pStyle w:val="FootnoteText"/>
        <w:rPr>
          <w:i/>
          <w:iCs/>
        </w:rPr>
      </w:pPr>
      <w:r>
        <w:rPr>
          <w:rStyle w:val="FootnoteReference"/>
        </w:rPr>
        <w:footnoteRef/>
      </w:r>
      <w:r>
        <w:t xml:space="preserve"> Department of Finance and Deregulation: Office of Evaluation and Audit. (2009). ‘Evaluation of the Community Development Employment Projects (CDEP) Program. </w:t>
      </w:r>
    </w:p>
  </w:footnote>
  <w:footnote w:id="90">
    <w:p w14:paraId="2B7C7C9C" w14:textId="77777777" w:rsidR="00F1362E" w:rsidRDefault="00F1362E" w:rsidP="00AA7248">
      <w:pPr>
        <w:pStyle w:val="FootnoteText"/>
      </w:pPr>
      <w:r>
        <w:rPr>
          <w:rStyle w:val="FootnoteReference"/>
        </w:rPr>
        <w:footnoteRef/>
      </w:r>
      <w:r>
        <w:t xml:space="preserve"> Altman, J.C. (2007). ‘Scrapping CDEP is just plain dumb,’ </w:t>
      </w:r>
      <w:r>
        <w:rPr>
          <w:i/>
          <w:iCs/>
        </w:rPr>
        <w:t>Centre of Aboriginal Economic Policy Research, Australian National University.</w:t>
      </w:r>
    </w:p>
  </w:footnote>
  <w:footnote w:id="91">
    <w:p w14:paraId="61C54769" w14:textId="77777777" w:rsidR="00F1362E" w:rsidRDefault="00F1362E" w:rsidP="00AA7248">
      <w:pPr>
        <w:pStyle w:val="FootnoteText"/>
      </w:pPr>
      <w:r>
        <w:rPr>
          <w:rStyle w:val="FootnoteReference"/>
        </w:rPr>
        <w:footnoteRef/>
      </w:r>
      <w:r>
        <w:t xml:space="preserve"> Ibid.</w:t>
      </w:r>
    </w:p>
  </w:footnote>
  <w:footnote w:id="92">
    <w:p w14:paraId="68515FB5" w14:textId="77777777" w:rsidR="00F1362E" w:rsidRDefault="00F1362E" w:rsidP="00AA7248">
      <w:pPr>
        <w:pStyle w:val="FootnoteText"/>
      </w:pPr>
      <w:r>
        <w:rPr>
          <w:rStyle w:val="FootnoteReference"/>
        </w:rPr>
        <w:footnoteRef/>
      </w:r>
      <w:r>
        <w:t xml:space="preserve"> Altman, J.C. (2005).</w:t>
      </w:r>
      <w:r w:rsidRPr="00270172">
        <w:t xml:space="preserve"> </w:t>
      </w:r>
      <w:r>
        <w:t xml:space="preserve">‘CDEP 2005: A New Home and New Objectives for a Very Old Program?’. Accessed from: </w:t>
      </w:r>
      <w:hyperlink r:id="rId15" w:history="1">
        <w:r w:rsidRPr="009C1644">
          <w:rPr>
            <w:rStyle w:val="Hyperlink"/>
          </w:rPr>
          <w:t>https://openresearch-repository.anu.edu.au/bitstream/1885/148933/1/Altman_CDEP_2005_0.pdf</w:t>
        </w:r>
      </w:hyperlink>
      <w:r>
        <w:t xml:space="preserve"> </w:t>
      </w:r>
    </w:p>
  </w:footnote>
  <w:footnote w:id="93">
    <w:p w14:paraId="14D1976C" w14:textId="77777777" w:rsidR="00F1362E" w:rsidRPr="00DC78A0" w:rsidRDefault="00F1362E" w:rsidP="00AA7248">
      <w:pPr>
        <w:pStyle w:val="FootnoteText"/>
      </w:pPr>
      <w:r>
        <w:rPr>
          <w:rStyle w:val="FootnoteReference"/>
        </w:rPr>
        <w:footnoteRef/>
      </w:r>
      <w:r>
        <w:t xml:space="preserve"> Altman, J.C. (2007). ‘Scrapping CDEP is just plain dumb,’ </w:t>
      </w:r>
      <w:r>
        <w:rPr>
          <w:i/>
          <w:iCs/>
        </w:rPr>
        <w:t xml:space="preserve">Centre of Aboriginal Economic Policy Research, Australian National University. </w:t>
      </w:r>
    </w:p>
  </w:footnote>
  <w:footnote w:id="94">
    <w:p w14:paraId="47AAB697" w14:textId="77777777" w:rsidR="00F1362E" w:rsidRDefault="00F1362E" w:rsidP="00AA7248">
      <w:pPr>
        <w:pStyle w:val="FootnoteText"/>
      </w:pPr>
      <w:r>
        <w:rPr>
          <w:rStyle w:val="FootnoteReference"/>
        </w:rPr>
        <w:footnoteRef/>
      </w:r>
      <w:r>
        <w:t xml:space="preserve"> Altman, J.C. (2005).</w:t>
      </w:r>
      <w:r w:rsidRPr="00270172">
        <w:t xml:space="preserve"> </w:t>
      </w:r>
      <w:r>
        <w:t xml:space="preserve">‘CDEP 2005: A New Home and New Objectives for a Very Old Program?’. Accessed from: </w:t>
      </w:r>
      <w:hyperlink r:id="rId16" w:history="1">
        <w:r w:rsidRPr="009C1644">
          <w:rPr>
            <w:rStyle w:val="Hyperlink"/>
          </w:rPr>
          <w:t>https://openresearch-repository.anu.edu.au/bitstream/1885/148933/1/Altman_CDEP_2005_0.pdf</w:t>
        </w:r>
      </w:hyperlink>
    </w:p>
  </w:footnote>
  <w:footnote w:id="95">
    <w:p w14:paraId="7B2BAD12" w14:textId="77777777" w:rsidR="00F1362E" w:rsidRDefault="00F1362E" w:rsidP="00AA7248">
      <w:pPr>
        <w:pStyle w:val="FootnoteText"/>
      </w:pPr>
      <w:r>
        <w:rPr>
          <w:rStyle w:val="FootnoteReference"/>
        </w:rPr>
        <w:footnoteRef/>
      </w:r>
      <w:r>
        <w:t xml:space="preserve"> Altman, J.C. (2007). ‘Scrapping CDEP is just plain dumb,’ </w:t>
      </w:r>
      <w:r>
        <w:rPr>
          <w:i/>
          <w:iCs/>
        </w:rPr>
        <w:t>Centre of Aboriginal Economic Policy Research, Australian National University.</w:t>
      </w:r>
    </w:p>
  </w:footnote>
  <w:footnote w:id="96">
    <w:p w14:paraId="559B9329" w14:textId="77777777" w:rsidR="00F1362E" w:rsidRDefault="00F1362E" w:rsidP="00AA7248">
      <w:pPr>
        <w:pStyle w:val="FootnoteText"/>
      </w:pPr>
      <w:r>
        <w:rPr>
          <w:rStyle w:val="FootnoteReference"/>
        </w:rPr>
        <w:footnoteRef/>
      </w:r>
      <w:r>
        <w:t xml:space="preserve"> Miller, M. (1985). Aboriginal employment and training programs: report to the Committee of Review. Accessed from: </w:t>
      </w:r>
      <w:hyperlink r:id="rId17" w:history="1">
        <w:r w:rsidRPr="00C75415">
          <w:rPr>
            <w:rStyle w:val="Hyperlink"/>
          </w:rPr>
          <w:t>https://www.voced.edu.au/content/ngv%3A29210</w:t>
        </w:r>
      </w:hyperlink>
    </w:p>
  </w:footnote>
  <w:footnote w:id="97">
    <w:p w14:paraId="4C695D0B" w14:textId="77777777" w:rsidR="00F1362E" w:rsidRDefault="00F1362E" w:rsidP="00AA7248">
      <w:pPr>
        <w:pStyle w:val="FootnoteText"/>
      </w:pPr>
      <w:r>
        <w:rPr>
          <w:rStyle w:val="FootnoteReference"/>
        </w:rPr>
        <w:footnoteRef/>
      </w:r>
      <w:r>
        <w:t xml:space="preserve"> Ibid.</w:t>
      </w:r>
    </w:p>
  </w:footnote>
  <w:footnote w:id="98">
    <w:p w14:paraId="01233DFA" w14:textId="77777777" w:rsidR="00F1362E" w:rsidRDefault="00F1362E" w:rsidP="00AA7248">
      <w:pPr>
        <w:pStyle w:val="FootnoteText"/>
      </w:pPr>
      <w:r>
        <w:rPr>
          <w:rStyle w:val="FootnoteReference"/>
        </w:rPr>
        <w:footnoteRef/>
      </w:r>
      <w:r>
        <w:t xml:space="preserve"> Altman, J.C. (2007). ‘Scrapping CDEP is just plain dumb,’ </w:t>
      </w:r>
      <w:r>
        <w:rPr>
          <w:i/>
          <w:iCs/>
        </w:rPr>
        <w:t>Centre of Aboriginal Economic Policy Research, Australian National University.</w:t>
      </w:r>
    </w:p>
  </w:footnote>
  <w:footnote w:id="99">
    <w:p w14:paraId="400D3E2B" w14:textId="77777777" w:rsidR="00F1362E" w:rsidRDefault="00F1362E" w:rsidP="00AA7248">
      <w:pPr>
        <w:pStyle w:val="FootnoteText"/>
      </w:pPr>
      <w:r>
        <w:rPr>
          <w:rStyle w:val="FootnoteReference"/>
        </w:rPr>
        <w:footnoteRef/>
      </w:r>
      <w:r>
        <w:t xml:space="preserve"> Altman, J. (2005). ‘CDEP 2005: A New Home and New Objectives for a Very Old Program?’. Accessed from: </w:t>
      </w:r>
      <w:hyperlink r:id="rId18" w:history="1">
        <w:r w:rsidRPr="009C1644">
          <w:rPr>
            <w:rStyle w:val="Hyperlink"/>
          </w:rPr>
          <w:t>https://openresearch-repository.anu.edu.au/bitstream/1885/148933/1/Altman_CDEP_2005_0.pdf</w:t>
        </w:r>
      </w:hyperlink>
      <w:r>
        <w:t xml:space="preserve">; Altman et al. (2005). ‘Policy Issues for the Community Development Employment Projects Scheme in Rural and Remote Australia’. Accessed from: </w:t>
      </w:r>
      <w:r w:rsidRPr="005F112F">
        <w:t>https://caepr.cass.anu.edu.au/sites/default/files/docs/2005_DP271_0.pdf</w:t>
      </w:r>
    </w:p>
  </w:footnote>
  <w:footnote w:id="100">
    <w:p w14:paraId="5716C0C0" w14:textId="77777777" w:rsidR="00F1362E" w:rsidRPr="00792EF5" w:rsidRDefault="00F1362E" w:rsidP="00AA7248">
      <w:pPr>
        <w:pStyle w:val="FootnoteText"/>
      </w:pPr>
      <w:r>
        <w:rPr>
          <w:rStyle w:val="FootnoteReference"/>
        </w:rPr>
        <w:footnoteRef/>
      </w:r>
      <w:r>
        <w:t xml:space="preserve"> Hudson, S. (2008). ‘CDEP: Help or Hindrance? The community Development Employment Program and its Impact on Indigenous Australians,’ </w:t>
      </w:r>
      <w:r>
        <w:rPr>
          <w:i/>
          <w:iCs/>
        </w:rPr>
        <w:t xml:space="preserve">The Centre for Independent Studies. </w:t>
      </w:r>
    </w:p>
  </w:footnote>
  <w:footnote w:id="101">
    <w:p w14:paraId="1EED75D8" w14:textId="77777777" w:rsidR="00F1362E" w:rsidRDefault="00F1362E" w:rsidP="00AA7248">
      <w:pPr>
        <w:pStyle w:val="FootnoteText"/>
      </w:pPr>
      <w:r>
        <w:rPr>
          <w:rStyle w:val="FootnoteReference"/>
        </w:rPr>
        <w:footnoteRef/>
      </w:r>
      <w:r>
        <w:t xml:space="preserve"> Jordan,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02">
    <w:p w14:paraId="16CEAF1F" w14:textId="77777777" w:rsidR="00F1362E" w:rsidRDefault="00F1362E" w:rsidP="00AA7248">
      <w:pPr>
        <w:pStyle w:val="FootnoteText"/>
      </w:pPr>
      <w:r>
        <w:rPr>
          <w:rStyle w:val="FootnoteReference"/>
        </w:rPr>
        <w:footnoteRef/>
      </w:r>
      <w:r>
        <w:t xml:space="preserve"> Ibid; Department of Finance and Deregulation: Office of Evaluation and Audit. (2009). ‘Evaluation of the Community Development Employment Projects (CDEP) Program.</w:t>
      </w:r>
    </w:p>
  </w:footnote>
  <w:footnote w:id="103">
    <w:p w14:paraId="1220EEF6" w14:textId="77777777" w:rsidR="00F1362E" w:rsidRDefault="00F1362E" w:rsidP="00AA7248">
      <w:pPr>
        <w:pStyle w:val="FootnoteText"/>
      </w:pPr>
      <w:r>
        <w:rPr>
          <w:rStyle w:val="FootnoteReference"/>
        </w:rPr>
        <w:footnoteRef/>
      </w:r>
      <w:r>
        <w:t xml:space="preserve"> </w:t>
      </w:r>
      <w:r w:rsidRPr="00771C29">
        <w:t>Gray, M., Hun</w:t>
      </w:r>
      <w:r>
        <w:t>t</w:t>
      </w:r>
      <w:r w:rsidRPr="00771C29">
        <w:t xml:space="preserve">er, B. and Lohoar, S. (2012). ‘Increasing Indigenous employment rates’, Issues paper np. 3, Closing the Gap Clearinghouse. Accessed from: </w:t>
      </w:r>
      <w:hyperlink r:id="rId19" w:history="1">
        <w:r w:rsidRPr="00771C29">
          <w:t>https://www.aihw.gov.au/getmedia/71bb346a-1b83-4038-a2f7-647e65a21445/ctg-ip03.pdf</w:t>
        </w:r>
      </w:hyperlink>
    </w:p>
  </w:footnote>
  <w:footnote w:id="104">
    <w:p w14:paraId="147C1DC6" w14:textId="77777777" w:rsidR="00F1362E" w:rsidRDefault="00F1362E" w:rsidP="00AA7248">
      <w:pPr>
        <w:pStyle w:val="FootnoteText"/>
      </w:pPr>
      <w:r>
        <w:rPr>
          <w:rStyle w:val="FootnoteReference"/>
        </w:rPr>
        <w:footnoteRef/>
      </w:r>
      <w:r>
        <w:t xml:space="preserve"> </w:t>
      </w:r>
      <w:r w:rsidRPr="00771C29">
        <w:t>Gray, M., Hun</w:t>
      </w:r>
      <w:r>
        <w:t>t</w:t>
      </w:r>
      <w:r w:rsidRPr="00771C29">
        <w:t xml:space="preserve">er, B. and Lohoar, S. (2012). ‘Increasing Indigenous employment rates’, Issues paper np. 3, Closing the Gap Clearinghouse. Accessed from: </w:t>
      </w:r>
      <w:hyperlink r:id="rId20" w:history="1">
        <w:r w:rsidRPr="00771C29">
          <w:t>https://www.aihw.gov.au/getmedia/71bb346a-1b83-4038-a2f7-647e65a21445/ctg-ip03.pdf</w:t>
        </w:r>
      </w:hyperlink>
      <w:r>
        <w:t xml:space="preserve"> </w:t>
      </w:r>
    </w:p>
  </w:footnote>
  <w:footnote w:id="105">
    <w:p w14:paraId="788EF690" w14:textId="77777777" w:rsidR="00F1362E" w:rsidRDefault="00F1362E" w:rsidP="00AA7248">
      <w:pPr>
        <w:pStyle w:val="FootnoteText"/>
      </w:pPr>
      <w:r>
        <w:rPr>
          <w:rStyle w:val="FootnoteReference"/>
        </w:rPr>
        <w:footnoteRef/>
      </w:r>
      <w:r>
        <w:t xml:space="preserve"> Productivity Commission. (2009). ‘Independent Review of the Job Network.’ Accessed from: </w:t>
      </w:r>
      <w:r w:rsidRPr="0049368B">
        <w:t>https://www.pc.gov.au/inquiries/completed/job-network/report/jobnetwork.pdf</w:t>
      </w:r>
    </w:p>
  </w:footnote>
  <w:footnote w:id="106">
    <w:p w14:paraId="1F95F703" w14:textId="77777777" w:rsidR="00F1362E" w:rsidRDefault="00F1362E"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21" w:history="1">
        <w:r w:rsidRPr="00771C29">
          <w:t>https://www.aihw.gov.au/getmedia/71bb346a-1b83-4038-a2f7-647e65a21445/ctg-ip03.pdf</w:t>
        </w:r>
      </w:hyperlink>
    </w:p>
  </w:footnote>
  <w:footnote w:id="107">
    <w:p w14:paraId="5731FBF0" w14:textId="77777777" w:rsidR="00F1362E" w:rsidRDefault="00F1362E" w:rsidP="00AA7248">
      <w:pPr>
        <w:pStyle w:val="FootnoteText"/>
      </w:pPr>
      <w:r>
        <w:rPr>
          <w:rStyle w:val="FootnoteReference"/>
        </w:rPr>
        <w:footnoteRef/>
      </w:r>
      <w:r>
        <w:t xml:space="preserve"> Ibid. </w:t>
      </w:r>
    </w:p>
  </w:footnote>
  <w:footnote w:id="108">
    <w:p w14:paraId="339B1BD3" w14:textId="77777777" w:rsidR="00F1362E" w:rsidRDefault="00F1362E" w:rsidP="00AA7248">
      <w:pPr>
        <w:pStyle w:val="FootnoteText"/>
      </w:pPr>
      <w:r>
        <w:rPr>
          <w:rStyle w:val="FootnoteReference"/>
        </w:rPr>
        <w:footnoteRef/>
      </w:r>
      <w:r>
        <w:t xml:space="preserve"> Human Rights and Equal Opportunity Commission. (2005). ‘Social Justice Report’. Accessed from: </w:t>
      </w:r>
      <w:hyperlink r:id="rId22" w:history="1">
        <w:r w:rsidRPr="000A6479">
          <w:rPr>
            <w:rStyle w:val="Hyperlink"/>
          </w:rPr>
          <w:t>https://humanrights.gov.au/sites/default/files/content/social_justice/sj_report/sjreport05/pdf/SocialJustice2005.pdf</w:t>
        </w:r>
      </w:hyperlink>
      <w:r>
        <w:t xml:space="preserve">; Gariner-Garden, J. (2020). ‘Closing the Gap.’ Accessed from: </w:t>
      </w:r>
      <w:hyperlink r:id="rId23" w:history="1">
        <w:r w:rsidRPr="000A6479">
          <w:rPr>
            <w:rStyle w:val="Hyperlink"/>
          </w:rPr>
          <w:t>https://www.aph.gov.au/About_Parliament/Parliamentary_Departments/Parliamentary_Library/pubs/BriefingBook44p/ClosingGap</w:t>
        </w:r>
      </w:hyperlink>
      <w:r>
        <w:t xml:space="preserve"> </w:t>
      </w:r>
    </w:p>
  </w:footnote>
  <w:footnote w:id="109">
    <w:p w14:paraId="60874E3C" w14:textId="77777777" w:rsidR="00F1362E" w:rsidRPr="000A49B5" w:rsidRDefault="00F1362E" w:rsidP="00AA7248">
      <w:pPr>
        <w:pStyle w:val="FootnoteText"/>
      </w:pPr>
      <w:r>
        <w:rPr>
          <w:rStyle w:val="FootnoteReference"/>
        </w:rPr>
        <w:footnoteRef/>
      </w:r>
      <w:r>
        <w:t xml:space="preserve"> Australian Government, Department of Employment, Skills, Small and Family Business. (2012). </w:t>
      </w:r>
      <w:r>
        <w:rPr>
          <w:i/>
          <w:iCs/>
        </w:rPr>
        <w:t xml:space="preserve">The Evaluation of Job Services Australia 2009-2012. </w:t>
      </w:r>
      <w:r>
        <w:t xml:space="preserve">Accessed from: </w:t>
      </w:r>
      <w:r w:rsidRPr="00316279">
        <w:t>https://docs.employment.gov.au/system/files/doc/other/the_evaluation_of_jsa_2009-2012_1.pdf</w:t>
      </w:r>
    </w:p>
  </w:footnote>
  <w:footnote w:id="110">
    <w:p w14:paraId="41D132CE" w14:textId="77777777" w:rsidR="00F1362E" w:rsidRDefault="00F1362E" w:rsidP="00AA7248">
      <w:pPr>
        <w:pStyle w:val="FootnoteText"/>
      </w:pPr>
      <w:r>
        <w:rPr>
          <w:rStyle w:val="FootnoteReference"/>
        </w:rPr>
        <w:footnoteRef/>
      </w:r>
      <w:r>
        <w:t xml:space="preserve"> Australian Government. (2011) ‘Indigenous Economic Development Strategy’. Accessed from: </w:t>
      </w:r>
      <w:r w:rsidRPr="00A44298">
        <w:t>https://www.ilo.org/dyn/youthpol/en/equest.fileutils.dochandle?p_uploaded_file_id=500</w:t>
      </w:r>
    </w:p>
  </w:footnote>
  <w:footnote w:id="111">
    <w:p w14:paraId="1196EEF7" w14:textId="77777777" w:rsidR="00F1362E" w:rsidRDefault="00F1362E" w:rsidP="00AA7248">
      <w:pPr>
        <w:pStyle w:val="FootnoteText"/>
      </w:pPr>
      <w:r>
        <w:rPr>
          <w:rStyle w:val="FootnoteReference"/>
        </w:rPr>
        <w:footnoteRef/>
      </w:r>
      <w:r>
        <w:t xml:space="preserve"> Commonwealth of Australia. (2018). ‘The Community Development Programme: Evaluation of Participation and Employment outcomes.’ Accessed from: </w:t>
      </w:r>
      <w:r w:rsidRPr="00BA1712">
        <w:t>https://www.niaa.gov.au/sites/default/files/publications/cdp-evaluation-participation-employment-outcomes.pdf</w:t>
      </w:r>
    </w:p>
  </w:footnote>
  <w:footnote w:id="112">
    <w:p w14:paraId="665A434F" w14:textId="77777777" w:rsidR="00F1362E" w:rsidRDefault="00F1362E" w:rsidP="00AA7248">
      <w:pPr>
        <w:pStyle w:val="FootnoteText"/>
      </w:pPr>
      <w:r>
        <w:rPr>
          <w:rStyle w:val="FootnoteReference"/>
        </w:rPr>
        <w:footnoteRef/>
      </w:r>
      <w:r>
        <w:t xml:space="preserve"> Commonwealth of Australia. (2015). ‘The </w:t>
      </w:r>
      <w:r w:rsidRPr="00041BC2">
        <w:t>Forrest Review (2014)</w:t>
      </w:r>
      <w:r>
        <w:t>: Creating Parity’. Accessed from:</w:t>
      </w:r>
      <w:r w:rsidRPr="003E56F4">
        <w:t xml:space="preserve"> https://www.niaa.gov.au/sites/default/files/publications/Forrest-Review.pdf</w:t>
      </w:r>
    </w:p>
  </w:footnote>
  <w:footnote w:id="113">
    <w:p w14:paraId="2FD515C7" w14:textId="77777777" w:rsidR="00F1362E" w:rsidRDefault="00F1362E" w:rsidP="00AA7248">
      <w:pPr>
        <w:pStyle w:val="FootnoteText"/>
      </w:pPr>
      <w:r>
        <w:rPr>
          <w:rStyle w:val="FootnoteReference"/>
        </w:rPr>
        <w:footnoteRef/>
      </w:r>
      <w:r>
        <w:t xml:space="preserve"> Ibid. </w:t>
      </w:r>
    </w:p>
  </w:footnote>
  <w:footnote w:id="114">
    <w:p w14:paraId="1CB1323C" w14:textId="77777777" w:rsidR="00F1362E" w:rsidRDefault="00F1362E" w:rsidP="00AA7248">
      <w:pPr>
        <w:pStyle w:val="FootnoteText"/>
      </w:pPr>
      <w:r>
        <w:rPr>
          <w:rStyle w:val="FootnoteReference"/>
        </w:rPr>
        <w:footnoteRef/>
      </w:r>
      <w:r>
        <w:t xml:space="preserve"> Ibid. </w:t>
      </w:r>
    </w:p>
  </w:footnote>
  <w:footnote w:id="115">
    <w:p w14:paraId="54E0F173" w14:textId="77777777" w:rsidR="00F1362E" w:rsidRDefault="00F1362E" w:rsidP="00AA7248">
      <w:pPr>
        <w:pStyle w:val="FootnoteText"/>
      </w:pPr>
      <w:r>
        <w:rPr>
          <w:rStyle w:val="FootnoteReference"/>
        </w:rPr>
        <w:footnoteRef/>
      </w:r>
      <w:r>
        <w:t xml:space="preserve"> Ibid.</w:t>
      </w:r>
    </w:p>
  </w:footnote>
  <w:footnote w:id="116">
    <w:p w14:paraId="549BB7D2" w14:textId="77777777" w:rsidR="00F1362E" w:rsidRDefault="00F1362E" w:rsidP="00AA7248">
      <w:pPr>
        <w:pStyle w:val="FootnoteText"/>
      </w:pPr>
      <w:r>
        <w:rPr>
          <w:rStyle w:val="FootnoteReference"/>
        </w:rPr>
        <w:footnoteRef/>
      </w:r>
      <w:r>
        <w:t xml:space="preserve"> Ibid. </w:t>
      </w:r>
    </w:p>
  </w:footnote>
  <w:footnote w:id="117">
    <w:p w14:paraId="74E7D478" w14:textId="77777777" w:rsidR="00F1362E" w:rsidRDefault="00F1362E" w:rsidP="00AA7248">
      <w:pPr>
        <w:pStyle w:val="FootnoteText"/>
      </w:pPr>
      <w:r>
        <w:rPr>
          <w:rStyle w:val="FootnoteReference"/>
        </w:rPr>
        <w:footnoteRef/>
      </w:r>
      <w:r>
        <w:t xml:space="preserve"> Klein, E. (2014). ‘Academic Perspectives on the </w:t>
      </w:r>
      <w:r w:rsidRPr="00041BC2">
        <w:t>Forrest Review (2014)</w:t>
      </w:r>
      <w:r>
        <w:t xml:space="preserve">: Creating Parity.’ Accessed from: </w:t>
      </w:r>
      <w:r w:rsidRPr="009D1894">
        <w:t>https://caepr.cass.anu.edu.au/research/publications/academic-perspectives-forrest-review-creating-parity</w:t>
      </w:r>
    </w:p>
  </w:footnote>
  <w:footnote w:id="118">
    <w:p w14:paraId="7CCEEFFC" w14:textId="77777777" w:rsidR="00F1362E" w:rsidRDefault="00F1362E" w:rsidP="00AA7248">
      <w:pPr>
        <w:pStyle w:val="FootnoteText"/>
      </w:pPr>
      <w:r>
        <w:rPr>
          <w:rStyle w:val="FootnoteReference"/>
        </w:rPr>
        <w:footnoteRef/>
      </w:r>
      <w:r>
        <w:t xml:space="preserve"> Commonwealth of Australia. (2020). ‘Indigenous Advancement Strategy’. Accessed from: </w:t>
      </w:r>
      <w:hyperlink r:id="rId24" w:history="1">
        <w:r w:rsidRPr="009C1644">
          <w:rPr>
            <w:rStyle w:val="Hyperlink"/>
          </w:rPr>
          <w:t>https://www.indigenous.gov.au/indigenous-advancement-strategy</w:t>
        </w:r>
      </w:hyperlink>
      <w:r>
        <w:t xml:space="preserve"> </w:t>
      </w:r>
    </w:p>
  </w:footnote>
  <w:footnote w:id="119">
    <w:p w14:paraId="29D98212" w14:textId="77777777" w:rsidR="00F1362E" w:rsidRDefault="00F1362E" w:rsidP="00AA7248">
      <w:pPr>
        <w:pStyle w:val="FootnoteText"/>
      </w:pPr>
      <w:r>
        <w:rPr>
          <w:rStyle w:val="FootnoteReference"/>
        </w:rPr>
        <w:footnoteRef/>
      </w:r>
      <w:r>
        <w:t xml:space="preserve"> Commonwealth of Australia, Education and Employment References Committee. (2018). Jobactive: failing those it is intended to serve.</w:t>
      </w:r>
    </w:p>
  </w:footnote>
  <w:footnote w:id="120">
    <w:p w14:paraId="185FB932" w14:textId="77777777" w:rsidR="00F1362E" w:rsidRDefault="00F1362E" w:rsidP="00AA7248">
      <w:pPr>
        <w:pStyle w:val="FootnoteText"/>
      </w:pPr>
      <w:r>
        <w:rPr>
          <w:rStyle w:val="FootnoteReference"/>
        </w:rPr>
        <w:footnoteRef/>
      </w:r>
      <w:r>
        <w:t xml:space="preserve"> Ibid. </w:t>
      </w:r>
    </w:p>
  </w:footnote>
  <w:footnote w:id="121">
    <w:p w14:paraId="2B505FAC" w14:textId="77777777" w:rsidR="00F1362E" w:rsidRDefault="00F1362E" w:rsidP="00AA7248">
      <w:pPr>
        <w:pStyle w:val="FootnoteText"/>
      </w:pPr>
      <w:r>
        <w:rPr>
          <w:rStyle w:val="FootnoteReference"/>
        </w:rPr>
        <w:footnoteRef/>
      </w:r>
      <w:r>
        <w:t xml:space="preserve"> Ibid. </w:t>
      </w:r>
    </w:p>
  </w:footnote>
  <w:footnote w:id="122">
    <w:p w14:paraId="45731F47" w14:textId="77777777" w:rsidR="00F1362E" w:rsidRDefault="00F1362E"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25" w:history="1">
        <w:r w:rsidRPr="004D1050">
          <w:rPr>
            <w:rStyle w:val="Hyperlink"/>
          </w:rPr>
          <w:t>https://doi.org/10.1787/dd1029ea-en</w:t>
        </w:r>
      </w:hyperlink>
      <w:r w:rsidRPr="00204412">
        <w:t>.</w:t>
      </w:r>
    </w:p>
  </w:footnote>
  <w:footnote w:id="123">
    <w:p w14:paraId="6C83BFCE" w14:textId="77777777" w:rsidR="00F1362E" w:rsidRDefault="00F1362E" w:rsidP="00AA7248">
      <w:pPr>
        <w:pStyle w:val="FootnoteText"/>
      </w:pPr>
      <w:r>
        <w:rPr>
          <w:rStyle w:val="FootnoteReference"/>
        </w:rPr>
        <w:footnoteRef/>
      </w:r>
      <w:r>
        <w:t xml:space="preserve"> Ibid. </w:t>
      </w:r>
    </w:p>
  </w:footnote>
  <w:footnote w:id="124">
    <w:p w14:paraId="156239F3" w14:textId="77777777" w:rsidR="00F1362E" w:rsidRDefault="00F1362E" w:rsidP="00AA7248">
      <w:pPr>
        <w:pStyle w:val="FootnoteText"/>
      </w:pPr>
      <w:r>
        <w:rPr>
          <w:rStyle w:val="FootnoteReference"/>
        </w:rPr>
        <w:footnoteRef/>
      </w:r>
      <w:r>
        <w:t xml:space="preserve"> Ibid. </w:t>
      </w:r>
    </w:p>
  </w:footnote>
  <w:footnote w:id="125">
    <w:p w14:paraId="7455D958" w14:textId="77777777" w:rsidR="00F1362E" w:rsidRDefault="00F1362E" w:rsidP="00AA7248">
      <w:pPr>
        <w:pStyle w:val="FootnoteText"/>
      </w:pPr>
      <w:r>
        <w:rPr>
          <w:rStyle w:val="FootnoteReference"/>
        </w:rPr>
        <w:footnoteRef/>
      </w:r>
      <w:r>
        <w:t xml:space="preserve"> Commonwealth of Australia (2018). ‘The Community Development Programme: Evaluation of Participation and Employment Outcomes’; Allam, L. (2019). ‘Government releases damning review of its own Aboriginal work-for-the-dole scheme’. Accessed from:  </w:t>
      </w:r>
      <w:r w:rsidRPr="00AB137D">
        <w:t>https://www.theguardian.com/australia-news/2019/feb/06/a-third-of-remote-aboriginal-work-for-the-dole-participants-say-community-worse-off</w:t>
      </w:r>
    </w:p>
  </w:footnote>
  <w:footnote w:id="126">
    <w:p w14:paraId="1C7FFC68" w14:textId="77777777" w:rsidR="00F1362E" w:rsidRDefault="00F1362E" w:rsidP="00AA7248">
      <w:pPr>
        <w:pStyle w:val="FootnoteText"/>
      </w:pPr>
      <w:r>
        <w:rPr>
          <w:rStyle w:val="FootnoteReference"/>
        </w:rPr>
        <w:footnoteRef/>
      </w:r>
      <w:r>
        <w:t xml:space="preserve"> Ibid. </w:t>
      </w:r>
    </w:p>
  </w:footnote>
  <w:footnote w:id="127">
    <w:p w14:paraId="7502E9EF" w14:textId="77777777" w:rsidR="00F1362E" w:rsidRPr="0084244B" w:rsidRDefault="00F1362E" w:rsidP="00AA7248">
      <w:pPr>
        <w:pStyle w:val="FootnoteText"/>
      </w:pPr>
      <w:r>
        <w:rPr>
          <w:rStyle w:val="FootnoteReference"/>
        </w:rPr>
        <w:footnoteRef/>
      </w:r>
      <w:r>
        <w:t xml:space="preserve"> NIAA. (2020). ‘Community Development Program Overview.’ Accessed from: </w:t>
      </w:r>
      <w:r w:rsidRPr="005710FD">
        <w:t>https://www.niaa.gov.au/sites/default/files/publications/cdp-overview.pdf</w:t>
      </w:r>
    </w:p>
  </w:footnote>
  <w:footnote w:id="128">
    <w:p w14:paraId="0BD572F5" w14:textId="77777777" w:rsidR="00F1362E" w:rsidRDefault="00F1362E" w:rsidP="00AA7248">
      <w:pPr>
        <w:pStyle w:val="FootnoteText"/>
      </w:pPr>
      <w:r>
        <w:rPr>
          <w:rStyle w:val="FootnoteReference"/>
        </w:rPr>
        <w:footnoteRef/>
      </w:r>
      <w:r>
        <w:t xml:space="preserve"> Commonwealth of Australia (2018). ‘The Community Development Programme: Evaluation of Participation and Employment Outcomes’</w:t>
      </w:r>
    </w:p>
  </w:footnote>
  <w:footnote w:id="129">
    <w:p w14:paraId="16A7E1AB" w14:textId="77777777" w:rsidR="00F1362E" w:rsidRDefault="00F1362E" w:rsidP="00AA7248">
      <w:pPr>
        <w:pStyle w:val="FootnoteText"/>
      </w:pPr>
      <w:r>
        <w:rPr>
          <w:rStyle w:val="FootnoteReference"/>
        </w:rPr>
        <w:footnoteRef/>
      </w:r>
      <w:r>
        <w:t xml:space="preserve"> Ibid. </w:t>
      </w:r>
    </w:p>
  </w:footnote>
  <w:footnote w:id="130">
    <w:p w14:paraId="41892D98" w14:textId="77777777" w:rsidR="00F1362E" w:rsidRDefault="00F1362E" w:rsidP="00AA7248">
      <w:pPr>
        <w:pStyle w:val="FootnoteText"/>
      </w:pPr>
      <w:r>
        <w:rPr>
          <w:rStyle w:val="FootnoteReference"/>
        </w:rPr>
        <w:footnoteRef/>
      </w:r>
      <w:r>
        <w:t xml:space="preserve"> Ibid.</w:t>
      </w:r>
    </w:p>
  </w:footnote>
  <w:footnote w:id="131">
    <w:p w14:paraId="03B83200" w14:textId="77777777" w:rsidR="00F1362E" w:rsidRDefault="00F1362E" w:rsidP="008F54A1">
      <w:pPr>
        <w:pStyle w:val="FootnoteText"/>
      </w:pPr>
      <w:r>
        <w:rPr>
          <w:rStyle w:val="FootnoteReference"/>
        </w:rPr>
        <w:footnoteRef/>
      </w:r>
      <w:r>
        <w:t xml:space="preserve"> Commonwealth of Australia (2018). ‘The Community Development Programme: Evaluation of Participation and Employment Outcomes.’</w:t>
      </w:r>
    </w:p>
  </w:footnote>
  <w:footnote w:id="132">
    <w:p w14:paraId="4C62CDAA" w14:textId="77777777" w:rsidR="00F1362E" w:rsidRDefault="00F1362E" w:rsidP="008F54A1">
      <w:pPr>
        <w:pStyle w:val="FootnoteText"/>
      </w:pPr>
      <w:r>
        <w:rPr>
          <w:rStyle w:val="FootnoteReference"/>
        </w:rPr>
        <w:footnoteRef/>
      </w:r>
      <w:r>
        <w:t xml:space="preserve"> Ibid.</w:t>
      </w:r>
    </w:p>
  </w:footnote>
  <w:footnote w:id="133">
    <w:p w14:paraId="0578DE49" w14:textId="77777777" w:rsidR="00F1362E" w:rsidRDefault="00F1362E" w:rsidP="008F54A1">
      <w:pPr>
        <w:pStyle w:val="FootnoteText"/>
      </w:pPr>
      <w:r>
        <w:rPr>
          <w:rStyle w:val="FootnoteReference"/>
        </w:rPr>
        <w:footnoteRef/>
      </w:r>
      <w:r>
        <w:t xml:space="preserve"> Jordan,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34">
    <w:p w14:paraId="08F43CBD" w14:textId="77777777" w:rsidR="00F1362E" w:rsidRDefault="00F1362E" w:rsidP="008F54A1">
      <w:pPr>
        <w:pStyle w:val="FootnoteText"/>
      </w:pPr>
      <w:r>
        <w:rPr>
          <w:rStyle w:val="FootnoteReference"/>
        </w:rPr>
        <w:footnoteRef/>
      </w:r>
      <w:r>
        <w:t xml:space="preserve"> Commonwealth of Australia (2018). ‘The Community Development Programme: Evaluation of Participation and Employment Outcomes.’</w:t>
      </w:r>
    </w:p>
  </w:footnote>
  <w:footnote w:id="135">
    <w:p w14:paraId="1CCAC434" w14:textId="77777777" w:rsidR="00F1362E" w:rsidRDefault="00F1362E" w:rsidP="008F54A1">
      <w:pPr>
        <w:pStyle w:val="FootnoteText"/>
      </w:pPr>
      <w:r>
        <w:rPr>
          <w:rStyle w:val="FootnoteReference"/>
        </w:rPr>
        <w:footnoteRef/>
      </w:r>
      <w:r>
        <w:t xml:space="preserve"> Jordan,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36">
    <w:p w14:paraId="29D5B271" w14:textId="77777777" w:rsidR="00F1362E" w:rsidRDefault="00F1362E" w:rsidP="008F54A1">
      <w:pPr>
        <w:pStyle w:val="FootnoteText"/>
      </w:pPr>
      <w:r>
        <w:rPr>
          <w:rStyle w:val="FootnoteReference"/>
        </w:rPr>
        <w:footnoteRef/>
      </w:r>
      <w:r>
        <w:t xml:space="preserve"> Commonwealth of Australia (2018). ‘The Community Development Programme: Evaluation of Participation and Employment Outcomes.’</w:t>
      </w:r>
    </w:p>
  </w:footnote>
  <w:footnote w:id="137">
    <w:p w14:paraId="062B71B2" w14:textId="77777777" w:rsidR="00F1362E" w:rsidRDefault="00F1362E" w:rsidP="008F54A1">
      <w:pPr>
        <w:pStyle w:val="FootnoteText"/>
      </w:pPr>
      <w:r>
        <w:rPr>
          <w:rStyle w:val="FootnoteReference"/>
        </w:rPr>
        <w:footnoteRef/>
      </w:r>
      <w:r>
        <w:t xml:space="preserve"> Ibid. </w:t>
      </w:r>
    </w:p>
  </w:footnote>
  <w:footnote w:id="138">
    <w:p w14:paraId="4BB56892" w14:textId="77777777" w:rsidR="00F1362E" w:rsidRDefault="00F1362E" w:rsidP="008F54A1">
      <w:pPr>
        <w:pStyle w:val="FootnoteText"/>
      </w:pPr>
      <w:r>
        <w:rPr>
          <w:rStyle w:val="FootnoteReference"/>
        </w:rPr>
        <w:footnoteRef/>
      </w:r>
      <w:r>
        <w:t xml:space="preserve"> Ibid. </w:t>
      </w:r>
    </w:p>
  </w:footnote>
  <w:footnote w:id="139">
    <w:p w14:paraId="097977A4" w14:textId="77777777" w:rsidR="00F1362E" w:rsidRDefault="00F1362E" w:rsidP="008F54A1">
      <w:pPr>
        <w:pStyle w:val="FootnoteText"/>
      </w:pPr>
      <w:r>
        <w:rPr>
          <w:rStyle w:val="FootnoteReference"/>
        </w:rPr>
        <w:footnoteRef/>
      </w:r>
      <w:r>
        <w:t xml:space="preserve"> Ibid. </w:t>
      </w:r>
    </w:p>
  </w:footnote>
  <w:footnote w:id="140">
    <w:p w14:paraId="13EF96D0" w14:textId="77777777" w:rsidR="00F1362E" w:rsidRDefault="00F1362E" w:rsidP="008F54A1">
      <w:pPr>
        <w:pStyle w:val="FootnoteText"/>
      </w:pPr>
      <w:r>
        <w:rPr>
          <w:rStyle w:val="FootnoteReference"/>
        </w:rPr>
        <w:footnoteRef/>
      </w:r>
      <w:r>
        <w:t xml:space="preserve"> Ibid. </w:t>
      </w:r>
    </w:p>
  </w:footnote>
  <w:footnote w:id="141">
    <w:p w14:paraId="76D39230" w14:textId="77777777" w:rsidR="00F1362E" w:rsidRDefault="00F1362E"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26" w:history="1">
        <w:r w:rsidRPr="004D1050">
          <w:rPr>
            <w:rStyle w:val="Hyperlink"/>
          </w:rPr>
          <w:t>https://doi.org/10.1787/dd1029ea-en</w:t>
        </w:r>
      </w:hyperlink>
      <w:r w:rsidRPr="00204412">
        <w:t>.</w:t>
      </w:r>
    </w:p>
  </w:footnote>
  <w:footnote w:id="142">
    <w:p w14:paraId="2D9C459B" w14:textId="77777777" w:rsidR="00F1362E" w:rsidRDefault="00F1362E" w:rsidP="00AA7248">
      <w:pPr>
        <w:pStyle w:val="FootnoteText"/>
      </w:pPr>
      <w:r>
        <w:rPr>
          <w:rStyle w:val="FootnoteReference"/>
        </w:rPr>
        <w:footnoteRef/>
      </w:r>
      <w:r>
        <w:t xml:space="preserve"> Ibid.  </w:t>
      </w:r>
    </w:p>
  </w:footnote>
  <w:footnote w:id="143">
    <w:p w14:paraId="5F27230C" w14:textId="77777777" w:rsidR="00F1362E" w:rsidRPr="00C26BCA" w:rsidRDefault="00F1362E" w:rsidP="00AA7248">
      <w:pPr>
        <w:pStyle w:val="FootnoteText"/>
      </w:pPr>
      <w:r>
        <w:rPr>
          <w:rStyle w:val="FootnoteReference"/>
        </w:rPr>
        <w:footnoteRef/>
      </w:r>
      <w:r>
        <w:t xml:space="preserve"> Ibid</w:t>
      </w:r>
      <w:r w:rsidRPr="00C26BCA">
        <w:t xml:space="preserve">. </w:t>
      </w:r>
    </w:p>
  </w:footnote>
  <w:footnote w:id="144">
    <w:p w14:paraId="7B787818" w14:textId="77777777" w:rsidR="00F1362E" w:rsidRPr="00C26BCA" w:rsidRDefault="00F1362E" w:rsidP="00AA7248">
      <w:pPr>
        <w:pStyle w:val="FootnoteText"/>
      </w:pPr>
      <w:r w:rsidRPr="00C26BCA">
        <w:rPr>
          <w:rStyle w:val="FootnoteReference"/>
        </w:rPr>
        <w:footnoteRef/>
      </w:r>
      <w:r w:rsidRPr="00C26BCA">
        <w:t xml:space="preserve"> Ibid. </w:t>
      </w:r>
    </w:p>
  </w:footnote>
  <w:footnote w:id="145">
    <w:p w14:paraId="57A430C5" w14:textId="77777777" w:rsidR="00F1362E" w:rsidRPr="00B71370" w:rsidRDefault="00F1362E" w:rsidP="00AA7248">
      <w:pPr>
        <w:pStyle w:val="FootnoteText"/>
        <w:rPr>
          <w:i/>
          <w:iCs/>
        </w:rPr>
      </w:pPr>
      <w:r w:rsidRPr="00C26BCA">
        <w:rPr>
          <w:rStyle w:val="FootnoteReference"/>
        </w:rPr>
        <w:footnoteRef/>
      </w:r>
      <w:r w:rsidRPr="00C26BCA">
        <w:t xml:space="preserve"> </w:t>
      </w:r>
      <w:r>
        <w:t>Jordan, K</w:t>
      </w:r>
      <w:r w:rsidRPr="00C26BCA">
        <w:t>. (2014). ‘Andre</w:t>
      </w:r>
      <w:r>
        <w:t>w</w:t>
      </w:r>
      <w:r w:rsidRPr="00C26BCA">
        <w:t xml:space="preserve"> Forrest’s Indigenous employment project: Do the arguments stack up?’</w:t>
      </w:r>
      <w:r>
        <w:t xml:space="preserve"> </w:t>
      </w:r>
      <w:r>
        <w:rPr>
          <w:i/>
          <w:iCs/>
        </w:rPr>
        <w:t>The Australian National University</w:t>
      </w:r>
      <w:r>
        <w:t>; Jordan, K</w:t>
      </w:r>
      <w:r>
        <w:rPr>
          <w:i/>
          <w:iCs/>
        </w:rPr>
        <w:t xml:space="preserve">. </w:t>
      </w:r>
      <w:r>
        <w:t>(2011). ‘The Australian Employment Covenant: A research update.</w:t>
      </w:r>
    </w:p>
  </w:footnote>
  <w:footnote w:id="146">
    <w:p w14:paraId="50EFDFBD" w14:textId="77777777" w:rsidR="00F1362E" w:rsidRDefault="00F1362E" w:rsidP="00AA7248">
      <w:pPr>
        <w:pStyle w:val="FootnoteText"/>
      </w:pPr>
      <w:r>
        <w:rPr>
          <w:rStyle w:val="FootnoteReference"/>
        </w:rPr>
        <w:footnoteRef/>
      </w:r>
      <w:r>
        <w:t xml:space="preserve"> Commonwealth of Australia. (2015). ‘The </w:t>
      </w:r>
      <w:r w:rsidRPr="00041BC2">
        <w:t>Forrest Review (2014)</w:t>
      </w:r>
      <w:r>
        <w:t>: Creating Parity’. Accessed from:</w:t>
      </w:r>
      <w:r w:rsidRPr="003E56F4">
        <w:t xml:space="preserve"> https://www.niaa.gov.au/sites/default/files/publications/Forrest-Review.pdf</w:t>
      </w:r>
    </w:p>
  </w:footnote>
  <w:footnote w:id="147">
    <w:p w14:paraId="1D673E43" w14:textId="77777777" w:rsidR="00F1362E" w:rsidRDefault="00F1362E" w:rsidP="00AA7248">
      <w:pPr>
        <w:pStyle w:val="FootnoteText"/>
      </w:pPr>
      <w:r>
        <w:rPr>
          <w:rStyle w:val="FootnoteReference"/>
        </w:rPr>
        <w:footnoteRef/>
      </w:r>
      <w:r>
        <w:t xml:space="preserve"> NCVER. (2017). ‘Policy snapshot: Indigenous training and employment.’</w:t>
      </w:r>
    </w:p>
  </w:footnote>
  <w:footnote w:id="148">
    <w:p w14:paraId="1CCC59B2" w14:textId="77777777" w:rsidR="00F1362E" w:rsidRPr="00B71370" w:rsidRDefault="00F1362E" w:rsidP="00AA7248">
      <w:pPr>
        <w:pStyle w:val="FootnoteText"/>
      </w:pPr>
      <w:r>
        <w:rPr>
          <w:rStyle w:val="FootnoteReference"/>
        </w:rPr>
        <w:footnoteRef/>
      </w:r>
      <w:r>
        <w:t xml:space="preserve"> Miles Morgan Australia. (2015). ‘Progress Evaluation of the Vocational Training and Employment Centre </w:t>
      </w:r>
      <w:r w:rsidRPr="00B71370">
        <w:t xml:space="preserve">Programme.’ </w:t>
      </w:r>
    </w:p>
  </w:footnote>
  <w:footnote w:id="149">
    <w:p w14:paraId="6699D4D5" w14:textId="77777777" w:rsidR="00F1362E" w:rsidRPr="00B71370" w:rsidRDefault="00F1362E" w:rsidP="00AA7248">
      <w:pPr>
        <w:pStyle w:val="FootnoteText"/>
        <w:rPr>
          <w:i/>
          <w:iCs/>
        </w:rPr>
      </w:pPr>
      <w:r w:rsidRPr="00B71370">
        <w:rPr>
          <w:rStyle w:val="FootnoteReference"/>
        </w:rPr>
        <w:footnoteRef/>
      </w:r>
      <w:r w:rsidRPr="00B71370">
        <w:t xml:space="preserve"> Kirrily, J. (2014). ‘Andrew Forrest’s Indigenous employment project: Do the arguments stack up?’ </w:t>
      </w:r>
      <w:r w:rsidRPr="00B71370">
        <w:rPr>
          <w:i/>
          <w:iCs/>
        </w:rPr>
        <w:t>The</w:t>
      </w:r>
      <w:r>
        <w:rPr>
          <w:i/>
          <w:iCs/>
        </w:rPr>
        <w:t xml:space="preserve"> Australian National University. </w:t>
      </w:r>
    </w:p>
  </w:footnote>
  <w:footnote w:id="150">
    <w:p w14:paraId="3686E10C" w14:textId="77777777" w:rsidR="00F1362E" w:rsidRDefault="00F1362E" w:rsidP="00AA7248">
      <w:pPr>
        <w:pStyle w:val="FootnoteText"/>
      </w:pPr>
      <w:r>
        <w:rPr>
          <w:rStyle w:val="FootnoteReference"/>
        </w:rPr>
        <w:footnoteRef/>
      </w:r>
      <w:r>
        <w:t xml:space="preserve"> Commonwealth of Australia. (2015). ‘The </w:t>
      </w:r>
      <w:r w:rsidRPr="00041BC2">
        <w:t>Forrest Review (2014)</w:t>
      </w:r>
      <w:r>
        <w:t>: Creating Parity’. Accessed from:</w:t>
      </w:r>
      <w:r w:rsidRPr="003E56F4">
        <w:t xml:space="preserve"> https://www.niaa.gov.au/sites/default/files/publications/Forrest-Review.pdf</w:t>
      </w:r>
    </w:p>
  </w:footnote>
  <w:footnote w:id="151">
    <w:p w14:paraId="6F7451E3" w14:textId="77777777" w:rsidR="00F1362E" w:rsidRPr="0023299D" w:rsidRDefault="00F1362E" w:rsidP="00AA7248">
      <w:pPr>
        <w:pStyle w:val="FootnoteText"/>
      </w:pPr>
      <w:r>
        <w:rPr>
          <w:rStyle w:val="FootnoteReference"/>
        </w:rPr>
        <w:footnoteRef/>
      </w:r>
      <w:r>
        <w:t xml:space="preserve"> According to the </w:t>
      </w:r>
      <w:r>
        <w:rPr>
          <w:i/>
          <w:iCs/>
        </w:rPr>
        <w:t>Forrest Review</w:t>
      </w:r>
      <w:r>
        <w:t xml:space="preserve"> employment parity can be achieved through ensuring Indigenous Australian have a “decent education”, as parity in employment already exists for Indigenous Australians who have a Certificate III or IV level training. Note that the </w:t>
      </w:r>
      <w:r>
        <w:rPr>
          <w:i/>
          <w:iCs/>
        </w:rPr>
        <w:t xml:space="preserve">Forrest Review </w:t>
      </w:r>
      <w:r>
        <w:t>does not define the term ‘parity’.</w:t>
      </w:r>
    </w:p>
  </w:footnote>
  <w:footnote w:id="152">
    <w:p w14:paraId="5C766B12" w14:textId="77777777" w:rsidR="00F1362E" w:rsidRDefault="00F1362E" w:rsidP="00AA7248">
      <w:pPr>
        <w:pStyle w:val="FootnoteText"/>
      </w:pPr>
      <w:r>
        <w:rPr>
          <w:rStyle w:val="FootnoteReference"/>
        </w:rPr>
        <w:footnoteRef/>
      </w:r>
      <w:r>
        <w:t xml:space="preserve"> Ibid. </w:t>
      </w:r>
    </w:p>
  </w:footnote>
  <w:footnote w:id="153">
    <w:p w14:paraId="45F68A40" w14:textId="77777777" w:rsidR="00F1362E" w:rsidRDefault="00F1362E" w:rsidP="00AA7248">
      <w:pPr>
        <w:pStyle w:val="FootnoteText"/>
      </w:pPr>
      <w:r>
        <w:rPr>
          <w:rStyle w:val="FootnoteReference"/>
        </w:rPr>
        <w:footnoteRef/>
      </w:r>
      <w:r>
        <w:t xml:space="preserve"> Ibid. </w:t>
      </w:r>
    </w:p>
  </w:footnote>
  <w:footnote w:id="154">
    <w:p w14:paraId="1E2284A1" w14:textId="77777777" w:rsidR="00F1362E" w:rsidRDefault="00F1362E" w:rsidP="00AA7248">
      <w:pPr>
        <w:pStyle w:val="FootnoteText"/>
      </w:pPr>
      <w:r>
        <w:rPr>
          <w:rStyle w:val="FootnoteReference"/>
        </w:rPr>
        <w:footnoteRef/>
      </w:r>
      <w:r>
        <w:t xml:space="preserve"> Ibid. </w:t>
      </w:r>
    </w:p>
  </w:footnote>
  <w:footnote w:id="155">
    <w:p w14:paraId="2963EE21" w14:textId="77777777" w:rsidR="00F1362E" w:rsidRDefault="00F1362E" w:rsidP="008F54A1">
      <w:pPr>
        <w:pStyle w:val="FootnoteText"/>
      </w:pPr>
      <w:r>
        <w:rPr>
          <w:rStyle w:val="FootnoteReference"/>
        </w:rPr>
        <w:footnoteRef/>
      </w:r>
      <w:r>
        <w:t xml:space="preserve"> Miles Morgan Australia. (2015). ‘Progress Evaluation of the Vocational Training and Employment Centre Programme.’</w:t>
      </w:r>
    </w:p>
  </w:footnote>
  <w:footnote w:id="156">
    <w:p w14:paraId="79B32B0C" w14:textId="77777777" w:rsidR="00F1362E" w:rsidRDefault="00F1362E" w:rsidP="008F54A1">
      <w:pPr>
        <w:pStyle w:val="FootnoteText"/>
      </w:pPr>
      <w:r>
        <w:rPr>
          <w:rStyle w:val="FootnoteReference"/>
        </w:rPr>
        <w:footnoteRef/>
      </w:r>
      <w:r>
        <w:t xml:space="preserve"> Ibid. </w:t>
      </w:r>
    </w:p>
  </w:footnote>
  <w:footnote w:id="157">
    <w:p w14:paraId="69875B00" w14:textId="77777777" w:rsidR="00F1362E" w:rsidRDefault="00F1362E" w:rsidP="008F54A1">
      <w:pPr>
        <w:pStyle w:val="FootnoteText"/>
      </w:pPr>
      <w:r>
        <w:rPr>
          <w:rStyle w:val="FootnoteReference"/>
        </w:rPr>
        <w:footnoteRef/>
      </w:r>
      <w:r>
        <w:t xml:space="preserve"> Ibid. </w:t>
      </w:r>
    </w:p>
  </w:footnote>
  <w:footnote w:id="158">
    <w:p w14:paraId="08BB01B8" w14:textId="77777777" w:rsidR="00F1362E" w:rsidRDefault="00F1362E" w:rsidP="008F54A1">
      <w:pPr>
        <w:pStyle w:val="FootnoteText"/>
      </w:pPr>
      <w:r>
        <w:rPr>
          <w:rStyle w:val="FootnoteReference"/>
        </w:rPr>
        <w:footnoteRef/>
      </w:r>
      <w:r>
        <w:t xml:space="preserve"> Ibid. </w:t>
      </w:r>
    </w:p>
  </w:footnote>
  <w:footnote w:id="159">
    <w:p w14:paraId="62EC945A" w14:textId="77777777" w:rsidR="00F1362E" w:rsidRDefault="00F1362E" w:rsidP="00AA7248">
      <w:pPr>
        <w:pStyle w:val="FootnoteText"/>
      </w:pPr>
      <w:r>
        <w:rPr>
          <w:rStyle w:val="FootnoteReference"/>
        </w:rPr>
        <w:footnoteRef/>
      </w:r>
      <w:r>
        <w:t xml:space="preserve"> Humbugging refers to the act of making demands for cultural obligations regarding care for kin, family and the sharing of resources. This may conflict with employment obligations or requirements.</w:t>
      </w:r>
    </w:p>
  </w:footnote>
  <w:footnote w:id="160">
    <w:p w14:paraId="290437AF" w14:textId="77777777" w:rsidR="00F1362E" w:rsidRDefault="00F1362E" w:rsidP="00AA7248">
      <w:pPr>
        <w:pStyle w:val="FootnoteText"/>
      </w:pPr>
      <w:r>
        <w:rPr>
          <w:rStyle w:val="FootnoteReference"/>
        </w:rPr>
        <w:footnoteRef/>
      </w:r>
      <w:r>
        <w:t xml:space="preserve"> GenerationOne. (2011). ‘Walk in My Shoes: Employer experiences of barriers and drivers in the employment cycle for Indigenous Australians’; </w:t>
      </w:r>
      <w:r w:rsidRPr="00771C29">
        <w:t xml:space="preserve">Gray, M., Hunder, B. and Lohoar, S. (2012). ‘Increasing Indigenous employment rates’, Issues paper np. 3, Closing the Gap Clearninghouse. Accessed from: </w:t>
      </w:r>
      <w:hyperlink r:id="rId27" w:history="1">
        <w:r w:rsidRPr="00771C29">
          <w:t>https://www.aihw.gov.au/getmedia/71bb346a-1b83-4038-a2f7-647e65a21445/ctg-ip03.pdf</w:t>
        </w:r>
      </w:hyperlink>
      <w:r>
        <w:t xml:space="preserve"> </w:t>
      </w:r>
      <w:r>
        <w:rPr>
          <w:rFonts w:cstheme="minorHAnsi"/>
          <w:sz w:val="18"/>
          <w:szCs w:val="18"/>
        </w:rPr>
        <w:t xml:space="preserve"> </w:t>
      </w:r>
    </w:p>
  </w:footnote>
  <w:footnote w:id="161">
    <w:p w14:paraId="21D8F923" w14:textId="77777777" w:rsidR="00F1362E" w:rsidRDefault="00F1362E" w:rsidP="00AA7248">
      <w:pPr>
        <w:pStyle w:val="FootnoteText"/>
      </w:pPr>
      <w:r>
        <w:rPr>
          <w:rStyle w:val="FootnoteReference"/>
        </w:rPr>
        <w:footnoteRef/>
      </w:r>
      <w:r>
        <w:t xml:space="preserve"> Jordan,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62">
    <w:p w14:paraId="1BDA6EE9" w14:textId="77777777" w:rsidR="00F1362E" w:rsidRDefault="00F1362E" w:rsidP="00AA7248">
      <w:pPr>
        <w:pStyle w:val="FootnoteText"/>
      </w:pPr>
      <w:r>
        <w:rPr>
          <w:rStyle w:val="FootnoteReference"/>
        </w:rPr>
        <w:footnoteRef/>
      </w:r>
      <w:r>
        <w:t xml:space="preserve"> Di Giorgio, A. V. and Habibis, D. (2019). ‘Governing pluralistic liberal democratic societies and metis knowledge: The problem of Indigenous unemployment.’ </w:t>
      </w:r>
      <w:r>
        <w:rPr>
          <w:i/>
          <w:iCs/>
        </w:rPr>
        <w:t xml:space="preserve">Journal of </w:t>
      </w:r>
      <w:r w:rsidRPr="00B51AAB">
        <w:t>Sociology</w:t>
      </w:r>
      <w:r>
        <w:t xml:space="preserve"> 55(1), p 42. </w:t>
      </w:r>
    </w:p>
  </w:footnote>
  <w:footnote w:id="163">
    <w:p w14:paraId="25DDA727" w14:textId="77777777" w:rsidR="00F1362E" w:rsidRDefault="00F1362E" w:rsidP="00AA7248">
      <w:pPr>
        <w:pStyle w:val="FootnoteText"/>
      </w:pPr>
      <w:r>
        <w:rPr>
          <w:rStyle w:val="FootnoteReference"/>
        </w:rPr>
        <w:footnoteRef/>
      </w:r>
      <w:r>
        <w:t xml:space="preserve"> Jordan,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64">
    <w:p w14:paraId="43625A16" w14:textId="77777777" w:rsidR="00F1362E" w:rsidRDefault="00F1362E" w:rsidP="00AA7248">
      <w:pPr>
        <w:pStyle w:val="FootnoteText"/>
      </w:pPr>
      <w:r>
        <w:rPr>
          <w:rStyle w:val="FootnoteReference"/>
        </w:rPr>
        <w:footnoteRef/>
      </w:r>
      <w:r>
        <w:t xml:space="preserve"> Di Giorgio, A. V. and Habibis, D. (2019). ‘Governing pluralistic liberal democratic societies and metis knowledge: The problem of Indigenous unemployment.’ </w:t>
      </w:r>
      <w:r>
        <w:rPr>
          <w:i/>
          <w:iCs/>
        </w:rPr>
        <w:t xml:space="preserve">Journal of </w:t>
      </w:r>
      <w:r w:rsidRPr="00B51AAB">
        <w:t>Sociology</w:t>
      </w:r>
      <w:r>
        <w:t xml:space="preserve"> 55(1), 37-53; </w:t>
      </w:r>
      <w:r w:rsidRPr="00B51AAB">
        <w:t>Jordan</w:t>
      </w:r>
      <w:r>
        <w:t xml:space="preserve">,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65">
    <w:p w14:paraId="2F26CC72" w14:textId="77777777" w:rsidR="00F1362E" w:rsidRDefault="00F1362E" w:rsidP="00AA7248">
      <w:pPr>
        <w:pStyle w:val="FootnoteText"/>
      </w:pPr>
      <w:r>
        <w:rPr>
          <w:rStyle w:val="FootnoteReference"/>
        </w:rPr>
        <w:footnoteRef/>
      </w:r>
      <w:r>
        <w:t xml:space="preserve"> Constable, J. (2009). ‘Engaging Aboriginal Australians in the Private Sector: A Consultative Report into Aboriginal Employment Strategies and Initiatives’, </w:t>
      </w:r>
      <w:r>
        <w:rPr>
          <w:i/>
          <w:iCs/>
        </w:rPr>
        <w:t>Diversity Council Australia.</w:t>
      </w:r>
    </w:p>
  </w:footnote>
  <w:footnote w:id="166">
    <w:p w14:paraId="7E7DEBB4" w14:textId="77777777" w:rsidR="00F1362E" w:rsidRPr="00C71401" w:rsidRDefault="00F1362E" w:rsidP="00AA7248">
      <w:pPr>
        <w:pStyle w:val="FootnoteText"/>
      </w:pPr>
      <w:r>
        <w:rPr>
          <w:rStyle w:val="FootnoteReference"/>
        </w:rPr>
        <w:footnoteRef/>
      </w:r>
      <w:r>
        <w:t xml:space="preserve"> Constable, J. (2009). ‘Engaging Aboriginal Australians in the Private Sector: A Consultative Report into Aboriginal Employment Strategies and Initiatives’, </w:t>
      </w:r>
      <w:r>
        <w:rPr>
          <w:i/>
          <w:iCs/>
        </w:rPr>
        <w:t xml:space="preserve">Diversity Council Australia; </w:t>
      </w:r>
      <w:r>
        <w:t xml:space="preserve">Austin-Broos, D. (2006). “’Working for’ and ‘working among’ Western Arrente in central Australia (1), </w:t>
      </w:r>
      <w:r>
        <w:rPr>
          <w:i/>
          <w:iCs/>
        </w:rPr>
        <w:t xml:space="preserve">Oceania </w:t>
      </w:r>
      <w:r>
        <w:t xml:space="preserve">76(1). </w:t>
      </w:r>
    </w:p>
  </w:footnote>
  <w:footnote w:id="167">
    <w:p w14:paraId="3FC864BB" w14:textId="77777777" w:rsidR="00F1362E" w:rsidRDefault="00F1362E" w:rsidP="00AA7248">
      <w:pPr>
        <w:pStyle w:val="FootnoteText"/>
      </w:pPr>
      <w:r>
        <w:rPr>
          <w:rStyle w:val="FootnoteReference"/>
        </w:rPr>
        <w:footnoteRef/>
      </w:r>
      <w:r>
        <w:t xml:space="preserve"> Di Giorgio, A. V. and Habibis, D. (2019). ‘Governing pluralistic liberal democratic societies and metis knowledge: The problem of Indigenous unemployment.’ </w:t>
      </w:r>
      <w:r>
        <w:rPr>
          <w:i/>
          <w:iCs/>
        </w:rPr>
        <w:t xml:space="preserve">Journal of </w:t>
      </w:r>
      <w:r w:rsidRPr="00B51AAB">
        <w:t>Sociology</w:t>
      </w:r>
      <w:r>
        <w:t xml:space="preserve"> 55(1), p 42.</w:t>
      </w:r>
    </w:p>
  </w:footnote>
  <w:footnote w:id="168">
    <w:p w14:paraId="05CD3C05" w14:textId="77777777" w:rsidR="00F1362E" w:rsidRDefault="00F1362E" w:rsidP="00AA7248">
      <w:pPr>
        <w:pStyle w:val="FootnoteText"/>
      </w:pPr>
      <w:r>
        <w:rPr>
          <w:rStyle w:val="FootnoteReference"/>
        </w:rPr>
        <w:footnoteRef/>
      </w:r>
      <w:r>
        <w:t xml:space="preserve"> Ibid. </w:t>
      </w:r>
    </w:p>
  </w:footnote>
  <w:footnote w:id="169">
    <w:p w14:paraId="2D843661" w14:textId="77777777" w:rsidR="00F1362E" w:rsidRPr="00A90C6B" w:rsidRDefault="00F1362E" w:rsidP="00AA7248">
      <w:pPr>
        <w:pStyle w:val="FootnoteText"/>
        <w:rPr>
          <w:i/>
          <w:iCs/>
        </w:rPr>
      </w:pPr>
      <w:r>
        <w:rPr>
          <w:rStyle w:val="FootnoteReference"/>
        </w:rPr>
        <w:footnoteRef/>
      </w:r>
      <w:r>
        <w:t xml:space="preserve"> Isherwood, L., Moskos, M., King, D., Walker, R. and Brown, L. (2017). ‘Multiple disadvantage, service delivery and client outcomes in a strengths-based employment program’, </w:t>
      </w:r>
      <w:r>
        <w:rPr>
          <w:i/>
          <w:iCs/>
        </w:rPr>
        <w:t xml:space="preserve">ABL </w:t>
      </w:r>
      <w:r>
        <w:t xml:space="preserve">43(1) 1-20.  </w:t>
      </w:r>
    </w:p>
  </w:footnote>
  <w:footnote w:id="170">
    <w:p w14:paraId="4426E14F" w14:textId="77777777" w:rsidR="00F1362E" w:rsidRDefault="00F1362E" w:rsidP="00AA7248">
      <w:pPr>
        <w:pStyle w:val="FootnoteText"/>
      </w:pPr>
      <w:r>
        <w:rPr>
          <w:rStyle w:val="FootnoteReference"/>
        </w:rPr>
        <w:footnoteRef/>
      </w:r>
      <w:r>
        <w:t xml:space="preserve"> Ibid.   </w:t>
      </w:r>
    </w:p>
  </w:footnote>
  <w:footnote w:id="171">
    <w:p w14:paraId="229E64C6" w14:textId="77777777" w:rsidR="00F1362E" w:rsidRDefault="00F1362E" w:rsidP="00AA7248">
      <w:pPr>
        <w:pStyle w:val="FootnoteText"/>
      </w:pPr>
      <w:r>
        <w:rPr>
          <w:rStyle w:val="FootnoteReference"/>
        </w:rPr>
        <w:footnoteRef/>
      </w:r>
      <w:r>
        <w:t xml:space="preserve"> Ibid.   </w:t>
      </w:r>
    </w:p>
  </w:footnote>
  <w:footnote w:id="172">
    <w:p w14:paraId="318CC7F0" w14:textId="77777777" w:rsidR="00F1362E" w:rsidRDefault="00F1362E" w:rsidP="00AA7248">
      <w:pPr>
        <w:pStyle w:val="FootnoteText"/>
      </w:pPr>
      <w:r>
        <w:rPr>
          <w:rStyle w:val="FootnoteReference"/>
        </w:rPr>
        <w:footnoteRef/>
      </w:r>
      <w:r>
        <w:t xml:space="preserve"> Ibid.   </w:t>
      </w:r>
    </w:p>
  </w:footnote>
  <w:footnote w:id="173">
    <w:p w14:paraId="00DF0B06" w14:textId="77777777" w:rsidR="00F1362E" w:rsidRDefault="00F1362E" w:rsidP="00AA7248">
      <w:pPr>
        <w:pStyle w:val="FootnoteText"/>
      </w:pPr>
      <w:r>
        <w:rPr>
          <w:rStyle w:val="FootnoteReference"/>
        </w:rPr>
        <w:footnoteRef/>
      </w:r>
      <w:r>
        <w:t xml:space="preserve"> Isherwood, L., Moskos, M., King, D., Walker, R. and Brown, L. (2017). ‘Multiple disadvantage, service delivery and client outcomes in a strengths-based employment program’, </w:t>
      </w:r>
      <w:r>
        <w:rPr>
          <w:i/>
          <w:iCs/>
        </w:rPr>
        <w:t xml:space="preserve">ABL </w:t>
      </w:r>
      <w:r>
        <w:t>43(1) 1-20</w:t>
      </w:r>
    </w:p>
  </w:footnote>
  <w:footnote w:id="174">
    <w:p w14:paraId="07B68793" w14:textId="77777777" w:rsidR="00F1362E" w:rsidRDefault="00F1362E" w:rsidP="00AA7248">
      <w:pPr>
        <w:pStyle w:val="FootnoteText"/>
      </w:pPr>
      <w:r>
        <w:rPr>
          <w:rStyle w:val="FootnoteReference"/>
        </w:rPr>
        <w:footnoteRef/>
      </w:r>
      <w:r>
        <w:t xml:space="preserve"> Ibid.  </w:t>
      </w:r>
    </w:p>
  </w:footnote>
  <w:footnote w:id="175">
    <w:p w14:paraId="007BD432" w14:textId="77777777" w:rsidR="00F1362E" w:rsidRDefault="00F1362E" w:rsidP="00AA7248">
      <w:pPr>
        <w:pStyle w:val="FootnoteText"/>
      </w:pPr>
      <w:r>
        <w:rPr>
          <w:rStyle w:val="FootnoteReference"/>
        </w:rPr>
        <w:footnoteRef/>
      </w:r>
      <w:r>
        <w:t xml:space="preserve"> Borland, J., Considine, M., Kalb, G. and Ribar, D. (2016). ‘What Are Best-Practice Programs for Jobseekers Facing High Barriers to Unemployment?’ </w:t>
      </w:r>
      <w:r>
        <w:rPr>
          <w:i/>
          <w:iCs/>
        </w:rPr>
        <w:t>Melbourne Institute of Applied Economic and Social Research.</w:t>
      </w:r>
    </w:p>
  </w:footnote>
  <w:footnote w:id="176">
    <w:p w14:paraId="29882D36" w14:textId="77777777" w:rsidR="00F1362E" w:rsidRDefault="00F1362E" w:rsidP="00AA7248">
      <w:pPr>
        <w:pStyle w:val="FootnoteText"/>
      </w:pPr>
      <w:r>
        <w:rPr>
          <w:rStyle w:val="FootnoteReference"/>
        </w:rPr>
        <w:footnoteRef/>
      </w:r>
      <w:r>
        <w:t xml:space="preserve"> </w:t>
      </w:r>
      <w:r w:rsidRPr="00E17E48">
        <w:t>Deloitte Access Economics, Evaluation of Skilling Queenslanders for Work (2012)</w:t>
      </w:r>
      <w:r>
        <w:t xml:space="preserve"> &lt;</w:t>
      </w:r>
      <w:r w:rsidRPr="005062E7">
        <w:t>https://www.employment.gov.au/how-see-helps-job-seekers</w:t>
      </w:r>
      <w:r>
        <w:t>&gt;.</w:t>
      </w:r>
    </w:p>
  </w:footnote>
  <w:footnote w:id="177">
    <w:p w14:paraId="683B44CC" w14:textId="77777777" w:rsidR="00F1362E" w:rsidRPr="00E97D56" w:rsidRDefault="00F1362E" w:rsidP="00AA7248">
      <w:pPr>
        <w:pStyle w:val="FootnoteText"/>
      </w:pPr>
      <w:r>
        <w:rPr>
          <w:rStyle w:val="FootnoteReference"/>
        </w:rPr>
        <w:footnoteRef/>
      </w:r>
      <w:r>
        <w:t xml:space="preserve"> Kurtulus, F.A. (2016). ‘The Impact of Affirmative Action on the Employment of Minorities and Women: A Longitudinal Analysis Using Three Decades of EEO-1 Filings’, </w:t>
      </w:r>
      <w:r>
        <w:rPr>
          <w:i/>
          <w:iCs/>
        </w:rPr>
        <w:t>Journal of Policy Analysis and Management</w:t>
      </w:r>
      <w:r>
        <w:t xml:space="preserve"> 35(1), 34-66.</w:t>
      </w:r>
    </w:p>
  </w:footnote>
  <w:footnote w:id="178">
    <w:p w14:paraId="44CB4171" w14:textId="77777777" w:rsidR="00F1362E" w:rsidRDefault="00F1362E" w:rsidP="00AA7248">
      <w:pPr>
        <w:pStyle w:val="FootnoteText"/>
      </w:pPr>
      <w:r>
        <w:rPr>
          <w:rStyle w:val="FootnoteReference"/>
        </w:rPr>
        <w:footnoteRef/>
      </w:r>
      <w:r>
        <w:t xml:space="preserve"> </w:t>
      </w:r>
      <w:r w:rsidRPr="006937D6">
        <w:t>Kramar, R. et al.</w:t>
      </w:r>
      <w:r>
        <w:t>,</w:t>
      </w:r>
      <w:r w:rsidRPr="006937D6">
        <w:t xml:space="preserve"> (2013) Human resource management : strategy, people, performance</w:t>
      </w:r>
      <w:r>
        <w:t>,</w:t>
      </w:r>
      <w:r w:rsidRPr="006937D6">
        <w:t xml:space="preserve"> </w:t>
      </w:r>
      <w:r>
        <w:t>(</w:t>
      </w:r>
      <w:r w:rsidRPr="006937D6">
        <w:t>Fifth edition. North Ryde, N.S.W: McGraw-Hill Education</w:t>
      </w:r>
      <w:r>
        <w:t>)</w:t>
      </w:r>
      <w:r w:rsidRPr="006937D6">
        <w:t>.</w:t>
      </w:r>
    </w:p>
  </w:footnote>
  <w:footnote w:id="179">
    <w:p w14:paraId="449A6524" w14:textId="77777777" w:rsidR="00F1362E" w:rsidRPr="002B004B" w:rsidRDefault="00F1362E" w:rsidP="00AA7248">
      <w:pPr>
        <w:pStyle w:val="FootnoteText"/>
      </w:pPr>
      <w:r>
        <w:rPr>
          <w:rStyle w:val="FootnoteReference"/>
        </w:rPr>
        <w:footnoteRef/>
      </w:r>
      <w:r>
        <w:t xml:space="preserve"> Spender, P. (2015). ‘Gender Quotas on Boards – Is it Time for Australia to Lean in?’ </w:t>
      </w:r>
      <w:r>
        <w:rPr>
          <w:i/>
          <w:iCs/>
        </w:rPr>
        <w:t xml:space="preserve">Deakin Law Review </w:t>
      </w:r>
      <w:r>
        <w:t xml:space="preserve">20(1). </w:t>
      </w:r>
    </w:p>
  </w:footnote>
  <w:footnote w:id="180">
    <w:p w14:paraId="7226EECA" w14:textId="77777777" w:rsidR="00F1362E" w:rsidRDefault="00F1362E" w:rsidP="00AA7248">
      <w:pPr>
        <w:spacing w:after="0"/>
      </w:pPr>
    </w:p>
  </w:footnote>
  <w:footnote w:id="181">
    <w:p w14:paraId="5AA3BDFB" w14:textId="77777777" w:rsidR="00F1362E" w:rsidRPr="002B004B" w:rsidRDefault="00F1362E" w:rsidP="00AA7248">
      <w:pPr>
        <w:pStyle w:val="FootnoteText"/>
      </w:pPr>
      <w:r>
        <w:rPr>
          <w:rStyle w:val="FootnoteReference"/>
        </w:rPr>
        <w:footnoteRef/>
      </w:r>
      <w:r>
        <w:t xml:space="preserve"> Ibid.  </w:t>
      </w:r>
    </w:p>
  </w:footnote>
  <w:footnote w:id="182">
    <w:p w14:paraId="56BC3719" w14:textId="77777777" w:rsidR="00F1362E" w:rsidRDefault="00F1362E" w:rsidP="00AA7248">
      <w:pPr>
        <w:pStyle w:val="FootnoteText"/>
      </w:pPr>
      <w:r>
        <w:rPr>
          <w:rStyle w:val="FootnoteReference"/>
        </w:rPr>
        <w:footnoteRef/>
      </w:r>
      <w:r>
        <w:t xml:space="preserve"> Ibid. </w:t>
      </w:r>
    </w:p>
  </w:footnote>
  <w:footnote w:id="183">
    <w:p w14:paraId="0D9AB006" w14:textId="77777777" w:rsidR="00F1362E" w:rsidRDefault="00F1362E" w:rsidP="00AA7248">
      <w:pPr>
        <w:pStyle w:val="FootnoteText"/>
      </w:pPr>
      <w:r>
        <w:rPr>
          <w:rStyle w:val="FootnoteReference"/>
        </w:rPr>
        <w:footnoteRef/>
      </w:r>
      <w:r>
        <w:t xml:space="preserve"> Deloitte Access Economics, </w:t>
      </w:r>
      <w:r>
        <w:rPr>
          <w:i/>
          <w:iCs/>
        </w:rPr>
        <w:t xml:space="preserve">Research Report – Toward Gender Parity: Women on Boards Initiative </w:t>
      </w:r>
      <w:r>
        <w:t xml:space="preserve">(2016); Department of the Prime Minister and Cabinet, </w:t>
      </w:r>
      <w:r>
        <w:rPr>
          <w:i/>
          <w:iCs/>
        </w:rPr>
        <w:t xml:space="preserve">Employment Parity Initiative – Questions and Answers; </w:t>
      </w:r>
      <w:r>
        <w:t>(2019).</w:t>
      </w:r>
      <w:r w:rsidRPr="005A7C9F">
        <w:t>Silva Goncalves, J. et al. (2016).</w:t>
      </w:r>
      <w:r>
        <w:t xml:space="preserve"> ‘Affirmative action and effort choice: An experimental investigation (WIDER Working Paper 2016/54)’, </w:t>
      </w:r>
      <w:r w:rsidRPr="005A7C9F">
        <w:rPr>
          <w:i/>
          <w:iCs/>
        </w:rPr>
        <w:t>United Nations University World Institute for Development Economics Research (UNU-WIDER)</w:t>
      </w:r>
      <w:r>
        <w:t>, Finland.</w:t>
      </w:r>
    </w:p>
  </w:footnote>
  <w:footnote w:id="184">
    <w:p w14:paraId="025F85EA" w14:textId="77777777" w:rsidR="00F1362E" w:rsidRDefault="00F1362E" w:rsidP="00AA7248">
      <w:pPr>
        <w:pStyle w:val="FootnoteText"/>
      </w:pPr>
      <w:r>
        <w:rPr>
          <w:rStyle w:val="FootnoteReference"/>
        </w:rPr>
        <w:footnoteRef/>
      </w:r>
      <w:r>
        <w:t xml:space="preserve"> Ibid.</w:t>
      </w:r>
    </w:p>
  </w:footnote>
  <w:footnote w:id="185">
    <w:p w14:paraId="25A10A2C" w14:textId="77777777" w:rsidR="00F1362E" w:rsidRDefault="00F1362E" w:rsidP="00AA7248">
      <w:pPr>
        <w:pStyle w:val="FootnoteText"/>
      </w:pPr>
      <w:r>
        <w:rPr>
          <w:rStyle w:val="FootnoteReference"/>
        </w:rPr>
        <w:footnoteRef/>
      </w:r>
      <w:r>
        <w:t xml:space="preserve"> Deloitte Access Economics, </w:t>
      </w:r>
      <w:r>
        <w:rPr>
          <w:i/>
          <w:iCs/>
        </w:rPr>
        <w:t xml:space="preserve">Research Report – Toward Gender Parity: Women on Boards Initiative </w:t>
      </w:r>
      <w:r>
        <w:t>(2016).</w:t>
      </w:r>
    </w:p>
  </w:footnote>
  <w:footnote w:id="186">
    <w:p w14:paraId="2E0FFB40" w14:textId="77777777" w:rsidR="00F1362E" w:rsidRDefault="00F1362E" w:rsidP="00AA7248">
      <w:pPr>
        <w:pStyle w:val="FootnoteText"/>
      </w:pPr>
      <w:r>
        <w:rPr>
          <w:rStyle w:val="FootnoteReference"/>
        </w:rPr>
        <w:footnoteRef/>
      </w:r>
      <w:r>
        <w:t xml:space="preserve"> Deloitte Access Economics, </w:t>
      </w:r>
      <w:r>
        <w:rPr>
          <w:i/>
          <w:iCs/>
        </w:rPr>
        <w:t xml:space="preserve">Research Report – Toward Gender Parity: Women on Boards Initiative </w:t>
      </w:r>
      <w:r>
        <w:t>(2016).</w:t>
      </w:r>
    </w:p>
  </w:footnote>
  <w:footnote w:id="187">
    <w:p w14:paraId="1CE24159" w14:textId="77777777" w:rsidR="00F1362E" w:rsidRDefault="00F1362E" w:rsidP="008F54A1">
      <w:pPr>
        <w:pStyle w:val="FootnoteText"/>
      </w:pPr>
      <w:r>
        <w:rPr>
          <w:rStyle w:val="FootnoteReference"/>
        </w:rPr>
        <w:footnoteRef/>
      </w:r>
      <w:r>
        <w:t xml:space="preserve"> Auspoll. (2012). ‘Evaluating the effectiveness of Reconciliation Action Plans’. Accessed from: </w:t>
      </w:r>
      <w:hyperlink r:id="rId28" w:history="1">
        <w:r w:rsidRPr="009C1644">
          <w:rPr>
            <w:rStyle w:val="Hyperlink"/>
          </w:rPr>
          <w:t>https://www.reconciliation.org.au/wp-content/uploads/2017/11/Auspolls-Evaluating-the-effectiveess-of-Reconciliation-Action-Plans-Overall-analysis.pdf</w:t>
        </w:r>
      </w:hyperlink>
      <w:r>
        <w:t xml:space="preserve"> </w:t>
      </w:r>
    </w:p>
  </w:footnote>
  <w:footnote w:id="188">
    <w:p w14:paraId="2EF1B93E" w14:textId="77777777" w:rsidR="00F1362E" w:rsidRDefault="00F1362E" w:rsidP="008F54A1">
      <w:pPr>
        <w:pStyle w:val="FootnoteText"/>
      </w:pPr>
      <w:r>
        <w:rPr>
          <w:rStyle w:val="FootnoteReference"/>
        </w:rPr>
        <w:footnoteRef/>
      </w:r>
      <w:r>
        <w:t xml:space="preserve"> Ibid. </w:t>
      </w:r>
    </w:p>
  </w:footnote>
  <w:footnote w:id="189">
    <w:p w14:paraId="0A5C450F" w14:textId="77777777" w:rsidR="00F1362E" w:rsidRDefault="00F1362E" w:rsidP="008F54A1">
      <w:pPr>
        <w:pStyle w:val="FootnoteText"/>
      </w:pPr>
      <w:r>
        <w:rPr>
          <w:rStyle w:val="FootnoteReference"/>
        </w:rPr>
        <w:footnoteRef/>
      </w:r>
      <w:r>
        <w:t xml:space="preserve"> Ibid. </w:t>
      </w:r>
    </w:p>
  </w:footnote>
  <w:footnote w:id="190">
    <w:p w14:paraId="10D21982" w14:textId="77777777" w:rsidR="00F1362E" w:rsidRDefault="00F1362E" w:rsidP="008F54A1">
      <w:pPr>
        <w:pStyle w:val="FootnoteText"/>
      </w:pPr>
      <w:r>
        <w:rPr>
          <w:rStyle w:val="FootnoteReference"/>
        </w:rPr>
        <w:footnoteRef/>
      </w:r>
      <w:r>
        <w:t xml:space="preserve"> Ibid. </w:t>
      </w:r>
    </w:p>
  </w:footnote>
  <w:footnote w:id="191">
    <w:p w14:paraId="0D13E750" w14:textId="77777777" w:rsidR="00F1362E" w:rsidRDefault="00F1362E" w:rsidP="00AA7248">
      <w:pPr>
        <w:pStyle w:val="FootnoteText"/>
      </w:pPr>
      <w:r>
        <w:rPr>
          <w:rStyle w:val="FootnoteReference"/>
        </w:rPr>
        <w:footnoteRef/>
      </w:r>
      <w:r>
        <w:t xml:space="preserve"> Waghorn, G., Dias, S. and Parletta, V. (2019). ‘The Influence of Wage Subsidies on Open Employment of People with Disabilities.’ </w:t>
      </w:r>
      <w:r>
        <w:rPr>
          <w:i/>
          <w:iCs/>
        </w:rPr>
        <w:t xml:space="preserve">Journal of Rehabilitation </w:t>
      </w:r>
      <w:r>
        <w:t>85(4), 24-32.</w:t>
      </w:r>
    </w:p>
  </w:footnote>
  <w:footnote w:id="192">
    <w:p w14:paraId="4F9D8DC0" w14:textId="77777777" w:rsidR="00F1362E" w:rsidRDefault="00F1362E" w:rsidP="00AA7248">
      <w:pPr>
        <w:pStyle w:val="FootnoteText"/>
      </w:pPr>
      <w:r>
        <w:rPr>
          <w:rStyle w:val="FootnoteReference"/>
        </w:rPr>
        <w:footnoteRef/>
      </w:r>
      <w:r>
        <w:t xml:space="preserve"> Waghorn, G., Dias, S. and Parletta, V. (2019). ‘The Influence of Wage Subsidies on Open Employment of People with Disabilities.’ </w:t>
      </w:r>
      <w:r>
        <w:rPr>
          <w:i/>
          <w:iCs/>
        </w:rPr>
        <w:t xml:space="preserve">Journal of Rehabilitation </w:t>
      </w:r>
      <w:r>
        <w:t xml:space="preserve">85(4), 24-32; Australian Government. (2020). </w:t>
      </w:r>
      <w:r>
        <w:rPr>
          <w:i/>
          <w:iCs/>
        </w:rPr>
        <w:t xml:space="preserve">Jobactive: </w:t>
      </w:r>
      <w:r>
        <w:t xml:space="preserve">Wage subsidies. Accessed from: </w:t>
      </w:r>
      <w:r w:rsidRPr="00E250A7">
        <w:t>https://docs.employment.gov.au/system/files/doc/other/wage_subsides_factsheet_update_oct_20.pdf</w:t>
      </w:r>
      <w:r>
        <w:t>;</w:t>
      </w:r>
      <w:r w:rsidRPr="003C16F1">
        <w:t xml:space="preserve"> </w:t>
      </w:r>
      <w:r>
        <w:t xml:space="preserve">Commonwealth of Australia. ‘Jobactive: failing those it is intended to serve’, </w:t>
      </w:r>
      <w:r>
        <w:rPr>
          <w:i/>
          <w:iCs/>
        </w:rPr>
        <w:t>Education and Employment References Committee.</w:t>
      </w:r>
    </w:p>
  </w:footnote>
  <w:footnote w:id="193">
    <w:p w14:paraId="6A53E699" w14:textId="77777777" w:rsidR="00F1362E" w:rsidRPr="00396781" w:rsidRDefault="00F1362E" w:rsidP="00AA7248">
      <w:pPr>
        <w:pStyle w:val="FootnoteText"/>
      </w:pPr>
      <w:r>
        <w:rPr>
          <w:rStyle w:val="FootnoteReference"/>
        </w:rPr>
        <w:footnoteRef/>
      </w:r>
      <w:r>
        <w:t xml:space="preserve"> Waghorn, G., Dias, S. and Parletta, V. (2019). ‘The Influence of Wage Subsidies on Open Employment of People with Disabilities.’ </w:t>
      </w:r>
      <w:r>
        <w:rPr>
          <w:i/>
          <w:iCs/>
        </w:rPr>
        <w:t xml:space="preserve">Journal of Rehabilitation </w:t>
      </w:r>
      <w:r>
        <w:t>85(4), 24-32.</w:t>
      </w:r>
    </w:p>
  </w:footnote>
  <w:footnote w:id="194">
    <w:p w14:paraId="2FC27258" w14:textId="77777777" w:rsidR="00F1362E" w:rsidRDefault="00F1362E" w:rsidP="00AA7248">
      <w:pPr>
        <w:pStyle w:val="FootnoteText"/>
      </w:pPr>
      <w:r>
        <w:rPr>
          <w:rStyle w:val="FootnoteReference"/>
        </w:rPr>
        <w:footnoteRef/>
      </w:r>
      <w:r>
        <w:t xml:space="preserve"> Australian Government. (2020). </w:t>
      </w:r>
      <w:r>
        <w:rPr>
          <w:i/>
          <w:iCs/>
        </w:rPr>
        <w:t xml:space="preserve">Jobactive: </w:t>
      </w:r>
      <w:r>
        <w:t xml:space="preserve">Wage subsidies. Accessed from: </w:t>
      </w:r>
      <w:r w:rsidRPr="00E250A7">
        <w:t>https://docs.employment.gov.au/system/files/doc/other/wage_subsides_factsheet_update_oct_20.pdf</w:t>
      </w:r>
    </w:p>
  </w:footnote>
  <w:footnote w:id="195">
    <w:p w14:paraId="51A96FFC" w14:textId="77777777" w:rsidR="00F1362E" w:rsidRPr="00D924C1" w:rsidRDefault="00F1362E" w:rsidP="00AA7248">
      <w:pPr>
        <w:pStyle w:val="FootnoteText"/>
      </w:pPr>
      <w:r>
        <w:rPr>
          <w:rStyle w:val="FootnoteReference"/>
        </w:rPr>
        <w:footnoteRef/>
      </w:r>
      <w:r>
        <w:t xml:space="preserve"> Commonwealth of Australia. ‘Jobactive: failing those it is intended to serve’, </w:t>
      </w:r>
      <w:r>
        <w:rPr>
          <w:i/>
          <w:iCs/>
        </w:rPr>
        <w:t xml:space="preserve">Education and Employment References Committee. </w:t>
      </w:r>
    </w:p>
  </w:footnote>
  <w:footnote w:id="196">
    <w:p w14:paraId="6C3A0477" w14:textId="77777777" w:rsidR="00F1362E" w:rsidRDefault="00F1362E" w:rsidP="00AA7248">
      <w:pPr>
        <w:pStyle w:val="FootnoteText"/>
      </w:pPr>
      <w:r>
        <w:rPr>
          <w:rStyle w:val="FootnoteReference"/>
        </w:rPr>
        <w:footnoteRef/>
      </w:r>
      <w:r>
        <w:t xml:space="preserve"> Waghorn, G., Dias, S. and Parletta, V. (2019). ‘The Influence of Wage Subsidies on Open Employment of People with Disabilities.’ </w:t>
      </w:r>
      <w:r>
        <w:rPr>
          <w:i/>
          <w:iCs/>
        </w:rPr>
        <w:t xml:space="preserve">Journal of Rehabilitation </w:t>
      </w:r>
      <w:r>
        <w:t>85(4), 24-32.</w:t>
      </w:r>
    </w:p>
  </w:footnote>
  <w:footnote w:id="197">
    <w:p w14:paraId="08CA34FB" w14:textId="77777777" w:rsidR="00F1362E" w:rsidRDefault="00F1362E" w:rsidP="00AA7248">
      <w:pPr>
        <w:pStyle w:val="FootnoteText"/>
      </w:pPr>
      <w:r>
        <w:rPr>
          <w:rStyle w:val="FootnoteReference"/>
        </w:rPr>
        <w:footnoteRef/>
      </w:r>
      <w:r>
        <w:t xml:space="preserve"> Ibid. </w:t>
      </w:r>
    </w:p>
  </w:footnote>
  <w:footnote w:id="198">
    <w:p w14:paraId="505F3C74" w14:textId="77777777" w:rsidR="00F1362E" w:rsidRDefault="00F1362E" w:rsidP="00AA7248">
      <w:pPr>
        <w:pStyle w:val="FootnoteText"/>
      </w:pPr>
      <w:r>
        <w:rPr>
          <w:rStyle w:val="FootnoteReference"/>
        </w:rPr>
        <w:footnoteRef/>
      </w:r>
      <w:r>
        <w:t xml:space="preserve"> Australian Government, Department of Employment, Skills, Small and Family Business. (2017). ‘Evaluation of jobactive: Interim Report.’</w:t>
      </w:r>
    </w:p>
  </w:footnote>
  <w:footnote w:id="199">
    <w:p w14:paraId="709EFB9D" w14:textId="77777777" w:rsidR="00F1362E" w:rsidRDefault="00F1362E"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00">
    <w:p w14:paraId="1E27AF32" w14:textId="77777777" w:rsidR="00F1362E" w:rsidRDefault="00F1362E" w:rsidP="00AA7248">
      <w:pPr>
        <w:pStyle w:val="FootnoteText"/>
      </w:pPr>
      <w:r>
        <w:rPr>
          <w:rStyle w:val="FootnoteReference"/>
        </w:rPr>
        <w:footnoteRef/>
      </w:r>
      <w:r>
        <w:t xml:space="preserve"> Ibid.</w:t>
      </w:r>
    </w:p>
  </w:footnote>
  <w:footnote w:id="201">
    <w:p w14:paraId="7378E010" w14:textId="77777777" w:rsidR="00F1362E" w:rsidRDefault="00F1362E" w:rsidP="00AA7248">
      <w:pPr>
        <w:pStyle w:val="FootnoteText"/>
      </w:pPr>
      <w:r>
        <w:rPr>
          <w:rStyle w:val="FootnoteReference"/>
        </w:rPr>
        <w:footnoteRef/>
      </w:r>
      <w:r>
        <w:t xml:space="preserve"> Ibid.</w:t>
      </w:r>
    </w:p>
  </w:footnote>
  <w:footnote w:id="202">
    <w:p w14:paraId="7F38A9EA" w14:textId="77777777" w:rsidR="00F1362E" w:rsidRDefault="00F1362E" w:rsidP="00AA7248">
      <w:pPr>
        <w:pStyle w:val="FootnoteText"/>
      </w:pPr>
      <w:r>
        <w:rPr>
          <w:rStyle w:val="FootnoteReference"/>
        </w:rPr>
        <w:footnoteRef/>
      </w:r>
      <w:r>
        <w:t xml:space="preserve"> Ibid.</w:t>
      </w:r>
    </w:p>
  </w:footnote>
  <w:footnote w:id="203">
    <w:p w14:paraId="3BDB699F" w14:textId="77777777" w:rsidR="00F1362E" w:rsidRDefault="00F1362E" w:rsidP="00AA7248">
      <w:pPr>
        <w:pStyle w:val="FootnoteText"/>
      </w:pPr>
      <w:r>
        <w:rPr>
          <w:rStyle w:val="FootnoteReference"/>
        </w:rPr>
        <w:footnoteRef/>
      </w:r>
      <w:r>
        <w:t xml:space="preserve"> Ibid.</w:t>
      </w:r>
    </w:p>
  </w:footnote>
  <w:footnote w:id="204">
    <w:p w14:paraId="6B6FDD17" w14:textId="77777777" w:rsidR="00F1362E" w:rsidRPr="00746C18" w:rsidRDefault="00F1362E" w:rsidP="00AA7248">
      <w:pPr>
        <w:pStyle w:val="FootnoteText"/>
      </w:pPr>
      <w:r>
        <w:rPr>
          <w:rStyle w:val="FootnoteReference"/>
        </w:rPr>
        <w:footnoteRef/>
      </w:r>
      <w:r>
        <w:t xml:space="preserve"> Borland, J., Considine, M., Kalb, G. and Ribar, D. (2016). ‘What Are Best-Practice Programs for Jobseekers Facing High Barriers to Unemployment?’ </w:t>
      </w:r>
      <w:r>
        <w:rPr>
          <w:i/>
          <w:iCs/>
        </w:rPr>
        <w:t xml:space="preserve">Melbourne Institute of Applied Economic and Social Research. </w:t>
      </w:r>
    </w:p>
  </w:footnote>
  <w:footnote w:id="205">
    <w:p w14:paraId="3D819D83" w14:textId="77777777" w:rsidR="00F1362E" w:rsidRDefault="00F1362E" w:rsidP="00AA7248">
      <w:pPr>
        <w:pStyle w:val="FootnoteText"/>
      </w:pPr>
      <w:r>
        <w:rPr>
          <w:rStyle w:val="FootnoteReference"/>
        </w:rPr>
        <w:footnoteRef/>
      </w:r>
      <w:r>
        <w:t xml:space="preserve"> Borland, J., Considine, M., Kalb, G. and Ribar, D. (2016). ‘What Are Best-Practice Programs for Jobseekers Facing High Barriers to Unemployment?’ </w:t>
      </w:r>
      <w:r>
        <w:rPr>
          <w:i/>
          <w:iCs/>
        </w:rPr>
        <w:t>Melbourne Institute of Applied Economic and Social Research.</w:t>
      </w:r>
    </w:p>
  </w:footnote>
  <w:footnote w:id="206">
    <w:p w14:paraId="308482A2" w14:textId="77777777" w:rsidR="00F1362E" w:rsidRDefault="00F1362E" w:rsidP="00AA7248">
      <w:pPr>
        <w:pStyle w:val="FootnoteText"/>
      </w:pPr>
      <w:r>
        <w:rPr>
          <w:rStyle w:val="FootnoteReference"/>
        </w:rPr>
        <w:footnoteRef/>
      </w:r>
      <w:r>
        <w:t xml:space="preserve"> Miles Morgan Australia. (2015) ‘Progress Evaluation of the Vocational Training and Employment Centre Programme’. </w:t>
      </w:r>
    </w:p>
  </w:footnote>
  <w:footnote w:id="207">
    <w:p w14:paraId="669444BC" w14:textId="77777777" w:rsidR="00F1362E" w:rsidRDefault="00F1362E" w:rsidP="00AA7248">
      <w:pPr>
        <w:pStyle w:val="FootnoteText"/>
        <w:contextualSpacing/>
      </w:pPr>
      <w:r>
        <w:rPr>
          <w:rStyle w:val="FootnoteReference"/>
        </w:rPr>
        <w:footnoteRef/>
      </w:r>
      <w:r>
        <w:t xml:space="preserve"> </w:t>
      </w:r>
      <w:r>
        <w:rPr>
          <w:rFonts w:cs="Calibri"/>
          <w:szCs w:val="16"/>
        </w:rPr>
        <w:t xml:space="preserve">Department of Education and Training. </w:t>
      </w:r>
      <w:r>
        <w:rPr>
          <w:rFonts w:cs="Calibri"/>
          <w:i/>
          <w:iCs/>
          <w:szCs w:val="16"/>
        </w:rPr>
        <w:t>National Foundation Skills Strategy for Adults</w:t>
      </w:r>
      <w:r>
        <w:rPr>
          <w:rFonts w:cs="Calibri"/>
          <w:szCs w:val="16"/>
        </w:rPr>
        <w:t xml:space="preserve"> (2012). &lt;</w:t>
      </w:r>
      <w:r w:rsidRPr="00F34BD6">
        <w:rPr>
          <w:rFonts w:cs="Calibri"/>
          <w:szCs w:val="16"/>
        </w:rPr>
        <w:t>https://docs.employment.gov.au/system/files/doc/other/national-foundation-skills-strategy-for-adults_0.pdf</w:t>
      </w:r>
      <w:r>
        <w:rPr>
          <w:rFonts w:cs="Calibri"/>
          <w:szCs w:val="16"/>
        </w:rPr>
        <w:t>&gt;.</w:t>
      </w:r>
    </w:p>
  </w:footnote>
  <w:footnote w:id="208">
    <w:p w14:paraId="611DCFDD" w14:textId="77777777" w:rsidR="00F1362E" w:rsidRPr="007F0EA8" w:rsidRDefault="00F1362E" w:rsidP="00AA7248">
      <w:pPr>
        <w:widowControl w:val="0"/>
        <w:autoSpaceDE w:val="0"/>
        <w:autoSpaceDN w:val="0"/>
        <w:adjustRightInd w:val="0"/>
        <w:spacing w:after="0" w:line="206" w:lineRule="auto"/>
        <w:contextualSpacing/>
        <w:rPr>
          <w:rFonts w:asciiTheme="minorHAnsi" w:hAnsiTheme="minorHAnsi" w:cs="Calibri"/>
          <w:sz w:val="16"/>
          <w:szCs w:val="16"/>
        </w:rPr>
      </w:pPr>
      <w:r>
        <w:rPr>
          <w:rStyle w:val="FootnoteReference"/>
        </w:rPr>
        <w:footnoteRef/>
      </w:r>
      <w:r w:rsidRPr="004209EE">
        <w:rPr>
          <w:rFonts w:asciiTheme="minorHAnsi" w:hAnsiTheme="minorHAnsi"/>
          <w:sz w:val="16"/>
          <w:szCs w:val="16"/>
        </w:rPr>
        <w:t xml:space="preserve"> </w:t>
      </w:r>
      <w:r w:rsidRPr="004209EE">
        <w:rPr>
          <w:rFonts w:asciiTheme="minorHAnsi" w:hAnsiTheme="minorHAnsi" w:cs="Calibri"/>
          <w:sz w:val="16"/>
          <w:szCs w:val="16"/>
        </w:rPr>
        <w:t xml:space="preserve">Department of Education and Training. </w:t>
      </w:r>
      <w:r w:rsidRPr="004209EE">
        <w:rPr>
          <w:rFonts w:asciiTheme="minorHAnsi" w:hAnsiTheme="minorHAnsi" w:cs="Calibri"/>
          <w:i/>
          <w:iCs/>
          <w:sz w:val="16"/>
          <w:szCs w:val="16"/>
        </w:rPr>
        <w:t>National Foundation Skills Strategy for Adults</w:t>
      </w:r>
      <w:r w:rsidRPr="004209EE">
        <w:rPr>
          <w:rFonts w:asciiTheme="minorHAnsi" w:hAnsiTheme="minorHAnsi" w:cs="Calibri"/>
          <w:sz w:val="16"/>
          <w:szCs w:val="16"/>
        </w:rPr>
        <w:t xml:space="preserve"> (2012). &lt;https://docs.employment.gov.au/system/files/doc/other/national-foundation-skills-strategy-for-adults_0.pdf&gt;; </w:t>
      </w:r>
      <w:r w:rsidRPr="00034805">
        <w:rPr>
          <w:rFonts w:asciiTheme="majorHAnsi" w:hAnsiTheme="majorHAnsi" w:cs="Calibri"/>
          <w:sz w:val="16"/>
          <w:szCs w:val="16"/>
        </w:rPr>
        <w:t>Perkins, K</w:t>
      </w:r>
      <w:r w:rsidRPr="00034805">
        <w:rPr>
          <w:rFonts w:asciiTheme="majorHAnsi" w:hAnsiTheme="majorHAnsi" w:cs="Calibri"/>
          <w:b/>
          <w:bCs/>
          <w:sz w:val="16"/>
          <w:szCs w:val="16"/>
        </w:rPr>
        <w:t xml:space="preserve">. </w:t>
      </w:r>
      <w:r w:rsidRPr="0024386C">
        <w:rPr>
          <w:rFonts w:asciiTheme="majorHAnsi" w:hAnsiTheme="majorHAnsi" w:cs="Calibri"/>
          <w:i/>
          <w:iCs/>
          <w:sz w:val="16"/>
          <w:szCs w:val="16"/>
        </w:rPr>
        <w:t xml:space="preserve">Adult literacy and numeracy: research and future strategy </w:t>
      </w:r>
      <w:r w:rsidRPr="00034805">
        <w:rPr>
          <w:rFonts w:asciiTheme="majorHAnsi" w:hAnsiTheme="majorHAnsi" w:cs="Calibri"/>
          <w:sz w:val="16"/>
          <w:szCs w:val="16"/>
        </w:rPr>
        <w:t>(2009)</w:t>
      </w:r>
      <w:r>
        <w:rPr>
          <w:rFonts w:asciiTheme="majorHAnsi" w:hAnsiTheme="majorHAnsi" w:cs="Calibri"/>
          <w:sz w:val="16"/>
          <w:szCs w:val="16"/>
        </w:rPr>
        <w:t>,</w:t>
      </w:r>
      <w:r w:rsidRPr="00034805">
        <w:rPr>
          <w:rFonts w:asciiTheme="majorHAnsi" w:hAnsiTheme="majorHAnsi" w:cs="Calibri"/>
          <w:sz w:val="16"/>
          <w:szCs w:val="16"/>
        </w:rPr>
        <w:t xml:space="preserve"> NCVER</w:t>
      </w:r>
      <w:r>
        <w:rPr>
          <w:rFonts w:asciiTheme="majorHAnsi" w:hAnsiTheme="majorHAnsi" w:cs="Calibri"/>
          <w:sz w:val="16"/>
          <w:szCs w:val="16"/>
        </w:rPr>
        <w:t xml:space="preserve">, </w:t>
      </w:r>
      <w:r w:rsidRPr="00034805">
        <w:rPr>
          <w:rFonts w:asciiTheme="majorHAnsi" w:hAnsiTheme="majorHAnsi" w:cs="Calibri"/>
          <w:sz w:val="16"/>
          <w:szCs w:val="16"/>
        </w:rPr>
        <w:t>&lt;</w:t>
      </w:r>
      <w:r w:rsidRPr="007015B1">
        <w:rPr>
          <w:rFonts w:asciiTheme="majorHAnsi" w:hAnsiTheme="majorHAnsi" w:cs="Calibri"/>
          <w:sz w:val="16"/>
          <w:szCs w:val="16"/>
        </w:rPr>
        <w:t>https://www.ncver.edu.au/__data/assets/word_doc/0023/9392/adult-literacy-and-numeracy-2162.doc</w:t>
      </w:r>
      <w:r w:rsidRPr="00034805">
        <w:rPr>
          <w:rFonts w:asciiTheme="majorHAnsi" w:hAnsiTheme="majorHAnsi" w:cs="Calibri"/>
          <w:sz w:val="16"/>
          <w:szCs w:val="16"/>
        </w:rPr>
        <w:t>&gt;</w:t>
      </w:r>
      <w:r>
        <w:rPr>
          <w:rFonts w:asciiTheme="majorHAnsi" w:hAnsiTheme="majorHAnsi" w:cs="Calibri"/>
          <w:sz w:val="16"/>
          <w:szCs w:val="16"/>
        </w:rPr>
        <w:t>.</w:t>
      </w:r>
    </w:p>
  </w:footnote>
  <w:footnote w:id="209">
    <w:p w14:paraId="4FBC3CE2" w14:textId="77777777" w:rsidR="00F1362E" w:rsidRPr="00871F60" w:rsidRDefault="00F1362E" w:rsidP="00AA7248">
      <w:pPr>
        <w:pStyle w:val="FootnoteText"/>
        <w:contextualSpacing/>
      </w:pPr>
      <w:r>
        <w:rPr>
          <w:rStyle w:val="FootnoteReference"/>
        </w:rPr>
        <w:footnoteRef/>
      </w:r>
      <w:r>
        <w:t xml:space="preserve"> Misko, J, </w:t>
      </w:r>
      <w:r>
        <w:rPr>
          <w:i/>
          <w:iCs/>
        </w:rPr>
        <w:t>Country background report: Assessing the training and assessment needs of adults with low basic skills in Australia</w:t>
      </w:r>
      <w:r>
        <w:t xml:space="preserve"> (n.d.) &lt;</w:t>
      </w:r>
      <w:r w:rsidRPr="001D0016">
        <w:t>https://www.oecd.org/education/ceri/40015669.pdf</w:t>
      </w:r>
      <w:r>
        <w:t>&gt;.</w:t>
      </w:r>
    </w:p>
  </w:footnote>
  <w:footnote w:id="210">
    <w:p w14:paraId="03787DA7" w14:textId="77777777" w:rsidR="00F1362E" w:rsidRDefault="00F1362E" w:rsidP="00AA7248">
      <w:pPr>
        <w:pStyle w:val="FootnoteText"/>
      </w:pPr>
      <w:r>
        <w:rPr>
          <w:rStyle w:val="FootnoteReference"/>
        </w:rPr>
        <w:footnoteRef/>
      </w:r>
      <w:r>
        <w:t xml:space="preserve"> </w:t>
      </w:r>
      <w:r w:rsidRPr="00E17E48">
        <w:t>Deloitte Access Economics, Evaluation of Skilling Queenslanders for Work (2012)</w:t>
      </w:r>
      <w:r>
        <w:t xml:space="preserve"> &lt;</w:t>
      </w:r>
      <w:r w:rsidRPr="005062E7">
        <w:t>https://www.employment.gov.au/how-see-helps-job-seekers</w:t>
      </w:r>
      <w:r>
        <w:t>&gt;.</w:t>
      </w:r>
    </w:p>
  </w:footnote>
  <w:footnote w:id="211">
    <w:p w14:paraId="40791116" w14:textId="77777777" w:rsidR="00F1362E" w:rsidRDefault="00F1362E"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12">
    <w:p w14:paraId="7F915347" w14:textId="77777777" w:rsidR="00F1362E" w:rsidRDefault="00F1362E" w:rsidP="00AA7248">
      <w:pPr>
        <w:pStyle w:val="FootnoteText"/>
      </w:pPr>
      <w:r>
        <w:rPr>
          <w:rStyle w:val="FootnoteReference"/>
        </w:rPr>
        <w:footnoteRef/>
      </w:r>
      <w:r>
        <w:t xml:space="preserve"> Ibid. </w:t>
      </w:r>
    </w:p>
  </w:footnote>
  <w:footnote w:id="213">
    <w:p w14:paraId="0534C647" w14:textId="77777777" w:rsidR="00F1362E" w:rsidRDefault="00F1362E" w:rsidP="00AA7248">
      <w:pPr>
        <w:pStyle w:val="FootnoteText"/>
      </w:pPr>
      <w:r>
        <w:rPr>
          <w:rStyle w:val="FootnoteReference"/>
        </w:rPr>
        <w:footnoteRef/>
      </w:r>
      <w:r>
        <w:t xml:space="preserve"> Ibid.</w:t>
      </w:r>
    </w:p>
  </w:footnote>
  <w:footnote w:id="214">
    <w:p w14:paraId="54A75275" w14:textId="77777777" w:rsidR="00F1362E" w:rsidRDefault="00F1362E" w:rsidP="00AA7248">
      <w:pPr>
        <w:pStyle w:val="FootnoteText"/>
      </w:pPr>
      <w:r>
        <w:rPr>
          <w:rStyle w:val="FootnoteReference"/>
        </w:rPr>
        <w:footnoteRef/>
      </w:r>
      <w:r>
        <w:t xml:space="preserve"> Caddy, I. and Mortimer, D. (2012). ‘’Solving’ Unemployment: An analysis of two Australian policy initiatives’, </w:t>
      </w:r>
      <w:r>
        <w:rPr>
          <w:i/>
          <w:iCs/>
        </w:rPr>
        <w:t>International Employment Relations Review.</w:t>
      </w:r>
    </w:p>
  </w:footnote>
  <w:footnote w:id="215">
    <w:p w14:paraId="321322FA" w14:textId="77777777" w:rsidR="00F1362E" w:rsidRDefault="00F1362E" w:rsidP="00AA7248">
      <w:pPr>
        <w:pStyle w:val="FootnoteText"/>
      </w:pPr>
      <w:r>
        <w:rPr>
          <w:rStyle w:val="FootnoteReference"/>
        </w:rPr>
        <w:footnoteRef/>
      </w:r>
      <w:r>
        <w:t xml:space="preserve"> Department of Education, Skills and Employment. </w:t>
      </w:r>
      <w:r>
        <w:rPr>
          <w:i/>
          <w:iCs/>
        </w:rPr>
        <w:t xml:space="preserve">Benefits of Educational Attainment </w:t>
      </w:r>
      <w:r>
        <w:t>(2019) &lt;</w:t>
      </w:r>
      <w:r w:rsidRPr="00937B16">
        <w:t>https://docs.education.gov.au/node/53004</w:t>
      </w:r>
      <w:r>
        <w:t>&gt;.</w:t>
      </w:r>
    </w:p>
  </w:footnote>
  <w:footnote w:id="216">
    <w:p w14:paraId="2331ADCF" w14:textId="77777777" w:rsidR="00F1362E" w:rsidRDefault="00F1362E" w:rsidP="00AA7248">
      <w:pPr>
        <w:pStyle w:val="FootnoteText"/>
      </w:pPr>
      <w:r>
        <w:rPr>
          <w:rStyle w:val="FootnoteReference"/>
        </w:rPr>
        <w:footnoteRef/>
      </w:r>
      <w:r>
        <w:t xml:space="preserve"> </w:t>
      </w:r>
      <w:r w:rsidRPr="00665343">
        <w:t>Borland, J, and Tseng, Y.-P. (2011) ‘Does ‘Work for the Dole’ work?: an Australian perspective on work experience programmes’, </w:t>
      </w:r>
      <w:r w:rsidRPr="00665343">
        <w:rPr>
          <w:i/>
          <w:iCs/>
        </w:rPr>
        <w:t>Applied Economics</w:t>
      </w:r>
      <w:r w:rsidRPr="00665343">
        <w:t>. 43 (28), 4353–4368.</w:t>
      </w:r>
    </w:p>
  </w:footnote>
  <w:footnote w:id="217">
    <w:p w14:paraId="43E5A1A3" w14:textId="77777777" w:rsidR="00F1362E" w:rsidRDefault="00F1362E" w:rsidP="00AA7248">
      <w:pPr>
        <w:pStyle w:val="FootnoteText"/>
      </w:pPr>
      <w:r>
        <w:rPr>
          <w:rStyle w:val="FootnoteReference"/>
        </w:rPr>
        <w:footnoteRef/>
      </w:r>
      <w:r>
        <w:t xml:space="preserve"> Ibid.</w:t>
      </w:r>
    </w:p>
  </w:footnote>
  <w:footnote w:id="218">
    <w:p w14:paraId="5B76AFF9" w14:textId="77777777" w:rsidR="00F1362E" w:rsidRDefault="00F1362E" w:rsidP="00AA7248">
      <w:pPr>
        <w:pStyle w:val="FootnoteText"/>
      </w:pPr>
      <w:r>
        <w:rPr>
          <w:rStyle w:val="FootnoteReference"/>
        </w:rPr>
        <w:footnoteRef/>
      </w:r>
      <w:r>
        <w:t xml:space="preserve"> </w:t>
      </w:r>
      <w:r w:rsidRPr="00E17E48">
        <w:t>Deloitte Access Economics, Evaluation of Skilling Queenslanders for Work (2012).</w:t>
      </w:r>
    </w:p>
  </w:footnote>
  <w:footnote w:id="219">
    <w:p w14:paraId="7349C16A" w14:textId="77777777" w:rsidR="00F1362E" w:rsidRPr="00D434D3" w:rsidRDefault="00F1362E" w:rsidP="00AA7248">
      <w:pPr>
        <w:pStyle w:val="FootnoteText"/>
      </w:pPr>
      <w:r>
        <w:rPr>
          <w:rStyle w:val="FootnoteReference"/>
        </w:rPr>
        <w:footnoteRef/>
      </w:r>
      <w:r>
        <w:t xml:space="preserve"> Borland, J., Considine, M., Kalb, G. and Ribar, D. (2016). ‘What Are Best-Practice Programs for Jobseekers Facing High Barriers to Unemployment?’ </w:t>
      </w:r>
      <w:r>
        <w:rPr>
          <w:i/>
          <w:iCs/>
        </w:rPr>
        <w:t>Melbourne Institute of Applied Economic and Social Research</w:t>
      </w:r>
      <w:r>
        <w:t xml:space="preserve">; Isherwood, L., Moskos, M., King, D., Walker, R. and Brown, L. (2017). ‘Multiple disadvantage, service delivery and client outcomes in a strengths-based employment program’, </w:t>
      </w:r>
      <w:r>
        <w:rPr>
          <w:i/>
          <w:iCs/>
        </w:rPr>
        <w:t xml:space="preserve">ABL </w:t>
      </w:r>
      <w:r>
        <w:t xml:space="preserve">43(1) 1-20.  </w:t>
      </w:r>
    </w:p>
  </w:footnote>
  <w:footnote w:id="220">
    <w:p w14:paraId="6F8DF72A" w14:textId="77777777" w:rsidR="00F1362E" w:rsidRDefault="00F1362E" w:rsidP="00AA7248">
      <w:pPr>
        <w:pStyle w:val="FootnoteText"/>
      </w:pPr>
      <w:r>
        <w:rPr>
          <w:rStyle w:val="FootnoteReference"/>
        </w:rPr>
        <w:footnoteRef/>
      </w:r>
      <w:r>
        <w:t xml:space="preserve"> </w:t>
      </w:r>
      <w:r w:rsidRPr="00E17E48">
        <w:t>Deloitte Access Economics, Evaluation of Skilling Queenslanders for Work (2012)</w:t>
      </w:r>
      <w:r>
        <w:t>; Australian Government, Department of Employment, Skills, Small and Family Business. (2015). ‘The Evaluation of Job Services Australia 2012-2015. Accessed from:</w:t>
      </w:r>
      <w:r w:rsidRPr="00A31EE0">
        <w:t xml:space="preserve"> </w:t>
      </w:r>
      <w:hyperlink r:id="rId29" w:history="1">
        <w:r w:rsidRPr="009C1644">
          <w:rPr>
            <w:rStyle w:val="Hyperlink"/>
          </w:rPr>
          <w:t>https://docs.employment.gov.au/system/files/doc/other/the_evaluation_of_jsa_2012-2015_0.pdf</w:t>
        </w:r>
      </w:hyperlink>
    </w:p>
  </w:footnote>
  <w:footnote w:id="221">
    <w:p w14:paraId="3450099C" w14:textId="77777777" w:rsidR="00F1362E" w:rsidRDefault="00F1362E"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22">
    <w:p w14:paraId="7D8D692E" w14:textId="77777777" w:rsidR="00F1362E" w:rsidRDefault="00F1362E" w:rsidP="00AA7248">
      <w:pPr>
        <w:pStyle w:val="FootnoteText"/>
      </w:pPr>
      <w:r>
        <w:rPr>
          <w:rStyle w:val="FootnoteReference"/>
        </w:rPr>
        <w:footnoteRef/>
      </w:r>
      <w:r>
        <w:t xml:space="preserve"> Ibid.</w:t>
      </w:r>
    </w:p>
  </w:footnote>
  <w:footnote w:id="223">
    <w:p w14:paraId="3508FCCD" w14:textId="77777777" w:rsidR="00F1362E" w:rsidRDefault="00F1362E"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24">
    <w:p w14:paraId="34D71E50" w14:textId="77777777" w:rsidR="00F1362E" w:rsidRPr="001656D4" w:rsidRDefault="00F1362E" w:rsidP="00AA7248">
      <w:pPr>
        <w:pStyle w:val="FootnoteText"/>
        <w:rPr>
          <w:lang w:val="fr-FR"/>
        </w:rPr>
      </w:pPr>
      <w:r>
        <w:rPr>
          <w:rStyle w:val="FootnoteReference"/>
        </w:rPr>
        <w:footnoteRef/>
      </w:r>
      <w:r w:rsidRPr="001656D4">
        <w:rPr>
          <w:lang w:val="fr-FR"/>
        </w:rPr>
        <w:t xml:space="preserve"> Ibid. </w:t>
      </w:r>
    </w:p>
  </w:footnote>
  <w:footnote w:id="225">
    <w:p w14:paraId="3BB2B4BC" w14:textId="77777777" w:rsidR="00F1362E" w:rsidRDefault="00F1362E" w:rsidP="00AA7248">
      <w:pPr>
        <w:pStyle w:val="FootnoteText"/>
      </w:pPr>
      <w:r>
        <w:rPr>
          <w:rStyle w:val="FootnoteReference"/>
        </w:rPr>
        <w:footnoteRef/>
      </w:r>
      <w:r w:rsidRPr="001656D4">
        <w:rPr>
          <w:lang w:val="fr-FR"/>
        </w:rPr>
        <w:t xml:space="preserve"> Failla, V. et al. </w:t>
      </w:r>
      <w:r w:rsidRPr="00197E0B">
        <w:t>(2017) ‘Entrepreneurship and employment stability — Job matching, labour market value, and personal commitment’. </w:t>
      </w:r>
      <w:r w:rsidRPr="00197E0B">
        <w:rPr>
          <w:i/>
          <w:iCs/>
        </w:rPr>
        <w:t>Journal of Business Venturing</w:t>
      </w:r>
      <w:r w:rsidRPr="00197E0B">
        <w:t>. 32 (2), 162–177.</w:t>
      </w:r>
    </w:p>
  </w:footnote>
  <w:footnote w:id="226">
    <w:p w14:paraId="51CC69B0" w14:textId="77777777" w:rsidR="00F1362E" w:rsidRDefault="00F1362E" w:rsidP="00AA7248">
      <w:pPr>
        <w:pStyle w:val="FootnoteText"/>
      </w:pPr>
      <w:r>
        <w:rPr>
          <w:rStyle w:val="FootnoteReference"/>
        </w:rPr>
        <w:footnoteRef/>
      </w:r>
      <w:r>
        <w:t xml:space="preserve"> Ibid. </w:t>
      </w:r>
    </w:p>
  </w:footnote>
  <w:footnote w:id="227">
    <w:p w14:paraId="29FF532A" w14:textId="77777777" w:rsidR="00F1362E" w:rsidRDefault="00F1362E" w:rsidP="00AA7248">
      <w:pPr>
        <w:pStyle w:val="FootnoteText"/>
      </w:pPr>
      <w:r>
        <w:rPr>
          <w:rStyle w:val="FootnoteReference"/>
        </w:rPr>
        <w:footnoteRef/>
      </w:r>
      <w:r>
        <w:t xml:space="preserve"> </w:t>
      </w:r>
      <w:r w:rsidRPr="00E17E48">
        <w:t>Deloitte Access Economics, Evaluation of Skilling Queenslanders for Work (2012).</w:t>
      </w:r>
    </w:p>
  </w:footnote>
  <w:footnote w:id="228">
    <w:p w14:paraId="43263E03" w14:textId="77777777" w:rsidR="00F1362E" w:rsidRPr="00EA1E34" w:rsidRDefault="00F1362E" w:rsidP="00AA7248">
      <w:pPr>
        <w:pStyle w:val="FootnoteText"/>
      </w:pPr>
      <w:r>
        <w:rPr>
          <w:rStyle w:val="FootnoteReference"/>
        </w:rPr>
        <w:footnoteRef/>
      </w:r>
      <w:r>
        <w:t xml:space="preserve"> Card, D., Kluve, J. and Weber, A. (2016). ‘Active labour market policies and long-term unemployment’, </w:t>
      </w:r>
      <w:r>
        <w:rPr>
          <w:i/>
          <w:iCs/>
        </w:rPr>
        <w:t xml:space="preserve">Centre for Economic Policy Research. </w:t>
      </w:r>
    </w:p>
  </w:footnote>
  <w:footnote w:id="229">
    <w:p w14:paraId="2D25C512" w14:textId="77777777" w:rsidR="00F1362E" w:rsidRDefault="00F1362E" w:rsidP="00AA7248">
      <w:pPr>
        <w:pStyle w:val="FootnoteText"/>
      </w:pPr>
      <w:r>
        <w:rPr>
          <w:rStyle w:val="FootnoteReference"/>
        </w:rPr>
        <w:footnoteRef/>
      </w:r>
      <w:r>
        <w:t xml:space="preserve"> Ibid. </w:t>
      </w:r>
    </w:p>
  </w:footnote>
  <w:footnote w:id="230">
    <w:p w14:paraId="1D05FE0F" w14:textId="77777777" w:rsidR="00F1362E" w:rsidRDefault="00F1362E" w:rsidP="00AA7248">
      <w:pPr>
        <w:pStyle w:val="FootnoteText"/>
      </w:pPr>
      <w:r>
        <w:rPr>
          <w:rStyle w:val="FootnoteReference"/>
        </w:rPr>
        <w:footnoteRef/>
      </w:r>
      <w:r>
        <w:t xml:space="preserve"> Australian Government, Department of Employment, Skills, Small and Family Business. (2017). ‘Evaluation of jobactive: Interim Report.’</w:t>
      </w:r>
    </w:p>
  </w:footnote>
  <w:footnote w:id="231">
    <w:p w14:paraId="09F059F9" w14:textId="77777777" w:rsidR="00F1362E" w:rsidRDefault="00F1362E" w:rsidP="00AA7248">
      <w:pPr>
        <w:pStyle w:val="FootnoteText"/>
      </w:pPr>
      <w:r>
        <w:rPr>
          <w:rStyle w:val="FootnoteReference"/>
        </w:rPr>
        <w:footnoteRef/>
      </w:r>
      <w:r>
        <w:t xml:space="preserve"> Ibid. </w:t>
      </w:r>
    </w:p>
  </w:footnote>
  <w:footnote w:id="232">
    <w:p w14:paraId="64B854BC" w14:textId="77777777" w:rsidR="00F1362E" w:rsidRDefault="00F1362E"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33">
    <w:p w14:paraId="0E97A1BE" w14:textId="77777777" w:rsidR="00F1362E" w:rsidRDefault="00F1362E" w:rsidP="00AA7248">
      <w:pPr>
        <w:pStyle w:val="FootnoteText"/>
      </w:pPr>
      <w:r>
        <w:rPr>
          <w:rStyle w:val="FootnoteReference"/>
        </w:rPr>
        <w:footnoteRef/>
      </w:r>
      <w:r>
        <w:t xml:space="preserve"> Ibid. </w:t>
      </w:r>
    </w:p>
  </w:footnote>
  <w:footnote w:id="234">
    <w:p w14:paraId="6A24A9A6" w14:textId="77777777" w:rsidR="00F1362E" w:rsidRPr="00CD4530" w:rsidRDefault="00F1362E" w:rsidP="00AA7248">
      <w:pPr>
        <w:pStyle w:val="FootnoteText"/>
      </w:pPr>
      <w:r>
        <w:rPr>
          <w:rStyle w:val="FootnoteReference"/>
        </w:rPr>
        <w:footnoteRef/>
      </w:r>
      <w:r>
        <w:t xml:space="preserve"> Australian Government, Department of Employment, Skills, Small and Family Business. (2017). ‘Evaluation of jobactive: Interim Report; ‘Commonwealth of Australia. ‘Jobactive: failing those it is intended to serve’, </w:t>
      </w:r>
      <w:r>
        <w:rPr>
          <w:i/>
          <w:iCs/>
        </w:rPr>
        <w:t>Education and Employment References Committee</w:t>
      </w:r>
      <w:r>
        <w:t>.</w:t>
      </w:r>
    </w:p>
  </w:footnote>
  <w:footnote w:id="235">
    <w:p w14:paraId="1B8D24EA" w14:textId="77777777" w:rsidR="00F1362E" w:rsidRDefault="00F1362E" w:rsidP="00AA7248">
      <w:pPr>
        <w:pStyle w:val="FootnoteText"/>
      </w:pPr>
      <w:r>
        <w:rPr>
          <w:rStyle w:val="FootnoteReference"/>
        </w:rPr>
        <w:footnoteRef/>
      </w:r>
      <w:r>
        <w:t xml:space="preserve"> Australian Government, Department of Employment, Skills, Small and Family Business. (2017). ‘Evaluation of jobactive: Interim Report; ‘Commonwealth of Australia. ‘Jobactive: failing those it is intended to serve’, </w:t>
      </w:r>
      <w:r>
        <w:rPr>
          <w:i/>
          <w:iCs/>
        </w:rPr>
        <w:t>Education and Employment References Committee.</w:t>
      </w:r>
    </w:p>
  </w:footnote>
  <w:footnote w:id="236">
    <w:p w14:paraId="10CDF629" w14:textId="77777777" w:rsidR="00F1362E" w:rsidRDefault="00F1362E" w:rsidP="00AA7248">
      <w:pPr>
        <w:pStyle w:val="FootnoteText"/>
      </w:pPr>
      <w:r>
        <w:rPr>
          <w:rStyle w:val="FootnoteReference"/>
        </w:rPr>
        <w:footnoteRef/>
      </w:r>
      <w:r>
        <w:t xml:space="preserve"> Australian Government, Department of Employment, Skills, Small and Family Business. (2017). ‘Evaluation of jobactive: Interim Report.’</w:t>
      </w:r>
    </w:p>
  </w:footnote>
  <w:footnote w:id="237">
    <w:p w14:paraId="48692B81" w14:textId="77777777" w:rsidR="00F1362E" w:rsidRDefault="00F1362E" w:rsidP="00AA7248">
      <w:pPr>
        <w:pStyle w:val="FootnoteText"/>
      </w:pPr>
      <w:r>
        <w:rPr>
          <w:rStyle w:val="FootnoteReference"/>
        </w:rPr>
        <w:footnoteRef/>
      </w:r>
      <w:r>
        <w:t xml:space="preserve"> Ibid.</w:t>
      </w:r>
    </w:p>
  </w:footnote>
  <w:footnote w:id="238">
    <w:p w14:paraId="05B6DEF1" w14:textId="77777777" w:rsidR="00F1362E" w:rsidRDefault="00F1362E"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39">
    <w:p w14:paraId="53936651" w14:textId="77777777" w:rsidR="00F1362E" w:rsidRDefault="00F1362E" w:rsidP="00AA7248">
      <w:pPr>
        <w:pStyle w:val="FootnoteText"/>
      </w:pPr>
      <w:r>
        <w:rPr>
          <w:rStyle w:val="FootnoteReference"/>
        </w:rPr>
        <w:footnoteRef/>
      </w:r>
      <w:r>
        <w:t xml:space="preserve"> Ibid.</w:t>
      </w:r>
    </w:p>
  </w:footnote>
  <w:footnote w:id="240">
    <w:p w14:paraId="58C9160E" w14:textId="77777777" w:rsidR="00F1362E" w:rsidRDefault="00F1362E" w:rsidP="00AA7248">
      <w:pPr>
        <w:pStyle w:val="FootnoteText"/>
      </w:pPr>
      <w:r>
        <w:rPr>
          <w:rStyle w:val="FootnoteReference"/>
        </w:rPr>
        <w:footnoteRef/>
      </w:r>
      <w:r>
        <w:t xml:space="preserve"> Ibid</w:t>
      </w:r>
      <w:r>
        <w:rPr>
          <w:i/>
          <w:iCs/>
        </w:rPr>
        <w:t>.</w:t>
      </w:r>
    </w:p>
  </w:footnote>
  <w:footnote w:id="241">
    <w:p w14:paraId="355FEEC1" w14:textId="77777777" w:rsidR="00F1362E" w:rsidRDefault="00F1362E" w:rsidP="00AA7248">
      <w:pPr>
        <w:pStyle w:val="FootnoteText"/>
      </w:pPr>
      <w:r>
        <w:rPr>
          <w:rStyle w:val="FootnoteReference"/>
        </w:rPr>
        <w:footnoteRef/>
      </w:r>
      <w:r>
        <w:t xml:space="preserve"> Ibid. </w:t>
      </w:r>
    </w:p>
  </w:footnote>
  <w:footnote w:id="242">
    <w:p w14:paraId="3C572985" w14:textId="77777777" w:rsidR="00F1362E" w:rsidRDefault="00F1362E" w:rsidP="00AA7248">
      <w:pPr>
        <w:pStyle w:val="FootnoteText"/>
      </w:pPr>
      <w:r>
        <w:rPr>
          <w:rStyle w:val="FootnoteReference"/>
        </w:rPr>
        <w:footnoteRef/>
      </w:r>
      <w:r>
        <w:t xml:space="preserve"> Ibid.</w:t>
      </w:r>
    </w:p>
  </w:footnote>
  <w:footnote w:id="243">
    <w:p w14:paraId="76E0B120" w14:textId="77777777" w:rsidR="00F1362E" w:rsidRDefault="00F1362E"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44">
    <w:p w14:paraId="24F8025A" w14:textId="77777777" w:rsidR="00F1362E" w:rsidRDefault="00F1362E" w:rsidP="00AA7248">
      <w:pPr>
        <w:pStyle w:val="FootnoteText"/>
      </w:pPr>
      <w:r>
        <w:rPr>
          <w:rStyle w:val="FootnoteReference"/>
        </w:rPr>
        <w:footnoteRef/>
      </w:r>
      <w:r>
        <w:t xml:space="preserve"> Ibid.</w:t>
      </w:r>
    </w:p>
  </w:footnote>
  <w:footnote w:id="245">
    <w:p w14:paraId="597EF58F" w14:textId="77777777" w:rsidR="00F1362E" w:rsidRDefault="00F1362E" w:rsidP="00AA7248">
      <w:pPr>
        <w:pStyle w:val="FootnoteText"/>
      </w:pPr>
      <w:r>
        <w:rPr>
          <w:rStyle w:val="FootnoteReference"/>
        </w:rPr>
        <w:footnoteRef/>
      </w:r>
      <w:r>
        <w:t xml:space="preserve"> Victorian Government. (2020). ‘A framework for place-based approaches’. Accessed from:</w:t>
      </w:r>
      <w:r w:rsidRPr="00365890">
        <w:t xml:space="preserve"> </w:t>
      </w:r>
      <w:hyperlink r:id="rId30" w:anchor="executive-summary" w:history="1">
        <w:r w:rsidRPr="009C1644">
          <w:rPr>
            <w:rStyle w:val="Hyperlink"/>
          </w:rPr>
          <w:t>https://www.vic.gov.au/framework-place-based-approaches/print-all#executive-summary</w:t>
        </w:r>
      </w:hyperlink>
      <w:r>
        <w:t xml:space="preserve">  </w:t>
      </w:r>
    </w:p>
  </w:footnote>
  <w:footnote w:id="246">
    <w:p w14:paraId="769F57FF" w14:textId="77777777" w:rsidR="00F1362E" w:rsidRDefault="00F1362E" w:rsidP="00AA7248">
      <w:pPr>
        <w:pStyle w:val="FootnoteText"/>
      </w:pPr>
      <w:r>
        <w:rPr>
          <w:rStyle w:val="FootnoteReference"/>
        </w:rPr>
        <w:footnoteRef/>
      </w:r>
      <w:r>
        <w:t xml:space="preserve"> Ibid.   </w:t>
      </w:r>
    </w:p>
  </w:footnote>
  <w:footnote w:id="247">
    <w:p w14:paraId="59FFC4CD" w14:textId="77777777" w:rsidR="00F1362E" w:rsidRDefault="00F1362E" w:rsidP="00AA7248">
      <w:pPr>
        <w:pStyle w:val="FootnoteText"/>
      </w:pPr>
      <w:r>
        <w:rPr>
          <w:rStyle w:val="FootnoteReference"/>
        </w:rPr>
        <w:footnoteRef/>
      </w:r>
      <w:r>
        <w:t xml:space="preserve"> Ibid. </w:t>
      </w:r>
    </w:p>
  </w:footnote>
  <w:footnote w:id="248">
    <w:p w14:paraId="442DCD5B" w14:textId="77777777" w:rsidR="00F1362E" w:rsidRDefault="00F1362E" w:rsidP="00AA7248">
      <w:pPr>
        <w:pStyle w:val="FootnoteText"/>
      </w:pPr>
      <w:r>
        <w:rPr>
          <w:rStyle w:val="FootnoteReference"/>
        </w:rPr>
        <w:footnoteRef/>
      </w:r>
      <w:r>
        <w:t xml:space="preserve"> Ibid. </w:t>
      </w:r>
    </w:p>
  </w:footnote>
  <w:footnote w:id="249">
    <w:p w14:paraId="2C2BF094" w14:textId="77777777" w:rsidR="00F1362E" w:rsidRDefault="00F1362E" w:rsidP="00AA7248">
      <w:pPr>
        <w:pStyle w:val="FootnoteText"/>
      </w:pPr>
      <w:r>
        <w:rPr>
          <w:rStyle w:val="FootnoteReference"/>
        </w:rPr>
        <w:footnoteRef/>
      </w:r>
      <w:r>
        <w:t xml:space="preserve"> Australian Government, Department of Employment, Skills, Small and Family Business. (2015). ‘The Evaluation of Job Services Australia 2012-2015. Accessed from:</w:t>
      </w:r>
      <w:r w:rsidRPr="00A31EE0">
        <w:t xml:space="preserve"> </w:t>
      </w:r>
      <w:hyperlink r:id="rId31" w:history="1">
        <w:r w:rsidRPr="009C1644">
          <w:rPr>
            <w:rStyle w:val="Hyperlink"/>
          </w:rPr>
          <w:t>https://docs.employment.gov.au/system/files/doc/other/the_evaluation_of_jsa_2012-2015_0.pdf</w:t>
        </w:r>
      </w:hyperlink>
      <w:r>
        <w:t xml:space="preserve"> </w:t>
      </w:r>
    </w:p>
  </w:footnote>
  <w:footnote w:id="250">
    <w:p w14:paraId="2CB93369" w14:textId="77777777" w:rsidR="00F1362E" w:rsidRDefault="00F1362E" w:rsidP="00AA7248">
      <w:pPr>
        <w:pStyle w:val="FootnoteText"/>
      </w:pPr>
      <w:r>
        <w:rPr>
          <w:rStyle w:val="FootnoteReference"/>
        </w:rPr>
        <w:footnoteRef/>
      </w:r>
      <w:r>
        <w:t xml:space="preserve"> Australian Government, Department of Education, Employment and Workplace Relations. (2012). ‘Good Practice in Job Services Australia.’ Accessed from: </w:t>
      </w:r>
      <w:hyperlink r:id="rId32" w:history="1">
        <w:r w:rsidRPr="009C1644">
          <w:rPr>
            <w:rStyle w:val="Hyperlink"/>
          </w:rPr>
          <w:t>https://docs.employment.gov.au/system/files/doc/other/good_practice_in_job_services_australia.pdf</w:t>
        </w:r>
      </w:hyperlink>
      <w:r>
        <w:t xml:space="preserve"> </w:t>
      </w:r>
    </w:p>
  </w:footnote>
  <w:footnote w:id="251">
    <w:p w14:paraId="57F60E39" w14:textId="77777777" w:rsidR="00F1362E" w:rsidRDefault="00F1362E" w:rsidP="00AA7248">
      <w:pPr>
        <w:pStyle w:val="FootnoteText"/>
      </w:pPr>
      <w:r>
        <w:rPr>
          <w:rStyle w:val="FootnoteReference"/>
        </w:rPr>
        <w:footnoteRef/>
      </w:r>
      <w:r>
        <w:t xml:space="preserve"> Ibid.</w:t>
      </w:r>
    </w:p>
  </w:footnote>
  <w:footnote w:id="252">
    <w:p w14:paraId="158C7AB3" w14:textId="77777777" w:rsidR="00F1362E" w:rsidRDefault="00F1362E" w:rsidP="00AA7248">
      <w:pPr>
        <w:pStyle w:val="FootnoteText"/>
      </w:pPr>
      <w:r>
        <w:rPr>
          <w:rStyle w:val="FootnoteReference"/>
        </w:rPr>
        <w:footnoteRef/>
      </w:r>
      <w:r>
        <w:t xml:space="preserve"> Australian Government, Department of Education, Employment and Workplace Relations. (2012). ‘Good Practice in Job Services Australia.’ Accessed from: </w:t>
      </w:r>
      <w:hyperlink r:id="rId33" w:history="1">
        <w:r w:rsidRPr="009C1644">
          <w:rPr>
            <w:rStyle w:val="Hyperlink"/>
          </w:rPr>
          <w:t>https://docs.employment.gov.au/system/files/doc/other/good_practice_in_job_services_australia.pdf</w:t>
        </w:r>
      </w:hyperlink>
    </w:p>
  </w:footnote>
  <w:footnote w:id="253">
    <w:p w14:paraId="494BDE46" w14:textId="77777777" w:rsidR="00F1362E" w:rsidRDefault="00F1362E" w:rsidP="00AA7248">
      <w:pPr>
        <w:pStyle w:val="FootnoteText"/>
      </w:pPr>
      <w:r>
        <w:rPr>
          <w:rStyle w:val="FootnoteReference"/>
        </w:rPr>
        <w:footnoteRef/>
      </w:r>
      <w:r>
        <w:t xml:space="preserve"> Ibid.</w:t>
      </w:r>
    </w:p>
  </w:footnote>
  <w:footnote w:id="254">
    <w:p w14:paraId="7E9AF493" w14:textId="77777777" w:rsidR="00F1362E" w:rsidRDefault="00F1362E" w:rsidP="00AA7248">
      <w:pPr>
        <w:pStyle w:val="FootnoteText"/>
      </w:pPr>
      <w:r>
        <w:rPr>
          <w:rStyle w:val="FootnoteReference"/>
        </w:rPr>
        <w:footnoteRef/>
      </w:r>
      <w:r>
        <w:t xml:space="preserve"> Ibid.</w:t>
      </w:r>
    </w:p>
  </w:footnote>
  <w:footnote w:id="255">
    <w:p w14:paraId="19A5A0BE" w14:textId="77777777" w:rsidR="00F1362E" w:rsidRDefault="00F1362E" w:rsidP="00AA7248">
      <w:pPr>
        <w:pStyle w:val="FootnoteText"/>
      </w:pPr>
      <w:r>
        <w:rPr>
          <w:rStyle w:val="FootnoteReference"/>
        </w:rPr>
        <w:footnoteRef/>
      </w:r>
      <w:r>
        <w:t xml:space="preserve"> Ibid. </w:t>
      </w:r>
    </w:p>
  </w:footnote>
  <w:footnote w:id="256">
    <w:p w14:paraId="02145DE3" w14:textId="77777777" w:rsidR="00F1362E" w:rsidRDefault="00F1362E" w:rsidP="00AA7248">
      <w:pPr>
        <w:pStyle w:val="FootnoteText"/>
      </w:pPr>
      <w:r>
        <w:rPr>
          <w:rStyle w:val="FootnoteReference"/>
        </w:rPr>
        <w:footnoteRef/>
      </w:r>
      <w:r>
        <w:t xml:space="preserve"> Australian Government, Department of Employment, Skills, Small and Family Business. (2015). ‘The Evaluation of Job Services Australia 2012-2015. Accessed from:</w:t>
      </w:r>
      <w:r w:rsidRPr="00A31EE0">
        <w:t xml:space="preserve"> </w:t>
      </w:r>
      <w:hyperlink r:id="rId34" w:history="1">
        <w:r w:rsidRPr="009C1644">
          <w:rPr>
            <w:rStyle w:val="Hyperlink"/>
          </w:rPr>
          <w:t>https://docs.employment.gov.au/system/files/doc/other/the_evaluation_of_jsa_2012-2015_0.pdf</w:t>
        </w:r>
      </w:hyperlink>
    </w:p>
  </w:footnote>
  <w:footnote w:id="257">
    <w:p w14:paraId="62627E2B" w14:textId="77777777" w:rsidR="00F1362E" w:rsidRDefault="00F1362E" w:rsidP="00AA7248">
      <w:pPr>
        <w:pStyle w:val="FootnoteText"/>
      </w:pPr>
      <w:r>
        <w:rPr>
          <w:rStyle w:val="FootnoteReference"/>
        </w:rPr>
        <w:footnoteRef/>
      </w:r>
      <w:r>
        <w:t xml:space="preserve"> Melbourne Institute of Applied Economic and Social Research, University of Melbourne. (2017). ‘Report for the Review of the Aboriginal Employment Strategy.’ </w:t>
      </w:r>
    </w:p>
  </w:footnote>
  <w:footnote w:id="258">
    <w:p w14:paraId="778F1402" w14:textId="77777777" w:rsidR="00F1362E" w:rsidRDefault="00F1362E" w:rsidP="00AA7248">
      <w:pPr>
        <w:pStyle w:val="FootnoteText"/>
      </w:pPr>
      <w:r>
        <w:rPr>
          <w:rStyle w:val="FootnoteReference"/>
        </w:rPr>
        <w:footnoteRef/>
      </w:r>
      <w:r>
        <w:t xml:space="preserve"> Ibid. </w:t>
      </w:r>
    </w:p>
  </w:footnote>
  <w:footnote w:id="259">
    <w:p w14:paraId="46FF8025" w14:textId="77777777" w:rsidR="00F1362E" w:rsidRPr="00485297" w:rsidRDefault="00F1362E" w:rsidP="00AA7248">
      <w:pPr>
        <w:pStyle w:val="FootnoteText"/>
      </w:pPr>
      <w:r>
        <w:rPr>
          <w:rStyle w:val="FootnoteReference"/>
        </w:rPr>
        <w:footnoteRef/>
      </w:r>
      <w:r>
        <w:t xml:space="preserve"> Wendt, R. (2008). ‘Indigenous governance: does it improve indigenous employment outcomes? And if so how? </w:t>
      </w:r>
      <w:r>
        <w:rPr>
          <w:i/>
          <w:iCs/>
        </w:rPr>
        <w:t xml:space="preserve">Queensland University of Technology. </w:t>
      </w:r>
      <w:r>
        <w:t xml:space="preserve">Accessed from: </w:t>
      </w:r>
      <w:hyperlink r:id="rId35" w:history="1">
        <w:r w:rsidRPr="009C1644">
          <w:rPr>
            <w:rStyle w:val="Hyperlink"/>
          </w:rPr>
          <w:t>https://eprints.qut.edu.au/17194/1/c17194.pdf</w:t>
        </w:r>
      </w:hyperlink>
      <w:r>
        <w:t xml:space="preserve"> </w:t>
      </w:r>
    </w:p>
  </w:footnote>
  <w:footnote w:id="260">
    <w:p w14:paraId="52E3E92D" w14:textId="77777777" w:rsidR="00F1362E" w:rsidRDefault="00F1362E" w:rsidP="00AA7248">
      <w:pPr>
        <w:pStyle w:val="FootnoteText"/>
      </w:pPr>
      <w:r>
        <w:rPr>
          <w:rStyle w:val="FootnoteReference"/>
        </w:rPr>
        <w:footnoteRef/>
      </w:r>
      <w:r>
        <w:t xml:space="preserve"> Ibid. </w:t>
      </w:r>
    </w:p>
  </w:footnote>
  <w:footnote w:id="261">
    <w:p w14:paraId="0C75461B" w14:textId="77777777" w:rsidR="00F1362E" w:rsidRDefault="00F1362E" w:rsidP="00AA7248">
      <w:pPr>
        <w:pStyle w:val="FootnoteText"/>
      </w:pPr>
      <w:r>
        <w:rPr>
          <w:rStyle w:val="FootnoteReference"/>
        </w:rPr>
        <w:footnoteRef/>
      </w:r>
      <w:r>
        <w:t xml:space="preserve"> Ibid. </w:t>
      </w:r>
    </w:p>
  </w:footnote>
  <w:footnote w:id="262">
    <w:p w14:paraId="0A0F3CB9" w14:textId="77777777" w:rsidR="00F1362E" w:rsidRPr="004F17B8" w:rsidRDefault="00F1362E" w:rsidP="00AA7248">
      <w:pPr>
        <w:spacing w:after="0"/>
        <w:rPr>
          <w:i/>
          <w:iCs/>
          <w:sz w:val="16"/>
          <w:szCs w:val="16"/>
        </w:rPr>
      </w:pPr>
      <w:r w:rsidRPr="004F17B8">
        <w:rPr>
          <w:rStyle w:val="FootnoteReference"/>
          <w:sz w:val="16"/>
          <w:szCs w:val="16"/>
        </w:rPr>
        <w:footnoteRef/>
      </w:r>
      <w:r w:rsidRPr="004F17B8">
        <w:rPr>
          <w:sz w:val="16"/>
          <w:szCs w:val="16"/>
        </w:rPr>
        <w:t xml:space="preserve"> An understudied area of research is the notion that place based work is also likely to magnify intrinsic and extrinsic cultural value, especially where that work generates benefit for the community, such as care for people, land, community or cultural heritage. The value of this work is not merely cultural but also likely to impact health and wellbeing outcomes for participants and beneficiaries of the care.</w:t>
      </w:r>
    </w:p>
  </w:footnote>
  <w:footnote w:id="263">
    <w:p w14:paraId="0599408E" w14:textId="77777777" w:rsidR="00F1362E" w:rsidRDefault="00F1362E"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36" w:history="1">
        <w:r w:rsidRPr="004D1050">
          <w:rPr>
            <w:rStyle w:val="Hyperlink"/>
          </w:rPr>
          <w:t>https://doi.org/10.1787/dd1029ea-en</w:t>
        </w:r>
      </w:hyperlink>
      <w:r w:rsidRPr="00204412">
        <w:t>.</w:t>
      </w:r>
    </w:p>
  </w:footnote>
  <w:footnote w:id="264">
    <w:p w14:paraId="634E35AA" w14:textId="77777777" w:rsidR="00F1362E" w:rsidRDefault="00F1362E" w:rsidP="00AA7248">
      <w:pPr>
        <w:pStyle w:val="FootnoteText"/>
      </w:pPr>
      <w:r>
        <w:rPr>
          <w:rStyle w:val="FootnoteReference"/>
        </w:rPr>
        <w:footnoteRef/>
      </w:r>
      <w:r>
        <w:t xml:space="preserve"> Ibid. </w:t>
      </w:r>
    </w:p>
  </w:footnote>
  <w:footnote w:id="265">
    <w:p w14:paraId="4A6DAFCC" w14:textId="77777777" w:rsidR="00F1362E" w:rsidRDefault="00F1362E"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37" w:history="1">
        <w:r w:rsidRPr="004D1050">
          <w:rPr>
            <w:rStyle w:val="Hyperlink"/>
          </w:rPr>
          <w:t>https://doi.org/10.1787/dd1029ea-en</w:t>
        </w:r>
      </w:hyperlink>
      <w:r w:rsidRPr="00204412">
        <w:t>.</w:t>
      </w:r>
    </w:p>
  </w:footnote>
  <w:footnote w:id="266">
    <w:p w14:paraId="6CFDF44E" w14:textId="77777777" w:rsidR="00F1362E" w:rsidRDefault="00F1362E" w:rsidP="00AA7248">
      <w:pPr>
        <w:pStyle w:val="FootnoteText"/>
      </w:pPr>
      <w:r>
        <w:rPr>
          <w:rStyle w:val="FootnoteReference"/>
        </w:rPr>
        <w:footnoteRef/>
      </w:r>
      <w:r>
        <w:t xml:space="preserve"> Ibid. </w:t>
      </w:r>
    </w:p>
  </w:footnote>
  <w:footnote w:id="267">
    <w:p w14:paraId="34C7F417" w14:textId="77777777" w:rsidR="00F1362E" w:rsidRDefault="00F1362E" w:rsidP="008F54A1">
      <w:pPr>
        <w:pStyle w:val="FootnoteText"/>
      </w:pPr>
      <w:r>
        <w:rPr>
          <w:rStyle w:val="FootnoteReference"/>
        </w:rPr>
        <w:footnoteRef/>
      </w:r>
      <w:r>
        <w:t xml:space="preserve"> Ibid. </w:t>
      </w:r>
    </w:p>
  </w:footnote>
  <w:footnote w:id="268">
    <w:p w14:paraId="75EBEA46" w14:textId="77777777" w:rsidR="00F1362E" w:rsidRDefault="00F1362E" w:rsidP="008F54A1">
      <w:pPr>
        <w:pStyle w:val="FootnoteText"/>
      </w:pPr>
      <w:r>
        <w:rPr>
          <w:rStyle w:val="FootnoteReference"/>
        </w:rPr>
        <w:footnoteRef/>
      </w:r>
      <w:r>
        <w:t xml:space="preserve"> Australian Government – Department of Education Skills and Employment. (2018). ‘Indigenous employment service being trialled in Yarrabah’. Accessed from &lt;</w:t>
      </w:r>
      <w:r w:rsidRPr="00931E60">
        <w:t xml:space="preserve"> https://www.employment.gov.au/newsroom/indigenous-employment-service-being-trialled-yarrabah</w:t>
      </w:r>
      <w:r>
        <w:t xml:space="preserve">&gt; </w:t>
      </w:r>
    </w:p>
  </w:footnote>
  <w:footnote w:id="269">
    <w:p w14:paraId="76876A0D" w14:textId="77777777" w:rsidR="00F1362E" w:rsidRDefault="00F1362E" w:rsidP="008F54A1">
      <w:pPr>
        <w:pStyle w:val="FootnoteText"/>
      </w:pPr>
      <w:r>
        <w:rPr>
          <w:rStyle w:val="FootnoteReference"/>
        </w:rPr>
        <w:footnoteRef/>
      </w:r>
      <w:r>
        <w:t xml:space="preserve"> Ibid. </w:t>
      </w:r>
    </w:p>
  </w:footnote>
  <w:footnote w:id="270">
    <w:p w14:paraId="43FC60D8" w14:textId="77777777" w:rsidR="00F1362E" w:rsidRDefault="00F1362E" w:rsidP="008F54A1">
      <w:pPr>
        <w:pStyle w:val="FootnoteText"/>
      </w:pPr>
      <w:r>
        <w:rPr>
          <w:rStyle w:val="FootnoteReference"/>
        </w:rPr>
        <w:footnoteRef/>
      </w:r>
      <w:r>
        <w:t xml:space="preserve"> OECD. (2019). ‘Indigenous Employment and Skills Strategies in Australia’, OECD Reviews on Local Job Creation, OECD Publishing, Paris, </w:t>
      </w:r>
      <w:hyperlink r:id="rId38" w:history="1">
        <w:r w:rsidRPr="004D1050">
          <w:rPr>
            <w:rStyle w:val="Hyperlink"/>
          </w:rPr>
          <w:t>https://doi.org/10.1787/dd1029ea-en</w:t>
        </w:r>
      </w:hyperlink>
      <w:r w:rsidRPr="00204412">
        <w:t>.</w:t>
      </w:r>
    </w:p>
  </w:footnote>
  <w:footnote w:id="271">
    <w:p w14:paraId="0D523EF9" w14:textId="77777777" w:rsidR="00F1362E" w:rsidRDefault="00F1362E" w:rsidP="008F54A1">
      <w:pPr>
        <w:pStyle w:val="FootnoteText"/>
      </w:pPr>
      <w:r>
        <w:rPr>
          <w:rStyle w:val="FootnoteReference"/>
        </w:rPr>
        <w:footnoteRef/>
      </w:r>
      <w:r>
        <w:t xml:space="preserve"> Ibid.</w:t>
      </w:r>
    </w:p>
  </w:footnote>
  <w:footnote w:id="272">
    <w:p w14:paraId="274695D9" w14:textId="77777777" w:rsidR="00F1362E" w:rsidRDefault="00F1362E" w:rsidP="008F54A1">
      <w:pPr>
        <w:pStyle w:val="FootnoteText"/>
      </w:pPr>
      <w:r>
        <w:rPr>
          <w:rStyle w:val="FootnoteReference"/>
        </w:rPr>
        <w:footnoteRef/>
      </w:r>
      <w:r>
        <w:t xml:space="preserve"> OECD. (2019). ‘Indigenous Employment and Skills Strategies in Australia’, OECD Reviews on Local Job Creation, OECD Publishing, Paris, </w:t>
      </w:r>
      <w:hyperlink r:id="rId39" w:history="1">
        <w:r w:rsidRPr="004D1050">
          <w:rPr>
            <w:rStyle w:val="Hyperlink"/>
          </w:rPr>
          <w:t>https://doi.org/10.1787/dd1029ea-en</w:t>
        </w:r>
      </w:hyperlink>
      <w:r w:rsidRPr="00204412">
        <w:t>.</w:t>
      </w:r>
    </w:p>
  </w:footnote>
  <w:footnote w:id="273">
    <w:p w14:paraId="59EF72EF" w14:textId="77777777" w:rsidR="00F1362E" w:rsidRDefault="00F1362E" w:rsidP="008F54A1">
      <w:pPr>
        <w:pStyle w:val="FootnoteText"/>
      </w:pPr>
      <w:r>
        <w:rPr>
          <w:rStyle w:val="FootnoteReference"/>
        </w:rPr>
        <w:footnoteRef/>
      </w:r>
      <w:r>
        <w:t xml:space="preserve"> Ibid. </w:t>
      </w:r>
    </w:p>
  </w:footnote>
  <w:footnote w:id="274">
    <w:p w14:paraId="54D8ABF5" w14:textId="77777777" w:rsidR="00F1362E" w:rsidRDefault="00F1362E"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40" w:history="1">
        <w:r w:rsidRPr="00771C29">
          <w:t>https://www.aihw.gov.au/getmedia/71bb346a-1b83-4038-a2f7-647e65a21445/ctg-ip03.pdf</w:t>
        </w:r>
      </w:hyperlink>
      <w:r>
        <w:t xml:space="preserve"> </w:t>
      </w:r>
      <w:r>
        <w:rPr>
          <w:rFonts w:cstheme="minorHAnsi"/>
          <w:sz w:val="18"/>
          <w:szCs w:val="18"/>
        </w:rPr>
        <w:t xml:space="preserve">  </w:t>
      </w:r>
    </w:p>
  </w:footnote>
  <w:footnote w:id="275">
    <w:p w14:paraId="1749C4D3" w14:textId="77777777" w:rsidR="00F1362E" w:rsidRDefault="00F1362E" w:rsidP="00AA7248">
      <w:pPr>
        <w:pStyle w:val="FootnoteText"/>
      </w:pPr>
      <w:r>
        <w:rPr>
          <w:rStyle w:val="FootnoteReference"/>
        </w:rPr>
        <w:footnoteRef/>
      </w:r>
      <w:r>
        <w:t xml:space="preserve"> </w:t>
      </w:r>
      <w:r w:rsidRPr="00155342">
        <w:t>McCalman, J., Bainbridge, R., Percival, N. and Tsey, K.</w:t>
      </w:r>
      <w:r>
        <w:t xml:space="preserve"> (2016). ‘The effectiveness of implementation in Indigenous Australian healthcare: an overview of literature reviews.’ </w:t>
      </w:r>
      <w:r>
        <w:rPr>
          <w:i/>
          <w:iCs/>
        </w:rPr>
        <w:t>International Journal for Equity in Health</w:t>
      </w:r>
    </w:p>
  </w:footnote>
  <w:footnote w:id="276">
    <w:p w14:paraId="01F99226" w14:textId="77777777" w:rsidR="00F1362E" w:rsidRDefault="00F1362E" w:rsidP="008F54A1">
      <w:pPr>
        <w:pStyle w:val="FootnoteText"/>
      </w:pPr>
      <w:r>
        <w:rPr>
          <w:rStyle w:val="FootnoteReference"/>
        </w:rPr>
        <w:footnoteRef/>
      </w:r>
      <w:r>
        <w:t xml:space="preserve"> RAPs are considered successful in assisting organisations to develop their own Reverse Discrimination policies.</w:t>
      </w:r>
    </w:p>
  </w:footnote>
  <w:footnote w:id="277">
    <w:p w14:paraId="5E686085" w14:textId="77777777" w:rsidR="00F1362E" w:rsidRDefault="00F1362E" w:rsidP="008F54A1">
      <w:pPr>
        <w:pStyle w:val="FootnoteText"/>
      </w:pPr>
      <w:r>
        <w:rPr>
          <w:rStyle w:val="FootnoteReference"/>
        </w:rPr>
        <w:footnoteRef/>
      </w:r>
      <w:r>
        <w:t xml:space="preserve"> Constable, J. (2009). ‘Engaging Aboriginal Australians in the Private Sector: A Consultative Report into Aboriginal Employment Strategies and Initiatives’, </w:t>
      </w:r>
      <w:r>
        <w:rPr>
          <w:i/>
          <w:iCs/>
        </w:rPr>
        <w:t>Diversity Council Australia.</w:t>
      </w:r>
    </w:p>
  </w:footnote>
  <w:footnote w:id="278">
    <w:p w14:paraId="654BA84E" w14:textId="77777777" w:rsidR="00F1362E" w:rsidRDefault="00F1362E" w:rsidP="008F54A1">
      <w:pPr>
        <w:pStyle w:val="FootnoteText"/>
      </w:pPr>
      <w:r>
        <w:rPr>
          <w:rStyle w:val="FootnoteReference"/>
        </w:rPr>
        <w:footnoteRef/>
      </w:r>
      <w:r>
        <w:t xml:space="preserve"> Ibid. </w:t>
      </w:r>
    </w:p>
  </w:footnote>
  <w:footnote w:id="279">
    <w:p w14:paraId="2284AEF3" w14:textId="77777777" w:rsidR="00F1362E" w:rsidRPr="008E54DD" w:rsidRDefault="00F1362E" w:rsidP="008F54A1">
      <w:pPr>
        <w:pStyle w:val="FootnoteText"/>
        <w:rPr>
          <w:i/>
          <w:iCs/>
        </w:rPr>
      </w:pPr>
      <w:r>
        <w:rPr>
          <w:rStyle w:val="FootnoteReference"/>
        </w:rPr>
        <w:footnoteRef/>
      </w:r>
      <w:r>
        <w:t xml:space="preserve"> Daly, A., Gebremedhin, T. and Sayem, M. (2013). ‘A Case Study of Affirmative Action Australian-style for Indigenous People,’ </w:t>
      </w:r>
      <w:r>
        <w:rPr>
          <w:i/>
          <w:iCs/>
        </w:rPr>
        <w:t xml:space="preserve">Australian Journal of Labour Economics. </w:t>
      </w:r>
    </w:p>
  </w:footnote>
  <w:footnote w:id="280">
    <w:p w14:paraId="5738685B" w14:textId="77777777" w:rsidR="00F1362E" w:rsidRPr="00C73C72" w:rsidRDefault="00F1362E" w:rsidP="008F54A1">
      <w:pPr>
        <w:pStyle w:val="FootnoteText"/>
      </w:pPr>
      <w:r>
        <w:rPr>
          <w:rStyle w:val="FootnoteReference"/>
        </w:rPr>
        <w:footnoteRef/>
      </w:r>
      <w:r>
        <w:t xml:space="preserve"> Constable, J. (2009). ‘Engaging Aboriginal Australians in the Private Sector: A Consultative Report into Aboriginal Employment Strategies and Initiatives’, </w:t>
      </w:r>
      <w:r>
        <w:rPr>
          <w:i/>
          <w:iCs/>
        </w:rPr>
        <w:t xml:space="preserve">Diversity Council Australia; </w:t>
      </w:r>
      <w:r>
        <w:t xml:space="preserve">Daly, A., Gebremedhin, T. and Sayem, M. (2013). ‘A Case Study of Affirmative Action Australian-style for Indigenous People,’ </w:t>
      </w:r>
      <w:r>
        <w:rPr>
          <w:i/>
          <w:iCs/>
        </w:rPr>
        <w:t>Australian Journal of Labour Economics.</w:t>
      </w:r>
    </w:p>
  </w:footnote>
  <w:footnote w:id="281">
    <w:p w14:paraId="6ACEDF96" w14:textId="77777777" w:rsidR="00F1362E" w:rsidRDefault="00F1362E"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41" w:history="1">
        <w:r w:rsidRPr="004D1050">
          <w:rPr>
            <w:rStyle w:val="Hyperlink"/>
          </w:rPr>
          <w:t>https://doi.org/10.1787/dd1029ea-en</w:t>
        </w:r>
      </w:hyperlink>
      <w:r w:rsidRPr="00204412">
        <w:t>.</w:t>
      </w:r>
    </w:p>
  </w:footnote>
  <w:footnote w:id="282">
    <w:p w14:paraId="1D646499" w14:textId="77777777" w:rsidR="00F1362E" w:rsidRDefault="00F1362E" w:rsidP="00AA7248">
      <w:pPr>
        <w:pStyle w:val="FootnoteText"/>
      </w:pPr>
      <w:r>
        <w:rPr>
          <w:rStyle w:val="FootnoteReference"/>
        </w:rPr>
        <w:footnoteRef/>
      </w:r>
      <w:r>
        <w:t xml:space="preserve"> Ibid. </w:t>
      </w:r>
    </w:p>
  </w:footnote>
  <w:footnote w:id="283">
    <w:p w14:paraId="2F73F2A9" w14:textId="77777777" w:rsidR="00F1362E" w:rsidRDefault="00F1362E" w:rsidP="00AA7248">
      <w:pPr>
        <w:pStyle w:val="FootnoteText"/>
      </w:pPr>
      <w:r>
        <w:rPr>
          <w:rStyle w:val="FootnoteReference"/>
        </w:rPr>
        <w:footnoteRef/>
      </w:r>
      <w:r>
        <w:t xml:space="preserve"> </w:t>
      </w:r>
      <w:r w:rsidRPr="00771C29">
        <w:t>Gray, M., Hun</w:t>
      </w:r>
      <w:r>
        <w:t>t</w:t>
      </w:r>
      <w:r w:rsidRPr="00771C29">
        <w:t xml:space="preserve">er, B. and Lohoar, S. (2012). ‘Increasing Indigenous employment rates’, Issues paper np. 3, Closing the Gap Clearninghouse. Accessed from: </w:t>
      </w:r>
      <w:hyperlink r:id="rId42" w:history="1">
        <w:r w:rsidRPr="00771C29">
          <w:t>https://www.aihw.gov.au/getmedia/71bb346a-1b83-4038-a2f7-647e65a21445/ctg-ip03.pdf</w:t>
        </w:r>
      </w:hyperlink>
      <w:r>
        <w:t xml:space="preserve"> </w:t>
      </w:r>
      <w:r>
        <w:rPr>
          <w:rFonts w:cstheme="minorHAnsi"/>
          <w:sz w:val="18"/>
          <w:szCs w:val="18"/>
        </w:rPr>
        <w:t xml:space="preserve"> </w:t>
      </w:r>
    </w:p>
  </w:footnote>
  <w:footnote w:id="284">
    <w:p w14:paraId="0E311643" w14:textId="77777777" w:rsidR="00F1362E" w:rsidRDefault="00F1362E"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43" w:history="1">
        <w:r w:rsidRPr="00771C29">
          <w:t>https://www.aihw.gov.au/getmedia/71bb346a-1b83-4038-a2f7-647e65a21445/ctg-ip03.pdf</w:t>
        </w:r>
      </w:hyperlink>
      <w:r>
        <w:rPr>
          <w:rFonts w:cstheme="minorHAnsi"/>
          <w:sz w:val="18"/>
          <w:szCs w:val="18"/>
        </w:rPr>
        <w:t xml:space="preserve">; </w:t>
      </w:r>
      <w:r>
        <w:t xml:space="preserve">OECD. (2019). ‘Indigenous Employment and Skills Strategies in Australia’, OECD Reviews on Local Job Creation, OECD Publishing, Paris, </w:t>
      </w:r>
      <w:hyperlink r:id="rId44" w:history="1">
        <w:r w:rsidRPr="004D1050">
          <w:rPr>
            <w:rStyle w:val="Hyperlink"/>
          </w:rPr>
          <w:t>https://doi.org/10.1787/dd1029ea-en</w:t>
        </w:r>
      </w:hyperlink>
      <w:r w:rsidRPr="00204412">
        <w:t>.</w:t>
      </w:r>
    </w:p>
  </w:footnote>
  <w:footnote w:id="285">
    <w:p w14:paraId="0C2FCC27" w14:textId="77777777" w:rsidR="00F1362E" w:rsidRDefault="00F1362E"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45" w:history="1">
        <w:r w:rsidRPr="004D1050">
          <w:rPr>
            <w:rStyle w:val="Hyperlink"/>
          </w:rPr>
          <w:t>https://doi.org/10.1787/dd1029ea-en</w:t>
        </w:r>
      </w:hyperlink>
      <w:r w:rsidRPr="00204412">
        <w:t>.</w:t>
      </w:r>
    </w:p>
  </w:footnote>
  <w:footnote w:id="286">
    <w:p w14:paraId="20B7B668" w14:textId="77777777" w:rsidR="00F1362E" w:rsidRDefault="00F1362E"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46" w:history="1">
        <w:r w:rsidRPr="00771C29">
          <w:t>https://www.aihw.gov.au/getmedia/71bb346a-1b83-4038-a2f7-647e65a21445/ctg-ip03.pdf</w:t>
        </w:r>
      </w:hyperlink>
      <w:r>
        <w:t xml:space="preserve"> </w:t>
      </w:r>
      <w:r>
        <w:rPr>
          <w:rFonts w:cstheme="minorHAnsi"/>
          <w:sz w:val="18"/>
          <w:szCs w:val="18"/>
        </w:rPr>
        <w:t xml:space="preserve"> </w:t>
      </w:r>
    </w:p>
  </w:footnote>
  <w:footnote w:id="287">
    <w:p w14:paraId="42DD7D23" w14:textId="77777777" w:rsidR="00F1362E" w:rsidRDefault="00F1362E"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47" w:history="1">
        <w:r w:rsidRPr="004D1050">
          <w:rPr>
            <w:rStyle w:val="Hyperlink"/>
          </w:rPr>
          <w:t>https://doi.org/10.1787/dd1029ea-en</w:t>
        </w:r>
      </w:hyperlink>
      <w:r w:rsidRPr="00204412">
        <w:t>.</w:t>
      </w:r>
    </w:p>
  </w:footnote>
  <w:footnote w:id="288">
    <w:p w14:paraId="1430ACCF" w14:textId="77777777" w:rsidR="00F1362E" w:rsidRDefault="00F1362E" w:rsidP="008F54A1">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48" w:history="1">
        <w:r w:rsidRPr="00771C29">
          <w:t>https://www.aihw.gov.au/getmedia/71bb346a-1b83-4038-a2f7-647e65a21445/ctg-ip03.pdf</w:t>
        </w:r>
      </w:hyperlink>
      <w:r>
        <w:t xml:space="preserve"> </w:t>
      </w:r>
      <w:r>
        <w:rPr>
          <w:rFonts w:cstheme="minorHAnsi"/>
          <w:sz w:val="18"/>
          <w:szCs w:val="18"/>
        </w:rPr>
        <w:t xml:space="preserve"> </w:t>
      </w:r>
    </w:p>
  </w:footnote>
  <w:footnote w:id="289">
    <w:p w14:paraId="718C8EC2" w14:textId="77777777" w:rsidR="00F1362E" w:rsidRDefault="00F1362E" w:rsidP="008F54A1">
      <w:pPr>
        <w:pStyle w:val="FootnoteText"/>
      </w:pPr>
      <w:r>
        <w:rPr>
          <w:rStyle w:val="FootnoteReference"/>
        </w:rPr>
        <w:footnoteRef/>
      </w:r>
      <w:r>
        <w:t xml:space="preserve"> Australian Government, Department of Employment, Skills, Small and Family Business. (2015). ‘The Evaluation of Job Services Australia 2012-2015. Accessed from:</w:t>
      </w:r>
      <w:r w:rsidRPr="00A31EE0">
        <w:t xml:space="preserve"> </w:t>
      </w:r>
      <w:hyperlink r:id="rId49" w:history="1">
        <w:r w:rsidRPr="009C1644">
          <w:rPr>
            <w:rStyle w:val="Hyperlink"/>
          </w:rPr>
          <w:t>https://docs.employment.gov.au/system/files/doc/other/the_evaluation_of_jsa_2012-2015_0.pdf</w:t>
        </w:r>
      </w:hyperlink>
    </w:p>
  </w:footnote>
  <w:footnote w:id="290">
    <w:p w14:paraId="384D8ADC" w14:textId="77777777" w:rsidR="00F1362E" w:rsidRDefault="00F1362E" w:rsidP="008F54A1">
      <w:pPr>
        <w:pStyle w:val="FootnoteText"/>
      </w:pPr>
      <w:r>
        <w:rPr>
          <w:rStyle w:val="FootnoteReference"/>
        </w:rPr>
        <w:footnoteRef/>
      </w:r>
      <w:r>
        <w:t xml:space="preserve"> Australian Government, Department of Employment, Skills, Small and Family Business. (2015). ‘The Evaluation of Job Services Australia 2012-2015. Accessed from:</w:t>
      </w:r>
      <w:r w:rsidRPr="00A31EE0">
        <w:t xml:space="preserve"> </w:t>
      </w:r>
      <w:hyperlink r:id="rId50" w:history="1">
        <w:r w:rsidRPr="009C1644">
          <w:rPr>
            <w:rStyle w:val="Hyperlink"/>
          </w:rPr>
          <w:t>https://docs.employment.gov.au/system/files/doc/other/the_evaluation_of_jsa_2012-2015_0.pdf</w:t>
        </w:r>
      </w:hyperlink>
    </w:p>
  </w:footnote>
  <w:footnote w:id="291">
    <w:p w14:paraId="11D4E06F" w14:textId="77777777" w:rsidR="00F1362E" w:rsidRDefault="00F1362E" w:rsidP="008F54A1">
      <w:pPr>
        <w:pStyle w:val="FootnoteText"/>
      </w:pPr>
      <w:r>
        <w:rPr>
          <w:rStyle w:val="FootnoteReference"/>
        </w:rPr>
        <w:footnoteRef/>
      </w:r>
      <w:r>
        <w:t xml:space="preserve"> Ibid. </w:t>
      </w:r>
    </w:p>
  </w:footnote>
  <w:footnote w:id="292">
    <w:p w14:paraId="61A955C9" w14:textId="77777777" w:rsidR="00F1362E" w:rsidRDefault="00F1362E"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51" w:history="1">
        <w:r w:rsidRPr="004D1050">
          <w:rPr>
            <w:rStyle w:val="Hyperlink"/>
          </w:rPr>
          <w:t>https://doi.org/10.1787/dd1029ea-en</w:t>
        </w:r>
      </w:hyperlink>
      <w:r w:rsidRPr="00204412">
        <w:t>.</w:t>
      </w:r>
    </w:p>
  </w:footnote>
  <w:footnote w:id="293">
    <w:p w14:paraId="384CEACB" w14:textId="77777777" w:rsidR="00F1362E" w:rsidRDefault="00F1362E" w:rsidP="00AA7248">
      <w:pPr>
        <w:pStyle w:val="FootnoteText"/>
      </w:pPr>
      <w:r>
        <w:rPr>
          <w:rStyle w:val="FootnoteReference"/>
        </w:rPr>
        <w:footnoteRef/>
      </w:r>
      <w:r>
        <w:t xml:space="preserve"> Ibid. </w:t>
      </w:r>
    </w:p>
  </w:footnote>
  <w:footnote w:id="294">
    <w:p w14:paraId="79D8415D" w14:textId="77777777" w:rsidR="00F1362E" w:rsidRDefault="00F1362E"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52" w:history="1">
        <w:r w:rsidRPr="004D1050">
          <w:rPr>
            <w:rStyle w:val="Hyperlink"/>
          </w:rPr>
          <w:t>https://doi.org/10.1787/dd1029ea-en</w:t>
        </w:r>
      </w:hyperlink>
      <w:r w:rsidRPr="00204412">
        <w:t>.</w:t>
      </w:r>
    </w:p>
  </w:footnote>
  <w:footnote w:id="295">
    <w:p w14:paraId="03861905" w14:textId="77777777" w:rsidR="00F1362E" w:rsidRDefault="00F1362E" w:rsidP="008F54A1">
      <w:pPr>
        <w:pStyle w:val="FootnoteText"/>
      </w:pPr>
      <w:r>
        <w:rPr>
          <w:rStyle w:val="FootnoteReference"/>
        </w:rPr>
        <w:footnoteRef/>
      </w:r>
      <w:r>
        <w:t xml:space="preserve"> Ibid.</w:t>
      </w:r>
    </w:p>
  </w:footnote>
  <w:footnote w:id="296">
    <w:p w14:paraId="4A7A94CE" w14:textId="77777777" w:rsidR="00F1362E" w:rsidRDefault="00F1362E" w:rsidP="008F54A1">
      <w:pPr>
        <w:pStyle w:val="FootnoteText"/>
      </w:pPr>
      <w:r>
        <w:rPr>
          <w:rStyle w:val="FootnoteReference"/>
        </w:rPr>
        <w:footnoteRef/>
      </w:r>
      <w:r>
        <w:t xml:space="preserve"> Ibid. </w:t>
      </w:r>
    </w:p>
  </w:footnote>
  <w:footnote w:id="297">
    <w:p w14:paraId="5BAB8152" w14:textId="77777777" w:rsidR="00F1362E" w:rsidRDefault="00F1362E" w:rsidP="008F54A1">
      <w:pPr>
        <w:pStyle w:val="FootnoteText"/>
      </w:pPr>
      <w:r>
        <w:rPr>
          <w:rStyle w:val="FootnoteReference"/>
        </w:rPr>
        <w:footnoteRef/>
      </w:r>
      <w:r>
        <w:t xml:space="preserve"> Ibid. </w:t>
      </w:r>
    </w:p>
  </w:footnote>
  <w:footnote w:id="298">
    <w:p w14:paraId="3497904B" w14:textId="77777777" w:rsidR="00F1362E" w:rsidRDefault="00F1362E" w:rsidP="00AA7248">
      <w:pPr>
        <w:pStyle w:val="FootnoteText"/>
      </w:pPr>
      <w:r>
        <w:rPr>
          <w:rStyle w:val="FootnoteReference"/>
        </w:rPr>
        <w:footnoteRef/>
      </w:r>
      <w:r>
        <w:t xml:space="preserve"> Constable, J. (2009). ‘Engaging Aboriginal Australians in the Private Sector: A Consultative Report into Aboriginal Employment Strategies and Initiatives’, </w:t>
      </w:r>
      <w:r>
        <w:rPr>
          <w:i/>
          <w:iCs/>
        </w:rPr>
        <w:t>Diversity Council Australia.</w:t>
      </w:r>
    </w:p>
  </w:footnote>
  <w:footnote w:id="299">
    <w:p w14:paraId="35876BBB" w14:textId="77777777" w:rsidR="00F1362E" w:rsidRDefault="00F1362E"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53" w:history="1">
        <w:r w:rsidRPr="00771C29">
          <w:t>https://www.aihw.gov.au/getmedia/71bb346a-1b83-4038-a2f7-647e65a21445/ctg-ip03.pdf</w:t>
        </w:r>
      </w:hyperlink>
      <w:r>
        <w:t xml:space="preserve"> </w:t>
      </w:r>
      <w:r>
        <w:rPr>
          <w:rFonts w:cstheme="minorHAnsi"/>
          <w:sz w:val="18"/>
          <w:szCs w:val="18"/>
        </w:rPr>
        <w:t xml:space="preserve">  </w:t>
      </w:r>
    </w:p>
  </w:footnote>
  <w:footnote w:id="300">
    <w:p w14:paraId="273CC0A6" w14:textId="77777777" w:rsidR="00F1362E" w:rsidRDefault="00F1362E" w:rsidP="00AA7248">
      <w:pPr>
        <w:pStyle w:val="FootnoteText"/>
      </w:pPr>
      <w:r>
        <w:rPr>
          <w:rStyle w:val="FootnoteReference"/>
        </w:rPr>
        <w:footnoteRef/>
      </w:r>
      <w:r>
        <w:t xml:space="preserve"> Dillon, A. (2015). ‘</w:t>
      </w:r>
      <w:r w:rsidRPr="00D5404F">
        <w:t>Valuing work: Beyond the economic benefits of employment</w:t>
      </w:r>
      <w:r>
        <w:t xml:space="preserve">’, </w:t>
      </w:r>
      <w:r>
        <w:rPr>
          <w:i/>
          <w:iCs/>
        </w:rPr>
        <w:t>Policy</w:t>
      </w:r>
      <w:r>
        <w:t xml:space="preserve"> 32 (1).</w:t>
      </w:r>
    </w:p>
  </w:footnote>
  <w:footnote w:id="301">
    <w:p w14:paraId="60B7605E" w14:textId="77777777" w:rsidR="00F1362E" w:rsidRPr="001E60AC" w:rsidRDefault="00F1362E" w:rsidP="00AA7248">
      <w:pPr>
        <w:pStyle w:val="FootnoteText"/>
      </w:pPr>
      <w:r>
        <w:rPr>
          <w:rStyle w:val="FootnoteReference"/>
        </w:rPr>
        <w:footnoteRef/>
      </w:r>
      <w:r>
        <w:t xml:space="preserve"> Dillon, A. (2015). ‘</w:t>
      </w:r>
      <w:r w:rsidRPr="00D5404F">
        <w:t>Valuing work: Beyond the economic benefits of employment</w:t>
      </w:r>
      <w:r>
        <w:t xml:space="preserve">’, </w:t>
      </w:r>
      <w:r>
        <w:rPr>
          <w:i/>
          <w:iCs/>
        </w:rPr>
        <w:t>Policy</w:t>
      </w:r>
      <w:r>
        <w:t xml:space="preserve"> 32 (1). </w:t>
      </w:r>
    </w:p>
  </w:footnote>
  <w:footnote w:id="302">
    <w:p w14:paraId="75F8DB99" w14:textId="77777777" w:rsidR="00F1362E" w:rsidRDefault="00F1362E" w:rsidP="00AA7248">
      <w:pPr>
        <w:pStyle w:val="FootnoteText"/>
      </w:pPr>
      <w:r>
        <w:rPr>
          <w:rStyle w:val="FootnoteReference"/>
        </w:rPr>
        <w:footnoteRef/>
      </w:r>
      <w:r>
        <w:t xml:space="preserve"> Gray, M., Hunter, B. and Biddle, N. (2014). ‘The Economic and Social Benefits of Increasing Indigenous Employment’, </w:t>
      </w:r>
      <w:r>
        <w:rPr>
          <w:i/>
          <w:iCs/>
        </w:rPr>
        <w:t xml:space="preserve">Centre for Aboriginal Economic Policy Research; </w:t>
      </w:r>
      <w:r>
        <w:t>GenerationOne. (2011). ‘Walk in My Shoes: Employer experiences of barriers and drivers in the employment cycle for Indigenous Australians.’</w:t>
      </w:r>
    </w:p>
  </w:footnote>
  <w:footnote w:id="303">
    <w:p w14:paraId="670D7A89" w14:textId="77777777" w:rsidR="00F1362E" w:rsidRDefault="00F1362E" w:rsidP="00AA7248">
      <w:pPr>
        <w:pStyle w:val="FootnoteText"/>
      </w:pPr>
      <w:r>
        <w:rPr>
          <w:rStyle w:val="FootnoteReference"/>
        </w:rPr>
        <w:footnoteRef/>
      </w:r>
      <w:r>
        <w:t xml:space="preserve"> Ibid. </w:t>
      </w:r>
    </w:p>
  </w:footnote>
  <w:footnote w:id="304">
    <w:p w14:paraId="0B22C0A6" w14:textId="77777777" w:rsidR="00F1362E" w:rsidRPr="00FC0172" w:rsidRDefault="00F1362E" w:rsidP="00AA7248">
      <w:pPr>
        <w:pStyle w:val="FootnoteText"/>
      </w:pPr>
      <w:r>
        <w:rPr>
          <w:rStyle w:val="FootnoteReference"/>
        </w:rPr>
        <w:footnoteRef/>
      </w:r>
      <w:r>
        <w:t xml:space="preserve"> Di Giorgio, A. V. and Habibis, D. (2019). ‘Governing pluralistic liberal democratic societies and metis knowledge: The problem of Indigenous unemployment.’ </w:t>
      </w:r>
      <w:r>
        <w:rPr>
          <w:i/>
          <w:iCs/>
        </w:rPr>
        <w:t xml:space="preserve">Journal of </w:t>
      </w:r>
      <w:r w:rsidRPr="00B51AAB">
        <w:t>Sociology</w:t>
      </w:r>
      <w:r>
        <w:t xml:space="preserve"> 55(1), 37-53; </w:t>
      </w:r>
      <w:r w:rsidRPr="00B51AAB">
        <w:t>Jordan</w:t>
      </w:r>
      <w:r>
        <w:t xml:space="preserve">, K. (2017). ‘Aboriginal and Torres Strait Islander employment policy and Welfare to Work: The Community Development Programme and the need for new narratives, new alliances and new institutions.’ </w:t>
      </w:r>
      <w:r>
        <w:rPr>
          <w:i/>
          <w:iCs/>
        </w:rPr>
        <w:t xml:space="preserve">Centre for Aboriginal Economic Policy Research. </w:t>
      </w:r>
    </w:p>
  </w:footnote>
  <w:footnote w:id="305">
    <w:p w14:paraId="421F651E" w14:textId="60615454" w:rsidR="00F1362E" w:rsidRDefault="00F1362E">
      <w:pPr>
        <w:pStyle w:val="FootnoteText"/>
      </w:pPr>
      <w:r>
        <w:rPr>
          <w:rStyle w:val="FootnoteReference"/>
        </w:rPr>
        <w:footnoteRef/>
      </w:r>
      <w:r>
        <w:t xml:space="preserve"> Cummings, P. (2009), “The relative merits of risk ratios and odds ratios”, </w:t>
      </w:r>
      <w:r w:rsidRPr="001656D4">
        <w:rPr>
          <w:i/>
          <w:iCs/>
        </w:rPr>
        <w:t>Arch Pediatr Adolesc Med.</w:t>
      </w:r>
      <w:r w:rsidRPr="004C5475">
        <w:t xml:space="preserve"> 2009;163(5):438-445.</w:t>
      </w:r>
    </w:p>
  </w:footnote>
  <w:footnote w:id="306">
    <w:p w14:paraId="71534ABD" w14:textId="77777777" w:rsidR="00F1362E" w:rsidRPr="0023252A" w:rsidRDefault="00F1362E" w:rsidP="00C1765C">
      <w:pPr>
        <w:pStyle w:val="FootnoteText"/>
        <w:rPr>
          <w:szCs w:val="16"/>
        </w:rPr>
      </w:pPr>
      <w:r w:rsidRPr="0023252A">
        <w:rPr>
          <w:rStyle w:val="FootnoteReference"/>
          <w:szCs w:val="16"/>
        </w:rPr>
        <w:footnoteRef/>
      </w:r>
      <w:r w:rsidRPr="0023252A">
        <w:rPr>
          <w:szCs w:val="16"/>
        </w:rPr>
        <w:t xml:space="preserve"> Australian Government. (2020). ‘Closing the Gap Report 2020’. Accessed from: </w:t>
      </w:r>
      <w:hyperlink r:id="rId54" w:history="1">
        <w:r w:rsidRPr="00F62472">
          <w:rPr>
            <w:rStyle w:val="Hyperlink"/>
            <w:szCs w:val="16"/>
          </w:rPr>
          <w:t>https://ctgreport.niaa.gov.au/employment</w:t>
        </w:r>
      </w:hyperlink>
      <w:r>
        <w:rPr>
          <w:color w:val="000000"/>
          <w:szCs w:val="16"/>
        </w:rPr>
        <w:t xml:space="preserve"> </w:t>
      </w:r>
    </w:p>
  </w:footnote>
  <w:footnote w:id="307">
    <w:p w14:paraId="236734B7" w14:textId="77777777" w:rsidR="00F1362E" w:rsidRDefault="00F1362E" w:rsidP="00C1765C">
      <w:pPr>
        <w:pStyle w:val="FootnoteText"/>
      </w:pPr>
      <w:r>
        <w:rPr>
          <w:rStyle w:val="FootnoteReference"/>
        </w:rPr>
        <w:footnoteRef/>
      </w:r>
      <w:r>
        <w:t xml:space="preserve"> The IEC were provided with a separate document detailing how their feedback was incorporated in this evaluation strategy. </w:t>
      </w:r>
    </w:p>
  </w:footnote>
  <w:footnote w:id="308">
    <w:p w14:paraId="495E144A" w14:textId="77777777" w:rsidR="00F1362E" w:rsidRDefault="00F1362E" w:rsidP="00C1765C">
      <w:pPr>
        <w:pStyle w:val="FootnoteText"/>
      </w:pPr>
      <w:r>
        <w:rPr>
          <w:rStyle w:val="FootnoteReference"/>
        </w:rPr>
        <w:footnoteRef/>
      </w:r>
      <w:r>
        <w:t xml:space="preserve"> There is, </w:t>
      </w:r>
      <w:r w:rsidRPr="003C5FBA">
        <w:rPr>
          <w:szCs w:val="16"/>
        </w:rPr>
        <w:t xml:space="preserve">however, some overlap in these programs. For instance, participants can be supported by both </w:t>
      </w:r>
      <w:r w:rsidRPr="003C5FBA">
        <w:rPr>
          <w:color w:val="000000"/>
          <w:szCs w:val="16"/>
        </w:rPr>
        <w:t>VTEC and EPI at the same time</w:t>
      </w:r>
      <w:r>
        <w:rPr>
          <w:color w:val="000000"/>
          <w:szCs w:val="16"/>
        </w:rPr>
        <w:t>.</w:t>
      </w:r>
    </w:p>
  </w:footnote>
  <w:footnote w:id="309">
    <w:p w14:paraId="393D437C" w14:textId="77777777" w:rsidR="00F1362E" w:rsidRDefault="00F1362E" w:rsidP="00C1765C">
      <w:pPr>
        <w:pStyle w:val="FootnoteText"/>
      </w:pPr>
      <w:r>
        <w:rPr>
          <w:rStyle w:val="FootnoteReference"/>
        </w:rPr>
        <w:footnoteRef/>
      </w:r>
      <w:r>
        <w:t xml:space="preserve"> Participatory process will include involving job seekers and the broader Indigenous community (through targeted initial consultations detailed in Chapter 3) in evaluation decision making, such as influencing prioritisation of results and findings, as well as actively facilitating participant engagement and allowing participant views to inform evaluator decisions and understanding. Participatory processes require commitment to a level of flexibility in the evaluation design and implementation.</w:t>
      </w:r>
    </w:p>
  </w:footnote>
  <w:footnote w:id="310">
    <w:p w14:paraId="7E52B566" w14:textId="77777777" w:rsidR="00F1362E" w:rsidRDefault="00F1362E" w:rsidP="00C1765C">
      <w:pPr>
        <w:pStyle w:val="FootnoteText"/>
      </w:pPr>
      <w:r>
        <w:rPr>
          <w:rStyle w:val="FootnoteReference"/>
        </w:rPr>
        <w:footnoteRef/>
      </w:r>
      <w:r>
        <w:t xml:space="preserve"> </w:t>
      </w:r>
      <w:r w:rsidRPr="00847DB0">
        <w:t>Westhorp, G 2014, Realist impact evaluation: an introduction, Methods Lab, Canberra</w:t>
      </w:r>
      <w:r>
        <w:t>; Stern, E 2015, Impact evaluation: a guide for commissioners and managers. Prepared for the Big Lottery Fund, Bond, Comic Relief, and the Department for International Development, Canberra.</w:t>
      </w:r>
    </w:p>
  </w:footnote>
  <w:footnote w:id="311">
    <w:p w14:paraId="46060397" w14:textId="77777777" w:rsidR="00F1362E" w:rsidRDefault="00F1362E" w:rsidP="00C1765C">
      <w:pPr>
        <w:pStyle w:val="FootnoteText"/>
      </w:pPr>
      <w:r>
        <w:rPr>
          <w:rStyle w:val="FootnoteReference"/>
        </w:rPr>
        <w:footnoteRef/>
      </w:r>
      <w:r>
        <w:t xml:space="preserve"> Stern, E 2015, Impact evaluation: a guide for commissioners and managers. Prepared for the Big Lottery Fund, Bond, Comic Relief, and the Department for International Development, Canberra.</w:t>
      </w:r>
    </w:p>
  </w:footnote>
  <w:footnote w:id="312">
    <w:p w14:paraId="6FC4834E" w14:textId="77777777" w:rsidR="00F1362E" w:rsidRDefault="00F1362E" w:rsidP="00C1765C">
      <w:pPr>
        <w:pStyle w:val="FootnoteText"/>
      </w:pPr>
      <w:r>
        <w:rPr>
          <w:rStyle w:val="FootnoteReference"/>
        </w:rPr>
        <w:footnoteRef/>
      </w:r>
      <w:r>
        <w:t xml:space="preserve"> Adams, A, Sedalia, S, McNab, S &amp; Sarker, M 2015, ‘Lessons learned in using realist evaluation to assess maternal and newborn health programming in rural Bangladesh’, Health Policy and Planning, vol. 31, no. 2, pp. 267-275</w:t>
      </w:r>
    </w:p>
  </w:footnote>
  <w:footnote w:id="313">
    <w:p w14:paraId="60EE442A" w14:textId="77777777" w:rsidR="00F1362E" w:rsidRDefault="00F1362E" w:rsidP="00C1765C">
      <w:pPr>
        <w:pStyle w:val="FootnoteText"/>
      </w:pPr>
      <w:r>
        <w:rPr>
          <w:rStyle w:val="FootnoteReference"/>
        </w:rPr>
        <w:footnoteRef/>
      </w:r>
      <w:r>
        <w:t xml:space="preserve"> </w:t>
      </w:r>
      <w:r w:rsidRPr="00E23788">
        <w:t>Westhorp, G 2014, Realist impact evaluation: an introduction, Methods Lab, Canberra</w:t>
      </w:r>
      <w:r>
        <w:t xml:space="preserve">; Katz, I, Newton, BJ, Bates, S &amp; Raven, M 2016, Evaluation theories and approaches; relevance for Aboriginal contexts, Social Policy Research Centre, Sydney; Pawson, R &amp; Tilley, N 1997, An introduction to scientific realist evaluation in E Chelimsky &amp; WR Shadish (eds.), Evaluation for the 21st Century: a handbook – pp. 405-418. Sage Publications, California.  </w:t>
      </w:r>
    </w:p>
  </w:footnote>
  <w:footnote w:id="314">
    <w:p w14:paraId="2FB9F0C7" w14:textId="77777777" w:rsidR="00F1362E" w:rsidRDefault="00F1362E" w:rsidP="00C1765C">
      <w:pPr>
        <w:pStyle w:val="FootnoteText"/>
      </w:pPr>
      <w:r>
        <w:rPr>
          <w:rStyle w:val="FootnoteReference"/>
        </w:rPr>
        <w:footnoteRef/>
      </w:r>
      <w:r>
        <w:t xml:space="preserve"> Productivity Commission 2020, Indigenous Evaluation Strategy Draft.</w:t>
      </w:r>
    </w:p>
  </w:footnote>
  <w:footnote w:id="315">
    <w:p w14:paraId="0B56BCE4" w14:textId="77777777" w:rsidR="00F1362E" w:rsidRDefault="00F1362E" w:rsidP="00C1765C">
      <w:pPr>
        <w:pStyle w:val="FootnoteText"/>
      </w:pPr>
      <w:r>
        <w:rPr>
          <w:rStyle w:val="FootnoteReference"/>
        </w:rPr>
        <w:footnoteRef/>
      </w:r>
      <w:r>
        <w:t xml:space="preserve"> Chouinard, JA &amp; Milley, P 2016, ‘Mapping the spatial dimensions of participatory practice: a discussion of context in evaluation’, Evaluation and Program Planning, vol. 54, no. 1. </w:t>
      </w:r>
    </w:p>
  </w:footnote>
  <w:footnote w:id="316">
    <w:p w14:paraId="19992BF4" w14:textId="77777777" w:rsidR="00F1362E" w:rsidRDefault="00F1362E" w:rsidP="00C1765C">
      <w:pPr>
        <w:pStyle w:val="FootnoteText"/>
      </w:pPr>
      <w:r>
        <w:rPr>
          <w:rStyle w:val="FootnoteReference"/>
        </w:rPr>
        <w:footnoteRef/>
      </w:r>
      <w:r>
        <w:t xml:space="preserve"> Chouinard, JA &amp; Milley, P 2016, ‘Mapping the spatial dimensions of participatory practice: a discussion of context in evaluation’, Evaluation and Program Planning, vol. 54, no. 1; Choinard, JA &amp; Cousins, JB 2012 – Participatory evaluation up close: an integration of research-based knowledge, Information Age Publishing.</w:t>
      </w:r>
    </w:p>
  </w:footnote>
  <w:footnote w:id="317">
    <w:p w14:paraId="2438012A" w14:textId="77777777" w:rsidR="00F1362E" w:rsidRDefault="00F1362E" w:rsidP="00C1765C">
      <w:pPr>
        <w:pStyle w:val="FootnoteText"/>
      </w:pPr>
      <w:r>
        <w:rPr>
          <w:rStyle w:val="FootnoteReference"/>
        </w:rPr>
        <w:footnoteRef/>
      </w:r>
      <w:r>
        <w:t xml:space="preserve"> Katz, I, Newton, BJ, Bates, S &amp; Raven, M 2016, Evaluation theories and approaches; relevance for Aboriginal contexts, Social Policy Research Centre, Sydney.  </w:t>
      </w:r>
    </w:p>
  </w:footnote>
  <w:footnote w:id="318">
    <w:p w14:paraId="139173B7" w14:textId="77777777" w:rsidR="00F1362E" w:rsidRDefault="00F1362E" w:rsidP="00C1765C">
      <w:pPr>
        <w:pStyle w:val="FootnoteText"/>
      </w:pPr>
      <w:r>
        <w:rPr>
          <w:rStyle w:val="FootnoteReference"/>
        </w:rPr>
        <w:footnoteRef/>
      </w:r>
      <w:r>
        <w:t xml:space="preserve"> Katz, I, Newton, BJ, Bates, S &amp; Raven, M 2016, Evaluation theories and approaches; relevance for Aboriginal contexts, Social Policy Research Centre, Sydney.  </w:t>
      </w:r>
    </w:p>
  </w:footnote>
  <w:footnote w:id="319">
    <w:p w14:paraId="4E10E395" w14:textId="77777777" w:rsidR="00F1362E" w:rsidRDefault="00F1362E" w:rsidP="00C1765C">
      <w:pPr>
        <w:pStyle w:val="FootnoteText"/>
      </w:pPr>
      <w:r>
        <w:rPr>
          <w:rStyle w:val="FootnoteReference"/>
        </w:rPr>
        <w:footnoteRef/>
      </w:r>
      <w:r>
        <w:t xml:space="preserve"> Wehipeihana N 2019, ‘</w:t>
      </w:r>
      <w:r w:rsidRPr="004F67CB">
        <w:t>Increasing Cultural Competence in Support of Indigenous-Led Evaluation: A Necessary Step toward Indigenous-Led Evaluation</w:t>
      </w:r>
      <w:r>
        <w:t>’, Canadian Journal of Program Evaluation, vol. 34, no. 2.</w:t>
      </w:r>
    </w:p>
  </w:footnote>
  <w:footnote w:id="320">
    <w:p w14:paraId="78F7BC7E" w14:textId="77777777" w:rsidR="00F1362E" w:rsidRDefault="00F1362E" w:rsidP="00C1765C">
      <w:pPr>
        <w:pStyle w:val="FootnoteText"/>
      </w:pPr>
      <w:r>
        <w:rPr>
          <w:rStyle w:val="FootnoteReference"/>
        </w:rPr>
        <w:footnoteRef/>
      </w:r>
      <w:r>
        <w:t xml:space="preserve"> Taylor, R 2003 ‘An Indigenous perspective on evaluations in the inter-cultural context: how far can one throw a Moree boomerang?’, Evaluation Journal of Australasia, 3(2):44-53.</w:t>
      </w:r>
    </w:p>
  </w:footnote>
  <w:footnote w:id="321">
    <w:p w14:paraId="53072728" w14:textId="77777777" w:rsidR="00F1362E" w:rsidRDefault="00F1362E" w:rsidP="00C1765C">
      <w:pPr>
        <w:pStyle w:val="FootnoteText"/>
      </w:pPr>
      <w:r>
        <w:rPr>
          <w:rStyle w:val="FootnoteReference"/>
        </w:rPr>
        <w:footnoteRef/>
      </w:r>
      <w:r>
        <w:t xml:space="preserve"> This section draws directly from the report prepared by </w:t>
      </w:r>
      <w:r w:rsidRPr="00AE4F7A">
        <w:rPr>
          <w:i/>
          <w:iCs/>
        </w:rPr>
        <w:t>SVA Consulting Evaluation Strategies – Indigenous Employment Programs</w:t>
      </w:r>
      <w:r>
        <w:t xml:space="preserve"> 11 September 2019.  </w:t>
      </w:r>
    </w:p>
  </w:footnote>
  <w:footnote w:id="322">
    <w:p w14:paraId="54760D43" w14:textId="77777777" w:rsidR="00F1362E" w:rsidRDefault="00F1362E" w:rsidP="00C1765C">
      <w:pPr>
        <w:pStyle w:val="FootnoteText"/>
      </w:pPr>
      <w:r>
        <w:rPr>
          <w:rStyle w:val="FootnoteReference"/>
        </w:rPr>
        <w:footnoteRef/>
      </w:r>
      <w:r>
        <w:t xml:space="preserve"> NSW Government: Premier &amp; Cabinet, 2020, </w:t>
      </w:r>
      <w:r>
        <w:rPr>
          <w:i/>
        </w:rPr>
        <w:t xml:space="preserve">Evaluation Toolkit, </w:t>
      </w:r>
      <w:r>
        <w:t>&lt;</w:t>
      </w:r>
      <w:r w:rsidRPr="000F3440">
        <w:t>https://www.dpc.nsw.gov.au/tools-and-resources/evaluation-toolkit/1-develop-program-logic-and-review-needs/</w:t>
      </w:r>
      <w:r>
        <w:t xml:space="preserve">&gt;.  </w:t>
      </w:r>
    </w:p>
  </w:footnote>
  <w:footnote w:id="323">
    <w:p w14:paraId="4FE7941D" w14:textId="77777777" w:rsidR="00F1362E" w:rsidRPr="00E92963" w:rsidRDefault="00F1362E" w:rsidP="00C1765C">
      <w:pPr>
        <w:pStyle w:val="FootnoteText"/>
      </w:pPr>
      <w:r>
        <w:rPr>
          <w:rStyle w:val="FootnoteReference"/>
        </w:rPr>
        <w:footnoteRef/>
      </w:r>
      <w:r>
        <w:t xml:space="preserve"> Social Ventures Australia Consulting, 2012, </w:t>
      </w:r>
      <w:r>
        <w:rPr>
          <w:i/>
        </w:rPr>
        <w:t xml:space="preserve">Finding the golden thread: a new approach to articulating program logic, </w:t>
      </w:r>
      <w:r>
        <w:t>&lt;</w:t>
      </w:r>
      <w:r w:rsidRPr="00E92963">
        <w:t xml:space="preserve"> https://www.socialventures.com.au/sva-quarterly/finding-the-golden-thread-a-new-approach-to-articulating-program-logic-statements/</w:t>
      </w:r>
      <w:r>
        <w:t xml:space="preserve">&gt;. </w:t>
      </w:r>
    </w:p>
  </w:footnote>
  <w:footnote w:id="324">
    <w:p w14:paraId="0229EF09" w14:textId="77777777" w:rsidR="00F1362E" w:rsidRPr="000C49A1" w:rsidRDefault="00F1362E" w:rsidP="00C1765C">
      <w:pPr>
        <w:pStyle w:val="FootnoteText"/>
      </w:pPr>
      <w:r>
        <w:rPr>
          <w:rStyle w:val="FootnoteReference"/>
        </w:rPr>
        <w:footnoteRef/>
      </w:r>
      <w:r>
        <w:t xml:space="preserve"> Fusch, P, Fusch, GE &amp; Ness, LR 2018, ‘Denzin’s Paradigm Shift: Revisiting Triangulation in Qualitative Research’, </w:t>
      </w:r>
      <w:r>
        <w:rPr>
          <w:i/>
        </w:rPr>
        <w:t xml:space="preserve">Journal of Social Change, </w:t>
      </w:r>
      <w:r>
        <w:t xml:space="preserve">vol. 10. No. 1, pp. 19-32. </w:t>
      </w:r>
    </w:p>
  </w:footnote>
  <w:footnote w:id="325">
    <w:p w14:paraId="1DC3DF39" w14:textId="77777777" w:rsidR="00F1362E" w:rsidRDefault="00F1362E" w:rsidP="00C1765C">
      <w:pPr>
        <w:pStyle w:val="FootnoteText"/>
      </w:pPr>
      <w:r>
        <w:rPr>
          <w:rStyle w:val="FootnoteReference"/>
        </w:rPr>
        <w:footnoteRef/>
      </w:r>
      <w:r>
        <w:t xml:space="preserve"> Medium and long term impacts as described in the program logics. </w:t>
      </w:r>
    </w:p>
  </w:footnote>
  <w:footnote w:id="326">
    <w:p w14:paraId="7E5754F6" w14:textId="77777777" w:rsidR="00F1362E" w:rsidRDefault="00F1362E" w:rsidP="00C1765C">
      <w:pPr>
        <w:pStyle w:val="FootnoteText"/>
      </w:pPr>
      <w:r>
        <w:rPr>
          <w:rStyle w:val="FootnoteReference"/>
        </w:rPr>
        <w:footnoteRef/>
      </w:r>
      <w:r>
        <w:t xml:space="preserve"> From consultation with the NIAA, this is expected to include Generation One, an Indigenous representative from the National Employment Services Association and the Victorian Aboriginal Education Association, as well as other smaller and larger Indigenous providers and employers associated with the IEPs. Indigenous advocacy groups or academics with employment expertise (such as Professor Dennis Foley) will also be considered. </w:t>
      </w:r>
    </w:p>
  </w:footnote>
  <w:footnote w:id="327">
    <w:p w14:paraId="77636E9B" w14:textId="77777777" w:rsidR="00F1362E" w:rsidRDefault="00F1362E" w:rsidP="00C1765C">
      <w:pPr>
        <w:pStyle w:val="FootnoteText"/>
      </w:pPr>
      <w:r>
        <w:rPr>
          <w:rStyle w:val="FootnoteReference"/>
        </w:rPr>
        <w:footnoteRef/>
      </w:r>
      <w:r>
        <w:t xml:space="preserve"> Palinkas, Horwtiz et. al. ‘</w:t>
      </w:r>
      <w:r w:rsidRPr="005B3462">
        <w:t>Purposeful sampling for qualitative data collection and analysis in mixed method implementation research</w:t>
      </w:r>
      <w:r>
        <w:t xml:space="preserve">’, </w:t>
      </w:r>
      <w:r w:rsidRPr="00551BF8">
        <w:rPr>
          <w:i/>
          <w:iCs/>
        </w:rPr>
        <w:t>Administration and policy in mental health</w:t>
      </w:r>
      <w:r>
        <w:t xml:space="preserve"> (2015)</w:t>
      </w:r>
    </w:p>
  </w:footnote>
  <w:footnote w:id="328">
    <w:p w14:paraId="3C971949" w14:textId="77777777" w:rsidR="00F1362E" w:rsidRDefault="00F1362E" w:rsidP="00C1765C">
      <w:pPr>
        <w:pStyle w:val="FootnoteText"/>
      </w:pPr>
      <w:r>
        <w:rPr>
          <w:rStyle w:val="FootnoteReference"/>
        </w:rPr>
        <w:footnoteRef/>
      </w:r>
      <w:r>
        <w:t xml:space="preserve"> As the EPI employers are located across Australia, these consultations may fall outside the regional consultation process – and instead occur by teleconference or as a separate consultation. </w:t>
      </w:r>
    </w:p>
  </w:footnote>
  <w:footnote w:id="329">
    <w:p w14:paraId="0BB1CB6E" w14:textId="77777777" w:rsidR="00F1362E" w:rsidRPr="000F3440" w:rsidRDefault="00F1362E" w:rsidP="00C1765C">
      <w:pPr>
        <w:pStyle w:val="FootnoteText"/>
        <w:rPr>
          <w:i/>
        </w:rPr>
      </w:pPr>
      <w:r>
        <w:rPr>
          <w:rStyle w:val="FootnoteReference"/>
        </w:rPr>
        <w:footnoteRef/>
      </w:r>
      <w:r>
        <w:t xml:space="preserve"> AIATSIS, 2019, </w:t>
      </w:r>
      <w:r w:rsidRPr="000F3440">
        <w:rPr>
          <w:i/>
        </w:rPr>
        <w:t>Delivering Indigenous data sovereignty</w:t>
      </w:r>
      <w:r>
        <w:t>, 2 July, &lt;</w:t>
      </w:r>
      <w:r w:rsidRPr="000F3440">
        <w:t>https://aiatsis.gov.au/publications/presentations/delivering-indigenous-data-sovereignty</w:t>
      </w:r>
      <w:r>
        <w:rPr>
          <w:i/>
        </w:rPr>
        <w:t xml:space="preserve">&gt;. </w:t>
      </w:r>
    </w:p>
  </w:footnote>
  <w:footnote w:id="330">
    <w:p w14:paraId="3ED6007F" w14:textId="77777777" w:rsidR="00F1362E" w:rsidRDefault="00F1362E" w:rsidP="00C1765C">
      <w:pPr>
        <w:pStyle w:val="FootnoteText"/>
      </w:pPr>
      <w:r>
        <w:rPr>
          <w:rStyle w:val="FootnoteReference"/>
        </w:rPr>
        <w:footnoteRef/>
      </w:r>
      <w:r>
        <w:t xml:space="preserve"> Walter, M 2018, ‘The voice of Indigenous data’, </w:t>
      </w:r>
      <w:r>
        <w:rPr>
          <w:i/>
        </w:rPr>
        <w:t xml:space="preserve">Griffith Review, </w:t>
      </w:r>
      <w:r>
        <w:t xml:space="preserve">vol. 60, no. [N.K].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D0225" w14:textId="12B1288B" w:rsidR="00F1362E" w:rsidRDefault="00F1362E" w:rsidP="00474643">
    <w:pPr>
      <w:pStyle w:val="Header"/>
    </w:pPr>
  </w:p>
  <w:p w14:paraId="0288018A" w14:textId="77777777" w:rsidR="00F1362E" w:rsidRPr="00474643" w:rsidRDefault="00F1362E" w:rsidP="004746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F5DCB" w14:textId="19A18BA0" w:rsidR="00F1362E" w:rsidRDefault="00F1362E">
    <w:pPr>
      <w:pStyle w:val="Header"/>
    </w:pPr>
    <w:r>
      <w:t>National Indigenous Australians Agency</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957A9" w14:textId="77777777" w:rsidR="00F1362E" w:rsidRDefault="00F1362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F54F4" w14:textId="77777777" w:rsidR="00F1362E" w:rsidRDefault="00F1362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5D959" w14:textId="24953F9D" w:rsidR="00F1362E" w:rsidRPr="00474643" w:rsidRDefault="00F1362E" w:rsidP="00474643">
    <w:pPr>
      <w:pStyle w:val="Header"/>
    </w:pPr>
    <w:r>
      <w:t>National Indigenous Australians Agency</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12927" w14:textId="4687C35C" w:rsidR="00F1362E" w:rsidRDefault="00F1362E">
    <w:pPr>
      <w:pStyle w:val="Header"/>
    </w:pPr>
    <w:r>
      <w:t>National Indigenous Australians Agency</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EE0AC" w14:textId="77777777" w:rsidR="00F1362E" w:rsidRDefault="00F1362E" w:rsidP="00612D76">
    <w:pPr>
      <w:pStyle w:val="Header"/>
      <w:spacing w:line="14" w:lineRule="exact"/>
    </w:pPr>
  </w:p>
  <w:p w14:paraId="6A1DCF2B" w14:textId="7EED005F" w:rsidR="00F1362E" w:rsidRPr="000116B0" w:rsidRDefault="00F1362E" w:rsidP="00474643">
    <w:pPr>
      <w:pStyle w:val="Header"/>
    </w:pPr>
    <w:r>
      <w:t>National Indigenous Australians Agency</w:t>
    </w:r>
  </w:p>
  <w:p w14:paraId="14A196AB" w14:textId="666976FE" w:rsidR="00F1362E" w:rsidRDefault="00F1362E" w:rsidP="00474643">
    <w:pPr>
      <w:pStyle w:val="Header"/>
    </w:pPr>
  </w:p>
  <w:p w14:paraId="161DC83C" w14:textId="774905D4" w:rsidR="00F1362E" w:rsidRDefault="00F1362E" w:rsidP="00176898">
    <w:pPr>
      <w:pStyle w:val="Header"/>
    </w:pPr>
  </w:p>
  <w:p w14:paraId="0F975C6C" w14:textId="77777777" w:rsidR="00F1362E" w:rsidRDefault="00F1362E" w:rsidP="0047464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978EA" w14:textId="1541855C" w:rsidR="00F1362E" w:rsidRPr="00E33B5F" w:rsidRDefault="00F1362E" w:rsidP="00E33B5F">
    <w:pPr>
      <w:pStyle w:val="Header"/>
    </w:pPr>
    <w:r>
      <w:t>National Indigenous Australians Agency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5121F" w14:textId="77777777" w:rsidR="00F1362E" w:rsidRDefault="00F1362E" w:rsidP="00612D76">
    <w:pPr>
      <w:pStyle w:val="Header"/>
      <w:spacing w:line="14" w:lineRule="exact"/>
    </w:pPr>
  </w:p>
  <w:p w14:paraId="196280BE" w14:textId="312AC3BD" w:rsidR="00F1362E" w:rsidRDefault="00F1362E" w:rsidP="00474643">
    <w:pPr>
      <w:pStyle w:val="Header"/>
    </w:pPr>
    <w:r>
      <w:t>National Indigenous Australians Agency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AD4F7" w14:textId="6149E97F" w:rsidR="00F1362E" w:rsidRPr="00E33B5F" w:rsidRDefault="00F1362E" w:rsidP="00E33B5F">
    <w:pPr>
      <w:pStyle w:val="Header"/>
    </w:pPr>
    <w:r>
      <w:t>National Indigenous Australians Agency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47596" w14:textId="7801B7AB" w:rsidR="00F1362E" w:rsidRPr="00E33B5F" w:rsidRDefault="00F1362E" w:rsidP="00E33B5F">
    <w:pPr>
      <w:pStyle w:val="Header"/>
    </w:pPr>
    <w:r>
      <w:t>National Indigenous Australians Agency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BD779" w14:textId="785EAA6F" w:rsidR="00F1362E" w:rsidRDefault="00F1362E" w:rsidP="002C0141">
    <w:pPr>
      <w:pStyle w:val="Header"/>
    </w:pPr>
    <w:r>
      <w:t>National Indigenous Australians Agency</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FDC48" w14:textId="77777777" w:rsidR="00F1362E" w:rsidRDefault="00F1362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F182B" w14:textId="61F87222" w:rsidR="00F1362E" w:rsidRPr="00E33B5F" w:rsidRDefault="00F1362E" w:rsidP="00E33B5F">
    <w:pPr>
      <w:pStyle w:val="Header"/>
    </w:pPr>
    <w:r>
      <w:t>National Indigenous Australians Agency</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18C2E" w14:textId="77777777" w:rsidR="00F1362E" w:rsidRDefault="00F1362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C55D7" w14:textId="77777777" w:rsidR="00F1362E" w:rsidRDefault="00F136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1084"/>
        </w:tabs>
        <w:ind w:left="1084"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142195"/>
    <w:multiLevelType w:val="hybridMultilevel"/>
    <w:tmpl w:val="28E2E51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5" w15:restartNumberingAfterBreak="0">
    <w:nsid w:val="016F395E"/>
    <w:multiLevelType w:val="hybridMultilevel"/>
    <w:tmpl w:val="FA58B736"/>
    <w:lvl w:ilvl="0" w:tplc="8B3E4268">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0936DA"/>
    <w:multiLevelType w:val="hybridMultilevel"/>
    <w:tmpl w:val="EFC01DF0"/>
    <w:lvl w:ilvl="0" w:tplc="0C090017">
      <w:start w:val="1"/>
      <w:numFmt w:val="lowerLetter"/>
      <w:lvlText w:val="%1)"/>
      <w:lvlJc w:val="left"/>
      <w:pPr>
        <w:ind w:left="1080" w:hanging="360"/>
      </w:pPr>
      <w:rPr>
        <w:rFonts w:hint="default"/>
        <w:b w:val="0"/>
        <w:bCs w:val="0"/>
      </w:rPr>
    </w:lvl>
    <w:lvl w:ilvl="1" w:tplc="0C090001">
      <w:start w:val="1"/>
      <w:numFmt w:val="bullet"/>
      <w:lvlText w:val=""/>
      <w:lvlJc w:val="left"/>
      <w:pPr>
        <w:ind w:left="1800" w:hanging="360"/>
      </w:pPr>
      <w:rPr>
        <w:rFonts w:ascii="Symbol" w:hAnsi="Symbol" w:hint="default"/>
        <w:b w:val="0"/>
        <w:bCs w:val="0"/>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25E7507"/>
    <w:multiLevelType w:val="hybridMultilevel"/>
    <w:tmpl w:val="C81E9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9" w15:restartNumberingAfterBreak="0">
    <w:nsid w:val="03143CF6"/>
    <w:multiLevelType w:val="hybridMultilevel"/>
    <w:tmpl w:val="C1E4D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36449C5"/>
    <w:multiLevelType w:val="hybridMultilevel"/>
    <w:tmpl w:val="A8F67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9475E5"/>
    <w:multiLevelType w:val="hybridMultilevel"/>
    <w:tmpl w:val="36FE0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4207892"/>
    <w:multiLevelType w:val="hybridMultilevel"/>
    <w:tmpl w:val="B5D64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44A46C9"/>
    <w:multiLevelType w:val="hybridMultilevel"/>
    <w:tmpl w:val="40FA16DA"/>
    <w:lvl w:ilvl="0" w:tplc="367C835C">
      <w:start w:val="1"/>
      <w:numFmt w:val="bullet"/>
      <w:lvlText w:val="-"/>
      <w:lvlJc w:val="left"/>
      <w:pPr>
        <w:ind w:left="720" w:hanging="360"/>
      </w:pPr>
      <w:rPr>
        <w:rFonts w:ascii="Verdana" w:eastAsiaTheme="minorHAnsi" w:hAnsi="Verdana"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EE59CD"/>
    <w:multiLevelType w:val="hybridMultilevel"/>
    <w:tmpl w:val="BC187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5037684"/>
    <w:multiLevelType w:val="hybridMultilevel"/>
    <w:tmpl w:val="416666C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6" w15:restartNumberingAfterBreak="0">
    <w:nsid w:val="06DF5163"/>
    <w:multiLevelType w:val="hybridMultilevel"/>
    <w:tmpl w:val="CC3E0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71A3216"/>
    <w:multiLevelType w:val="multilevel"/>
    <w:tmpl w:val="60C0397A"/>
    <w:lvl w:ilvl="0">
      <w:start w:val="1"/>
      <w:numFmt w:val="bullet"/>
      <w:lvlText w:val=""/>
      <w:lvlJc w:val="left"/>
      <w:pPr>
        <w:tabs>
          <w:tab w:val="num" w:pos="-2850"/>
        </w:tabs>
        <w:ind w:left="-2850" w:hanging="360"/>
      </w:pPr>
      <w:rPr>
        <w:rFonts w:ascii="Symbol" w:hAnsi="Symbol" w:hint="default"/>
        <w:sz w:val="20"/>
      </w:rPr>
    </w:lvl>
    <w:lvl w:ilvl="1" w:tentative="1">
      <w:start w:val="1"/>
      <w:numFmt w:val="bullet"/>
      <w:lvlText w:val="o"/>
      <w:lvlJc w:val="left"/>
      <w:pPr>
        <w:tabs>
          <w:tab w:val="num" w:pos="-2130"/>
        </w:tabs>
        <w:ind w:left="-2130" w:hanging="360"/>
      </w:pPr>
      <w:rPr>
        <w:rFonts w:ascii="Courier New" w:hAnsi="Courier New" w:hint="default"/>
        <w:sz w:val="20"/>
      </w:rPr>
    </w:lvl>
    <w:lvl w:ilvl="2" w:tentative="1">
      <w:start w:val="1"/>
      <w:numFmt w:val="bullet"/>
      <w:lvlText w:val=""/>
      <w:lvlJc w:val="left"/>
      <w:pPr>
        <w:tabs>
          <w:tab w:val="num" w:pos="-1410"/>
        </w:tabs>
        <w:ind w:left="-1410" w:hanging="360"/>
      </w:pPr>
      <w:rPr>
        <w:rFonts w:ascii="Wingdings" w:hAnsi="Wingdings" w:hint="default"/>
        <w:sz w:val="20"/>
      </w:rPr>
    </w:lvl>
    <w:lvl w:ilvl="3" w:tentative="1">
      <w:start w:val="1"/>
      <w:numFmt w:val="bullet"/>
      <w:lvlText w:val=""/>
      <w:lvlJc w:val="left"/>
      <w:pPr>
        <w:tabs>
          <w:tab w:val="num" w:pos="-690"/>
        </w:tabs>
        <w:ind w:left="-690" w:hanging="360"/>
      </w:pPr>
      <w:rPr>
        <w:rFonts w:ascii="Wingdings" w:hAnsi="Wingdings" w:hint="default"/>
        <w:sz w:val="20"/>
      </w:rPr>
    </w:lvl>
    <w:lvl w:ilvl="4" w:tentative="1">
      <w:start w:val="1"/>
      <w:numFmt w:val="bullet"/>
      <w:lvlText w:val=""/>
      <w:lvlJc w:val="left"/>
      <w:pPr>
        <w:tabs>
          <w:tab w:val="num" w:pos="30"/>
        </w:tabs>
        <w:ind w:left="30" w:hanging="360"/>
      </w:pPr>
      <w:rPr>
        <w:rFonts w:ascii="Wingdings" w:hAnsi="Wingdings" w:hint="default"/>
        <w:sz w:val="20"/>
      </w:rPr>
    </w:lvl>
    <w:lvl w:ilvl="5" w:tentative="1">
      <w:start w:val="1"/>
      <w:numFmt w:val="bullet"/>
      <w:lvlText w:val=""/>
      <w:lvlJc w:val="left"/>
      <w:pPr>
        <w:tabs>
          <w:tab w:val="num" w:pos="750"/>
        </w:tabs>
        <w:ind w:left="750" w:hanging="360"/>
      </w:pPr>
      <w:rPr>
        <w:rFonts w:ascii="Wingdings" w:hAnsi="Wingdings" w:hint="default"/>
        <w:sz w:val="20"/>
      </w:rPr>
    </w:lvl>
    <w:lvl w:ilvl="6" w:tentative="1">
      <w:start w:val="1"/>
      <w:numFmt w:val="bullet"/>
      <w:lvlText w:val=""/>
      <w:lvlJc w:val="left"/>
      <w:pPr>
        <w:tabs>
          <w:tab w:val="num" w:pos="1470"/>
        </w:tabs>
        <w:ind w:left="1470" w:hanging="360"/>
      </w:pPr>
      <w:rPr>
        <w:rFonts w:ascii="Wingdings" w:hAnsi="Wingdings" w:hint="default"/>
        <w:sz w:val="20"/>
      </w:rPr>
    </w:lvl>
    <w:lvl w:ilvl="7" w:tentative="1">
      <w:start w:val="1"/>
      <w:numFmt w:val="bullet"/>
      <w:lvlText w:val=""/>
      <w:lvlJc w:val="left"/>
      <w:pPr>
        <w:tabs>
          <w:tab w:val="num" w:pos="2190"/>
        </w:tabs>
        <w:ind w:left="2190" w:hanging="360"/>
      </w:pPr>
      <w:rPr>
        <w:rFonts w:ascii="Wingdings" w:hAnsi="Wingdings" w:hint="default"/>
        <w:sz w:val="20"/>
      </w:rPr>
    </w:lvl>
    <w:lvl w:ilvl="8" w:tentative="1">
      <w:start w:val="1"/>
      <w:numFmt w:val="bullet"/>
      <w:lvlText w:val=""/>
      <w:lvlJc w:val="left"/>
      <w:pPr>
        <w:tabs>
          <w:tab w:val="num" w:pos="2910"/>
        </w:tabs>
        <w:ind w:left="2910" w:hanging="360"/>
      </w:pPr>
      <w:rPr>
        <w:rFonts w:ascii="Wingdings" w:hAnsi="Wingdings" w:hint="default"/>
        <w:sz w:val="20"/>
      </w:rPr>
    </w:lvl>
  </w:abstractNum>
  <w:abstractNum w:abstractNumId="18" w15:restartNumberingAfterBreak="0">
    <w:nsid w:val="07980F07"/>
    <w:multiLevelType w:val="hybridMultilevel"/>
    <w:tmpl w:val="440E6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79814A2"/>
    <w:multiLevelType w:val="hybridMultilevel"/>
    <w:tmpl w:val="94168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8927A29"/>
    <w:multiLevelType w:val="hybridMultilevel"/>
    <w:tmpl w:val="8334F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AB14DBA"/>
    <w:multiLevelType w:val="hybridMultilevel"/>
    <w:tmpl w:val="5438819E"/>
    <w:lvl w:ilvl="0" w:tplc="10E6B3C4">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BCD7BEB"/>
    <w:multiLevelType w:val="hybridMultilevel"/>
    <w:tmpl w:val="66BE09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BDB7AAE"/>
    <w:multiLevelType w:val="hybridMultilevel"/>
    <w:tmpl w:val="BFCEF4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BE805CD"/>
    <w:multiLevelType w:val="multilevel"/>
    <w:tmpl w:val="0F2A1CB6"/>
    <w:lvl w:ilvl="0">
      <w:start w:val="1"/>
      <w:numFmt w:val="upperLetter"/>
      <w:pStyle w:val="Appendixhead1"/>
      <w:lvlText w:val="Appendix %1"/>
      <w:lvlJc w:val="left"/>
      <w:pPr>
        <w:ind w:left="8109" w:hanging="3856"/>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25" w15:restartNumberingAfterBreak="0">
    <w:nsid w:val="0C0E2A3B"/>
    <w:multiLevelType w:val="hybridMultilevel"/>
    <w:tmpl w:val="7B8084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CD617A7"/>
    <w:multiLevelType w:val="hybridMultilevel"/>
    <w:tmpl w:val="36221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D0D69EB"/>
    <w:multiLevelType w:val="hybridMultilevel"/>
    <w:tmpl w:val="67F486C8"/>
    <w:lvl w:ilvl="0" w:tplc="0C090017">
      <w:start w:val="1"/>
      <w:numFmt w:val="lowerLetter"/>
      <w:lvlText w:val="%1)"/>
      <w:lvlJc w:val="left"/>
      <w:pPr>
        <w:ind w:left="1080" w:hanging="360"/>
      </w:pPr>
      <w:rPr>
        <w:b w:val="0"/>
        <w:bCs w:val="0"/>
        <w:color w:val="auto"/>
      </w:rPr>
    </w:lvl>
    <w:lvl w:ilvl="1" w:tplc="0C09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0E1D329D"/>
    <w:multiLevelType w:val="hybridMultilevel"/>
    <w:tmpl w:val="FF948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F893FC1"/>
    <w:multiLevelType w:val="hybridMultilevel"/>
    <w:tmpl w:val="23EEDBA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0FB701B3"/>
    <w:multiLevelType w:val="hybridMultilevel"/>
    <w:tmpl w:val="A634B2C0"/>
    <w:lvl w:ilvl="0" w:tplc="0C090001">
      <w:start w:val="1"/>
      <w:numFmt w:val="bullet"/>
      <w:lvlText w:val=""/>
      <w:lvlJc w:val="left"/>
      <w:pPr>
        <w:ind w:left="340" w:hanging="34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31" w15:restartNumberingAfterBreak="0">
    <w:nsid w:val="0FC51CC0"/>
    <w:multiLevelType w:val="hybridMultilevel"/>
    <w:tmpl w:val="6DE2DED6"/>
    <w:lvl w:ilvl="0" w:tplc="DE8653B8">
      <w:start w:val="1"/>
      <w:numFmt w:val="decimal"/>
      <w:lvlText w:val="%1."/>
      <w:lvlJc w:val="left"/>
      <w:pPr>
        <w:ind w:left="360" w:hanging="360"/>
      </w:pPr>
      <w:rPr>
        <w:b w:val="0"/>
        <w:bCs w:val="0"/>
        <w:color w:val="auto"/>
      </w:rPr>
    </w:lvl>
    <w:lvl w:ilvl="1" w:tplc="506EFD84">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08909AF"/>
    <w:multiLevelType w:val="hybridMultilevel"/>
    <w:tmpl w:val="64B62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0BB1B6C"/>
    <w:multiLevelType w:val="hybridMultilevel"/>
    <w:tmpl w:val="FE886156"/>
    <w:lvl w:ilvl="0" w:tplc="1CCE524E">
      <w:numFmt w:val="bullet"/>
      <w:lvlText w:val="•"/>
      <w:lvlJc w:val="left"/>
      <w:pPr>
        <w:ind w:left="360" w:hanging="360"/>
      </w:pPr>
      <w:rPr>
        <w:rFonts w:ascii="Verdana" w:eastAsiaTheme="minorHAnsi" w:hAnsi="Verdana"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1AE7FE2"/>
    <w:multiLevelType w:val="hybridMultilevel"/>
    <w:tmpl w:val="AC523906"/>
    <w:lvl w:ilvl="0" w:tplc="6742D9A4">
      <w:start w:val="1"/>
      <w:numFmt w:val="lowerLetter"/>
      <w:lvlText w:val="%1)"/>
      <w:lvlJc w:val="left"/>
      <w:pPr>
        <w:ind w:left="644"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2835116"/>
    <w:multiLevelType w:val="hybridMultilevel"/>
    <w:tmpl w:val="066E1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2A445FC"/>
    <w:multiLevelType w:val="hybridMultilevel"/>
    <w:tmpl w:val="0A721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3474B2E"/>
    <w:multiLevelType w:val="hybridMultilevel"/>
    <w:tmpl w:val="6DE2DED6"/>
    <w:lvl w:ilvl="0" w:tplc="DE8653B8">
      <w:start w:val="1"/>
      <w:numFmt w:val="decimal"/>
      <w:lvlText w:val="%1."/>
      <w:lvlJc w:val="left"/>
      <w:pPr>
        <w:ind w:left="360" w:hanging="360"/>
      </w:pPr>
      <w:rPr>
        <w:b w:val="0"/>
        <w:bCs w:val="0"/>
        <w:color w:val="auto"/>
      </w:rPr>
    </w:lvl>
    <w:lvl w:ilvl="1" w:tplc="506EFD84">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13A603AA"/>
    <w:multiLevelType w:val="hybridMultilevel"/>
    <w:tmpl w:val="A57AD316"/>
    <w:lvl w:ilvl="0" w:tplc="76E2605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4094C76"/>
    <w:multiLevelType w:val="hybridMultilevel"/>
    <w:tmpl w:val="1D78E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4EA1BFA"/>
    <w:multiLevelType w:val="hybridMultilevel"/>
    <w:tmpl w:val="F168C6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579747A"/>
    <w:multiLevelType w:val="multilevel"/>
    <w:tmpl w:val="4C584C80"/>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42" w15:restartNumberingAfterBreak="0">
    <w:nsid w:val="159056FD"/>
    <w:multiLevelType w:val="hybridMultilevel"/>
    <w:tmpl w:val="F036E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6781FC4"/>
    <w:multiLevelType w:val="hybridMultilevel"/>
    <w:tmpl w:val="AB3EEB04"/>
    <w:lvl w:ilvl="0" w:tplc="8860665C">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7F24A59"/>
    <w:multiLevelType w:val="hybridMultilevel"/>
    <w:tmpl w:val="A64680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5" w15:restartNumberingAfterBreak="0">
    <w:nsid w:val="18A06798"/>
    <w:multiLevelType w:val="hybridMultilevel"/>
    <w:tmpl w:val="00DC604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47" w15:restartNumberingAfterBreak="0">
    <w:nsid w:val="190B73FF"/>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19D5303F"/>
    <w:multiLevelType w:val="hybridMultilevel"/>
    <w:tmpl w:val="55DC5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1A2535CC"/>
    <w:multiLevelType w:val="hybridMultilevel"/>
    <w:tmpl w:val="1E9A82E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0" w15:restartNumberingAfterBreak="0">
    <w:nsid w:val="1ABE268B"/>
    <w:multiLevelType w:val="hybridMultilevel"/>
    <w:tmpl w:val="6232B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1AC953FF"/>
    <w:multiLevelType w:val="hybridMultilevel"/>
    <w:tmpl w:val="6FD6D3FC"/>
    <w:lvl w:ilvl="0" w:tplc="5B485886">
      <w:start w:val="1"/>
      <w:numFmt w:val="lowerLetter"/>
      <w:lvlText w:val="%1)"/>
      <w:lvlJc w:val="left"/>
      <w:pPr>
        <w:ind w:left="1080" w:hanging="360"/>
      </w:pPr>
      <w:rPr>
        <w:b w:val="0"/>
        <w:bCs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1BCE7098"/>
    <w:multiLevelType w:val="hybridMultilevel"/>
    <w:tmpl w:val="9916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C021CD1"/>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 w15:restartNumberingAfterBreak="0">
    <w:nsid w:val="1C8C59D0"/>
    <w:multiLevelType w:val="hybridMultilevel"/>
    <w:tmpl w:val="0F08F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CA05574"/>
    <w:multiLevelType w:val="hybridMultilevel"/>
    <w:tmpl w:val="124E9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CBB6B4E"/>
    <w:multiLevelType w:val="hybridMultilevel"/>
    <w:tmpl w:val="D0F84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1D0C153D"/>
    <w:multiLevelType w:val="hybridMultilevel"/>
    <w:tmpl w:val="DADCA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1E6D765F"/>
    <w:multiLevelType w:val="hybridMultilevel"/>
    <w:tmpl w:val="CDCC9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1E9D1E15"/>
    <w:multiLevelType w:val="hybridMultilevel"/>
    <w:tmpl w:val="8BD4D0A4"/>
    <w:lvl w:ilvl="0" w:tplc="40F67C8A">
      <w:start w:val="1"/>
      <w:numFmt w:val="lowerLetter"/>
      <w:lvlText w:val="%1)"/>
      <w:lvlJc w:val="left"/>
      <w:pPr>
        <w:ind w:left="108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F4265C4"/>
    <w:multiLevelType w:val="hybridMultilevel"/>
    <w:tmpl w:val="CA1C2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1167097"/>
    <w:multiLevelType w:val="hybridMultilevel"/>
    <w:tmpl w:val="50B838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2BD5416"/>
    <w:multiLevelType w:val="hybridMultilevel"/>
    <w:tmpl w:val="508EC97E"/>
    <w:lvl w:ilvl="0" w:tplc="8CF88016">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3FE7BBC"/>
    <w:multiLevelType w:val="hybridMultilevel"/>
    <w:tmpl w:val="6972B9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488227C"/>
    <w:multiLevelType w:val="hybridMultilevel"/>
    <w:tmpl w:val="520AA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4AF0562"/>
    <w:multiLevelType w:val="hybridMultilevel"/>
    <w:tmpl w:val="4036D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50D2823"/>
    <w:multiLevelType w:val="hybridMultilevel"/>
    <w:tmpl w:val="25BE60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25377061"/>
    <w:multiLevelType w:val="hybridMultilevel"/>
    <w:tmpl w:val="866EB778"/>
    <w:lvl w:ilvl="0" w:tplc="158A9B34">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255F70BE"/>
    <w:multiLevelType w:val="hybridMultilevel"/>
    <w:tmpl w:val="DDC6B8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27657A4E"/>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29FC7068"/>
    <w:multiLevelType w:val="hybridMultilevel"/>
    <w:tmpl w:val="4F3E6F36"/>
    <w:lvl w:ilvl="0" w:tplc="48CC2F5C">
      <w:start w:val="1"/>
      <w:numFmt w:val="bullet"/>
      <w:lvlText w:val="-"/>
      <w:lvlJc w:val="left"/>
      <w:pPr>
        <w:ind w:left="417" w:hanging="360"/>
      </w:pPr>
      <w:rPr>
        <w:rFonts w:ascii="Verdana" w:eastAsiaTheme="minorHAnsi" w:hAnsi="Verdana" w:cstheme="minorBidi"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71" w15:restartNumberingAfterBreak="0">
    <w:nsid w:val="2AC034F4"/>
    <w:multiLevelType w:val="hybridMultilevel"/>
    <w:tmpl w:val="72BCFF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2" w15:restartNumberingAfterBreak="0">
    <w:nsid w:val="2B510497"/>
    <w:multiLevelType w:val="hybridMultilevel"/>
    <w:tmpl w:val="9640A982"/>
    <w:lvl w:ilvl="0" w:tplc="9AA0764A">
      <w:start w:val="1"/>
      <w:numFmt w:val="decimal"/>
      <w:lvlText w:val="%1."/>
      <w:lvlJc w:val="left"/>
      <w:pPr>
        <w:ind w:left="360" w:hanging="360"/>
      </w:pPr>
      <w:rPr>
        <w:b w:val="0"/>
        <w:bCs w:val="0"/>
      </w:rPr>
    </w:lvl>
    <w:lvl w:ilvl="1" w:tplc="65C819AC">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2B9F302D"/>
    <w:multiLevelType w:val="multilevel"/>
    <w:tmpl w:val="D43EFED8"/>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74" w15:restartNumberingAfterBreak="0">
    <w:nsid w:val="2C4F0F64"/>
    <w:multiLevelType w:val="hybridMultilevel"/>
    <w:tmpl w:val="50D0AA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2D0A1919"/>
    <w:multiLevelType w:val="hybridMultilevel"/>
    <w:tmpl w:val="FC10C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2DA26A53"/>
    <w:multiLevelType w:val="hybridMultilevel"/>
    <w:tmpl w:val="73341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2F38351D"/>
    <w:multiLevelType w:val="hybridMultilevel"/>
    <w:tmpl w:val="8DBE2CB0"/>
    <w:lvl w:ilvl="0" w:tplc="0C090001">
      <w:start w:val="1"/>
      <w:numFmt w:val="bullet"/>
      <w:lvlText w:val=""/>
      <w:lvlJc w:val="left"/>
      <w:pPr>
        <w:ind w:left="360" w:hanging="360"/>
      </w:pPr>
      <w:rPr>
        <w:rFonts w:ascii="Symbol" w:hAnsi="Symbol"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2F6D29A3"/>
    <w:multiLevelType w:val="hybridMultilevel"/>
    <w:tmpl w:val="1BBA08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2FC0100F"/>
    <w:multiLevelType w:val="hybridMultilevel"/>
    <w:tmpl w:val="55A4E6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0" w15:restartNumberingAfterBreak="0">
    <w:nsid w:val="30944C9F"/>
    <w:multiLevelType w:val="hybridMultilevel"/>
    <w:tmpl w:val="AD9265D8"/>
    <w:lvl w:ilvl="0" w:tplc="DE8653B8">
      <w:start w:val="1"/>
      <w:numFmt w:val="decimal"/>
      <w:lvlText w:val="%1."/>
      <w:lvlJc w:val="left"/>
      <w:pPr>
        <w:ind w:left="360" w:hanging="360"/>
      </w:pPr>
      <w:rPr>
        <w:b w:val="0"/>
        <w:bCs w:val="0"/>
        <w:color w:val="auto"/>
      </w:rPr>
    </w:lvl>
    <w:lvl w:ilvl="1" w:tplc="506EFD84">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31AC4E87"/>
    <w:multiLevelType w:val="hybridMultilevel"/>
    <w:tmpl w:val="B3D21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1CD471A"/>
    <w:multiLevelType w:val="hybridMultilevel"/>
    <w:tmpl w:val="F29E5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1F0068D"/>
    <w:multiLevelType w:val="hybridMultilevel"/>
    <w:tmpl w:val="EB78EA92"/>
    <w:lvl w:ilvl="0" w:tplc="8F10C756">
      <w:start w:val="1"/>
      <w:numFmt w:val="decimal"/>
      <w:lvlText w:val="%1."/>
      <w:lvlJc w:val="left"/>
      <w:pPr>
        <w:ind w:left="360" w:hanging="360"/>
      </w:pPr>
      <w:rPr>
        <w:b w:val="0"/>
        <w:bCs w:val="0"/>
        <w:color w:val="auto"/>
      </w:rPr>
    </w:lvl>
    <w:lvl w:ilvl="1" w:tplc="5AD2B3D8">
      <w:start w:val="1"/>
      <w:numFmt w:val="lowerLetter"/>
      <w:lvlText w:val="%2)"/>
      <w:lvlJc w:val="left"/>
      <w:pPr>
        <w:ind w:left="1080" w:hanging="360"/>
      </w:pPr>
      <w:rPr>
        <w:rFonts w:hint="default"/>
        <w:b w:val="0"/>
        <w:bCs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335C0A40"/>
    <w:multiLevelType w:val="hybridMultilevel"/>
    <w:tmpl w:val="F4C032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36CE3AEC"/>
    <w:multiLevelType w:val="hybridMultilevel"/>
    <w:tmpl w:val="46245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73933E0"/>
    <w:multiLevelType w:val="hybridMultilevel"/>
    <w:tmpl w:val="AF24A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373C318D"/>
    <w:multiLevelType w:val="hybridMultilevel"/>
    <w:tmpl w:val="72A6B8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37F44D4E"/>
    <w:multiLevelType w:val="hybridMultilevel"/>
    <w:tmpl w:val="C5169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38206B9E"/>
    <w:multiLevelType w:val="hybridMultilevel"/>
    <w:tmpl w:val="C09E01F4"/>
    <w:lvl w:ilvl="0" w:tplc="5B485886">
      <w:start w:val="1"/>
      <w:numFmt w:val="lowerLetter"/>
      <w:lvlText w:val="%1)"/>
      <w:lvlJc w:val="left"/>
      <w:pPr>
        <w:ind w:left="1080" w:hanging="360"/>
      </w:pPr>
      <w:rPr>
        <w:b w:val="0"/>
        <w:bCs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0" w15:restartNumberingAfterBreak="0">
    <w:nsid w:val="387F2C21"/>
    <w:multiLevelType w:val="hybridMultilevel"/>
    <w:tmpl w:val="73EA54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1" w15:restartNumberingAfterBreak="0">
    <w:nsid w:val="38D628C1"/>
    <w:multiLevelType w:val="hybridMultilevel"/>
    <w:tmpl w:val="6DE2DED6"/>
    <w:lvl w:ilvl="0" w:tplc="DE8653B8">
      <w:start w:val="1"/>
      <w:numFmt w:val="decimal"/>
      <w:lvlText w:val="%1."/>
      <w:lvlJc w:val="left"/>
      <w:pPr>
        <w:ind w:left="360" w:hanging="360"/>
      </w:pPr>
      <w:rPr>
        <w:b w:val="0"/>
        <w:bCs w:val="0"/>
        <w:color w:val="auto"/>
      </w:rPr>
    </w:lvl>
    <w:lvl w:ilvl="1" w:tplc="506EFD84">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399C4DB8"/>
    <w:multiLevelType w:val="hybridMultilevel"/>
    <w:tmpl w:val="A83EE9A6"/>
    <w:lvl w:ilvl="0" w:tplc="5B485886">
      <w:start w:val="1"/>
      <w:numFmt w:val="lowerLetter"/>
      <w:lvlText w:val="%1)"/>
      <w:lvlJc w:val="left"/>
      <w:pPr>
        <w:ind w:left="1080" w:hanging="360"/>
      </w:pPr>
      <w:rPr>
        <w:rFonts w:hint="default"/>
        <w:b w:val="0"/>
        <w:bCs w:val="0"/>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3B271883"/>
    <w:multiLevelType w:val="hybridMultilevel"/>
    <w:tmpl w:val="00B8E648"/>
    <w:lvl w:ilvl="0" w:tplc="F05C8884">
      <w:start w:val="1"/>
      <w:numFmt w:val="decimal"/>
      <w:lvlText w:val="%1."/>
      <w:lvlJc w:val="left"/>
      <w:pPr>
        <w:ind w:left="644" w:hanging="360"/>
      </w:pPr>
      <w:rPr>
        <w:rFonts w:hint="default"/>
        <w:b w:val="0"/>
        <w:bCs w:val="0"/>
        <w:color w:val="auto"/>
      </w:rPr>
    </w:lvl>
    <w:lvl w:ilvl="1" w:tplc="0C090017">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4" w15:restartNumberingAfterBreak="0">
    <w:nsid w:val="3C542F50"/>
    <w:multiLevelType w:val="hybridMultilevel"/>
    <w:tmpl w:val="B5667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3CEC71F4"/>
    <w:multiLevelType w:val="hybridMultilevel"/>
    <w:tmpl w:val="D8222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3D5100FF"/>
    <w:multiLevelType w:val="hybridMultilevel"/>
    <w:tmpl w:val="15EA1E50"/>
    <w:lvl w:ilvl="0" w:tplc="F6407604">
      <w:start w:val="1"/>
      <w:numFmt w:val="decimal"/>
      <w:lvlText w:val="%1."/>
      <w:lvlJc w:val="left"/>
      <w:pPr>
        <w:ind w:left="360" w:hanging="360"/>
      </w:pPr>
      <w:rPr>
        <w:b w:val="0"/>
        <w:bCs w:val="0"/>
        <w:color w:val="auto"/>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3E1A2DF6"/>
    <w:multiLevelType w:val="hybridMultilevel"/>
    <w:tmpl w:val="EBD83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3E8D588B"/>
    <w:multiLevelType w:val="hybridMultilevel"/>
    <w:tmpl w:val="655ACC8E"/>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99" w15:restartNumberingAfterBreak="0">
    <w:nsid w:val="3EAD36A3"/>
    <w:multiLevelType w:val="hybridMultilevel"/>
    <w:tmpl w:val="38D257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3FAD01D2"/>
    <w:multiLevelType w:val="multilevel"/>
    <w:tmpl w:val="A2D66A1E"/>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i w:val="0"/>
        <w:iCs/>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709"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101" w15:restartNumberingAfterBreak="0">
    <w:nsid w:val="3FF71CB8"/>
    <w:multiLevelType w:val="hybridMultilevel"/>
    <w:tmpl w:val="09D0B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3FF7271C"/>
    <w:multiLevelType w:val="hybridMultilevel"/>
    <w:tmpl w:val="42728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04" w15:restartNumberingAfterBreak="0">
    <w:nsid w:val="407F165D"/>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5" w15:restartNumberingAfterBreak="0">
    <w:nsid w:val="411C1C25"/>
    <w:multiLevelType w:val="hybridMultilevel"/>
    <w:tmpl w:val="FFC6E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14B12E5"/>
    <w:multiLevelType w:val="hybridMultilevel"/>
    <w:tmpl w:val="2EDAE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424213E1"/>
    <w:multiLevelType w:val="hybridMultilevel"/>
    <w:tmpl w:val="8B047C1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8" w15:restartNumberingAfterBreak="0">
    <w:nsid w:val="448A23E6"/>
    <w:multiLevelType w:val="hybridMultilevel"/>
    <w:tmpl w:val="E28E004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9" w15:restartNumberingAfterBreak="0">
    <w:nsid w:val="44B1029B"/>
    <w:multiLevelType w:val="hybridMultilevel"/>
    <w:tmpl w:val="F0CA3B5E"/>
    <w:lvl w:ilvl="0" w:tplc="0C090001">
      <w:start w:val="1"/>
      <w:numFmt w:val="bullet"/>
      <w:lvlText w:val=""/>
      <w:lvlJc w:val="left"/>
      <w:pPr>
        <w:ind w:left="360" w:hanging="360"/>
      </w:pPr>
      <w:rPr>
        <w:rFonts w:ascii="Symbol" w:hAnsi="Symbol" w:hint="default"/>
      </w:rPr>
    </w:lvl>
    <w:lvl w:ilvl="1" w:tplc="68502E98">
      <w:numFmt w:val="bullet"/>
      <w:lvlText w:val="-"/>
      <w:lvlJc w:val="left"/>
      <w:pPr>
        <w:ind w:left="1080" w:hanging="360"/>
      </w:pPr>
      <w:rPr>
        <w:rFonts w:ascii="Verdana" w:eastAsiaTheme="minorHAnsi" w:hAnsi="Verdana" w:cstheme="minorBid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11" w15:restartNumberingAfterBreak="0">
    <w:nsid w:val="45517010"/>
    <w:multiLevelType w:val="hybridMultilevel"/>
    <w:tmpl w:val="D62CC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59E7F07"/>
    <w:multiLevelType w:val="hybridMultilevel"/>
    <w:tmpl w:val="93CEEEBA"/>
    <w:lvl w:ilvl="0" w:tplc="DE8653B8">
      <w:start w:val="1"/>
      <w:numFmt w:val="decimal"/>
      <w:lvlText w:val="%1."/>
      <w:lvlJc w:val="left"/>
      <w:pPr>
        <w:ind w:left="360" w:hanging="360"/>
      </w:pPr>
      <w:rPr>
        <w:b w:val="0"/>
        <w:bCs w:val="0"/>
        <w:color w:val="auto"/>
      </w:rPr>
    </w:lvl>
    <w:lvl w:ilvl="1" w:tplc="506EFD84">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487D18A9"/>
    <w:multiLevelType w:val="hybridMultilevel"/>
    <w:tmpl w:val="9D020380"/>
    <w:lvl w:ilvl="0" w:tplc="1CCE524E">
      <w:numFmt w:val="bullet"/>
      <w:lvlText w:val="•"/>
      <w:lvlJc w:val="left"/>
      <w:pPr>
        <w:ind w:left="36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8C45489"/>
    <w:multiLevelType w:val="hybridMultilevel"/>
    <w:tmpl w:val="B088E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49EA5CB0"/>
    <w:multiLevelType w:val="hybridMultilevel"/>
    <w:tmpl w:val="1AA6B812"/>
    <w:lvl w:ilvl="0" w:tplc="0C090017">
      <w:start w:val="1"/>
      <w:numFmt w:val="lowerLetter"/>
      <w:lvlText w:val="%1)"/>
      <w:lvlJc w:val="left"/>
      <w:pPr>
        <w:ind w:left="1080" w:hanging="360"/>
      </w:pPr>
      <w:rPr>
        <w:b w:val="0"/>
        <w:bCs w:val="0"/>
      </w:rPr>
    </w:lvl>
    <w:lvl w:ilvl="1" w:tplc="0C090017">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8" w15:restartNumberingAfterBreak="0">
    <w:nsid w:val="49F20656"/>
    <w:multiLevelType w:val="hybridMultilevel"/>
    <w:tmpl w:val="D1BEF00C"/>
    <w:lvl w:ilvl="0" w:tplc="0C090001">
      <w:start w:val="1"/>
      <w:numFmt w:val="bullet"/>
      <w:lvlText w:val=""/>
      <w:lvlJc w:val="left"/>
      <w:pPr>
        <w:ind w:left="360" w:hanging="360"/>
      </w:pPr>
      <w:rPr>
        <w:rFonts w:ascii="Symbol" w:hAnsi="Symbol" w:hint="default"/>
      </w:rPr>
    </w:lvl>
    <w:lvl w:ilvl="1" w:tplc="68502E98">
      <w:numFmt w:val="bullet"/>
      <w:lvlText w:val="-"/>
      <w:lvlJc w:val="left"/>
      <w:pPr>
        <w:ind w:left="1080" w:hanging="360"/>
      </w:pPr>
      <w:rPr>
        <w:rFonts w:ascii="Verdana" w:eastAsiaTheme="minorHAnsi" w:hAnsi="Verdana"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4A142D94"/>
    <w:multiLevelType w:val="hybridMultilevel"/>
    <w:tmpl w:val="5F0A79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4A4C0E4B"/>
    <w:multiLevelType w:val="hybridMultilevel"/>
    <w:tmpl w:val="CF162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4A5013F8"/>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2" w15:restartNumberingAfterBreak="0">
    <w:nsid w:val="4BF94DF7"/>
    <w:multiLevelType w:val="hybridMultilevel"/>
    <w:tmpl w:val="8F9CDD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4C4D708C"/>
    <w:multiLevelType w:val="hybridMultilevel"/>
    <w:tmpl w:val="D0586B9A"/>
    <w:lvl w:ilvl="0" w:tplc="0C090017">
      <w:start w:val="1"/>
      <w:numFmt w:val="lowerLett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24" w15:restartNumberingAfterBreak="0">
    <w:nsid w:val="4DCE2E8E"/>
    <w:multiLevelType w:val="hybridMultilevel"/>
    <w:tmpl w:val="3D485516"/>
    <w:name w:val="BulletList"/>
    <w:lvl w:ilvl="0" w:tplc="F3A20E06">
      <w:numFmt w:val="none"/>
      <w:lvlText w:val=""/>
      <w:lvlJc w:val="left"/>
      <w:pPr>
        <w:tabs>
          <w:tab w:val="num" w:pos="360"/>
        </w:tabs>
      </w:pPr>
    </w:lvl>
    <w:lvl w:ilvl="1" w:tplc="6408199C">
      <w:start w:val="1"/>
      <w:numFmt w:val="bullet"/>
      <w:lvlRestart w:val="0"/>
      <w:lvlText w:val=""/>
      <w:lvlJc w:val="left"/>
      <w:pPr>
        <w:tabs>
          <w:tab w:val="num" w:pos="1134"/>
        </w:tabs>
        <w:ind w:left="1134" w:hanging="567"/>
      </w:pPr>
      <w:rPr>
        <w:rFonts w:ascii="Wingdings 3" w:hAnsi="Wingdings 3" w:hint="default"/>
        <w:b/>
        <w:i w:val="0"/>
        <w:color w:val="931638"/>
        <w:sz w:val="24"/>
      </w:rPr>
    </w:lvl>
    <w:lvl w:ilvl="2" w:tplc="C9CE80B6">
      <w:start w:val="1"/>
      <w:numFmt w:val="lowerRoman"/>
      <w:lvlText w:val="%3)"/>
      <w:lvlJc w:val="left"/>
      <w:pPr>
        <w:tabs>
          <w:tab w:val="num" w:pos="1080"/>
        </w:tabs>
        <w:ind w:left="1080" w:hanging="360"/>
      </w:pPr>
    </w:lvl>
    <w:lvl w:ilvl="3" w:tplc="61DA7CE6">
      <w:start w:val="1"/>
      <w:numFmt w:val="decimal"/>
      <w:lvlText w:val="(%4)"/>
      <w:lvlJc w:val="left"/>
      <w:pPr>
        <w:tabs>
          <w:tab w:val="num" w:pos="1440"/>
        </w:tabs>
        <w:ind w:left="1440" w:hanging="360"/>
      </w:pPr>
    </w:lvl>
    <w:lvl w:ilvl="4" w:tplc="E0E69608">
      <w:start w:val="1"/>
      <w:numFmt w:val="lowerLetter"/>
      <w:lvlText w:val="(%5)"/>
      <w:lvlJc w:val="left"/>
      <w:pPr>
        <w:tabs>
          <w:tab w:val="num" w:pos="1800"/>
        </w:tabs>
        <w:ind w:left="1800" w:hanging="360"/>
      </w:pPr>
    </w:lvl>
    <w:lvl w:ilvl="5" w:tplc="3CF858AE">
      <w:start w:val="1"/>
      <w:numFmt w:val="lowerRoman"/>
      <w:lvlText w:val="(%6)"/>
      <w:lvlJc w:val="left"/>
      <w:pPr>
        <w:tabs>
          <w:tab w:val="num" w:pos="2160"/>
        </w:tabs>
        <w:ind w:left="2160" w:hanging="360"/>
      </w:pPr>
    </w:lvl>
    <w:lvl w:ilvl="6" w:tplc="669251D0">
      <w:start w:val="1"/>
      <w:numFmt w:val="decimal"/>
      <w:lvlText w:val="%7."/>
      <w:lvlJc w:val="left"/>
      <w:pPr>
        <w:tabs>
          <w:tab w:val="num" w:pos="2520"/>
        </w:tabs>
        <w:ind w:left="2520" w:hanging="360"/>
      </w:pPr>
    </w:lvl>
    <w:lvl w:ilvl="7" w:tplc="21FE8646">
      <w:start w:val="1"/>
      <w:numFmt w:val="lowerLetter"/>
      <w:lvlText w:val="%8."/>
      <w:lvlJc w:val="left"/>
      <w:pPr>
        <w:tabs>
          <w:tab w:val="num" w:pos="2880"/>
        </w:tabs>
        <w:ind w:left="2880" w:hanging="360"/>
      </w:pPr>
    </w:lvl>
    <w:lvl w:ilvl="8" w:tplc="B92088C4">
      <w:start w:val="1"/>
      <w:numFmt w:val="lowerRoman"/>
      <w:lvlText w:val="%9."/>
      <w:lvlJc w:val="left"/>
      <w:pPr>
        <w:tabs>
          <w:tab w:val="num" w:pos="3240"/>
        </w:tabs>
        <w:ind w:left="3240" w:hanging="360"/>
      </w:pPr>
    </w:lvl>
  </w:abstractNum>
  <w:abstractNum w:abstractNumId="125" w15:restartNumberingAfterBreak="0">
    <w:nsid w:val="4EFF4E0C"/>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6" w15:restartNumberingAfterBreak="0">
    <w:nsid w:val="4F0B1EB1"/>
    <w:multiLevelType w:val="hybridMultilevel"/>
    <w:tmpl w:val="59348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5060467B"/>
    <w:multiLevelType w:val="hybridMultilevel"/>
    <w:tmpl w:val="264CB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52996C4A"/>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9" w15:restartNumberingAfterBreak="0">
    <w:nsid w:val="53117D25"/>
    <w:multiLevelType w:val="hybridMultilevel"/>
    <w:tmpl w:val="2B5E2C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549E6D6A"/>
    <w:multiLevelType w:val="hybridMultilevel"/>
    <w:tmpl w:val="F9782B7C"/>
    <w:lvl w:ilvl="0" w:tplc="C396EB06">
      <w:start w:val="3"/>
      <w:numFmt w:val="decimal"/>
      <w:lvlText w:val="%1."/>
      <w:lvlJc w:val="left"/>
      <w:pPr>
        <w:ind w:left="360" w:hanging="360"/>
      </w:pPr>
      <w:rPr>
        <w:rFonts w:hint="default"/>
        <w:b w:val="0"/>
        <w:bCs/>
        <w:i w:val="0"/>
        <w:i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15:restartNumberingAfterBreak="0">
    <w:nsid w:val="55015740"/>
    <w:multiLevelType w:val="hybridMultilevel"/>
    <w:tmpl w:val="0012E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55317020"/>
    <w:multiLevelType w:val="hybridMultilevel"/>
    <w:tmpl w:val="9CCE1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55C36C89"/>
    <w:multiLevelType w:val="hybridMultilevel"/>
    <w:tmpl w:val="FF4A4C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57826E50"/>
    <w:multiLevelType w:val="hybridMultilevel"/>
    <w:tmpl w:val="BA2EE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7E24F2C"/>
    <w:multiLevelType w:val="hybridMultilevel"/>
    <w:tmpl w:val="2162F64C"/>
    <w:lvl w:ilvl="0" w:tplc="0C09000F">
      <w:start w:val="1"/>
      <w:numFmt w:val="decimal"/>
      <w:lvlText w:val="%1."/>
      <w:lvlJc w:val="left"/>
      <w:pPr>
        <w:ind w:left="360" w:hanging="360"/>
      </w:pPr>
      <w:rPr>
        <w:rFonts w:hint="default"/>
        <w:b w:val="0"/>
        <w:bCs w:val="0"/>
        <w:color w:val="auto"/>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6" w15:restartNumberingAfterBreak="0">
    <w:nsid w:val="581A1A0E"/>
    <w:multiLevelType w:val="hybridMultilevel"/>
    <w:tmpl w:val="9D44E40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37" w15:restartNumberingAfterBreak="0">
    <w:nsid w:val="581B4BAB"/>
    <w:multiLevelType w:val="hybridMultilevel"/>
    <w:tmpl w:val="55642E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58C54AF7"/>
    <w:multiLevelType w:val="hybridMultilevel"/>
    <w:tmpl w:val="67C6A042"/>
    <w:lvl w:ilvl="0" w:tplc="D5FCB5AA">
      <w:start w:val="1"/>
      <w:numFmt w:val="lowerLetter"/>
      <w:lvlText w:val="%1)"/>
      <w:lvlJc w:val="left"/>
      <w:pPr>
        <w:ind w:left="644"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58C95564"/>
    <w:multiLevelType w:val="hybridMultilevel"/>
    <w:tmpl w:val="347E1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592B0B73"/>
    <w:multiLevelType w:val="hybridMultilevel"/>
    <w:tmpl w:val="CD3641A0"/>
    <w:lvl w:ilvl="0" w:tplc="E402AFFC">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9474E7E"/>
    <w:multiLevelType w:val="hybridMultilevel"/>
    <w:tmpl w:val="75ACEA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5ADF6C41"/>
    <w:multiLevelType w:val="hybridMultilevel"/>
    <w:tmpl w:val="AE5EB9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5B0A68C1"/>
    <w:multiLevelType w:val="hybridMultilevel"/>
    <w:tmpl w:val="627CB3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5C4F028D"/>
    <w:multiLevelType w:val="hybridMultilevel"/>
    <w:tmpl w:val="28CA3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5D6705F1"/>
    <w:multiLevelType w:val="hybridMultilevel"/>
    <w:tmpl w:val="38B04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5EB80F85"/>
    <w:multiLevelType w:val="hybridMultilevel"/>
    <w:tmpl w:val="4CF60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5F7A0951"/>
    <w:multiLevelType w:val="multilevel"/>
    <w:tmpl w:val="57D042D6"/>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48" w15:restartNumberingAfterBreak="0">
    <w:nsid w:val="60003DB8"/>
    <w:multiLevelType w:val="hybridMultilevel"/>
    <w:tmpl w:val="D8AA9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618F6F47"/>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0" w15:restartNumberingAfterBreak="0">
    <w:nsid w:val="61C63B40"/>
    <w:multiLevelType w:val="hybridMultilevel"/>
    <w:tmpl w:val="A62C9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62A21B80"/>
    <w:multiLevelType w:val="hybridMultilevel"/>
    <w:tmpl w:val="6C6C04F4"/>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2" w15:restartNumberingAfterBreak="0">
    <w:nsid w:val="62D563FA"/>
    <w:multiLevelType w:val="hybridMultilevel"/>
    <w:tmpl w:val="7F567E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154" w15:restartNumberingAfterBreak="0">
    <w:nsid w:val="644B5998"/>
    <w:multiLevelType w:val="hybridMultilevel"/>
    <w:tmpl w:val="3716D7E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5" w15:restartNumberingAfterBreak="0">
    <w:nsid w:val="644B6783"/>
    <w:multiLevelType w:val="hybridMultilevel"/>
    <w:tmpl w:val="CCE6108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64E57A7E"/>
    <w:multiLevelType w:val="hybridMultilevel"/>
    <w:tmpl w:val="FA3691E6"/>
    <w:lvl w:ilvl="0" w:tplc="5B485886">
      <w:start w:val="1"/>
      <w:numFmt w:val="lowerLetter"/>
      <w:lvlText w:val="%1)"/>
      <w:lvlJc w:val="left"/>
      <w:pPr>
        <w:ind w:left="644"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5037524"/>
    <w:multiLevelType w:val="hybridMultilevel"/>
    <w:tmpl w:val="5316D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65203938"/>
    <w:multiLevelType w:val="hybridMultilevel"/>
    <w:tmpl w:val="997494D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9" w15:restartNumberingAfterBreak="0">
    <w:nsid w:val="65EA02F2"/>
    <w:multiLevelType w:val="hybridMultilevel"/>
    <w:tmpl w:val="62E0B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66AA63F2"/>
    <w:multiLevelType w:val="hybridMultilevel"/>
    <w:tmpl w:val="0D9C8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66C602AD"/>
    <w:multiLevelType w:val="hybridMultilevel"/>
    <w:tmpl w:val="586A2E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68683C37"/>
    <w:multiLevelType w:val="hybridMultilevel"/>
    <w:tmpl w:val="2EF85A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6BD0507C"/>
    <w:multiLevelType w:val="hybridMultilevel"/>
    <w:tmpl w:val="EF589D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6D923864"/>
    <w:multiLevelType w:val="hybridMultilevel"/>
    <w:tmpl w:val="4C086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6D9C4A70"/>
    <w:multiLevelType w:val="hybridMultilevel"/>
    <w:tmpl w:val="94AE65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6" w15:restartNumberingAfterBreak="0">
    <w:nsid w:val="6E0335A5"/>
    <w:multiLevelType w:val="hybridMultilevel"/>
    <w:tmpl w:val="6CBCC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70AF3078"/>
    <w:multiLevelType w:val="hybridMultilevel"/>
    <w:tmpl w:val="6574A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71DC67BE"/>
    <w:multiLevelType w:val="hybridMultilevel"/>
    <w:tmpl w:val="88662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7264333D"/>
    <w:multiLevelType w:val="hybridMultilevel"/>
    <w:tmpl w:val="24D2FE36"/>
    <w:lvl w:ilvl="0" w:tplc="0B2E51C4">
      <w:start w:val="1"/>
      <w:numFmt w:val="decimal"/>
      <w:lvlText w:val="%1."/>
      <w:lvlJc w:val="left"/>
      <w:pPr>
        <w:ind w:left="720" w:hanging="360"/>
      </w:pPr>
      <w:rPr>
        <w:rFonts w:hint="default"/>
        <w:b w:val="0"/>
        <w:bCs/>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728107C9"/>
    <w:multiLevelType w:val="hybridMultilevel"/>
    <w:tmpl w:val="8D08DDE0"/>
    <w:lvl w:ilvl="0" w:tplc="0C090001">
      <w:start w:val="1"/>
      <w:numFmt w:val="bullet"/>
      <w:lvlText w:val=""/>
      <w:lvlJc w:val="left"/>
      <w:pPr>
        <w:ind w:left="360" w:hanging="360"/>
      </w:pPr>
      <w:rPr>
        <w:rFonts w:ascii="Symbol" w:hAnsi="Symbol" w:hint="default"/>
      </w:rPr>
    </w:lvl>
    <w:lvl w:ilvl="1" w:tplc="68502E98">
      <w:numFmt w:val="bullet"/>
      <w:lvlText w:val="-"/>
      <w:lvlJc w:val="left"/>
      <w:pPr>
        <w:ind w:left="1080" w:hanging="360"/>
      </w:pPr>
      <w:rPr>
        <w:rFonts w:ascii="Verdana" w:eastAsiaTheme="minorHAnsi" w:hAnsi="Verdana"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73597AC0"/>
    <w:multiLevelType w:val="hybridMultilevel"/>
    <w:tmpl w:val="DEB8D6C4"/>
    <w:lvl w:ilvl="0" w:tplc="0C090017">
      <w:start w:val="1"/>
      <w:numFmt w:val="lowerLetter"/>
      <w:lvlText w:val="%1)"/>
      <w:lvlJc w:val="left"/>
      <w:pPr>
        <w:ind w:left="1080" w:hanging="360"/>
      </w:pPr>
      <w:rPr>
        <w:rFonts w:hint="default"/>
        <w:b w:val="0"/>
        <w:bCs w:val="0"/>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2" w15:restartNumberingAfterBreak="0">
    <w:nsid w:val="75144537"/>
    <w:multiLevelType w:val="hybridMultilevel"/>
    <w:tmpl w:val="9244C5EC"/>
    <w:lvl w:ilvl="0" w:tplc="0C09000F">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3" w15:restartNumberingAfterBreak="0">
    <w:nsid w:val="75713FF0"/>
    <w:multiLevelType w:val="hybridMultilevel"/>
    <w:tmpl w:val="A2807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758A7105"/>
    <w:multiLevelType w:val="hybridMultilevel"/>
    <w:tmpl w:val="7136B1B0"/>
    <w:lvl w:ilvl="0" w:tplc="289EAFFC">
      <w:start w:val="1"/>
      <w:numFmt w:val="decimal"/>
      <w:lvlText w:val="%1."/>
      <w:lvlJc w:val="left"/>
      <w:pPr>
        <w:ind w:left="360" w:hanging="360"/>
      </w:pPr>
      <w:rPr>
        <w:b w:val="0"/>
        <w:bCs w:val="0"/>
        <w:color w:val="auto"/>
      </w:rPr>
    </w:lvl>
    <w:lvl w:ilvl="1" w:tplc="0C090017">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5" w15:restartNumberingAfterBreak="0">
    <w:nsid w:val="76073C54"/>
    <w:multiLevelType w:val="hybridMultilevel"/>
    <w:tmpl w:val="3E8E4424"/>
    <w:lvl w:ilvl="0" w:tplc="0C090017">
      <w:start w:val="1"/>
      <w:numFmt w:val="lowerLetter"/>
      <w:lvlText w:val="%1)"/>
      <w:lvlJc w:val="left"/>
      <w:pPr>
        <w:ind w:left="1080" w:hanging="360"/>
      </w:pPr>
      <w:rPr>
        <w:rFonts w:hint="default"/>
        <w:b w:val="0"/>
        <w:bCs w:val="0"/>
      </w:rPr>
    </w:lvl>
    <w:lvl w:ilvl="1" w:tplc="0C090001">
      <w:start w:val="1"/>
      <w:numFmt w:val="bullet"/>
      <w:lvlText w:val=""/>
      <w:lvlJc w:val="left"/>
      <w:pPr>
        <w:ind w:left="1800" w:hanging="360"/>
      </w:pPr>
      <w:rPr>
        <w:rFonts w:ascii="Symbol" w:hAnsi="Symbol" w:hint="default"/>
        <w:b w:val="0"/>
        <w:bCs w:val="0"/>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6" w15:restartNumberingAfterBreak="0">
    <w:nsid w:val="76FA2A84"/>
    <w:multiLevelType w:val="hybridMultilevel"/>
    <w:tmpl w:val="AEF8D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7" w15:restartNumberingAfterBreak="0">
    <w:nsid w:val="774B4CFF"/>
    <w:multiLevelType w:val="hybridMultilevel"/>
    <w:tmpl w:val="3806B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78A77739"/>
    <w:multiLevelType w:val="hybridMultilevel"/>
    <w:tmpl w:val="21BA4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9" w15:restartNumberingAfterBreak="0">
    <w:nsid w:val="79BC7A9C"/>
    <w:multiLevelType w:val="hybridMultilevel"/>
    <w:tmpl w:val="EAEE2A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7A137B43"/>
    <w:multiLevelType w:val="hybridMultilevel"/>
    <w:tmpl w:val="02B660F8"/>
    <w:lvl w:ilvl="0" w:tplc="9AA0764A">
      <w:start w:val="1"/>
      <w:numFmt w:val="decimal"/>
      <w:lvlText w:val="%1."/>
      <w:lvlJc w:val="left"/>
      <w:pPr>
        <w:ind w:left="360" w:hanging="360"/>
      </w:pPr>
      <w:rPr>
        <w:b w:val="0"/>
        <w:bCs w:val="0"/>
      </w:rPr>
    </w:lvl>
    <w:lvl w:ilvl="1" w:tplc="0C090017">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1" w15:restartNumberingAfterBreak="0">
    <w:nsid w:val="7BE72CEA"/>
    <w:multiLevelType w:val="hybridMultilevel"/>
    <w:tmpl w:val="18480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7CC90A61"/>
    <w:multiLevelType w:val="hybridMultilevel"/>
    <w:tmpl w:val="DE0C3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DCB2053"/>
    <w:multiLevelType w:val="hybridMultilevel"/>
    <w:tmpl w:val="B6242FB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7EA8464E"/>
    <w:multiLevelType w:val="hybridMultilevel"/>
    <w:tmpl w:val="58565884"/>
    <w:lvl w:ilvl="0" w:tplc="A4FAAC42">
      <w:start w:val="2"/>
      <w:numFmt w:val="decimal"/>
      <w:lvlText w:val="%1."/>
      <w:lvlJc w:val="left"/>
      <w:pPr>
        <w:ind w:left="644" w:hanging="360"/>
      </w:pPr>
      <w:rPr>
        <w:rFonts w:hint="default"/>
        <w:b w:val="0"/>
        <w:bCs w:val="0"/>
        <w:color w:val="auto"/>
      </w:rPr>
    </w:lvl>
    <w:lvl w:ilvl="1" w:tplc="5B485886">
      <w:start w:val="1"/>
      <w:numFmt w:val="lowerLetter"/>
      <w:lvlText w:val="%2)"/>
      <w:lvlJc w:val="left"/>
      <w:pPr>
        <w:ind w:left="144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7F59466F"/>
    <w:multiLevelType w:val="hybridMultilevel"/>
    <w:tmpl w:val="8E0CEDDC"/>
    <w:lvl w:ilvl="0" w:tplc="EAF0B19A">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num w:numId="1">
    <w:abstractNumId w:val="73"/>
  </w:num>
  <w:num w:numId="2">
    <w:abstractNumId w:val="2"/>
  </w:num>
  <w:num w:numId="3">
    <w:abstractNumId w:val="1"/>
  </w:num>
  <w:num w:numId="4">
    <w:abstractNumId w:val="0"/>
  </w:num>
  <w:num w:numId="5">
    <w:abstractNumId w:val="114"/>
  </w:num>
  <w:num w:numId="6">
    <w:abstractNumId w:val="41"/>
  </w:num>
  <w:num w:numId="7">
    <w:abstractNumId w:val="8"/>
  </w:num>
  <w:num w:numId="8">
    <w:abstractNumId w:val="110"/>
  </w:num>
  <w:num w:numId="9">
    <w:abstractNumId w:val="118"/>
  </w:num>
  <w:num w:numId="10">
    <w:abstractNumId w:val="82"/>
  </w:num>
  <w:num w:numId="11">
    <w:abstractNumId w:val="182"/>
  </w:num>
  <w:num w:numId="12">
    <w:abstractNumId w:val="100"/>
  </w:num>
  <w:num w:numId="13">
    <w:abstractNumId w:val="109"/>
  </w:num>
  <w:num w:numId="14">
    <w:abstractNumId w:val="140"/>
  </w:num>
  <w:num w:numId="15">
    <w:abstractNumId w:val="170"/>
  </w:num>
  <w:num w:numId="16">
    <w:abstractNumId w:val="99"/>
  </w:num>
  <w:num w:numId="17">
    <w:abstractNumId w:val="61"/>
  </w:num>
  <w:num w:numId="18">
    <w:abstractNumId w:val="7"/>
  </w:num>
  <w:num w:numId="19">
    <w:abstractNumId w:val="178"/>
  </w:num>
  <w:num w:numId="20">
    <w:abstractNumId w:val="162"/>
  </w:num>
  <w:num w:numId="21">
    <w:abstractNumId w:val="100"/>
  </w:num>
  <w:num w:numId="22">
    <w:abstractNumId w:val="9"/>
  </w:num>
  <w:num w:numId="23">
    <w:abstractNumId w:val="18"/>
  </w:num>
  <w:num w:numId="24">
    <w:abstractNumId w:val="65"/>
  </w:num>
  <w:num w:numId="25">
    <w:abstractNumId w:val="24"/>
  </w:num>
  <w:num w:numId="26">
    <w:abstractNumId w:val="176"/>
  </w:num>
  <w:num w:numId="27">
    <w:abstractNumId w:val="50"/>
  </w:num>
  <w:num w:numId="28">
    <w:abstractNumId w:val="129"/>
  </w:num>
  <w:num w:numId="29">
    <w:abstractNumId w:val="58"/>
  </w:num>
  <w:num w:numId="30">
    <w:abstractNumId w:val="84"/>
  </w:num>
  <w:num w:numId="31">
    <w:abstractNumId w:val="163"/>
  </w:num>
  <w:num w:numId="32">
    <w:abstractNumId w:val="33"/>
  </w:num>
  <w:num w:numId="33">
    <w:abstractNumId w:val="26"/>
  </w:num>
  <w:num w:numId="34">
    <w:abstractNumId w:val="48"/>
  </w:num>
  <w:num w:numId="35">
    <w:abstractNumId w:val="166"/>
  </w:num>
  <w:num w:numId="36">
    <w:abstractNumId w:val="115"/>
  </w:num>
  <w:num w:numId="37">
    <w:abstractNumId w:val="14"/>
  </w:num>
  <w:num w:numId="38">
    <w:abstractNumId w:val="168"/>
  </w:num>
  <w:num w:numId="39">
    <w:abstractNumId w:val="105"/>
  </w:num>
  <w:num w:numId="40">
    <w:abstractNumId w:val="19"/>
  </w:num>
  <w:num w:numId="41">
    <w:abstractNumId w:val="141"/>
  </w:num>
  <w:num w:numId="42">
    <w:abstractNumId w:val="81"/>
  </w:num>
  <w:num w:numId="43">
    <w:abstractNumId w:val="120"/>
  </w:num>
  <w:num w:numId="44">
    <w:abstractNumId w:val="90"/>
  </w:num>
  <w:num w:numId="45">
    <w:abstractNumId w:val="3"/>
  </w:num>
  <w:num w:numId="46">
    <w:abstractNumId w:val="112"/>
  </w:num>
  <w:num w:numId="47">
    <w:abstractNumId w:val="86"/>
  </w:num>
  <w:num w:numId="48">
    <w:abstractNumId w:val="179"/>
  </w:num>
  <w:num w:numId="49">
    <w:abstractNumId w:val="63"/>
  </w:num>
  <w:num w:numId="50">
    <w:abstractNumId w:val="30"/>
  </w:num>
  <w:num w:numId="51">
    <w:abstractNumId w:val="101"/>
  </w:num>
  <w:num w:numId="52">
    <w:abstractNumId w:val="12"/>
  </w:num>
  <w:num w:numId="53">
    <w:abstractNumId w:val="185"/>
  </w:num>
  <w:num w:numId="54">
    <w:abstractNumId w:val="100"/>
    <w:lvlOverride w:ilvl="0">
      <w:startOverride w:val="1"/>
    </w:lvlOverride>
  </w:num>
  <w:num w:numId="55">
    <w:abstractNumId w:val="40"/>
  </w:num>
  <w:num w:numId="56">
    <w:abstractNumId w:val="49"/>
  </w:num>
  <w:num w:numId="57">
    <w:abstractNumId w:val="88"/>
  </w:num>
  <w:num w:numId="58">
    <w:abstractNumId w:val="73"/>
  </w:num>
  <w:num w:numId="59">
    <w:abstractNumId w:val="41"/>
  </w:num>
  <w:num w:numId="60">
    <w:abstractNumId w:val="153"/>
  </w:num>
  <w:num w:numId="61">
    <w:abstractNumId w:val="46"/>
  </w:num>
  <w:num w:numId="62">
    <w:abstractNumId w:val="103"/>
  </w:num>
  <w:num w:numId="63">
    <w:abstractNumId w:val="103"/>
  </w:num>
  <w:num w:numId="64">
    <w:abstractNumId w:val="114"/>
  </w:num>
  <w:num w:numId="65">
    <w:abstractNumId w:val="17"/>
  </w:num>
  <w:num w:numId="66">
    <w:abstractNumId w:val="126"/>
  </w:num>
  <w:num w:numId="67">
    <w:abstractNumId w:val="181"/>
  </w:num>
  <w:num w:numId="68">
    <w:abstractNumId w:val="60"/>
  </w:num>
  <w:num w:numId="6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
  </w:num>
  <w:num w:numId="71">
    <w:abstractNumId w:val="44"/>
  </w:num>
  <w:num w:numId="72">
    <w:abstractNumId w:val="119"/>
  </w:num>
  <w:num w:numId="73">
    <w:abstractNumId w:val="157"/>
  </w:num>
  <w:num w:numId="74">
    <w:abstractNumId w:val="25"/>
  </w:num>
  <w:num w:numId="75">
    <w:abstractNumId w:val="42"/>
  </w:num>
  <w:num w:numId="76">
    <w:abstractNumId w:val="85"/>
  </w:num>
  <w:num w:numId="77">
    <w:abstractNumId w:val="165"/>
  </w:num>
  <w:num w:numId="78">
    <w:abstractNumId w:val="20"/>
  </w:num>
  <w:num w:numId="79">
    <w:abstractNumId w:val="10"/>
  </w:num>
  <w:num w:numId="80">
    <w:abstractNumId w:val="79"/>
  </w:num>
  <w:num w:numId="81">
    <w:abstractNumId w:val="158"/>
  </w:num>
  <w:num w:numId="82">
    <w:abstractNumId w:val="57"/>
  </w:num>
  <w:num w:numId="83">
    <w:abstractNumId w:val="95"/>
  </w:num>
  <w:num w:numId="84">
    <w:abstractNumId w:val="67"/>
  </w:num>
  <w:num w:numId="85">
    <w:abstractNumId w:val="146"/>
  </w:num>
  <w:num w:numId="86">
    <w:abstractNumId w:val="28"/>
  </w:num>
  <w:num w:numId="87">
    <w:abstractNumId w:val="76"/>
  </w:num>
  <w:num w:numId="88">
    <w:abstractNumId w:val="75"/>
  </w:num>
  <w:num w:numId="89">
    <w:abstractNumId w:val="52"/>
  </w:num>
  <w:num w:numId="90">
    <w:abstractNumId w:val="13"/>
  </w:num>
  <w:num w:numId="91">
    <w:abstractNumId w:val="38"/>
  </w:num>
  <w:num w:numId="92">
    <w:abstractNumId w:val="161"/>
  </w:num>
  <w:num w:numId="93">
    <w:abstractNumId w:val="137"/>
  </w:num>
  <w:num w:numId="94">
    <w:abstractNumId w:val="139"/>
  </w:num>
  <w:num w:numId="95">
    <w:abstractNumId w:val="155"/>
  </w:num>
  <w:num w:numId="96">
    <w:abstractNumId w:val="130"/>
  </w:num>
  <w:num w:numId="97">
    <w:abstractNumId w:val="152"/>
  </w:num>
  <w:num w:numId="98">
    <w:abstractNumId w:val="106"/>
  </w:num>
  <w:num w:numId="99">
    <w:abstractNumId w:val="98"/>
  </w:num>
  <w:num w:numId="100">
    <w:abstractNumId w:val="148"/>
  </w:num>
  <w:num w:numId="101">
    <w:abstractNumId w:val="32"/>
  </w:num>
  <w:num w:numId="102">
    <w:abstractNumId w:val="97"/>
  </w:num>
  <w:num w:numId="10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4"/>
  </w:num>
  <w:num w:numId="105">
    <w:abstractNumId w:val="145"/>
  </w:num>
  <w:num w:numId="106">
    <w:abstractNumId w:val="133"/>
  </w:num>
  <w:num w:numId="107">
    <w:abstractNumId w:val="173"/>
  </w:num>
  <w:num w:numId="108">
    <w:abstractNumId w:val="87"/>
  </w:num>
  <w:num w:numId="109">
    <w:abstractNumId w:val="66"/>
  </w:num>
  <w:num w:numId="110">
    <w:abstractNumId w:val="23"/>
  </w:num>
  <w:num w:numId="111">
    <w:abstractNumId w:val="160"/>
  </w:num>
  <w:num w:numId="112">
    <w:abstractNumId w:val="132"/>
  </w:num>
  <w:num w:numId="113">
    <w:abstractNumId w:val="122"/>
  </w:num>
  <w:num w:numId="114">
    <w:abstractNumId w:val="151"/>
  </w:num>
  <w:num w:numId="115">
    <w:abstractNumId w:val="15"/>
  </w:num>
  <w:num w:numId="116">
    <w:abstractNumId w:val="142"/>
  </w:num>
  <w:num w:numId="117">
    <w:abstractNumId w:val="154"/>
  </w:num>
  <w:num w:numId="118">
    <w:abstractNumId w:val="54"/>
  </w:num>
  <w:num w:numId="119">
    <w:abstractNumId w:val="64"/>
  </w:num>
  <w:num w:numId="120">
    <w:abstractNumId w:val="116"/>
  </w:num>
  <w:num w:numId="121">
    <w:abstractNumId w:val="131"/>
  </w:num>
  <w:num w:numId="122">
    <w:abstractNumId w:val="159"/>
  </w:num>
  <w:num w:numId="123">
    <w:abstractNumId w:val="83"/>
  </w:num>
  <w:num w:numId="124">
    <w:abstractNumId w:val="93"/>
  </w:num>
  <w:num w:numId="125">
    <w:abstractNumId w:val="174"/>
  </w:num>
  <w:num w:numId="126">
    <w:abstractNumId w:val="113"/>
  </w:num>
  <w:num w:numId="127">
    <w:abstractNumId w:val="96"/>
  </w:num>
  <w:num w:numId="128">
    <w:abstractNumId w:val="72"/>
  </w:num>
  <w:num w:numId="129">
    <w:abstractNumId w:val="180"/>
  </w:num>
  <w:num w:numId="130">
    <w:abstractNumId w:val="6"/>
  </w:num>
  <w:num w:numId="131">
    <w:abstractNumId w:val="183"/>
  </w:num>
  <w:num w:numId="132">
    <w:abstractNumId w:val="108"/>
  </w:num>
  <w:num w:numId="133">
    <w:abstractNumId w:val="45"/>
  </w:num>
  <w:num w:numId="134">
    <w:abstractNumId w:val="107"/>
  </w:num>
  <w:num w:numId="135">
    <w:abstractNumId w:val="27"/>
  </w:num>
  <w:num w:numId="136">
    <w:abstractNumId w:val="89"/>
  </w:num>
  <w:num w:numId="137">
    <w:abstractNumId w:val="29"/>
  </w:num>
  <w:num w:numId="138">
    <w:abstractNumId w:val="123"/>
  </w:num>
  <w:num w:numId="139">
    <w:abstractNumId w:val="68"/>
  </w:num>
  <w:num w:numId="140">
    <w:abstractNumId w:val="117"/>
  </w:num>
  <w:num w:numId="141">
    <w:abstractNumId w:val="171"/>
  </w:num>
  <w:num w:numId="142">
    <w:abstractNumId w:val="74"/>
  </w:num>
  <w:num w:numId="143">
    <w:abstractNumId w:val="77"/>
  </w:num>
  <w:num w:numId="144">
    <w:abstractNumId w:val="127"/>
  </w:num>
  <w:num w:numId="145">
    <w:abstractNumId w:val="56"/>
  </w:num>
  <w:num w:numId="146">
    <w:abstractNumId w:val="150"/>
  </w:num>
  <w:num w:numId="147">
    <w:abstractNumId w:val="11"/>
  </w:num>
  <w:num w:numId="148">
    <w:abstractNumId w:val="175"/>
  </w:num>
  <w:num w:numId="149">
    <w:abstractNumId w:val="69"/>
  </w:num>
  <w:num w:numId="150">
    <w:abstractNumId w:val="47"/>
  </w:num>
  <w:num w:numId="151">
    <w:abstractNumId w:val="121"/>
  </w:num>
  <w:num w:numId="152">
    <w:abstractNumId w:val="104"/>
  </w:num>
  <w:num w:numId="153">
    <w:abstractNumId w:val="53"/>
  </w:num>
  <w:num w:numId="154">
    <w:abstractNumId w:val="37"/>
  </w:num>
  <w:num w:numId="155">
    <w:abstractNumId w:val="149"/>
  </w:num>
  <w:num w:numId="156">
    <w:abstractNumId w:val="128"/>
  </w:num>
  <w:num w:numId="157">
    <w:abstractNumId w:val="80"/>
  </w:num>
  <w:num w:numId="158">
    <w:abstractNumId w:val="91"/>
  </w:num>
  <w:num w:numId="159">
    <w:abstractNumId w:val="31"/>
  </w:num>
  <w:num w:numId="160">
    <w:abstractNumId w:val="125"/>
  </w:num>
  <w:num w:numId="161">
    <w:abstractNumId w:val="136"/>
  </w:num>
  <w:num w:numId="162">
    <w:abstractNumId w:val="169"/>
  </w:num>
  <w:num w:numId="163">
    <w:abstractNumId w:val="5"/>
  </w:num>
  <w:num w:numId="164">
    <w:abstractNumId w:val="39"/>
  </w:num>
  <w:num w:numId="165">
    <w:abstractNumId w:val="35"/>
  </w:num>
  <w:num w:numId="166">
    <w:abstractNumId w:val="167"/>
  </w:num>
  <w:num w:numId="167">
    <w:abstractNumId w:val="16"/>
  </w:num>
  <w:num w:numId="168">
    <w:abstractNumId w:val="177"/>
  </w:num>
  <w:num w:numId="169">
    <w:abstractNumId w:val="22"/>
  </w:num>
  <w:num w:numId="170">
    <w:abstractNumId w:val="51"/>
  </w:num>
  <w:num w:numId="171">
    <w:abstractNumId w:val="135"/>
  </w:num>
  <w:num w:numId="172">
    <w:abstractNumId w:val="184"/>
  </w:num>
  <w:num w:numId="173">
    <w:abstractNumId w:val="59"/>
  </w:num>
  <w:num w:numId="174">
    <w:abstractNumId w:val="138"/>
  </w:num>
  <w:num w:numId="175">
    <w:abstractNumId w:val="21"/>
  </w:num>
  <w:num w:numId="176">
    <w:abstractNumId w:val="62"/>
  </w:num>
  <w:num w:numId="177">
    <w:abstractNumId w:val="156"/>
  </w:num>
  <w:num w:numId="178">
    <w:abstractNumId w:val="34"/>
  </w:num>
  <w:num w:numId="179">
    <w:abstractNumId w:val="92"/>
  </w:num>
  <w:num w:numId="180">
    <w:abstractNumId w:val="43"/>
  </w:num>
  <w:num w:numId="181">
    <w:abstractNumId w:val="70"/>
  </w:num>
  <w:num w:numId="182">
    <w:abstractNumId w:val="78"/>
  </w:num>
  <w:num w:numId="183">
    <w:abstractNumId w:val="102"/>
  </w:num>
  <w:num w:numId="184">
    <w:abstractNumId w:val="111"/>
  </w:num>
  <w:num w:numId="185">
    <w:abstractNumId w:val="134"/>
  </w:num>
  <w:num w:numId="186">
    <w:abstractNumId w:val="147"/>
  </w:num>
  <w:num w:numId="187">
    <w:abstractNumId w:val="55"/>
  </w:num>
  <w:num w:numId="188">
    <w:abstractNumId w:val="71"/>
  </w:num>
  <w:num w:numId="189">
    <w:abstractNumId w:val="36"/>
  </w:num>
  <w:num w:numId="190">
    <w:abstractNumId w:val="172"/>
  </w:num>
  <w:num w:numId="19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94"/>
  </w:num>
  <w:num w:numId="193">
    <w:abstractNumId w:val="143"/>
  </w:num>
  <w:num w:numId="194">
    <w:abstractNumId w:val="144"/>
  </w:num>
  <w:num w:numId="195">
    <w:abstractNumId w:val="24"/>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removePersonalInformation/>
  <w:removeDateAndTime/>
  <w:activeWritingStyle w:appName="MSWord" w:lang="en-GB" w:vendorID="64" w:dllVersion="0" w:nlCheck="1" w:checkStyle="0"/>
  <w:activeWritingStyle w:appName="MSWord" w:lang="en-AU" w:vendorID="64" w:dllVersion="0" w:nlCheck="1" w:checkStyle="0"/>
  <w:activeWritingStyle w:appName="MSWord" w:lang="en-AU" w:vendorID="64" w:dllVersion="6" w:nlCheck="1" w:checkStyle="1"/>
  <w:activeWritingStyle w:appName="MSWord" w:lang="en-GB"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defaultTabStop w:val="720"/>
  <w:hyphenationZone w:val="425"/>
  <w:characterSpacingControl w:val="doNotCompress"/>
  <w:hdrShapeDefaults>
    <o:shapedefaults v:ext="edit" spidmax="10241"/>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0FD"/>
    <w:rsid w:val="00000105"/>
    <w:rsid w:val="00000176"/>
    <w:rsid w:val="00000264"/>
    <w:rsid w:val="0000026E"/>
    <w:rsid w:val="00000276"/>
    <w:rsid w:val="00000386"/>
    <w:rsid w:val="000003C1"/>
    <w:rsid w:val="000003EF"/>
    <w:rsid w:val="00000493"/>
    <w:rsid w:val="00000566"/>
    <w:rsid w:val="000005FE"/>
    <w:rsid w:val="0000061F"/>
    <w:rsid w:val="0000062E"/>
    <w:rsid w:val="000006A3"/>
    <w:rsid w:val="000006D3"/>
    <w:rsid w:val="00000911"/>
    <w:rsid w:val="0000098B"/>
    <w:rsid w:val="000009B8"/>
    <w:rsid w:val="000009CE"/>
    <w:rsid w:val="00000A68"/>
    <w:rsid w:val="00000BB0"/>
    <w:rsid w:val="00000BDE"/>
    <w:rsid w:val="00000C88"/>
    <w:rsid w:val="00000CA4"/>
    <w:rsid w:val="00000DB2"/>
    <w:rsid w:val="00000E3A"/>
    <w:rsid w:val="00000F51"/>
    <w:rsid w:val="00001011"/>
    <w:rsid w:val="0000104A"/>
    <w:rsid w:val="00001100"/>
    <w:rsid w:val="00001182"/>
    <w:rsid w:val="00001186"/>
    <w:rsid w:val="000011CC"/>
    <w:rsid w:val="00001235"/>
    <w:rsid w:val="000013D3"/>
    <w:rsid w:val="000013EC"/>
    <w:rsid w:val="00001428"/>
    <w:rsid w:val="000014FC"/>
    <w:rsid w:val="00001623"/>
    <w:rsid w:val="0000163B"/>
    <w:rsid w:val="00001972"/>
    <w:rsid w:val="00001BAB"/>
    <w:rsid w:val="00001CC5"/>
    <w:rsid w:val="00001D88"/>
    <w:rsid w:val="00001DBB"/>
    <w:rsid w:val="00001E19"/>
    <w:rsid w:val="00001E1E"/>
    <w:rsid w:val="00001E7A"/>
    <w:rsid w:val="00001EB9"/>
    <w:rsid w:val="00001ED1"/>
    <w:rsid w:val="00001FD1"/>
    <w:rsid w:val="00002045"/>
    <w:rsid w:val="000021B9"/>
    <w:rsid w:val="000022A3"/>
    <w:rsid w:val="000022F6"/>
    <w:rsid w:val="00002362"/>
    <w:rsid w:val="00002398"/>
    <w:rsid w:val="000023D7"/>
    <w:rsid w:val="00002429"/>
    <w:rsid w:val="000024C5"/>
    <w:rsid w:val="000025AA"/>
    <w:rsid w:val="000026C8"/>
    <w:rsid w:val="000027B1"/>
    <w:rsid w:val="0000282C"/>
    <w:rsid w:val="0000282D"/>
    <w:rsid w:val="00002962"/>
    <w:rsid w:val="00002AE7"/>
    <w:rsid w:val="00002BF6"/>
    <w:rsid w:val="00002D68"/>
    <w:rsid w:val="00002D6A"/>
    <w:rsid w:val="00002DD4"/>
    <w:rsid w:val="00002EDF"/>
    <w:rsid w:val="00002F94"/>
    <w:rsid w:val="00002FA1"/>
    <w:rsid w:val="00003101"/>
    <w:rsid w:val="0000317F"/>
    <w:rsid w:val="000031C8"/>
    <w:rsid w:val="0000334A"/>
    <w:rsid w:val="000033DC"/>
    <w:rsid w:val="00003447"/>
    <w:rsid w:val="00003457"/>
    <w:rsid w:val="000034CA"/>
    <w:rsid w:val="0000351A"/>
    <w:rsid w:val="000035A2"/>
    <w:rsid w:val="0000362C"/>
    <w:rsid w:val="00003802"/>
    <w:rsid w:val="00003837"/>
    <w:rsid w:val="00003863"/>
    <w:rsid w:val="00003874"/>
    <w:rsid w:val="000038A4"/>
    <w:rsid w:val="0000394C"/>
    <w:rsid w:val="0000398C"/>
    <w:rsid w:val="00003A39"/>
    <w:rsid w:val="00003A45"/>
    <w:rsid w:val="00003A8F"/>
    <w:rsid w:val="00003AAD"/>
    <w:rsid w:val="00003C0C"/>
    <w:rsid w:val="00003C3D"/>
    <w:rsid w:val="00003E1D"/>
    <w:rsid w:val="00003E46"/>
    <w:rsid w:val="00003E4E"/>
    <w:rsid w:val="00004076"/>
    <w:rsid w:val="000040A7"/>
    <w:rsid w:val="000040B2"/>
    <w:rsid w:val="000042E9"/>
    <w:rsid w:val="00004317"/>
    <w:rsid w:val="0000452F"/>
    <w:rsid w:val="00004673"/>
    <w:rsid w:val="00004684"/>
    <w:rsid w:val="000047B3"/>
    <w:rsid w:val="00004876"/>
    <w:rsid w:val="000048D7"/>
    <w:rsid w:val="000049DD"/>
    <w:rsid w:val="00004A09"/>
    <w:rsid w:val="00004AA1"/>
    <w:rsid w:val="00004B40"/>
    <w:rsid w:val="00004B6B"/>
    <w:rsid w:val="00004B83"/>
    <w:rsid w:val="00004E45"/>
    <w:rsid w:val="00004ECB"/>
    <w:rsid w:val="00005084"/>
    <w:rsid w:val="000051AD"/>
    <w:rsid w:val="00005523"/>
    <w:rsid w:val="00005569"/>
    <w:rsid w:val="000055E9"/>
    <w:rsid w:val="00005647"/>
    <w:rsid w:val="0000578B"/>
    <w:rsid w:val="0000586B"/>
    <w:rsid w:val="00005917"/>
    <w:rsid w:val="000059ED"/>
    <w:rsid w:val="00005AA9"/>
    <w:rsid w:val="00005B74"/>
    <w:rsid w:val="00005C86"/>
    <w:rsid w:val="00005C93"/>
    <w:rsid w:val="00005CBE"/>
    <w:rsid w:val="00005D04"/>
    <w:rsid w:val="00005DC5"/>
    <w:rsid w:val="00005DE6"/>
    <w:rsid w:val="00005E10"/>
    <w:rsid w:val="00005FD6"/>
    <w:rsid w:val="00006225"/>
    <w:rsid w:val="00006232"/>
    <w:rsid w:val="0000629B"/>
    <w:rsid w:val="000063C9"/>
    <w:rsid w:val="00006529"/>
    <w:rsid w:val="000065F9"/>
    <w:rsid w:val="0000666F"/>
    <w:rsid w:val="00006702"/>
    <w:rsid w:val="0000671B"/>
    <w:rsid w:val="0000680E"/>
    <w:rsid w:val="0000681C"/>
    <w:rsid w:val="00006852"/>
    <w:rsid w:val="00006860"/>
    <w:rsid w:val="000069FB"/>
    <w:rsid w:val="00006AA8"/>
    <w:rsid w:val="00006EE8"/>
    <w:rsid w:val="00006F16"/>
    <w:rsid w:val="00007068"/>
    <w:rsid w:val="00007105"/>
    <w:rsid w:val="00007131"/>
    <w:rsid w:val="00007152"/>
    <w:rsid w:val="0000716B"/>
    <w:rsid w:val="000071E1"/>
    <w:rsid w:val="00007210"/>
    <w:rsid w:val="00007228"/>
    <w:rsid w:val="00007275"/>
    <w:rsid w:val="0000752B"/>
    <w:rsid w:val="0000752D"/>
    <w:rsid w:val="00007585"/>
    <w:rsid w:val="0000762F"/>
    <w:rsid w:val="000076F3"/>
    <w:rsid w:val="00007776"/>
    <w:rsid w:val="00007791"/>
    <w:rsid w:val="00007834"/>
    <w:rsid w:val="0000791F"/>
    <w:rsid w:val="00007974"/>
    <w:rsid w:val="000079B3"/>
    <w:rsid w:val="00007AA9"/>
    <w:rsid w:val="00007B71"/>
    <w:rsid w:val="00007D28"/>
    <w:rsid w:val="00007D8C"/>
    <w:rsid w:val="00007DA9"/>
    <w:rsid w:val="00007DD3"/>
    <w:rsid w:val="00007DDD"/>
    <w:rsid w:val="00007E66"/>
    <w:rsid w:val="00007E7D"/>
    <w:rsid w:val="00007EEA"/>
    <w:rsid w:val="00007F0C"/>
    <w:rsid w:val="0001037C"/>
    <w:rsid w:val="00010387"/>
    <w:rsid w:val="000103D3"/>
    <w:rsid w:val="000106CB"/>
    <w:rsid w:val="000106EF"/>
    <w:rsid w:val="0001073E"/>
    <w:rsid w:val="00010898"/>
    <w:rsid w:val="00010AB0"/>
    <w:rsid w:val="00010AD2"/>
    <w:rsid w:val="00010B36"/>
    <w:rsid w:val="00010BCD"/>
    <w:rsid w:val="00010BDF"/>
    <w:rsid w:val="00010C20"/>
    <w:rsid w:val="00010C62"/>
    <w:rsid w:val="00010CE8"/>
    <w:rsid w:val="00010D1C"/>
    <w:rsid w:val="00010E5E"/>
    <w:rsid w:val="00010E68"/>
    <w:rsid w:val="00010F4E"/>
    <w:rsid w:val="00010F8E"/>
    <w:rsid w:val="00010FFC"/>
    <w:rsid w:val="0001125D"/>
    <w:rsid w:val="00011314"/>
    <w:rsid w:val="000113A0"/>
    <w:rsid w:val="00011442"/>
    <w:rsid w:val="000116B0"/>
    <w:rsid w:val="0001173F"/>
    <w:rsid w:val="00011745"/>
    <w:rsid w:val="000117B8"/>
    <w:rsid w:val="0001188A"/>
    <w:rsid w:val="000119E7"/>
    <w:rsid w:val="00011A05"/>
    <w:rsid w:val="00011AC2"/>
    <w:rsid w:val="00011AEE"/>
    <w:rsid w:val="00011B36"/>
    <w:rsid w:val="00011C11"/>
    <w:rsid w:val="00012069"/>
    <w:rsid w:val="0001206B"/>
    <w:rsid w:val="0001206F"/>
    <w:rsid w:val="00012079"/>
    <w:rsid w:val="00012109"/>
    <w:rsid w:val="000121EA"/>
    <w:rsid w:val="000121EB"/>
    <w:rsid w:val="00012218"/>
    <w:rsid w:val="000122BC"/>
    <w:rsid w:val="00012375"/>
    <w:rsid w:val="000123C2"/>
    <w:rsid w:val="00012428"/>
    <w:rsid w:val="00012441"/>
    <w:rsid w:val="00012726"/>
    <w:rsid w:val="0001279A"/>
    <w:rsid w:val="000128CD"/>
    <w:rsid w:val="000128F4"/>
    <w:rsid w:val="00012A31"/>
    <w:rsid w:val="00012B05"/>
    <w:rsid w:val="00012B59"/>
    <w:rsid w:val="00012B5A"/>
    <w:rsid w:val="00012D2D"/>
    <w:rsid w:val="00012D45"/>
    <w:rsid w:val="00012EB1"/>
    <w:rsid w:val="00012EE8"/>
    <w:rsid w:val="00012FB7"/>
    <w:rsid w:val="000130A3"/>
    <w:rsid w:val="000130A4"/>
    <w:rsid w:val="000130F3"/>
    <w:rsid w:val="000131A3"/>
    <w:rsid w:val="00013249"/>
    <w:rsid w:val="0001325A"/>
    <w:rsid w:val="00013304"/>
    <w:rsid w:val="0001346D"/>
    <w:rsid w:val="00013482"/>
    <w:rsid w:val="0001360A"/>
    <w:rsid w:val="00013692"/>
    <w:rsid w:val="000136EE"/>
    <w:rsid w:val="00013737"/>
    <w:rsid w:val="00013778"/>
    <w:rsid w:val="0001388A"/>
    <w:rsid w:val="000138E0"/>
    <w:rsid w:val="000138FE"/>
    <w:rsid w:val="0001397C"/>
    <w:rsid w:val="000139D4"/>
    <w:rsid w:val="00013A4A"/>
    <w:rsid w:val="00013A92"/>
    <w:rsid w:val="00013AB1"/>
    <w:rsid w:val="00013B99"/>
    <w:rsid w:val="00013D6C"/>
    <w:rsid w:val="00013F85"/>
    <w:rsid w:val="00013FB4"/>
    <w:rsid w:val="0001416A"/>
    <w:rsid w:val="00014177"/>
    <w:rsid w:val="000141EA"/>
    <w:rsid w:val="00014203"/>
    <w:rsid w:val="00014254"/>
    <w:rsid w:val="00014331"/>
    <w:rsid w:val="000143E2"/>
    <w:rsid w:val="00014454"/>
    <w:rsid w:val="000144B2"/>
    <w:rsid w:val="00014518"/>
    <w:rsid w:val="000145FA"/>
    <w:rsid w:val="0001469F"/>
    <w:rsid w:val="000146CC"/>
    <w:rsid w:val="0001474F"/>
    <w:rsid w:val="00014772"/>
    <w:rsid w:val="0001477D"/>
    <w:rsid w:val="0001483F"/>
    <w:rsid w:val="00014AEA"/>
    <w:rsid w:val="00014B89"/>
    <w:rsid w:val="00014CB0"/>
    <w:rsid w:val="00014DA6"/>
    <w:rsid w:val="00014DEC"/>
    <w:rsid w:val="00014E4E"/>
    <w:rsid w:val="00014F3F"/>
    <w:rsid w:val="00014FC8"/>
    <w:rsid w:val="00014FD9"/>
    <w:rsid w:val="000150F9"/>
    <w:rsid w:val="0001516F"/>
    <w:rsid w:val="000151BA"/>
    <w:rsid w:val="000151D8"/>
    <w:rsid w:val="00015206"/>
    <w:rsid w:val="0001522A"/>
    <w:rsid w:val="00015290"/>
    <w:rsid w:val="00015411"/>
    <w:rsid w:val="00015458"/>
    <w:rsid w:val="00015521"/>
    <w:rsid w:val="00015551"/>
    <w:rsid w:val="00015556"/>
    <w:rsid w:val="0001558A"/>
    <w:rsid w:val="00015825"/>
    <w:rsid w:val="000158B3"/>
    <w:rsid w:val="000159CE"/>
    <w:rsid w:val="00015A0B"/>
    <w:rsid w:val="00015A0D"/>
    <w:rsid w:val="00015B3A"/>
    <w:rsid w:val="00015C66"/>
    <w:rsid w:val="00015C6B"/>
    <w:rsid w:val="00015CC8"/>
    <w:rsid w:val="00015CC9"/>
    <w:rsid w:val="00015D91"/>
    <w:rsid w:val="00015DB3"/>
    <w:rsid w:val="00015DB9"/>
    <w:rsid w:val="00015E40"/>
    <w:rsid w:val="00015EB6"/>
    <w:rsid w:val="00015ED5"/>
    <w:rsid w:val="00015F77"/>
    <w:rsid w:val="00015FAA"/>
    <w:rsid w:val="00015FB3"/>
    <w:rsid w:val="0001613E"/>
    <w:rsid w:val="000161CB"/>
    <w:rsid w:val="0001623B"/>
    <w:rsid w:val="00016261"/>
    <w:rsid w:val="000162C1"/>
    <w:rsid w:val="00016307"/>
    <w:rsid w:val="0001634D"/>
    <w:rsid w:val="00016434"/>
    <w:rsid w:val="000164A8"/>
    <w:rsid w:val="000164AA"/>
    <w:rsid w:val="0001654A"/>
    <w:rsid w:val="00016556"/>
    <w:rsid w:val="000165AB"/>
    <w:rsid w:val="0001667C"/>
    <w:rsid w:val="00016744"/>
    <w:rsid w:val="0001676D"/>
    <w:rsid w:val="0001677D"/>
    <w:rsid w:val="000167C6"/>
    <w:rsid w:val="00016816"/>
    <w:rsid w:val="00016876"/>
    <w:rsid w:val="0001689B"/>
    <w:rsid w:val="00016927"/>
    <w:rsid w:val="000169B4"/>
    <w:rsid w:val="00016A26"/>
    <w:rsid w:val="00016A39"/>
    <w:rsid w:val="00016B93"/>
    <w:rsid w:val="00016C51"/>
    <w:rsid w:val="00016CD8"/>
    <w:rsid w:val="00016D5C"/>
    <w:rsid w:val="00016DBE"/>
    <w:rsid w:val="00016E72"/>
    <w:rsid w:val="00016E92"/>
    <w:rsid w:val="00017307"/>
    <w:rsid w:val="000173B3"/>
    <w:rsid w:val="000174C4"/>
    <w:rsid w:val="000175DE"/>
    <w:rsid w:val="0001768A"/>
    <w:rsid w:val="00017699"/>
    <w:rsid w:val="0001776A"/>
    <w:rsid w:val="00017773"/>
    <w:rsid w:val="000177CA"/>
    <w:rsid w:val="000178F1"/>
    <w:rsid w:val="00017A9E"/>
    <w:rsid w:val="00017ABE"/>
    <w:rsid w:val="00017B05"/>
    <w:rsid w:val="00017B23"/>
    <w:rsid w:val="00017B29"/>
    <w:rsid w:val="00017BEA"/>
    <w:rsid w:val="00017CC8"/>
    <w:rsid w:val="00017DCB"/>
    <w:rsid w:val="00017E0E"/>
    <w:rsid w:val="00017E65"/>
    <w:rsid w:val="00017E73"/>
    <w:rsid w:val="00017E7D"/>
    <w:rsid w:val="00020032"/>
    <w:rsid w:val="000201E3"/>
    <w:rsid w:val="0002025A"/>
    <w:rsid w:val="00020273"/>
    <w:rsid w:val="00020297"/>
    <w:rsid w:val="0002038D"/>
    <w:rsid w:val="000203FA"/>
    <w:rsid w:val="00020413"/>
    <w:rsid w:val="0002042A"/>
    <w:rsid w:val="000204AB"/>
    <w:rsid w:val="000204B6"/>
    <w:rsid w:val="000204CA"/>
    <w:rsid w:val="000204E0"/>
    <w:rsid w:val="0002065A"/>
    <w:rsid w:val="0002068B"/>
    <w:rsid w:val="000206BB"/>
    <w:rsid w:val="000206E6"/>
    <w:rsid w:val="000206F0"/>
    <w:rsid w:val="00020770"/>
    <w:rsid w:val="000207F3"/>
    <w:rsid w:val="0002083B"/>
    <w:rsid w:val="0002089C"/>
    <w:rsid w:val="000208B5"/>
    <w:rsid w:val="00020A6B"/>
    <w:rsid w:val="00020C20"/>
    <w:rsid w:val="00020D44"/>
    <w:rsid w:val="00020D5A"/>
    <w:rsid w:val="00020D61"/>
    <w:rsid w:val="00020D66"/>
    <w:rsid w:val="00020D77"/>
    <w:rsid w:val="00020E82"/>
    <w:rsid w:val="00020F70"/>
    <w:rsid w:val="00021021"/>
    <w:rsid w:val="00021115"/>
    <w:rsid w:val="000211ED"/>
    <w:rsid w:val="000212BD"/>
    <w:rsid w:val="0002133E"/>
    <w:rsid w:val="0002141C"/>
    <w:rsid w:val="000214DB"/>
    <w:rsid w:val="000216D5"/>
    <w:rsid w:val="000217BD"/>
    <w:rsid w:val="00021987"/>
    <w:rsid w:val="000219AE"/>
    <w:rsid w:val="00021A04"/>
    <w:rsid w:val="00021A39"/>
    <w:rsid w:val="00021A99"/>
    <w:rsid w:val="00021C1C"/>
    <w:rsid w:val="00021C55"/>
    <w:rsid w:val="00021C69"/>
    <w:rsid w:val="00021CAD"/>
    <w:rsid w:val="00021CC3"/>
    <w:rsid w:val="00021CC9"/>
    <w:rsid w:val="00021D7F"/>
    <w:rsid w:val="00021E19"/>
    <w:rsid w:val="00021F2B"/>
    <w:rsid w:val="00021F6C"/>
    <w:rsid w:val="0002201D"/>
    <w:rsid w:val="000220A1"/>
    <w:rsid w:val="000220BD"/>
    <w:rsid w:val="00022182"/>
    <w:rsid w:val="000221CF"/>
    <w:rsid w:val="00022264"/>
    <w:rsid w:val="0002227B"/>
    <w:rsid w:val="0002231C"/>
    <w:rsid w:val="00022379"/>
    <w:rsid w:val="000224AE"/>
    <w:rsid w:val="000224F0"/>
    <w:rsid w:val="00022ACB"/>
    <w:rsid w:val="00022AD3"/>
    <w:rsid w:val="00022CC5"/>
    <w:rsid w:val="00022D4A"/>
    <w:rsid w:val="00022E47"/>
    <w:rsid w:val="00022EDE"/>
    <w:rsid w:val="00022EE5"/>
    <w:rsid w:val="00022EF9"/>
    <w:rsid w:val="00022F70"/>
    <w:rsid w:val="00022FBD"/>
    <w:rsid w:val="000230C2"/>
    <w:rsid w:val="00023246"/>
    <w:rsid w:val="0002331E"/>
    <w:rsid w:val="00023349"/>
    <w:rsid w:val="000233CF"/>
    <w:rsid w:val="000233E0"/>
    <w:rsid w:val="0002346D"/>
    <w:rsid w:val="00023518"/>
    <w:rsid w:val="00023521"/>
    <w:rsid w:val="0002355C"/>
    <w:rsid w:val="00023590"/>
    <w:rsid w:val="000235C2"/>
    <w:rsid w:val="000235FA"/>
    <w:rsid w:val="00023604"/>
    <w:rsid w:val="00023653"/>
    <w:rsid w:val="000236CE"/>
    <w:rsid w:val="0002377D"/>
    <w:rsid w:val="0002378C"/>
    <w:rsid w:val="000237D0"/>
    <w:rsid w:val="000237E1"/>
    <w:rsid w:val="000238B6"/>
    <w:rsid w:val="000238C8"/>
    <w:rsid w:val="000238F9"/>
    <w:rsid w:val="00023A16"/>
    <w:rsid w:val="00023ACD"/>
    <w:rsid w:val="00023AFA"/>
    <w:rsid w:val="00023B5C"/>
    <w:rsid w:val="00023B6D"/>
    <w:rsid w:val="00023C38"/>
    <w:rsid w:val="00023D68"/>
    <w:rsid w:val="00023E65"/>
    <w:rsid w:val="00023E71"/>
    <w:rsid w:val="0002401C"/>
    <w:rsid w:val="000240EE"/>
    <w:rsid w:val="00024197"/>
    <w:rsid w:val="000241A9"/>
    <w:rsid w:val="0002420B"/>
    <w:rsid w:val="0002423E"/>
    <w:rsid w:val="000242DB"/>
    <w:rsid w:val="000243A9"/>
    <w:rsid w:val="000243EC"/>
    <w:rsid w:val="00024438"/>
    <w:rsid w:val="00024478"/>
    <w:rsid w:val="000245B4"/>
    <w:rsid w:val="00024692"/>
    <w:rsid w:val="00024748"/>
    <w:rsid w:val="00024A2C"/>
    <w:rsid w:val="00024B73"/>
    <w:rsid w:val="00024BAE"/>
    <w:rsid w:val="00024BED"/>
    <w:rsid w:val="00024C14"/>
    <w:rsid w:val="00024C3C"/>
    <w:rsid w:val="00024CFD"/>
    <w:rsid w:val="00024D36"/>
    <w:rsid w:val="00024D49"/>
    <w:rsid w:val="00024D7C"/>
    <w:rsid w:val="00024E49"/>
    <w:rsid w:val="00024E60"/>
    <w:rsid w:val="00024EEB"/>
    <w:rsid w:val="00024EEF"/>
    <w:rsid w:val="00024F0C"/>
    <w:rsid w:val="00024F5F"/>
    <w:rsid w:val="00025062"/>
    <w:rsid w:val="000250F5"/>
    <w:rsid w:val="0002510E"/>
    <w:rsid w:val="00025162"/>
    <w:rsid w:val="000251B5"/>
    <w:rsid w:val="000251E8"/>
    <w:rsid w:val="00025277"/>
    <w:rsid w:val="000252B5"/>
    <w:rsid w:val="000252ED"/>
    <w:rsid w:val="0002536F"/>
    <w:rsid w:val="00025379"/>
    <w:rsid w:val="000253CC"/>
    <w:rsid w:val="0002542E"/>
    <w:rsid w:val="0002545F"/>
    <w:rsid w:val="00025465"/>
    <w:rsid w:val="00025520"/>
    <w:rsid w:val="00025674"/>
    <w:rsid w:val="000256C4"/>
    <w:rsid w:val="000256E5"/>
    <w:rsid w:val="0002598A"/>
    <w:rsid w:val="00025A18"/>
    <w:rsid w:val="00025A25"/>
    <w:rsid w:val="00025A4E"/>
    <w:rsid w:val="00025B29"/>
    <w:rsid w:val="00025B8D"/>
    <w:rsid w:val="00025BDE"/>
    <w:rsid w:val="00025C17"/>
    <w:rsid w:val="00025C25"/>
    <w:rsid w:val="00025CFD"/>
    <w:rsid w:val="00025D7A"/>
    <w:rsid w:val="00025E7D"/>
    <w:rsid w:val="00025E88"/>
    <w:rsid w:val="00025ECD"/>
    <w:rsid w:val="00025F18"/>
    <w:rsid w:val="00025F5C"/>
    <w:rsid w:val="00025F97"/>
    <w:rsid w:val="00026051"/>
    <w:rsid w:val="000260EE"/>
    <w:rsid w:val="00026144"/>
    <w:rsid w:val="000261B4"/>
    <w:rsid w:val="000261F2"/>
    <w:rsid w:val="0002625E"/>
    <w:rsid w:val="0002642B"/>
    <w:rsid w:val="0002649D"/>
    <w:rsid w:val="000265C2"/>
    <w:rsid w:val="000265E7"/>
    <w:rsid w:val="0002665A"/>
    <w:rsid w:val="00026689"/>
    <w:rsid w:val="000267D2"/>
    <w:rsid w:val="00026B04"/>
    <w:rsid w:val="00026D4C"/>
    <w:rsid w:val="00026E07"/>
    <w:rsid w:val="00026E63"/>
    <w:rsid w:val="00026E8B"/>
    <w:rsid w:val="00026F54"/>
    <w:rsid w:val="0002702F"/>
    <w:rsid w:val="00027121"/>
    <w:rsid w:val="0002716F"/>
    <w:rsid w:val="00027198"/>
    <w:rsid w:val="0002730B"/>
    <w:rsid w:val="0002738C"/>
    <w:rsid w:val="000273A8"/>
    <w:rsid w:val="000273D7"/>
    <w:rsid w:val="000273DD"/>
    <w:rsid w:val="0002748D"/>
    <w:rsid w:val="000276C8"/>
    <w:rsid w:val="0002770E"/>
    <w:rsid w:val="00027855"/>
    <w:rsid w:val="00027890"/>
    <w:rsid w:val="00027951"/>
    <w:rsid w:val="00027984"/>
    <w:rsid w:val="000279AD"/>
    <w:rsid w:val="000279B4"/>
    <w:rsid w:val="000279F4"/>
    <w:rsid w:val="00027B48"/>
    <w:rsid w:val="00027B4C"/>
    <w:rsid w:val="00027C9D"/>
    <w:rsid w:val="00027D0C"/>
    <w:rsid w:val="00027D63"/>
    <w:rsid w:val="00027DDE"/>
    <w:rsid w:val="00027DE0"/>
    <w:rsid w:val="00027EC2"/>
    <w:rsid w:val="00027F85"/>
    <w:rsid w:val="00030059"/>
    <w:rsid w:val="000300AB"/>
    <w:rsid w:val="0003017A"/>
    <w:rsid w:val="000302B9"/>
    <w:rsid w:val="000303AB"/>
    <w:rsid w:val="000303BF"/>
    <w:rsid w:val="00030451"/>
    <w:rsid w:val="0003049B"/>
    <w:rsid w:val="00030510"/>
    <w:rsid w:val="00030522"/>
    <w:rsid w:val="0003059C"/>
    <w:rsid w:val="000306E8"/>
    <w:rsid w:val="00030741"/>
    <w:rsid w:val="0003074F"/>
    <w:rsid w:val="00030750"/>
    <w:rsid w:val="00030869"/>
    <w:rsid w:val="000309CF"/>
    <w:rsid w:val="000309DC"/>
    <w:rsid w:val="000309FF"/>
    <w:rsid w:val="00030A0A"/>
    <w:rsid w:val="00030A4A"/>
    <w:rsid w:val="00030ACD"/>
    <w:rsid w:val="00030AD9"/>
    <w:rsid w:val="00030AEC"/>
    <w:rsid w:val="00030B6C"/>
    <w:rsid w:val="00030B97"/>
    <w:rsid w:val="00030C57"/>
    <w:rsid w:val="00030C5E"/>
    <w:rsid w:val="00030CBA"/>
    <w:rsid w:val="00030CDE"/>
    <w:rsid w:val="00030D60"/>
    <w:rsid w:val="00030E57"/>
    <w:rsid w:val="00030FDB"/>
    <w:rsid w:val="00031008"/>
    <w:rsid w:val="00031097"/>
    <w:rsid w:val="00031172"/>
    <w:rsid w:val="0003122B"/>
    <w:rsid w:val="000314A4"/>
    <w:rsid w:val="00031520"/>
    <w:rsid w:val="0003153E"/>
    <w:rsid w:val="00031644"/>
    <w:rsid w:val="0003168D"/>
    <w:rsid w:val="00031865"/>
    <w:rsid w:val="00031B0D"/>
    <w:rsid w:val="00031B21"/>
    <w:rsid w:val="00031B76"/>
    <w:rsid w:val="00031D26"/>
    <w:rsid w:val="00031DEE"/>
    <w:rsid w:val="00031E69"/>
    <w:rsid w:val="00031F04"/>
    <w:rsid w:val="00031F08"/>
    <w:rsid w:val="00031FBF"/>
    <w:rsid w:val="00032284"/>
    <w:rsid w:val="000323A7"/>
    <w:rsid w:val="000327B1"/>
    <w:rsid w:val="00032818"/>
    <w:rsid w:val="00032843"/>
    <w:rsid w:val="0003290A"/>
    <w:rsid w:val="00032A07"/>
    <w:rsid w:val="00032A16"/>
    <w:rsid w:val="00032A58"/>
    <w:rsid w:val="00032BEA"/>
    <w:rsid w:val="00032C79"/>
    <w:rsid w:val="00032CB8"/>
    <w:rsid w:val="00032CF8"/>
    <w:rsid w:val="00032E44"/>
    <w:rsid w:val="00032E7E"/>
    <w:rsid w:val="00032F53"/>
    <w:rsid w:val="00032F6E"/>
    <w:rsid w:val="00032F9A"/>
    <w:rsid w:val="00032FD3"/>
    <w:rsid w:val="00033073"/>
    <w:rsid w:val="000330F2"/>
    <w:rsid w:val="00033167"/>
    <w:rsid w:val="000331CD"/>
    <w:rsid w:val="00033272"/>
    <w:rsid w:val="000334A3"/>
    <w:rsid w:val="000334C8"/>
    <w:rsid w:val="00033551"/>
    <w:rsid w:val="0003363E"/>
    <w:rsid w:val="000336DD"/>
    <w:rsid w:val="000336ED"/>
    <w:rsid w:val="0003371F"/>
    <w:rsid w:val="00033731"/>
    <w:rsid w:val="0003373A"/>
    <w:rsid w:val="00033753"/>
    <w:rsid w:val="000337F8"/>
    <w:rsid w:val="00033821"/>
    <w:rsid w:val="00033885"/>
    <w:rsid w:val="000339DD"/>
    <w:rsid w:val="00033B66"/>
    <w:rsid w:val="00033B74"/>
    <w:rsid w:val="00033BC2"/>
    <w:rsid w:val="00033D16"/>
    <w:rsid w:val="00033D30"/>
    <w:rsid w:val="00033D7D"/>
    <w:rsid w:val="00033E5C"/>
    <w:rsid w:val="00033F42"/>
    <w:rsid w:val="00033FFC"/>
    <w:rsid w:val="000340E4"/>
    <w:rsid w:val="000340FC"/>
    <w:rsid w:val="00034100"/>
    <w:rsid w:val="00034149"/>
    <w:rsid w:val="0003417F"/>
    <w:rsid w:val="000341DD"/>
    <w:rsid w:val="0003422B"/>
    <w:rsid w:val="00034275"/>
    <w:rsid w:val="0003427D"/>
    <w:rsid w:val="0003443F"/>
    <w:rsid w:val="000345CD"/>
    <w:rsid w:val="000346FF"/>
    <w:rsid w:val="0003474F"/>
    <w:rsid w:val="000348D2"/>
    <w:rsid w:val="000349E4"/>
    <w:rsid w:val="00034A37"/>
    <w:rsid w:val="00034A63"/>
    <w:rsid w:val="00034AEB"/>
    <w:rsid w:val="00034BC8"/>
    <w:rsid w:val="00034C18"/>
    <w:rsid w:val="00034D19"/>
    <w:rsid w:val="00034E66"/>
    <w:rsid w:val="00034ED8"/>
    <w:rsid w:val="0003506F"/>
    <w:rsid w:val="0003507F"/>
    <w:rsid w:val="0003514D"/>
    <w:rsid w:val="000351AB"/>
    <w:rsid w:val="00035280"/>
    <w:rsid w:val="000353D6"/>
    <w:rsid w:val="00035565"/>
    <w:rsid w:val="0003561F"/>
    <w:rsid w:val="00035754"/>
    <w:rsid w:val="0003584F"/>
    <w:rsid w:val="00035913"/>
    <w:rsid w:val="00035983"/>
    <w:rsid w:val="00035AFA"/>
    <w:rsid w:val="00035B50"/>
    <w:rsid w:val="00035BF8"/>
    <w:rsid w:val="00035C61"/>
    <w:rsid w:val="00035DBA"/>
    <w:rsid w:val="00035E7D"/>
    <w:rsid w:val="00035FF5"/>
    <w:rsid w:val="00036022"/>
    <w:rsid w:val="00036052"/>
    <w:rsid w:val="00036080"/>
    <w:rsid w:val="000360F9"/>
    <w:rsid w:val="00036100"/>
    <w:rsid w:val="0003615B"/>
    <w:rsid w:val="0003616D"/>
    <w:rsid w:val="00036172"/>
    <w:rsid w:val="00036278"/>
    <w:rsid w:val="000363D4"/>
    <w:rsid w:val="00036412"/>
    <w:rsid w:val="00036480"/>
    <w:rsid w:val="000365A1"/>
    <w:rsid w:val="0003668F"/>
    <w:rsid w:val="000367C2"/>
    <w:rsid w:val="00036828"/>
    <w:rsid w:val="000368FA"/>
    <w:rsid w:val="0003691C"/>
    <w:rsid w:val="00036937"/>
    <w:rsid w:val="0003698B"/>
    <w:rsid w:val="000369B2"/>
    <w:rsid w:val="000369D3"/>
    <w:rsid w:val="00036A0D"/>
    <w:rsid w:val="00036BCA"/>
    <w:rsid w:val="00036C51"/>
    <w:rsid w:val="00036CFA"/>
    <w:rsid w:val="00036D46"/>
    <w:rsid w:val="00036E3A"/>
    <w:rsid w:val="00036E8B"/>
    <w:rsid w:val="00036EE2"/>
    <w:rsid w:val="0003702E"/>
    <w:rsid w:val="00037049"/>
    <w:rsid w:val="000370D2"/>
    <w:rsid w:val="0003723D"/>
    <w:rsid w:val="000372EC"/>
    <w:rsid w:val="0003733D"/>
    <w:rsid w:val="00037421"/>
    <w:rsid w:val="00037427"/>
    <w:rsid w:val="000375EA"/>
    <w:rsid w:val="00037639"/>
    <w:rsid w:val="0003764F"/>
    <w:rsid w:val="00037699"/>
    <w:rsid w:val="000377FD"/>
    <w:rsid w:val="00037A1C"/>
    <w:rsid w:val="00037A68"/>
    <w:rsid w:val="00037A97"/>
    <w:rsid w:val="00037C17"/>
    <w:rsid w:val="00037CCA"/>
    <w:rsid w:val="00037CFC"/>
    <w:rsid w:val="00037D94"/>
    <w:rsid w:val="00037F16"/>
    <w:rsid w:val="00037F54"/>
    <w:rsid w:val="00037F56"/>
    <w:rsid w:val="000400E9"/>
    <w:rsid w:val="00040160"/>
    <w:rsid w:val="00040188"/>
    <w:rsid w:val="000401CC"/>
    <w:rsid w:val="0004039D"/>
    <w:rsid w:val="000403AB"/>
    <w:rsid w:val="00040496"/>
    <w:rsid w:val="0004053F"/>
    <w:rsid w:val="00040563"/>
    <w:rsid w:val="000405F1"/>
    <w:rsid w:val="000406F9"/>
    <w:rsid w:val="00040737"/>
    <w:rsid w:val="00040783"/>
    <w:rsid w:val="000407A1"/>
    <w:rsid w:val="00040840"/>
    <w:rsid w:val="00040882"/>
    <w:rsid w:val="0004089D"/>
    <w:rsid w:val="000408CD"/>
    <w:rsid w:val="000408D6"/>
    <w:rsid w:val="000409DB"/>
    <w:rsid w:val="00040A00"/>
    <w:rsid w:val="00040A88"/>
    <w:rsid w:val="00040B8B"/>
    <w:rsid w:val="00040BF7"/>
    <w:rsid w:val="00040CEA"/>
    <w:rsid w:val="00040E86"/>
    <w:rsid w:val="00040FBF"/>
    <w:rsid w:val="0004102B"/>
    <w:rsid w:val="00041223"/>
    <w:rsid w:val="000412AB"/>
    <w:rsid w:val="00041319"/>
    <w:rsid w:val="00041483"/>
    <w:rsid w:val="000415BF"/>
    <w:rsid w:val="0004169D"/>
    <w:rsid w:val="000416CD"/>
    <w:rsid w:val="000416E3"/>
    <w:rsid w:val="00041737"/>
    <w:rsid w:val="0004173E"/>
    <w:rsid w:val="0004175B"/>
    <w:rsid w:val="000417C1"/>
    <w:rsid w:val="000417E1"/>
    <w:rsid w:val="0004192D"/>
    <w:rsid w:val="000419F2"/>
    <w:rsid w:val="00041A20"/>
    <w:rsid w:val="00041AEE"/>
    <w:rsid w:val="00041C6E"/>
    <w:rsid w:val="00041D03"/>
    <w:rsid w:val="00041DB4"/>
    <w:rsid w:val="00041E0A"/>
    <w:rsid w:val="00041E71"/>
    <w:rsid w:val="00041E78"/>
    <w:rsid w:val="00041E9D"/>
    <w:rsid w:val="00041F30"/>
    <w:rsid w:val="00041F33"/>
    <w:rsid w:val="00041F8B"/>
    <w:rsid w:val="00041FFA"/>
    <w:rsid w:val="0004209D"/>
    <w:rsid w:val="000421D7"/>
    <w:rsid w:val="000421E8"/>
    <w:rsid w:val="0004228E"/>
    <w:rsid w:val="00042323"/>
    <w:rsid w:val="000423C3"/>
    <w:rsid w:val="000424A1"/>
    <w:rsid w:val="000424B8"/>
    <w:rsid w:val="000426AD"/>
    <w:rsid w:val="000426F7"/>
    <w:rsid w:val="0004283E"/>
    <w:rsid w:val="0004288E"/>
    <w:rsid w:val="000428D1"/>
    <w:rsid w:val="00042977"/>
    <w:rsid w:val="000429AC"/>
    <w:rsid w:val="00042A6B"/>
    <w:rsid w:val="00042B6A"/>
    <w:rsid w:val="00042B99"/>
    <w:rsid w:val="00042C34"/>
    <w:rsid w:val="00042C4E"/>
    <w:rsid w:val="00042E4B"/>
    <w:rsid w:val="00042E80"/>
    <w:rsid w:val="00042EEB"/>
    <w:rsid w:val="00042EFF"/>
    <w:rsid w:val="00043077"/>
    <w:rsid w:val="000430E6"/>
    <w:rsid w:val="000431A9"/>
    <w:rsid w:val="000431CC"/>
    <w:rsid w:val="000431DE"/>
    <w:rsid w:val="00043207"/>
    <w:rsid w:val="0004320A"/>
    <w:rsid w:val="00043292"/>
    <w:rsid w:val="0004336E"/>
    <w:rsid w:val="000435AB"/>
    <w:rsid w:val="0004373C"/>
    <w:rsid w:val="000437C9"/>
    <w:rsid w:val="000437EB"/>
    <w:rsid w:val="00043AC1"/>
    <w:rsid w:val="00043ADF"/>
    <w:rsid w:val="00043BC0"/>
    <w:rsid w:val="00043D79"/>
    <w:rsid w:val="00043DAA"/>
    <w:rsid w:val="0004421A"/>
    <w:rsid w:val="00044255"/>
    <w:rsid w:val="0004430D"/>
    <w:rsid w:val="0004434F"/>
    <w:rsid w:val="000443AE"/>
    <w:rsid w:val="000443E8"/>
    <w:rsid w:val="000443F3"/>
    <w:rsid w:val="000444E0"/>
    <w:rsid w:val="00044554"/>
    <w:rsid w:val="000445A5"/>
    <w:rsid w:val="000445C0"/>
    <w:rsid w:val="00044606"/>
    <w:rsid w:val="0004471E"/>
    <w:rsid w:val="0004484E"/>
    <w:rsid w:val="000448AA"/>
    <w:rsid w:val="000448C5"/>
    <w:rsid w:val="000448EF"/>
    <w:rsid w:val="00044933"/>
    <w:rsid w:val="0004495F"/>
    <w:rsid w:val="0004499C"/>
    <w:rsid w:val="000449A6"/>
    <w:rsid w:val="00044A78"/>
    <w:rsid w:val="00044B1B"/>
    <w:rsid w:val="00044DAB"/>
    <w:rsid w:val="00044E35"/>
    <w:rsid w:val="00044EA7"/>
    <w:rsid w:val="00044EB2"/>
    <w:rsid w:val="00044EC0"/>
    <w:rsid w:val="00044F1C"/>
    <w:rsid w:val="00044FEC"/>
    <w:rsid w:val="00045002"/>
    <w:rsid w:val="00045071"/>
    <w:rsid w:val="000452DA"/>
    <w:rsid w:val="000452F5"/>
    <w:rsid w:val="00045312"/>
    <w:rsid w:val="000455C8"/>
    <w:rsid w:val="0004573D"/>
    <w:rsid w:val="0004585E"/>
    <w:rsid w:val="000458BF"/>
    <w:rsid w:val="000458CB"/>
    <w:rsid w:val="000459E2"/>
    <w:rsid w:val="00045A02"/>
    <w:rsid w:val="00045B59"/>
    <w:rsid w:val="00045C2C"/>
    <w:rsid w:val="00045C8E"/>
    <w:rsid w:val="00045CA3"/>
    <w:rsid w:val="00045E28"/>
    <w:rsid w:val="00045E81"/>
    <w:rsid w:val="00045ECD"/>
    <w:rsid w:val="00045F10"/>
    <w:rsid w:val="0004603B"/>
    <w:rsid w:val="0004608D"/>
    <w:rsid w:val="000460EE"/>
    <w:rsid w:val="00046114"/>
    <w:rsid w:val="0004613B"/>
    <w:rsid w:val="0004618B"/>
    <w:rsid w:val="00046257"/>
    <w:rsid w:val="00046334"/>
    <w:rsid w:val="000463A4"/>
    <w:rsid w:val="000463E8"/>
    <w:rsid w:val="000463E9"/>
    <w:rsid w:val="00046539"/>
    <w:rsid w:val="0004655B"/>
    <w:rsid w:val="00046572"/>
    <w:rsid w:val="00046664"/>
    <w:rsid w:val="000466B7"/>
    <w:rsid w:val="00046700"/>
    <w:rsid w:val="0004683D"/>
    <w:rsid w:val="00046886"/>
    <w:rsid w:val="0004696C"/>
    <w:rsid w:val="00046A67"/>
    <w:rsid w:val="00046A8D"/>
    <w:rsid w:val="00046C7A"/>
    <w:rsid w:val="00046CCF"/>
    <w:rsid w:val="00046D27"/>
    <w:rsid w:val="00046DEA"/>
    <w:rsid w:val="00046EEB"/>
    <w:rsid w:val="00046F19"/>
    <w:rsid w:val="00046F37"/>
    <w:rsid w:val="0004709D"/>
    <w:rsid w:val="00047183"/>
    <w:rsid w:val="000471CD"/>
    <w:rsid w:val="00047225"/>
    <w:rsid w:val="00047243"/>
    <w:rsid w:val="00047296"/>
    <w:rsid w:val="000474F1"/>
    <w:rsid w:val="00047526"/>
    <w:rsid w:val="000475DB"/>
    <w:rsid w:val="000475E4"/>
    <w:rsid w:val="00047632"/>
    <w:rsid w:val="00047830"/>
    <w:rsid w:val="00047881"/>
    <w:rsid w:val="000478B4"/>
    <w:rsid w:val="00047998"/>
    <w:rsid w:val="000479DC"/>
    <w:rsid w:val="00047A6C"/>
    <w:rsid w:val="00047B71"/>
    <w:rsid w:val="00047C4A"/>
    <w:rsid w:val="00047C91"/>
    <w:rsid w:val="00047D4A"/>
    <w:rsid w:val="00047E8C"/>
    <w:rsid w:val="00047F3B"/>
    <w:rsid w:val="00047FD4"/>
    <w:rsid w:val="0005016F"/>
    <w:rsid w:val="00050178"/>
    <w:rsid w:val="000501A7"/>
    <w:rsid w:val="00050238"/>
    <w:rsid w:val="000502FF"/>
    <w:rsid w:val="0005033D"/>
    <w:rsid w:val="00050590"/>
    <w:rsid w:val="000506A5"/>
    <w:rsid w:val="000506BD"/>
    <w:rsid w:val="000506C9"/>
    <w:rsid w:val="000506E6"/>
    <w:rsid w:val="00050790"/>
    <w:rsid w:val="000507A6"/>
    <w:rsid w:val="000507AA"/>
    <w:rsid w:val="000507B9"/>
    <w:rsid w:val="000508C5"/>
    <w:rsid w:val="00050AB1"/>
    <w:rsid w:val="00050B5F"/>
    <w:rsid w:val="00050BC7"/>
    <w:rsid w:val="00050BD6"/>
    <w:rsid w:val="00050C12"/>
    <w:rsid w:val="00050C9F"/>
    <w:rsid w:val="00050D7B"/>
    <w:rsid w:val="00050E4D"/>
    <w:rsid w:val="00050E9C"/>
    <w:rsid w:val="00050F46"/>
    <w:rsid w:val="00050F99"/>
    <w:rsid w:val="00051080"/>
    <w:rsid w:val="00051273"/>
    <w:rsid w:val="000512A8"/>
    <w:rsid w:val="000512E9"/>
    <w:rsid w:val="00051482"/>
    <w:rsid w:val="00051509"/>
    <w:rsid w:val="0005165B"/>
    <w:rsid w:val="000516C4"/>
    <w:rsid w:val="0005170D"/>
    <w:rsid w:val="00051768"/>
    <w:rsid w:val="000517C0"/>
    <w:rsid w:val="00051ABB"/>
    <w:rsid w:val="00051ABD"/>
    <w:rsid w:val="00051ADF"/>
    <w:rsid w:val="00051B99"/>
    <w:rsid w:val="00051C05"/>
    <w:rsid w:val="00051C32"/>
    <w:rsid w:val="00051D50"/>
    <w:rsid w:val="00051EE7"/>
    <w:rsid w:val="00051F1A"/>
    <w:rsid w:val="00051FE5"/>
    <w:rsid w:val="00052048"/>
    <w:rsid w:val="0005205E"/>
    <w:rsid w:val="00052172"/>
    <w:rsid w:val="000521ED"/>
    <w:rsid w:val="00052289"/>
    <w:rsid w:val="00052297"/>
    <w:rsid w:val="0005237E"/>
    <w:rsid w:val="00052434"/>
    <w:rsid w:val="000524B8"/>
    <w:rsid w:val="00052590"/>
    <w:rsid w:val="000525EB"/>
    <w:rsid w:val="000525FC"/>
    <w:rsid w:val="00052608"/>
    <w:rsid w:val="00052623"/>
    <w:rsid w:val="00052880"/>
    <w:rsid w:val="00052884"/>
    <w:rsid w:val="00052A8C"/>
    <w:rsid w:val="00052B60"/>
    <w:rsid w:val="00052CD8"/>
    <w:rsid w:val="00052CE6"/>
    <w:rsid w:val="00052D93"/>
    <w:rsid w:val="00053071"/>
    <w:rsid w:val="000532B2"/>
    <w:rsid w:val="0005331E"/>
    <w:rsid w:val="00053387"/>
    <w:rsid w:val="00053417"/>
    <w:rsid w:val="00053420"/>
    <w:rsid w:val="0005345A"/>
    <w:rsid w:val="0005346D"/>
    <w:rsid w:val="00053555"/>
    <w:rsid w:val="00053567"/>
    <w:rsid w:val="00053605"/>
    <w:rsid w:val="000536E8"/>
    <w:rsid w:val="000537C6"/>
    <w:rsid w:val="00053993"/>
    <w:rsid w:val="00053A83"/>
    <w:rsid w:val="00053B45"/>
    <w:rsid w:val="00053BD2"/>
    <w:rsid w:val="00053C50"/>
    <w:rsid w:val="00053D30"/>
    <w:rsid w:val="00053D99"/>
    <w:rsid w:val="00053DCD"/>
    <w:rsid w:val="00053E28"/>
    <w:rsid w:val="00053EA3"/>
    <w:rsid w:val="00053EB7"/>
    <w:rsid w:val="00053FF5"/>
    <w:rsid w:val="000540BD"/>
    <w:rsid w:val="000540DF"/>
    <w:rsid w:val="000540E4"/>
    <w:rsid w:val="00054246"/>
    <w:rsid w:val="000542C9"/>
    <w:rsid w:val="00054585"/>
    <w:rsid w:val="000546AE"/>
    <w:rsid w:val="00054716"/>
    <w:rsid w:val="0005475E"/>
    <w:rsid w:val="0005486C"/>
    <w:rsid w:val="00054893"/>
    <w:rsid w:val="00054968"/>
    <w:rsid w:val="00054985"/>
    <w:rsid w:val="00054A0B"/>
    <w:rsid w:val="00054A42"/>
    <w:rsid w:val="00054B25"/>
    <w:rsid w:val="00054B6D"/>
    <w:rsid w:val="00054BA1"/>
    <w:rsid w:val="00054BDB"/>
    <w:rsid w:val="00054D49"/>
    <w:rsid w:val="00054D75"/>
    <w:rsid w:val="00054DEC"/>
    <w:rsid w:val="00054E00"/>
    <w:rsid w:val="00054EBB"/>
    <w:rsid w:val="00054EC3"/>
    <w:rsid w:val="00054EE4"/>
    <w:rsid w:val="00054F37"/>
    <w:rsid w:val="00054F48"/>
    <w:rsid w:val="00054F4F"/>
    <w:rsid w:val="00055009"/>
    <w:rsid w:val="00055026"/>
    <w:rsid w:val="0005504C"/>
    <w:rsid w:val="00055121"/>
    <w:rsid w:val="000551DE"/>
    <w:rsid w:val="000552D5"/>
    <w:rsid w:val="00055316"/>
    <w:rsid w:val="000553AF"/>
    <w:rsid w:val="000553C5"/>
    <w:rsid w:val="0005540F"/>
    <w:rsid w:val="00055527"/>
    <w:rsid w:val="0005553F"/>
    <w:rsid w:val="000556BC"/>
    <w:rsid w:val="00055748"/>
    <w:rsid w:val="000558D5"/>
    <w:rsid w:val="00055947"/>
    <w:rsid w:val="00055AD7"/>
    <w:rsid w:val="00055AFB"/>
    <w:rsid w:val="00055B4C"/>
    <w:rsid w:val="00055B8F"/>
    <w:rsid w:val="00055BF0"/>
    <w:rsid w:val="00055C4C"/>
    <w:rsid w:val="00055EA8"/>
    <w:rsid w:val="00055EB3"/>
    <w:rsid w:val="00055EE3"/>
    <w:rsid w:val="00055F6A"/>
    <w:rsid w:val="00056005"/>
    <w:rsid w:val="0005600B"/>
    <w:rsid w:val="000560E3"/>
    <w:rsid w:val="00056121"/>
    <w:rsid w:val="00056123"/>
    <w:rsid w:val="000561B2"/>
    <w:rsid w:val="00056355"/>
    <w:rsid w:val="00056365"/>
    <w:rsid w:val="000563B6"/>
    <w:rsid w:val="000563F4"/>
    <w:rsid w:val="00056572"/>
    <w:rsid w:val="000565FF"/>
    <w:rsid w:val="0005661A"/>
    <w:rsid w:val="000567C5"/>
    <w:rsid w:val="000567ED"/>
    <w:rsid w:val="0005685C"/>
    <w:rsid w:val="000568C6"/>
    <w:rsid w:val="00056B51"/>
    <w:rsid w:val="00056CA1"/>
    <w:rsid w:val="00056CB5"/>
    <w:rsid w:val="00056E6C"/>
    <w:rsid w:val="00056EFF"/>
    <w:rsid w:val="00057006"/>
    <w:rsid w:val="0005702E"/>
    <w:rsid w:val="00057034"/>
    <w:rsid w:val="0005703B"/>
    <w:rsid w:val="00057089"/>
    <w:rsid w:val="00057093"/>
    <w:rsid w:val="00057126"/>
    <w:rsid w:val="0005713E"/>
    <w:rsid w:val="000571CF"/>
    <w:rsid w:val="00057376"/>
    <w:rsid w:val="00057399"/>
    <w:rsid w:val="00057437"/>
    <w:rsid w:val="0005750D"/>
    <w:rsid w:val="0005752E"/>
    <w:rsid w:val="0005755D"/>
    <w:rsid w:val="000575AB"/>
    <w:rsid w:val="000576D5"/>
    <w:rsid w:val="000578E2"/>
    <w:rsid w:val="00057935"/>
    <w:rsid w:val="00057AA1"/>
    <w:rsid w:val="00057BC8"/>
    <w:rsid w:val="00057BD1"/>
    <w:rsid w:val="00057BED"/>
    <w:rsid w:val="00057C98"/>
    <w:rsid w:val="00057CFB"/>
    <w:rsid w:val="00057D7C"/>
    <w:rsid w:val="00057DD4"/>
    <w:rsid w:val="00057EBB"/>
    <w:rsid w:val="00060030"/>
    <w:rsid w:val="000600D2"/>
    <w:rsid w:val="00060291"/>
    <w:rsid w:val="0006029F"/>
    <w:rsid w:val="000602B8"/>
    <w:rsid w:val="000603B2"/>
    <w:rsid w:val="000603C4"/>
    <w:rsid w:val="0006040B"/>
    <w:rsid w:val="0006041F"/>
    <w:rsid w:val="00060450"/>
    <w:rsid w:val="0006048B"/>
    <w:rsid w:val="00060497"/>
    <w:rsid w:val="000605AF"/>
    <w:rsid w:val="00060660"/>
    <w:rsid w:val="000606BE"/>
    <w:rsid w:val="0006074A"/>
    <w:rsid w:val="00060809"/>
    <w:rsid w:val="000609D9"/>
    <w:rsid w:val="00060A84"/>
    <w:rsid w:val="00060B04"/>
    <w:rsid w:val="00060B85"/>
    <w:rsid w:val="00060C61"/>
    <w:rsid w:val="00060C7D"/>
    <w:rsid w:val="00060D0C"/>
    <w:rsid w:val="00060ED2"/>
    <w:rsid w:val="00060F9D"/>
    <w:rsid w:val="00060FB3"/>
    <w:rsid w:val="00061223"/>
    <w:rsid w:val="00061230"/>
    <w:rsid w:val="0006125D"/>
    <w:rsid w:val="000612A0"/>
    <w:rsid w:val="000612D2"/>
    <w:rsid w:val="000612EC"/>
    <w:rsid w:val="0006150C"/>
    <w:rsid w:val="00061573"/>
    <w:rsid w:val="00061699"/>
    <w:rsid w:val="00061726"/>
    <w:rsid w:val="000617D6"/>
    <w:rsid w:val="000617E4"/>
    <w:rsid w:val="0006187A"/>
    <w:rsid w:val="000619F1"/>
    <w:rsid w:val="00061AC8"/>
    <w:rsid w:val="00061AFD"/>
    <w:rsid w:val="00061B44"/>
    <w:rsid w:val="00061B90"/>
    <w:rsid w:val="00061C04"/>
    <w:rsid w:val="00061C4C"/>
    <w:rsid w:val="00061D35"/>
    <w:rsid w:val="00061D57"/>
    <w:rsid w:val="00061EA9"/>
    <w:rsid w:val="00061EBD"/>
    <w:rsid w:val="00061EEA"/>
    <w:rsid w:val="0006213D"/>
    <w:rsid w:val="000621C1"/>
    <w:rsid w:val="00062272"/>
    <w:rsid w:val="000622D2"/>
    <w:rsid w:val="0006256E"/>
    <w:rsid w:val="0006260C"/>
    <w:rsid w:val="0006264D"/>
    <w:rsid w:val="000627C7"/>
    <w:rsid w:val="00062937"/>
    <w:rsid w:val="000629C3"/>
    <w:rsid w:val="000629CB"/>
    <w:rsid w:val="000629D2"/>
    <w:rsid w:val="000629FA"/>
    <w:rsid w:val="00062A34"/>
    <w:rsid w:val="00062A50"/>
    <w:rsid w:val="00062AD0"/>
    <w:rsid w:val="00062BEA"/>
    <w:rsid w:val="00062DA1"/>
    <w:rsid w:val="00062DBC"/>
    <w:rsid w:val="00062E8F"/>
    <w:rsid w:val="00062F13"/>
    <w:rsid w:val="00062F90"/>
    <w:rsid w:val="00063004"/>
    <w:rsid w:val="00063048"/>
    <w:rsid w:val="0006312F"/>
    <w:rsid w:val="0006330E"/>
    <w:rsid w:val="00063358"/>
    <w:rsid w:val="0006335E"/>
    <w:rsid w:val="0006355A"/>
    <w:rsid w:val="00063589"/>
    <w:rsid w:val="00063789"/>
    <w:rsid w:val="000637A6"/>
    <w:rsid w:val="000638B2"/>
    <w:rsid w:val="000638C2"/>
    <w:rsid w:val="000638E2"/>
    <w:rsid w:val="00063AAE"/>
    <w:rsid w:val="00063AAF"/>
    <w:rsid w:val="00063AB9"/>
    <w:rsid w:val="00063B49"/>
    <w:rsid w:val="00063B80"/>
    <w:rsid w:val="00063D8D"/>
    <w:rsid w:val="00063DE5"/>
    <w:rsid w:val="00063EB3"/>
    <w:rsid w:val="00063F54"/>
    <w:rsid w:val="00063F5B"/>
    <w:rsid w:val="00063F6F"/>
    <w:rsid w:val="00063FF6"/>
    <w:rsid w:val="00064071"/>
    <w:rsid w:val="000640A7"/>
    <w:rsid w:val="0006439B"/>
    <w:rsid w:val="000643EA"/>
    <w:rsid w:val="000644DE"/>
    <w:rsid w:val="00064590"/>
    <w:rsid w:val="000645CA"/>
    <w:rsid w:val="000645D8"/>
    <w:rsid w:val="00064653"/>
    <w:rsid w:val="00064735"/>
    <w:rsid w:val="000647A7"/>
    <w:rsid w:val="00064A8B"/>
    <w:rsid w:val="00064AD9"/>
    <w:rsid w:val="00064B46"/>
    <w:rsid w:val="00064BEB"/>
    <w:rsid w:val="00064C40"/>
    <w:rsid w:val="00064D06"/>
    <w:rsid w:val="00064E7C"/>
    <w:rsid w:val="00064EFE"/>
    <w:rsid w:val="00064FEF"/>
    <w:rsid w:val="00065147"/>
    <w:rsid w:val="00065148"/>
    <w:rsid w:val="00065161"/>
    <w:rsid w:val="000651DC"/>
    <w:rsid w:val="0006526E"/>
    <w:rsid w:val="0006527C"/>
    <w:rsid w:val="00065313"/>
    <w:rsid w:val="000653EA"/>
    <w:rsid w:val="00065436"/>
    <w:rsid w:val="0006552B"/>
    <w:rsid w:val="0006559E"/>
    <w:rsid w:val="00065633"/>
    <w:rsid w:val="0006575E"/>
    <w:rsid w:val="00065771"/>
    <w:rsid w:val="00065863"/>
    <w:rsid w:val="00065948"/>
    <w:rsid w:val="000659C2"/>
    <w:rsid w:val="00065CB7"/>
    <w:rsid w:val="00065CF3"/>
    <w:rsid w:val="00065D26"/>
    <w:rsid w:val="00065D63"/>
    <w:rsid w:val="00065D8B"/>
    <w:rsid w:val="00065DE0"/>
    <w:rsid w:val="00065E11"/>
    <w:rsid w:val="00065E15"/>
    <w:rsid w:val="00066026"/>
    <w:rsid w:val="00066046"/>
    <w:rsid w:val="000660B5"/>
    <w:rsid w:val="0006610D"/>
    <w:rsid w:val="00066122"/>
    <w:rsid w:val="0006614D"/>
    <w:rsid w:val="000661A7"/>
    <w:rsid w:val="00066253"/>
    <w:rsid w:val="00066412"/>
    <w:rsid w:val="00066499"/>
    <w:rsid w:val="000664B4"/>
    <w:rsid w:val="0006651B"/>
    <w:rsid w:val="000665AB"/>
    <w:rsid w:val="000665DD"/>
    <w:rsid w:val="00066610"/>
    <w:rsid w:val="00066621"/>
    <w:rsid w:val="0006674A"/>
    <w:rsid w:val="000667AF"/>
    <w:rsid w:val="000669C0"/>
    <w:rsid w:val="00066B2D"/>
    <w:rsid w:val="00066BBA"/>
    <w:rsid w:val="00066D3C"/>
    <w:rsid w:val="00066DED"/>
    <w:rsid w:val="00066E01"/>
    <w:rsid w:val="00066EBE"/>
    <w:rsid w:val="00066EC5"/>
    <w:rsid w:val="00066ECA"/>
    <w:rsid w:val="00066FB4"/>
    <w:rsid w:val="0006701E"/>
    <w:rsid w:val="00067223"/>
    <w:rsid w:val="00067231"/>
    <w:rsid w:val="000672A7"/>
    <w:rsid w:val="000672BC"/>
    <w:rsid w:val="00067443"/>
    <w:rsid w:val="000674F3"/>
    <w:rsid w:val="00067506"/>
    <w:rsid w:val="000675A0"/>
    <w:rsid w:val="000675DA"/>
    <w:rsid w:val="0006760A"/>
    <w:rsid w:val="000677AE"/>
    <w:rsid w:val="00067816"/>
    <w:rsid w:val="000679B1"/>
    <w:rsid w:val="00067A50"/>
    <w:rsid w:val="00067C07"/>
    <w:rsid w:val="00067C63"/>
    <w:rsid w:val="00067CDF"/>
    <w:rsid w:val="00067D1B"/>
    <w:rsid w:val="00067ED6"/>
    <w:rsid w:val="00067FAD"/>
    <w:rsid w:val="00070060"/>
    <w:rsid w:val="0007017E"/>
    <w:rsid w:val="00070281"/>
    <w:rsid w:val="0007028C"/>
    <w:rsid w:val="000702C6"/>
    <w:rsid w:val="0007031E"/>
    <w:rsid w:val="00070344"/>
    <w:rsid w:val="00070354"/>
    <w:rsid w:val="00070356"/>
    <w:rsid w:val="000703A8"/>
    <w:rsid w:val="000703BE"/>
    <w:rsid w:val="000704A1"/>
    <w:rsid w:val="000704AB"/>
    <w:rsid w:val="000704B3"/>
    <w:rsid w:val="000704B7"/>
    <w:rsid w:val="000705B8"/>
    <w:rsid w:val="00070744"/>
    <w:rsid w:val="0007077E"/>
    <w:rsid w:val="000707C3"/>
    <w:rsid w:val="000708E1"/>
    <w:rsid w:val="000709B9"/>
    <w:rsid w:val="00070B50"/>
    <w:rsid w:val="00070D06"/>
    <w:rsid w:val="00070D6F"/>
    <w:rsid w:val="00070DC5"/>
    <w:rsid w:val="00070E37"/>
    <w:rsid w:val="00070E66"/>
    <w:rsid w:val="00070EBC"/>
    <w:rsid w:val="00070EFB"/>
    <w:rsid w:val="00070FC3"/>
    <w:rsid w:val="0007103C"/>
    <w:rsid w:val="00071050"/>
    <w:rsid w:val="000711F8"/>
    <w:rsid w:val="00071315"/>
    <w:rsid w:val="00071366"/>
    <w:rsid w:val="000713B4"/>
    <w:rsid w:val="000713C1"/>
    <w:rsid w:val="000714E2"/>
    <w:rsid w:val="00071509"/>
    <w:rsid w:val="00071553"/>
    <w:rsid w:val="000716BF"/>
    <w:rsid w:val="000717AD"/>
    <w:rsid w:val="000717EF"/>
    <w:rsid w:val="00071821"/>
    <w:rsid w:val="000719EB"/>
    <w:rsid w:val="00071A44"/>
    <w:rsid w:val="00071B3B"/>
    <w:rsid w:val="00071B47"/>
    <w:rsid w:val="00071B6D"/>
    <w:rsid w:val="00071BF1"/>
    <w:rsid w:val="00071CAB"/>
    <w:rsid w:val="00071E76"/>
    <w:rsid w:val="00071E77"/>
    <w:rsid w:val="00071ED8"/>
    <w:rsid w:val="000721CC"/>
    <w:rsid w:val="000723F0"/>
    <w:rsid w:val="00072409"/>
    <w:rsid w:val="000724BF"/>
    <w:rsid w:val="0007256D"/>
    <w:rsid w:val="0007257B"/>
    <w:rsid w:val="0007278C"/>
    <w:rsid w:val="000727C0"/>
    <w:rsid w:val="00072813"/>
    <w:rsid w:val="00072819"/>
    <w:rsid w:val="0007283E"/>
    <w:rsid w:val="0007287F"/>
    <w:rsid w:val="000728B0"/>
    <w:rsid w:val="000728BD"/>
    <w:rsid w:val="000728DE"/>
    <w:rsid w:val="00072906"/>
    <w:rsid w:val="00072935"/>
    <w:rsid w:val="000729FF"/>
    <w:rsid w:val="00072A5E"/>
    <w:rsid w:val="00072AE3"/>
    <w:rsid w:val="00072B29"/>
    <w:rsid w:val="00072BB2"/>
    <w:rsid w:val="00072C23"/>
    <w:rsid w:val="00072C3E"/>
    <w:rsid w:val="00072C9E"/>
    <w:rsid w:val="00072D76"/>
    <w:rsid w:val="00072E13"/>
    <w:rsid w:val="00072E4B"/>
    <w:rsid w:val="00072EF4"/>
    <w:rsid w:val="00072F95"/>
    <w:rsid w:val="000730D7"/>
    <w:rsid w:val="00073159"/>
    <w:rsid w:val="00073184"/>
    <w:rsid w:val="000732DE"/>
    <w:rsid w:val="00073379"/>
    <w:rsid w:val="000733AB"/>
    <w:rsid w:val="00073522"/>
    <w:rsid w:val="00073557"/>
    <w:rsid w:val="000735DC"/>
    <w:rsid w:val="0007373C"/>
    <w:rsid w:val="000737C4"/>
    <w:rsid w:val="000738ED"/>
    <w:rsid w:val="0007397D"/>
    <w:rsid w:val="000739B5"/>
    <w:rsid w:val="00073B0C"/>
    <w:rsid w:val="00073D2E"/>
    <w:rsid w:val="00073FAB"/>
    <w:rsid w:val="0007403C"/>
    <w:rsid w:val="00074062"/>
    <w:rsid w:val="000740F2"/>
    <w:rsid w:val="0007410E"/>
    <w:rsid w:val="0007419F"/>
    <w:rsid w:val="000741B0"/>
    <w:rsid w:val="0007427F"/>
    <w:rsid w:val="00074547"/>
    <w:rsid w:val="00074575"/>
    <w:rsid w:val="0007460C"/>
    <w:rsid w:val="0007461B"/>
    <w:rsid w:val="00074627"/>
    <w:rsid w:val="00074629"/>
    <w:rsid w:val="00074703"/>
    <w:rsid w:val="0007471D"/>
    <w:rsid w:val="00074821"/>
    <w:rsid w:val="0007487C"/>
    <w:rsid w:val="0007494D"/>
    <w:rsid w:val="00074965"/>
    <w:rsid w:val="000749F9"/>
    <w:rsid w:val="00074A82"/>
    <w:rsid w:val="00074B52"/>
    <w:rsid w:val="00074C78"/>
    <w:rsid w:val="00074E58"/>
    <w:rsid w:val="00074ECE"/>
    <w:rsid w:val="00074F61"/>
    <w:rsid w:val="00074F6B"/>
    <w:rsid w:val="00075085"/>
    <w:rsid w:val="000750AF"/>
    <w:rsid w:val="000750D5"/>
    <w:rsid w:val="00075257"/>
    <w:rsid w:val="00075351"/>
    <w:rsid w:val="00075358"/>
    <w:rsid w:val="000753AC"/>
    <w:rsid w:val="00075516"/>
    <w:rsid w:val="0007567F"/>
    <w:rsid w:val="000756A6"/>
    <w:rsid w:val="0007571F"/>
    <w:rsid w:val="00075724"/>
    <w:rsid w:val="000757F4"/>
    <w:rsid w:val="00075843"/>
    <w:rsid w:val="0007588F"/>
    <w:rsid w:val="0007594C"/>
    <w:rsid w:val="00075960"/>
    <w:rsid w:val="0007596F"/>
    <w:rsid w:val="00075A26"/>
    <w:rsid w:val="00075B70"/>
    <w:rsid w:val="00075B9B"/>
    <w:rsid w:val="00075C52"/>
    <w:rsid w:val="00075C62"/>
    <w:rsid w:val="00075E3B"/>
    <w:rsid w:val="00075FB3"/>
    <w:rsid w:val="000760AB"/>
    <w:rsid w:val="00076259"/>
    <w:rsid w:val="0007628B"/>
    <w:rsid w:val="00076294"/>
    <w:rsid w:val="000762C3"/>
    <w:rsid w:val="0007633C"/>
    <w:rsid w:val="0007654E"/>
    <w:rsid w:val="000766A1"/>
    <w:rsid w:val="00076749"/>
    <w:rsid w:val="00076755"/>
    <w:rsid w:val="0007677E"/>
    <w:rsid w:val="000767A5"/>
    <w:rsid w:val="0007683A"/>
    <w:rsid w:val="000768DB"/>
    <w:rsid w:val="00076A77"/>
    <w:rsid w:val="00076AAC"/>
    <w:rsid w:val="00076AD9"/>
    <w:rsid w:val="00076B13"/>
    <w:rsid w:val="00076BB3"/>
    <w:rsid w:val="00076BDD"/>
    <w:rsid w:val="00076C12"/>
    <w:rsid w:val="00076CC6"/>
    <w:rsid w:val="00076D1F"/>
    <w:rsid w:val="00076E3B"/>
    <w:rsid w:val="00076E7F"/>
    <w:rsid w:val="0007703C"/>
    <w:rsid w:val="00077054"/>
    <w:rsid w:val="000770E8"/>
    <w:rsid w:val="000770F9"/>
    <w:rsid w:val="000771F0"/>
    <w:rsid w:val="000772FE"/>
    <w:rsid w:val="00077399"/>
    <w:rsid w:val="000773A7"/>
    <w:rsid w:val="000773C8"/>
    <w:rsid w:val="000775AA"/>
    <w:rsid w:val="000776CB"/>
    <w:rsid w:val="000776E5"/>
    <w:rsid w:val="00077871"/>
    <w:rsid w:val="000778C0"/>
    <w:rsid w:val="00077962"/>
    <w:rsid w:val="0007798F"/>
    <w:rsid w:val="00077A3B"/>
    <w:rsid w:val="00077AB0"/>
    <w:rsid w:val="00077AEA"/>
    <w:rsid w:val="00077B2D"/>
    <w:rsid w:val="00077C0D"/>
    <w:rsid w:val="00077C56"/>
    <w:rsid w:val="00077D07"/>
    <w:rsid w:val="00077E56"/>
    <w:rsid w:val="00077EB9"/>
    <w:rsid w:val="00077F39"/>
    <w:rsid w:val="00077F40"/>
    <w:rsid w:val="00080072"/>
    <w:rsid w:val="000800C1"/>
    <w:rsid w:val="000801F3"/>
    <w:rsid w:val="000802AE"/>
    <w:rsid w:val="00080307"/>
    <w:rsid w:val="00080334"/>
    <w:rsid w:val="000803A6"/>
    <w:rsid w:val="0008040C"/>
    <w:rsid w:val="000804F4"/>
    <w:rsid w:val="000805E5"/>
    <w:rsid w:val="00080610"/>
    <w:rsid w:val="00080719"/>
    <w:rsid w:val="00080822"/>
    <w:rsid w:val="00080833"/>
    <w:rsid w:val="00080852"/>
    <w:rsid w:val="0008088E"/>
    <w:rsid w:val="00080A10"/>
    <w:rsid w:val="00080A73"/>
    <w:rsid w:val="00080B03"/>
    <w:rsid w:val="00080B11"/>
    <w:rsid w:val="00080BC4"/>
    <w:rsid w:val="00080C2B"/>
    <w:rsid w:val="00080C90"/>
    <w:rsid w:val="00080D36"/>
    <w:rsid w:val="00080D3F"/>
    <w:rsid w:val="00080D86"/>
    <w:rsid w:val="00080E1F"/>
    <w:rsid w:val="00080E2D"/>
    <w:rsid w:val="00080E94"/>
    <w:rsid w:val="00080FD3"/>
    <w:rsid w:val="00081071"/>
    <w:rsid w:val="0008109F"/>
    <w:rsid w:val="00081334"/>
    <w:rsid w:val="000813F1"/>
    <w:rsid w:val="00081596"/>
    <w:rsid w:val="00081597"/>
    <w:rsid w:val="00081659"/>
    <w:rsid w:val="000816C6"/>
    <w:rsid w:val="0008170D"/>
    <w:rsid w:val="00081814"/>
    <w:rsid w:val="0008184A"/>
    <w:rsid w:val="00081896"/>
    <w:rsid w:val="00081965"/>
    <w:rsid w:val="00081977"/>
    <w:rsid w:val="0008198A"/>
    <w:rsid w:val="00081A03"/>
    <w:rsid w:val="00081B61"/>
    <w:rsid w:val="00081BEA"/>
    <w:rsid w:val="00081C22"/>
    <w:rsid w:val="00081D6B"/>
    <w:rsid w:val="00081DC1"/>
    <w:rsid w:val="00081DC7"/>
    <w:rsid w:val="00081EAE"/>
    <w:rsid w:val="00081EF5"/>
    <w:rsid w:val="00081FF0"/>
    <w:rsid w:val="000820AE"/>
    <w:rsid w:val="00082149"/>
    <w:rsid w:val="00082264"/>
    <w:rsid w:val="000822EA"/>
    <w:rsid w:val="00082446"/>
    <w:rsid w:val="00082558"/>
    <w:rsid w:val="00082590"/>
    <w:rsid w:val="00082716"/>
    <w:rsid w:val="00082947"/>
    <w:rsid w:val="00082A58"/>
    <w:rsid w:val="00082A6E"/>
    <w:rsid w:val="00082AA2"/>
    <w:rsid w:val="00082AEE"/>
    <w:rsid w:val="00082BB6"/>
    <w:rsid w:val="00082D90"/>
    <w:rsid w:val="00082D97"/>
    <w:rsid w:val="00082ED1"/>
    <w:rsid w:val="00082F9D"/>
    <w:rsid w:val="00082FB8"/>
    <w:rsid w:val="0008306F"/>
    <w:rsid w:val="0008312B"/>
    <w:rsid w:val="00083160"/>
    <w:rsid w:val="0008317D"/>
    <w:rsid w:val="00083266"/>
    <w:rsid w:val="000832C6"/>
    <w:rsid w:val="000833B9"/>
    <w:rsid w:val="0008340E"/>
    <w:rsid w:val="000835D0"/>
    <w:rsid w:val="0008366D"/>
    <w:rsid w:val="000836C7"/>
    <w:rsid w:val="000836EF"/>
    <w:rsid w:val="000837D4"/>
    <w:rsid w:val="00083818"/>
    <w:rsid w:val="0008384E"/>
    <w:rsid w:val="00083853"/>
    <w:rsid w:val="0008388B"/>
    <w:rsid w:val="000838B6"/>
    <w:rsid w:val="00083912"/>
    <w:rsid w:val="00083974"/>
    <w:rsid w:val="0008398C"/>
    <w:rsid w:val="0008399A"/>
    <w:rsid w:val="000839AA"/>
    <w:rsid w:val="000839F2"/>
    <w:rsid w:val="00083AB2"/>
    <w:rsid w:val="00083B7B"/>
    <w:rsid w:val="00083BC1"/>
    <w:rsid w:val="00083BD6"/>
    <w:rsid w:val="00083BF9"/>
    <w:rsid w:val="00083BFE"/>
    <w:rsid w:val="00083C69"/>
    <w:rsid w:val="00083CBC"/>
    <w:rsid w:val="00083D52"/>
    <w:rsid w:val="00083DD5"/>
    <w:rsid w:val="00083E88"/>
    <w:rsid w:val="00083EF4"/>
    <w:rsid w:val="000840F1"/>
    <w:rsid w:val="0008414D"/>
    <w:rsid w:val="000841C9"/>
    <w:rsid w:val="000841E1"/>
    <w:rsid w:val="000843B7"/>
    <w:rsid w:val="0008445D"/>
    <w:rsid w:val="00084469"/>
    <w:rsid w:val="00084628"/>
    <w:rsid w:val="000846AA"/>
    <w:rsid w:val="000846F3"/>
    <w:rsid w:val="0008474C"/>
    <w:rsid w:val="0008476B"/>
    <w:rsid w:val="00084954"/>
    <w:rsid w:val="000849CB"/>
    <w:rsid w:val="00084A11"/>
    <w:rsid w:val="00084B52"/>
    <w:rsid w:val="00084B7F"/>
    <w:rsid w:val="00084C95"/>
    <w:rsid w:val="00084CAB"/>
    <w:rsid w:val="00084D6A"/>
    <w:rsid w:val="00084DAE"/>
    <w:rsid w:val="00084DFE"/>
    <w:rsid w:val="00084E1C"/>
    <w:rsid w:val="00084F23"/>
    <w:rsid w:val="00084F4E"/>
    <w:rsid w:val="0008500A"/>
    <w:rsid w:val="00085225"/>
    <w:rsid w:val="00085227"/>
    <w:rsid w:val="0008538D"/>
    <w:rsid w:val="0008541D"/>
    <w:rsid w:val="00085430"/>
    <w:rsid w:val="000854BC"/>
    <w:rsid w:val="00085652"/>
    <w:rsid w:val="00085898"/>
    <w:rsid w:val="000858DD"/>
    <w:rsid w:val="000858F9"/>
    <w:rsid w:val="000859AF"/>
    <w:rsid w:val="00085A2B"/>
    <w:rsid w:val="00085CA5"/>
    <w:rsid w:val="00085D8C"/>
    <w:rsid w:val="00085DE3"/>
    <w:rsid w:val="00085E55"/>
    <w:rsid w:val="00085F12"/>
    <w:rsid w:val="00085FE7"/>
    <w:rsid w:val="00086217"/>
    <w:rsid w:val="00086262"/>
    <w:rsid w:val="00086516"/>
    <w:rsid w:val="0008651D"/>
    <w:rsid w:val="000865DD"/>
    <w:rsid w:val="000865E1"/>
    <w:rsid w:val="0008664B"/>
    <w:rsid w:val="00086686"/>
    <w:rsid w:val="00086750"/>
    <w:rsid w:val="00086803"/>
    <w:rsid w:val="00086859"/>
    <w:rsid w:val="0008686F"/>
    <w:rsid w:val="0008692A"/>
    <w:rsid w:val="0008694F"/>
    <w:rsid w:val="000869DB"/>
    <w:rsid w:val="000869F0"/>
    <w:rsid w:val="00086A21"/>
    <w:rsid w:val="00086A28"/>
    <w:rsid w:val="00086A8E"/>
    <w:rsid w:val="00086AEA"/>
    <w:rsid w:val="00086B5E"/>
    <w:rsid w:val="00086BC0"/>
    <w:rsid w:val="00086C7A"/>
    <w:rsid w:val="00086D5E"/>
    <w:rsid w:val="00086F01"/>
    <w:rsid w:val="00087037"/>
    <w:rsid w:val="0008704F"/>
    <w:rsid w:val="000870F2"/>
    <w:rsid w:val="00087211"/>
    <w:rsid w:val="00087299"/>
    <w:rsid w:val="000872CD"/>
    <w:rsid w:val="000873D5"/>
    <w:rsid w:val="0008753F"/>
    <w:rsid w:val="00087546"/>
    <w:rsid w:val="00087733"/>
    <w:rsid w:val="00087747"/>
    <w:rsid w:val="00087772"/>
    <w:rsid w:val="00087849"/>
    <w:rsid w:val="000878FC"/>
    <w:rsid w:val="0008791F"/>
    <w:rsid w:val="00087A49"/>
    <w:rsid w:val="00087B6B"/>
    <w:rsid w:val="00087B81"/>
    <w:rsid w:val="00087B96"/>
    <w:rsid w:val="00087C36"/>
    <w:rsid w:val="00087C4D"/>
    <w:rsid w:val="00087C85"/>
    <w:rsid w:val="00087E3E"/>
    <w:rsid w:val="00087E49"/>
    <w:rsid w:val="00087F9F"/>
    <w:rsid w:val="0009003A"/>
    <w:rsid w:val="0009006C"/>
    <w:rsid w:val="0009018E"/>
    <w:rsid w:val="0009020C"/>
    <w:rsid w:val="0009023A"/>
    <w:rsid w:val="000902A1"/>
    <w:rsid w:val="000902B4"/>
    <w:rsid w:val="000902BD"/>
    <w:rsid w:val="00090494"/>
    <w:rsid w:val="0009061D"/>
    <w:rsid w:val="000907A8"/>
    <w:rsid w:val="0009080F"/>
    <w:rsid w:val="000909FB"/>
    <w:rsid w:val="00090AFE"/>
    <w:rsid w:val="00090B6D"/>
    <w:rsid w:val="00090BC7"/>
    <w:rsid w:val="00090D01"/>
    <w:rsid w:val="00090D1F"/>
    <w:rsid w:val="00090D90"/>
    <w:rsid w:val="00090E34"/>
    <w:rsid w:val="00090E43"/>
    <w:rsid w:val="00090E5B"/>
    <w:rsid w:val="00090E75"/>
    <w:rsid w:val="00090F12"/>
    <w:rsid w:val="00090F63"/>
    <w:rsid w:val="00090F80"/>
    <w:rsid w:val="00090FE3"/>
    <w:rsid w:val="0009100B"/>
    <w:rsid w:val="00091079"/>
    <w:rsid w:val="000910E6"/>
    <w:rsid w:val="000911B7"/>
    <w:rsid w:val="0009121C"/>
    <w:rsid w:val="00091328"/>
    <w:rsid w:val="0009138E"/>
    <w:rsid w:val="00091512"/>
    <w:rsid w:val="00091521"/>
    <w:rsid w:val="0009165D"/>
    <w:rsid w:val="000916CF"/>
    <w:rsid w:val="00091708"/>
    <w:rsid w:val="0009173E"/>
    <w:rsid w:val="00091749"/>
    <w:rsid w:val="000917BB"/>
    <w:rsid w:val="0009189F"/>
    <w:rsid w:val="0009194E"/>
    <w:rsid w:val="00091982"/>
    <w:rsid w:val="000919D9"/>
    <w:rsid w:val="00091A20"/>
    <w:rsid w:val="00091A33"/>
    <w:rsid w:val="00091A45"/>
    <w:rsid w:val="00091A8C"/>
    <w:rsid w:val="00091B16"/>
    <w:rsid w:val="00091C0C"/>
    <w:rsid w:val="00091CD4"/>
    <w:rsid w:val="00091D71"/>
    <w:rsid w:val="00091DDD"/>
    <w:rsid w:val="00091E41"/>
    <w:rsid w:val="00091FBE"/>
    <w:rsid w:val="00092002"/>
    <w:rsid w:val="000920CF"/>
    <w:rsid w:val="00092341"/>
    <w:rsid w:val="00092375"/>
    <w:rsid w:val="00092390"/>
    <w:rsid w:val="00092451"/>
    <w:rsid w:val="000924B8"/>
    <w:rsid w:val="00092612"/>
    <w:rsid w:val="00092708"/>
    <w:rsid w:val="00092759"/>
    <w:rsid w:val="00092784"/>
    <w:rsid w:val="00092870"/>
    <w:rsid w:val="00092A01"/>
    <w:rsid w:val="00092C4F"/>
    <w:rsid w:val="00092D81"/>
    <w:rsid w:val="00092D95"/>
    <w:rsid w:val="00092DBB"/>
    <w:rsid w:val="00092DDD"/>
    <w:rsid w:val="00092DEA"/>
    <w:rsid w:val="00092E41"/>
    <w:rsid w:val="00092E70"/>
    <w:rsid w:val="00092F49"/>
    <w:rsid w:val="00093028"/>
    <w:rsid w:val="0009306A"/>
    <w:rsid w:val="00093084"/>
    <w:rsid w:val="000930C7"/>
    <w:rsid w:val="000930C9"/>
    <w:rsid w:val="000930CA"/>
    <w:rsid w:val="00093264"/>
    <w:rsid w:val="0009330A"/>
    <w:rsid w:val="00093371"/>
    <w:rsid w:val="0009338D"/>
    <w:rsid w:val="000934F3"/>
    <w:rsid w:val="00093551"/>
    <w:rsid w:val="00093793"/>
    <w:rsid w:val="000937D4"/>
    <w:rsid w:val="0009390F"/>
    <w:rsid w:val="00093936"/>
    <w:rsid w:val="00093938"/>
    <w:rsid w:val="000939BA"/>
    <w:rsid w:val="00093A42"/>
    <w:rsid w:val="00093AD3"/>
    <w:rsid w:val="00093B3B"/>
    <w:rsid w:val="00093B5A"/>
    <w:rsid w:val="00093D47"/>
    <w:rsid w:val="00093D53"/>
    <w:rsid w:val="00093E0E"/>
    <w:rsid w:val="00093EE2"/>
    <w:rsid w:val="00093F4B"/>
    <w:rsid w:val="000940F6"/>
    <w:rsid w:val="00094182"/>
    <w:rsid w:val="0009425E"/>
    <w:rsid w:val="000943CE"/>
    <w:rsid w:val="00094496"/>
    <w:rsid w:val="0009456C"/>
    <w:rsid w:val="000945DC"/>
    <w:rsid w:val="000945F7"/>
    <w:rsid w:val="00094635"/>
    <w:rsid w:val="00094654"/>
    <w:rsid w:val="0009473B"/>
    <w:rsid w:val="000947D9"/>
    <w:rsid w:val="000947F5"/>
    <w:rsid w:val="00094AB2"/>
    <w:rsid w:val="00094B40"/>
    <w:rsid w:val="00094C46"/>
    <w:rsid w:val="00094EAA"/>
    <w:rsid w:val="00094EC9"/>
    <w:rsid w:val="00094F21"/>
    <w:rsid w:val="00094F3B"/>
    <w:rsid w:val="00094F46"/>
    <w:rsid w:val="00094F72"/>
    <w:rsid w:val="00095038"/>
    <w:rsid w:val="000950A2"/>
    <w:rsid w:val="000951D9"/>
    <w:rsid w:val="00095280"/>
    <w:rsid w:val="000952C0"/>
    <w:rsid w:val="0009537C"/>
    <w:rsid w:val="00095414"/>
    <w:rsid w:val="000954B4"/>
    <w:rsid w:val="0009552B"/>
    <w:rsid w:val="000955EB"/>
    <w:rsid w:val="00095626"/>
    <w:rsid w:val="000956EB"/>
    <w:rsid w:val="00095789"/>
    <w:rsid w:val="00095911"/>
    <w:rsid w:val="00095915"/>
    <w:rsid w:val="0009599C"/>
    <w:rsid w:val="000959D0"/>
    <w:rsid w:val="000959F5"/>
    <w:rsid w:val="00095A19"/>
    <w:rsid w:val="00095A46"/>
    <w:rsid w:val="00095A69"/>
    <w:rsid w:val="00095A87"/>
    <w:rsid w:val="00095AB3"/>
    <w:rsid w:val="00095AF9"/>
    <w:rsid w:val="00095B26"/>
    <w:rsid w:val="00095BA5"/>
    <w:rsid w:val="00095C9D"/>
    <w:rsid w:val="00095CCB"/>
    <w:rsid w:val="00096147"/>
    <w:rsid w:val="000961D8"/>
    <w:rsid w:val="0009629E"/>
    <w:rsid w:val="00096365"/>
    <w:rsid w:val="000963A9"/>
    <w:rsid w:val="0009648F"/>
    <w:rsid w:val="00096491"/>
    <w:rsid w:val="000964BA"/>
    <w:rsid w:val="0009651E"/>
    <w:rsid w:val="0009657A"/>
    <w:rsid w:val="000965B2"/>
    <w:rsid w:val="00096603"/>
    <w:rsid w:val="0009666E"/>
    <w:rsid w:val="0009672D"/>
    <w:rsid w:val="00096730"/>
    <w:rsid w:val="00096761"/>
    <w:rsid w:val="000967C6"/>
    <w:rsid w:val="00096A0E"/>
    <w:rsid w:val="00096A38"/>
    <w:rsid w:val="00096A60"/>
    <w:rsid w:val="00096AD5"/>
    <w:rsid w:val="00096B6A"/>
    <w:rsid w:val="00096B83"/>
    <w:rsid w:val="00096C88"/>
    <w:rsid w:val="00096DDB"/>
    <w:rsid w:val="00096DE7"/>
    <w:rsid w:val="00096EBB"/>
    <w:rsid w:val="00097021"/>
    <w:rsid w:val="0009704A"/>
    <w:rsid w:val="00097099"/>
    <w:rsid w:val="0009715F"/>
    <w:rsid w:val="000971A2"/>
    <w:rsid w:val="000971AE"/>
    <w:rsid w:val="0009736A"/>
    <w:rsid w:val="00097384"/>
    <w:rsid w:val="000973A4"/>
    <w:rsid w:val="00097599"/>
    <w:rsid w:val="000976AF"/>
    <w:rsid w:val="00097732"/>
    <w:rsid w:val="000977DD"/>
    <w:rsid w:val="0009780D"/>
    <w:rsid w:val="000979E4"/>
    <w:rsid w:val="00097A91"/>
    <w:rsid w:val="00097B06"/>
    <w:rsid w:val="00097B55"/>
    <w:rsid w:val="00097B77"/>
    <w:rsid w:val="00097C29"/>
    <w:rsid w:val="00097CC0"/>
    <w:rsid w:val="00097D64"/>
    <w:rsid w:val="00097D80"/>
    <w:rsid w:val="00097E27"/>
    <w:rsid w:val="00097E47"/>
    <w:rsid w:val="00097EA2"/>
    <w:rsid w:val="00097F4C"/>
    <w:rsid w:val="00097F84"/>
    <w:rsid w:val="00097FDE"/>
    <w:rsid w:val="000A000A"/>
    <w:rsid w:val="000A0133"/>
    <w:rsid w:val="000A01A1"/>
    <w:rsid w:val="000A01D8"/>
    <w:rsid w:val="000A023D"/>
    <w:rsid w:val="000A0317"/>
    <w:rsid w:val="000A034D"/>
    <w:rsid w:val="000A03AA"/>
    <w:rsid w:val="000A03FC"/>
    <w:rsid w:val="000A0409"/>
    <w:rsid w:val="000A0429"/>
    <w:rsid w:val="000A0491"/>
    <w:rsid w:val="000A04A1"/>
    <w:rsid w:val="000A0503"/>
    <w:rsid w:val="000A0722"/>
    <w:rsid w:val="000A072D"/>
    <w:rsid w:val="000A090F"/>
    <w:rsid w:val="000A0B2E"/>
    <w:rsid w:val="000A0BBC"/>
    <w:rsid w:val="000A0BF2"/>
    <w:rsid w:val="000A0D98"/>
    <w:rsid w:val="000A0DA2"/>
    <w:rsid w:val="000A0E29"/>
    <w:rsid w:val="000A0E43"/>
    <w:rsid w:val="000A0EFE"/>
    <w:rsid w:val="000A0FC5"/>
    <w:rsid w:val="000A0FC7"/>
    <w:rsid w:val="000A10AF"/>
    <w:rsid w:val="000A1227"/>
    <w:rsid w:val="000A13EA"/>
    <w:rsid w:val="000A143B"/>
    <w:rsid w:val="000A1466"/>
    <w:rsid w:val="000A14EF"/>
    <w:rsid w:val="000A15C0"/>
    <w:rsid w:val="000A16E8"/>
    <w:rsid w:val="000A1716"/>
    <w:rsid w:val="000A173B"/>
    <w:rsid w:val="000A199E"/>
    <w:rsid w:val="000A1A27"/>
    <w:rsid w:val="000A1A4E"/>
    <w:rsid w:val="000A1B29"/>
    <w:rsid w:val="000A1C1C"/>
    <w:rsid w:val="000A1C6C"/>
    <w:rsid w:val="000A1CB9"/>
    <w:rsid w:val="000A1D4A"/>
    <w:rsid w:val="000A1D4F"/>
    <w:rsid w:val="000A1D6F"/>
    <w:rsid w:val="000A1E0A"/>
    <w:rsid w:val="000A1E7C"/>
    <w:rsid w:val="000A1FE5"/>
    <w:rsid w:val="000A204E"/>
    <w:rsid w:val="000A20BB"/>
    <w:rsid w:val="000A2191"/>
    <w:rsid w:val="000A22C2"/>
    <w:rsid w:val="000A22C3"/>
    <w:rsid w:val="000A2366"/>
    <w:rsid w:val="000A2422"/>
    <w:rsid w:val="000A2548"/>
    <w:rsid w:val="000A25F7"/>
    <w:rsid w:val="000A2697"/>
    <w:rsid w:val="000A286C"/>
    <w:rsid w:val="000A288E"/>
    <w:rsid w:val="000A29AA"/>
    <w:rsid w:val="000A2ACD"/>
    <w:rsid w:val="000A2B6C"/>
    <w:rsid w:val="000A2B93"/>
    <w:rsid w:val="000A2BDB"/>
    <w:rsid w:val="000A2D09"/>
    <w:rsid w:val="000A2E2A"/>
    <w:rsid w:val="000A2E78"/>
    <w:rsid w:val="000A2F95"/>
    <w:rsid w:val="000A2F99"/>
    <w:rsid w:val="000A2FF2"/>
    <w:rsid w:val="000A3011"/>
    <w:rsid w:val="000A3166"/>
    <w:rsid w:val="000A31B8"/>
    <w:rsid w:val="000A328D"/>
    <w:rsid w:val="000A32A8"/>
    <w:rsid w:val="000A32C7"/>
    <w:rsid w:val="000A32DE"/>
    <w:rsid w:val="000A341E"/>
    <w:rsid w:val="000A343E"/>
    <w:rsid w:val="000A3467"/>
    <w:rsid w:val="000A3494"/>
    <w:rsid w:val="000A34FA"/>
    <w:rsid w:val="000A350D"/>
    <w:rsid w:val="000A3520"/>
    <w:rsid w:val="000A3538"/>
    <w:rsid w:val="000A3559"/>
    <w:rsid w:val="000A360F"/>
    <w:rsid w:val="000A364E"/>
    <w:rsid w:val="000A36E9"/>
    <w:rsid w:val="000A3883"/>
    <w:rsid w:val="000A3896"/>
    <w:rsid w:val="000A38EA"/>
    <w:rsid w:val="000A397B"/>
    <w:rsid w:val="000A3AEC"/>
    <w:rsid w:val="000A3C93"/>
    <w:rsid w:val="000A3CF7"/>
    <w:rsid w:val="000A3E24"/>
    <w:rsid w:val="000A3E5C"/>
    <w:rsid w:val="000A3F21"/>
    <w:rsid w:val="000A3F6E"/>
    <w:rsid w:val="000A3FF1"/>
    <w:rsid w:val="000A40C9"/>
    <w:rsid w:val="000A4294"/>
    <w:rsid w:val="000A4300"/>
    <w:rsid w:val="000A4438"/>
    <w:rsid w:val="000A4533"/>
    <w:rsid w:val="000A4584"/>
    <w:rsid w:val="000A45EC"/>
    <w:rsid w:val="000A4656"/>
    <w:rsid w:val="000A4670"/>
    <w:rsid w:val="000A46A8"/>
    <w:rsid w:val="000A46DB"/>
    <w:rsid w:val="000A46F2"/>
    <w:rsid w:val="000A474C"/>
    <w:rsid w:val="000A47A2"/>
    <w:rsid w:val="000A47F3"/>
    <w:rsid w:val="000A4800"/>
    <w:rsid w:val="000A4858"/>
    <w:rsid w:val="000A48AB"/>
    <w:rsid w:val="000A4978"/>
    <w:rsid w:val="000A4A31"/>
    <w:rsid w:val="000A4A6C"/>
    <w:rsid w:val="000A4A92"/>
    <w:rsid w:val="000A4AC2"/>
    <w:rsid w:val="000A4BF3"/>
    <w:rsid w:val="000A4C45"/>
    <w:rsid w:val="000A4C93"/>
    <w:rsid w:val="000A4EE5"/>
    <w:rsid w:val="000A4F38"/>
    <w:rsid w:val="000A4FD6"/>
    <w:rsid w:val="000A507E"/>
    <w:rsid w:val="000A5083"/>
    <w:rsid w:val="000A5108"/>
    <w:rsid w:val="000A5200"/>
    <w:rsid w:val="000A5201"/>
    <w:rsid w:val="000A5274"/>
    <w:rsid w:val="000A536D"/>
    <w:rsid w:val="000A53C5"/>
    <w:rsid w:val="000A53C8"/>
    <w:rsid w:val="000A53D2"/>
    <w:rsid w:val="000A5526"/>
    <w:rsid w:val="000A5555"/>
    <w:rsid w:val="000A55E9"/>
    <w:rsid w:val="000A5626"/>
    <w:rsid w:val="000A564E"/>
    <w:rsid w:val="000A5673"/>
    <w:rsid w:val="000A57F6"/>
    <w:rsid w:val="000A581E"/>
    <w:rsid w:val="000A5927"/>
    <w:rsid w:val="000A5C23"/>
    <w:rsid w:val="000A5C34"/>
    <w:rsid w:val="000A5C4B"/>
    <w:rsid w:val="000A5CD3"/>
    <w:rsid w:val="000A5CD9"/>
    <w:rsid w:val="000A5D1E"/>
    <w:rsid w:val="000A5D32"/>
    <w:rsid w:val="000A5DA6"/>
    <w:rsid w:val="000A5FD0"/>
    <w:rsid w:val="000A63A4"/>
    <w:rsid w:val="000A6431"/>
    <w:rsid w:val="000A64A7"/>
    <w:rsid w:val="000A653F"/>
    <w:rsid w:val="000A6561"/>
    <w:rsid w:val="000A65A8"/>
    <w:rsid w:val="000A6627"/>
    <w:rsid w:val="000A684F"/>
    <w:rsid w:val="000A6885"/>
    <w:rsid w:val="000A69CD"/>
    <w:rsid w:val="000A6B76"/>
    <w:rsid w:val="000A6C3B"/>
    <w:rsid w:val="000A6C5E"/>
    <w:rsid w:val="000A6CBC"/>
    <w:rsid w:val="000A6E87"/>
    <w:rsid w:val="000A6E8E"/>
    <w:rsid w:val="000A6E90"/>
    <w:rsid w:val="000A6EB3"/>
    <w:rsid w:val="000A6F80"/>
    <w:rsid w:val="000A7090"/>
    <w:rsid w:val="000A7115"/>
    <w:rsid w:val="000A712F"/>
    <w:rsid w:val="000A7253"/>
    <w:rsid w:val="000A72AB"/>
    <w:rsid w:val="000A72FF"/>
    <w:rsid w:val="000A73D9"/>
    <w:rsid w:val="000A7478"/>
    <w:rsid w:val="000A7584"/>
    <w:rsid w:val="000A75BF"/>
    <w:rsid w:val="000A77FF"/>
    <w:rsid w:val="000A783C"/>
    <w:rsid w:val="000A78D4"/>
    <w:rsid w:val="000A79B3"/>
    <w:rsid w:val="000A7B47"/>
    <w:rsid w:val="000A7BDD"/>
    <w:rsid w:val="000A7BEC"/>
    <w:rsid w:val="000A7BFA"/>
    <w:rsid w:val="000A7C83"/>
    <w:rsid w:val="000A7CC3"/>
    <w:rsid w:val="000A7CD0"/>
    <w:rsid w:val="000A7D18"/>
    <w:rsid w:val="000A7D20"/>
    <w:rsid w:val="000A7D3E"/>
    <w:rsid w:val="000A7D43"/>
    <w:rsid w:val="000A7D51"/>
    <w:rsid w:val="000A7E66"/>
    <w:rsid w:val="000A7EF6"/>
    <w:rsid w:val="000A7F05"/>
    <w:rsid w:val="000A7F7B"/>
    <w:rsid w:val="000A7FE8"/>
    <w:rsid w:val="000B00ED"/>
    <w:rsid w:val="000B015F"/>
    <w:rsid w:val="000B02D6"/>
    <w:rsid w:val="000B0374"/>
    <w:rsid w:val="000B03C0"/>
    <w:rsid w:val="000B03E5"/>
    <w:rsid w:val="000B041D"/>
    <w:rsid w:val="000B0442"/>
    <w:rsid w:val="000B059B"/>
    <w:rsid w:val="000B05CD"/>
    <w:rsid w:val="000B0655"/>
    <w:rsid w:val="000B0714"/>
    <w:rsid w:val="000B0723"/>
    <w:rsid w:val="000B07EA"/>
    <w:rsid w:val="000B0813"/>
    <w:rsid w:val="000B094A"/>
    <w:rsid w:val="000B0A23"/>
    <w:rsid w:val="000B0A4D"/>
    <w:rsid w:val="000B0A97"/>
    <w:rsid w:val="000B0B4E"/>
    <w:rsid w:val="000B0C59"/>
    <w:rsid w:val="000B0DFB"/>
    <w:rsid w:val="000B0E3C"/>
    <w:rsid w:val="000B0EAF"/>
    <w:rsid w:val="000B0ED7"/>
    <w:rsid w:val="000B0F33"/>
    <w:rsid w:val="000B0F56"/>
    <w:rsid w:val="000B1044"/>
    <w:rsid w:val="000B1058"/>
    <w:rsid w:val="000B1110"/>
    <w:rsid w:val="000B1153"/>
    <w:rsid w:val="000B1338"/>
    <w:rsid w:val="000B136C"/>
    <w:rsid w:val="000B141D"/>
    <w:rsid w:val="000B1484"/>
    <w:rsid w:val="000B18F0"/>
    <w:rsid w:val="000B1978"/>
    <w:rsid w:val="000B19BB"/>
    <w:rsid w:val="000B19F7"/>
    <w:rsid w:val="000B1A4A"/>
    <w:rsid w:val="000B1AC7"/>
    <w:rsid w:val="000B1C7D"/>
    <w:rsid w:val="000B1CA3"/>
    <w:rsid w:val="000B1E12"/>
    <w:rsid w:val="000B1EFB"/>
    <w:rsid w:val="000B1F83"/>
    <w:rsid w:val="000B20C5"/>
    <w:rsid w:val="000B20EE"/>
    <w:rsid w:val="000B22D1"/>
    <w:rsid w:val="000B231C"/>
    <w:rsid w:val="000B2328"/>
    <w:rsid w:val="000B2467"/>
    <w:rsid w:val="000B24DE"/>
    <w:rsid w:val="000B251F"/>
    <w:rsid w:val="000B2549"/>
    <w:rsid w:val="000B26CE"/>
    <w:rsid w:val="000B26E8"/>
    <w:rsid w:val="000B2751"/>
    <w:rsid w:val="000B2879"/>
    <w:rsid w:val="000B2A53"/>
    <w:rsid w:val="000B2AE1"/>
    <w:rsid w:val="000B2E3C"/>
    <w:rsid w:val="000B2E4B"/>
    <w:rsid w:val="000B2F5B"/>
    <w:rsid w:val="000B3007"/>
    <w:rsid w:val="000B3229"/>
    <w:rsid w:val="000B3381"/>
    <w:rsid w:val="000B33E1"/>
    <w:rsid w:val="000B3445"/>
    <w:rsid w:val="000B34C1"/>
    <w:rsid w:val="000B34F8"/>
    <w:rsid w:val="000B3536"/>
    <w:rsid w:val="000B37B7"/>
    <w:rsid w:val="000B37B8"/>
    <w:rsid w:val="000B387A"/>
    <w:rsid w:val="000B38BF"/>
    <w:rsid w:val="000B395B"/>
    <w:rsid w:val="000B398D"/>
    <w:rsid w:val="000B39AF"/>
    <w:rsid w:val="000B3A0C"/>
    <w:rsid w:val="000B3A70"/>
    <w:rsid w:val="000B3AA5"/>
    <w:rsid w:val="000B3AEA"/>
    <w:rsid w:val="000B3B0E"/>
    <w:rsid w:val="000B3C3C"/>
    <w:rsid w:val="000B3C85"/>
    <w:rsid w:val="000B3C95"/>
    <w:rsid w:val="000B3D5D"/>
    <w:rsid w:val="000B3E3D"/>
    <w:rsid w:val="000B41B6"/>
    <w:rsid w:val="000B41FA"/>
    <w:rsid w:val="000B41FD"/>
    <w:rsid w:val="000B42E3"/>
    <w:rsid w:val="000B4406"/>
    <w:rsid w:val="000B44A2"/>
    <w:rsid w:val="000B468C"/>
    <w:rsid w:val="000B47CF"/>
    <w:rsid w:val="000B48BA"/>
    <w:rsid w:val="000B48DE"/>
    <w:rsid w:val="000B497D"/>
    <w:rsid w:val="000B4A5D"/>
    <w:rsid w:val="000B4AB7"/>
    <w:rsid w:val="000B4B20"/>
    <w:rsid w:val="000B4B91"/>
    <w:rsid w:val="000B4BD9"/>
    <w:rsid w:val="000B4BDB"/>
    <w:rsid w:val="000B4E37"/>
    <w:rsid w:val="000B4E68"/>
    <w:rsid w:val="000B4EF4"/>
    <w:rsid w:val="000B500A"/>
    <w:rsid w:val="000B5086"/>
    <w:rsid w:val="000B50E7"/>
    <w:rsid w:val="000B5240"/>
    <w:rsid w:val="000B53D8"/>
    <w:rsid w:val="000B540E"/>
    <w:rsid w:val="000B553E"/>
    <w:rsid w:val="000B56AF"/>
    <w:rsid w:val="000B574A"/>
    <w:rsid w:val="000B5755"/>
    <w:rsid w:val="000B587B"/>
    <w:rsid w:val="000B58CF"/>
    <w:rsid w:val="000B58F6"/>
    <w:rsid w:val="000B5960"/>
    <w:rsid w:val="000B59A4"/>
    <w:rsid w:val="000B5A30"/>
    <w:rsid w:val="000B5BBE"/>
    <w:rsid w:val="000B5BED"/>
    <w:rsid w:val="000B5C1A"/>
    <w:rsid w:val="000B5CDB"/>
    <w:rsid w:val="000B5D7F"/>
    <w:rsid w:val="000B5E77"/>
    <w:rsid w:val="000B5FE7"/>
    <w:rsid w:val="000B6103"/>
    <w:rsid w:val="000B6275"/>
    <w:rsid w:val="000B6283"/>
    <w:rsid w:val="000B62B4"/>
    <w:rsid w:val="000B62B5"/>
    <w:rsid w:val="000B6340"/>
    <w:rsid w:val="000B634B"/>
    <w:rsid w:val="000B648D"/>
    <w:rsid w:val="000B64A8"/>
    <w:rsid w:val="000B668A"/>
    <w:rsid w:val="000B6761"/>
    <w:rsid w:val="000B6774"/>
    <w:rsid w:val="000B67FD"/>
    <w:rsid w:val="000B69C1"/>
    <w:rsid w:val="000B6C05"/>
    <w:rsid w:val="000B6CBE"/>
    <w:rsid w:val="000B6E2D"/>
    <w:rsid w:val="000B70E8"/>
    <w:rsid w:val="000B729C"/>
    <w:rsid w:val="000B7441"/>
    <w:rsid w:val="000B74B1"/>
    <w:rsid w:val="000B74D3"/>
    <w:rsid w:val="000B75B4"/>
    <w:rsid w:val="000B7608"/>
    <w:rsid w:val="000B7692"/>
    <w:rsid w:val="000B76C4"/>
    <w:rsid w:val="000B76D5"/>
    <w:rsid w:val="000B76DA"/>
    <w:rsid w:val="000B77A2"/>
    <w:rsid w:val="000B79EC"/>
    <w:rsid w:val="000B7B14"/>
    <w:rsid w:val="000B7B56"/>
    <w:rsid w:val="000B7B84"/>
    <w:rsid w:val="000B7B9B"/>
    <w:rsid w:val="000B7C0A"/>
    <w:rsid w:val="000B7C24"/>
    <w:rsid w:val="000B7C72"/>
    <w:rsid w:val="000B7CCE"/>
    <w:rsid w:val="000B7D4E"/>
    <w:rsid w:val="000B7EC0"/>
    <w:rsid w:val="000B7F2C"/>
    <w:rsid w:val="000C0054"/>
    <w:rsid w:val="000C019B"/>
    <w:rsid w:val="000C01DE"/>
    <w:rsid w:val="000C02F3"/>
    <w:rsid w:val="000C030D"/>
    <w:rsid w:val="000C0347"/>
    <w:rsid w:val="000C03E6"/>
    <w:rsid w:val="000C0465"/>
    <w:rsid w:val="000C04F3"/>
    <w:rsid w:val="000C05E1"/>
    <w:rsid w:val="000C0668"/>
    <w:rsid w:val="000C0885"/>
    <w:rsid w:val="000C0927"/>
    <w:rsid w:val="000C093E"/>
    <w:rsid w:val="000C0A48"/>
    <w:rsid w:val="000C0B60"/>
    <w:rsid w:val="000C0CC1"/>
    <w:rsid w:val="000C0D29"/>
    <w:rsid w:val="000C0F14"/>
    <w:rsid w:val="000C0F75"/>
    <w:rsid w:val="000C0FB4"/>
    <w:rsid w:val="000C1029"/>
    <w:rsid w:val="000C1101"/>
    <w:rsid w:val="000C116C"/>
    <w:rsid w:val="000C119B"/>
    <w:rsid w:val="000C1288"/>
    <w:rsid w:val="000C1428"/>
    <w:rsid w:val="000C149B"/>
    <w:rsid w:val="000C15F2"/>
    <w:rsid w:val="000C1699"/>
    <w:rsid w:val="000C169D"/>
    <w:rsid w:val="000C1947"/>
    <w:rsid w:val="000C199C"/>
    <w:rsid w:val="000C1A6D"/>
    <w:rsid w:val="000C1AD7"/>
    <w:rsid w:val="000C1AD8"/>
    <w:rsid w:val="000C1AEE"/>
    <w:rsid w:val="000C1CC1"/>
    <w:rsid w:val="000C1D02"/>
    <w:rsid w:val="000C1D67"/>
    <w:rsid w:val="000C1EDD"/>
    <w:rsid w:val="000C1F52"/>
    <w:rsid w:val="000C1FBA"/>
    <w:rsid w:val="000C1FC6"/>
    <w:rsid w:val="000C206F"/>
    <w:rsid w:val="000C2083"/>
    <w:rsid w:val="000C20BD"/>
    <w:rsid w:val="000C20C8"/>
    <w:rsid w:val="000C20CB"/>
    <w:rsid w:val="000C2242"/>
    <w:rsid w:val="000C23A0"/>
    <w:rsid w:val="000C23A1"/>
    <w:rsid w:val="000C23AD"/>
    <w:rsid w:val="000C240E"/>
    <w:rsid w:val="000C24C1"/>
    <w:rsid w:val="000C2538"/>
    <w:rsid w:val="000C2596"/>
    <w:rsid w:val="000C25F9"/>
    <w:rsid w:val="000C2722"/>
    <w:rsid w:val="000C272D"/>
    <w:rsid w:val="000C28F0"/>
    <w:rsid w:val="000C290B"/>
    <w:rsid w:val="000C2934"/>
    <w:rsid w:val="000C29D6"/>
    <w:rsid w:val="000C29FD"/>
    <w:rsid w:val="000C2B24"/>
    <w:rsid w:val="000C2B35"/>
    <w:rsid w:val="000C2BFD"/>
    <w:rsid w:val="000C2C40"/>
    <w:rsid w:val="000C2C6B"/>
    <w:rsid w:val="000C2CF9"/>
    <w:rsid w:val="000C2D42"/>
    <w:rsid w:val="000C2DD4"/>
    <w:rsid w:val="000C2DFF"/>
    <w:rsid w:val="000C2F90"/>
    <w:rsid w:val="000C2FE0"/>
    <w:rsid w:val="000C301C"/>
    <w:rsid w:val="000C303F"/>
    <w:rsid w:val="000C3070"/>
    <w:rsid w:val="000C31B4"/>
    <w:rsid w:val="000C32AA"/>
    <w:rsid w:val="000C33CB"/>
    <w:rsid w:val="000C3478"/>
    <w:rsid w:val="000C3520"/>
    <w:rsid w:val="000C357E"/>
    <w:rsid w:val="000C358A"/>
    <w:rsid w:val="000C3622"/>
    <w:rsid w:val="000C36B2"/>
    <w:rsid w:val="000C36F6"/>
    <w:rsid w:val="000C375A"/>
    <w:rsid w:val="000C37AB"/>
    <w:rsid w:val="000C385A"/>
    <w:rsid w:val="000C3886"/>
    <w:rsid w:val="000C38FF"/>
    <w:rsid w:val="000C3A84"/>
    <w:rsid w:val="000C3AEC"/>
    <w:rsid w:val="000C3B80"/>
    <w:rsid w:val="000C3CFC"/>
    <w:rsid w:val="000C3D43"/>
    <w:rsid w:val="000C3D89"/>
    <w:rsid w:val="000C3E17"/>
    <w:rsid w:val="000C3EE6"/>
    <w:rsid w:val="000C3F10"/>
    <w:rsid w:val="000C401F"/>
    <w:rsid w:val="000C40D5"/>
    <w:rsid w:val="000C4147"/>
    <w:rsid w:val="000C430C"/>
    <w:rsid w:val="000C4345"/>
    <w:rsid w:val="000C4353"/>
    <w:rsid w:val="000C4354"/>
    <w:rsid w:val="000C43CA"/>
    <w:rsid w:val="000C43E2"/>
    <w:rsid w:val="000C4410"/>
    <w:rsid w:val="000C449D"/>
    <w:rsid w:val="000C4500"/>
    <w:rsid w:val="000C455F"/>
    <w:rsid w:val="000C4573"/>
    <w:rsid w:val="000C45D3"/>
    <w:rsid w:val="000C4671"/>
    <w:rsid w:val="000C475A"/>
    <w:rsid w:val="000C47EB"/>
    <w:rsid w:val="000C485B"/>
    <w:rsid w:val="000C48B3"/>
    <w:rsid w:val="000C48EC"/>
    <w:rsid w:val="000C498D"/>
    <w:rsid w:val="000C49A0"/>
    <w:rsid w:val="000C49A1"/>
    <w:rsid w:val="000C4A5D"/>
    <w:rsid w:val="000C4B01"/>
    <w:rsid w:val="000C4BC1"/>
    <w:rsid w:val="000C4DAB"/>
    <w:rsid w:val="000C4E85"/>
    <w:rsid w:val="000C4ED3"/>
    <w:rsid w:val="000C4EE4"/>
    <w:rsid w:val="000C4F32"/>
    <w:rsid w:val="000C4FF2"/>
    <w:rsid w:val="000C50AC"/>
    <w:rsid w:val="000C50C4"/>
    <w:rsid w:val="000C50C7"/>
    <w:rsid w:val="000C50CE"/>
    <w:rsid w:val="000C5212"/>
    <w:rsid w:val="000C5214"/>
    <w:rsid w:val="000C5269"/>
    <w:rsid w:val="000C52E3"/>
    <w:rsid w:val="000C5348"/>
    <w:rsid w:val="000C5352"/>
    <w:rsid w:val="000C55B0"/>
    <w:rsid w:val="000C55D6"/>
    <w:rsid w:val="000C5677"/>
    <w:rsid w:val="000C5794"/>
    <w:rsid w:val="000C57EE"/>
    <w:rsid w:val="000C586D"/>
    <w:rsid w:val="000C5908"/>
    <w:rsid w:val="000C590B"/>
    <w:rsid w:val="000C594E"/>
    <w:rsid w:val="000C5963"/>
    <w:rsid w:val="000C59B7"/>
    <w:rsid w:val="000C5A7D"/>
    <w:rsid w:val="000C5BA8"/>
    <w:rsid w:val="000C5BD4"/>
    <w:rsid w:val="000C5C48"/>
    <w:rsid w:val="000C5D2C"/>
    <w:rsid w:val="000C5D3E"/>
    <w:rsid w:val="000C5D5D"/>
    <w:rsid w:val="000C5D9F"/>
    <w:rsid w:val="000C5DBC"/>
    <w:rsid w:val="000C5E4B"/>
    <w:rsid w:val="000C5EA5"/>
    <w:rsid w:val="000C5EC4"/>
    <w:rsid w:val="000C5FBE"/>
    <w:rsid w:val="000C5FD3"/>
    <w:rsid w:val="000C6047"/>
    <w:rsid w:val="000C60CE"/>
    <w:rsid w:val="000C6181"/>
    <w:rsid w:val="000C61A8"/>
    <w:rsid w:val="000C61AC"/>
    <w:rsid w:val="000C61B8"/>
    <w:rsid w:val="000C6305"/>
    <w:rsid w:val="000C630A"/>
    <w:rsid w:val="000C63B7"/>
    <w:rsid w:val="000C6477"/>
    <w:rsid w:val="000C6529"/>
    <w:rsid w:val="000C665B"/>
    <w:rsid w:val="000C668E"/>
    <w:rsid w:val="000C66AF"/>
    <w:rsid w:val="000C66B1"/>
    <w:rsid w:val="000C66F2"/>
    <w:rsid w:val="000C66FB"/>
    <w:rsid w:val="000C676E"/>
    <w:rsid w:val="000C6808"/>
    <w:rsid w:val="000C685A"/>
    <w:rsid w:val="000C68A3"/>
    <w:rsid w:val="000C69A0"/>
    <w:rsid w:val="000C6AC5"/>
    <w:rsid w:val="000C6AE9"/>
    <w:rsid w:val="000C6BEC"/>
    <w:rsid w:val="000C6CB1"/>
    <w:rsid w:val="000C6CDB"/>
    <w:rsid w:val="000C6D3E"/>
    <w:rsid w:val="000C6D9E"/>
    <w:rsid w:val="000C6FAB"/>
    <w:rsid w:val="000C7186"/>
    <w:rsid w:val="000C72DE"/>
    <w:rsid w:val="000C735F"/>
    <w:rsid w:val="000C7456"/>
    <w:rsid w:val="000C7474"/>
    <w:rsid w:val="000C74D9"/>
    <w:rsid w:val="000C7512"/>
    <w:rsid w:val="000C75BA"/>
    <w:rsid w:val="000C7623"/>
    <w:rsid w:val="000C7630"/>
    <w:rsid w:val="000C76E4"/>
    <w:rsid w:val="000C76E5"/>
    <w:rsid w:val="000C7B25"/>
    <w:rsid w:val="000C7BE8"/>
    <w:rsid w:val="000C7C63"/>
    <w:rsid w:val="000C7C6F"/>
    <w:rsid w:val="000C7D39"/>
    <w:rsid w:val="000C7DB4"/>
    <w:rsid w:val="000C7F82"/>
    <w:rsid w:val="000C7FC3"/>
    <w:rsid w:val="000D00DF"/>
    <w:rsid w:val="000D0161"/>
    <w:rsid w:val="000D016D"/>
    <w:rsid w:val="000D018D"/>
    <w:rsid w:val="000D018E"/>
    <w:rsid w:val="000D0281"/>
    <w:rsid w:val="000D02AF"/>
    <w:rsid w:val="000D043B"/>
    <w:rsid w:val="000D0481"/>
    <w:rsid w:val="000D04B6"/>
    <w:rsid w:val="000D0575"/>
    <w:rsid w:val="000D057E"/>
    <w:rsid w:val="000D05EF"/>
    <w:rsid w:val="000D0669"/>
    <w:rsid w:val="000D0839"/>
    <w:rsid w:val="000D0950"/>
    <w:rsid w:val="000D09A5"/>
    <w:rsid w:val="000D0C1A"/>
    <w:rsid w:val="000D0D2C"/>
    <w:rsid w:val="000D0D95"/>
    <w:rsid w:val="000D0DDC"/>
    <w:rsid w:val="000D0DE0"/>
    <w:rsid w:val="000D0E53"/>
    <w:rsid w:val="000D0EC7"/>
    <w:rsid w:val="000D10A9"/>
    <w:rsid w:val="000D1127"/>
    <w:rsid w:val="000D11BA"/>
    <w:rsid w:val="000D1257"/>
    <w:rsid w:val="000D12B6"/>
    <w:rsid w:val="000D1320"/>
    <w:rsid w:val="000D135D"/>
    <w:rsid w:val="000D1374"/>
    <w:rsid w:val="000D1375"/>
    <w:rsid w:val="000D13AC"/>
    <w:rsid w:val="000D13DA"/>
    <w:rsid w:val="000D13DC"/>
    <w:rsid w:val="000D1496"/>
    <w:rsid w:val="000D162D"/>
    <w:rsid w:val="000D1645"/>
    <w:rsid w:val="000D1667"/>
    <w:rsid w:val="000D16CF"/>
    <w:rsid w:val="000D1711"/>
    <w:rsid w:val="000D18FB"/>
    <w:rsid w:val="000D19DF"/>
    <w:rsid w:val="000D1A47"/>
    <w:rsid w:val="000D1AC4"/>
    <w:rsid w:val="000D1D50"/>
    <w:rsid w:val="000D1D78"/>
    <w:rsid w:val="000D1DC4"/>
    <w:rsid w:val="000D1E1A"/>
    <w:rsid w:val="000D1EF0"/>
    <w:rsid w:val="000D1F1B"/>
    <w:rsid w:val="000D1F5E"/>
    <w:rsid w:val="000D204F"/>
    <w:rsid w:val="000D2064"/>
    <w:rsid w:val="000D210F"/>
    <w:rsid w:val="000D21FC"/>
    <w:rsid w:val="000D2243"/>
    <w:rsid w:val="000D229D"/>
    <w:rsid w:val="000D22E6"/>
    <w:rsid w:val="000D232F"/>
    <w:rsid w:val="000D2343"/>
    <w:rsid w:val="000D24C2"/>
    <w:rsid w:val="000D2512"/>
    <w:rsid w:val="000D259A"/>
    <w:rsid w:val="000D25ED"/>
    <w:rsid w:val="000D26C8"/>
    <w:rsid w:val="000D26CC"/>
    <w:rsid w:val="000D273B"/>
    <w:rsid w:val="000D2788"/>
    <w:rsid w:val="000D27D7"/>
    <w:rsid w:val="000D2809"/>
    <w:rsid w:val="000D28D6"/>
    <w:rsid w:val="000D29D1"/>
    <w:rsid w:val="000D2C19"/>
    <w:rsid w:val="000D2C6F"/>
    <w:rsid w:val="000D2CB6"/>
    <w:rsid w:val="000D2DE0"/>
    <w:rsid w:val="000D2E5B"/>
    <w:rsid w:val="000D2EAF"/>
    <w:rsid w:val="000D2EBA"/>
    <w:rsid w:val="000D2EC0"/>
    <w:rsid w:val="000D30A5"/>
    <w:rsid w:val="000D30E7"/>
    <w:rsid w:val="000D328F"/>
    <w:rsid w:val="000D3382"/>
    <w:rsid w:val="000D33D4"/>
    <w:rsid w:val="000D33FB"/>
    <w:rsid w:val="000D3582"/>
    <w:rsid w:val="000D3683"/>
    <w:rsid w:val="000D3723"/>
    <w:rsid w:val="000D3795"/>
    <w:rsid w:val="000D3842"/>
    <w:rsid w:val="000D3879"/>
    <w:rsid w:val="000D393A"/>
    <w:rsid w:val="000D3943"/>
    <w:rsid w:val="000D39CA"/>
    <w:rsid w:val="000D3A86"/>
    <w:rsid w:val="000D3A9C"/>
    <w:rsid w:val="000D3ADC"/>
    <w:rsid w:val="000D3B7F"/>
    <w:rsid w:val="000D3C7B"/>
    <w:rsid w:val="000D3D74"/>
    <w:rsid w:val="000D3DAF"/>
    <w:rsid w:val="000D405C"/>
    <w:rsid w:val="000D41DA"/>
    <w:rsid w:val="000D41F2"/>
    <w:rsid w:val="000D4437"/>
    <w:rsid w:val="000D45C4"/>
    <w:rsid w:val="000D466E"/>
    <w:rsid w:val="000D47B9"/>
    <w:rsid w:val="000D4832"/>
    <w:rsid w:val="000D4893"/>
    <w:rsid w:val="000D491E"/>
    <w:rsid w:val="000D499A"/>
    <w:rsid w:val="000D49B7"/>
    <w:rsid w:val="000D4D01"/>
    <w:rsid w:val="000D4D32"/>
    <w:rsid w:val="000D4DA3"/>
    <w:rsid w:val="000D4DB6"/>
    <w:rsid w:val="000D4F5F"/>
    <w:rsid w:val="000D5058"/>
    <w:rsid w:val="000D5127"/>
    <w:rsid w:val="000D5132"/>
    <w:rsid w:val="000D517B"/>
    <w:rsid w:val="000D527C"/>
    <w:rsid w:val="000D52AC"/>
    <w:rsid w:val="000D532E"/>
    <w:rsid w:val="000D56B8"/>
    <w:rsid w:val="000D571C"/>
    <w:rsid w:val="000D58A2"/>
    <w:rsid w:val="000D58AA"/>
    <w:rsid w:val="000D5929"/>
    <w:rsid w:val="000D5A1B"/>
    <w:rsid w:val="000D5A37"/>
    <w:rsid w:val="000D5AD9"/>
    <w:rsid w:val="000D5B13"/>
    <w:rsid w:val="000D5B7C"/>
    <w:rsid w:val="000D5C0F"/>
    <w:rsid w:val="000D5C1B"/>
    <w:rsid w:val="000D5C36"/>
    <w:rsid w:val="000D5C7E"/>
    <w:rsid w:val="000D5CC4"/>
    <w:rsid w:val="000D5DD0"/>
    <w:rsid w:val="000D5EA8"/>
    <w:rsid w:val="000D5F71"/>
    <w:rsid w:val="000D6038"/>
    <w:rsid w:val="000D6041"/>
    <w:rsid w:val="000D60BE"/>
    <w:rsid w:val="000D6152"/>
    <w:rsid w:val="000D619E"/>
    <w:rsid w:val="000D61B0"/>
    <w:rsid w:val="000D61DC"/>
    <w:rsid w:val="000D622D"/>
    <w:rsid w:val="000D6233"/>
    <w:rsid w:val="000D6244"/>
    <w:rsid w:val="000D6337"/>
    <w:rsid w:val="000D63DA"/>
    <w:rsid w:val="000D6493"/>
    <w:rsid w:val="000D64DC"/>
    <w:rsid w:val="000D6577"/>
    <w:rsid w:val="000D666B"/>
    <w:rsid w:val="000D6673"/>
    <w:rsid w:val="000D6800"/>
    <w:rsid w:val="000D69B1"/>
    <w:rsid w:val="000D6AB8"/>
    <w:rsid w:val="000D6B00"/>
    <w:rsid w:val="000D6B19"/>
    <w:rsid w:val="000D6C34"/>
    <w:rsid w:val="000D6D05"/>
    <w:rsid w:val="000D6E56"/>
    <w:rsid w:val="000D6F1B"/>
    <w:rsid w:val="000D71C1"/>
    <w:rsid w:val="000D7271"/>
    <w:rsid w:val="000D72F2"/>
    <w:rsid w:val="000D7303"/>
    <w:rsid w:val="000D732F"/>
    <w:rsid w:val="000D7355"/>
    <w:rsid w:val="000D748A"/>
    <w:rsid w:val="000D7584"/>
    <w:rsid w:val="000D760C"/>
    <w:rsid w:val="000D7615"/>
    <w:rsid w:val="000D776C"/>
    <w:rsid w:val="000D7893"/>
    <w:rsid w:val="000D796C"/>
    <w:rsid w:val="000D7A43"/>
    <w:rsid w:val="000D7AD3"/>
    <w:rsid w:val="000D7B0B"/>
    <w:rsid w:val="000D7B32"/>
    <w:rsid w:val="000D7C25"/>
    <w:rsid w:val="000D7F1D"/>
    <w:rsid w:val="000D7F39"/>
    <w:rsid w:val="000D7FC8"/>
    <w:rsid w:val="000D7FD6"/>
    <w:rsid w:val="000E006F"/>
    <w:rsid w:val="000E00E9"/>
    <w:rsid w:val="000E0108"/>
    <w:rsid w:val="000E015F"/>
    <w:rsid w:val="000E0161"/>
    <w:rsid w:val="000E01A0"/>
    <w:rsid w:val="000E01A4"/>
    <w:rsid w:val="000E01D4"/>
    <w:rsid w:val="000E0226"/>
    <w:rsid w:val="000E0228"/>
    <w:rsid w:val="000E025E"/>
    <w:rsid w:val="000E02B9"/>
    <w:rsid w:val="000E0349"/>
    <w:rsid w:val="000E0357"/>
    <w:rsid w:val="000E03B7"/>
    <w:rsid w:val="000E03C1"/>
    <w:rsid w:val="000E0431"/>
    <w:rsid w:val="000E044F"/>
    <w:rsid w:val="000E0460"/>
    <w:rsid w:val="000E0536"/>
    <w:rsid w:val="000E05DD"/>
    <w:rsid w:val="000E0715"/>
    <w:rsid w:val="000E0908"/>
    <w:rsid w:val="000E0A08"/>
    <w:rsid w:val="000E0B46"/>
    <w:rsid w:val="000E0BA4"/>
    <w:rsid w:val="000E0D40"/>
    <w:rsid w:val="000E10C6"/>
    <w:rsid w:val="000E10F6"/>
    <w:rsid w:val="000E10FC"/>
    <w:rsid w:val="000E115B"/>
    <w:rsid w:val="000E11F2"/>
    <w:rsid w:val="000E13E6"/>
    <w:rsid w:val="000E14F9"/>
    <w:rsid w:val="000E14FC"/>
    <w:rsid w:val="000E168D"/>
    <w:rsid w:val="000E1800"/>
    <w:rsid w:val="000E189E"/>
    <w:rsid w:val="000E194A"/>
    <w:rsid w:val="000E19A1"/>
    <w:rsid w:val="000E1B7A"/>
    <w:rsid w:val="000E1C49"/>
    <w:rsid w:val="000E1C69"/>
    <w:rsid w:val="000E1CD2"/>
    <w:rsid w:val="000E1D43"/>
    <w:rsid w:val="000E1DD8"/>
    <w:rsid w:val="000E1DFF"/>
    <w:rsid w:val="000E1FB4"/>
    <w:rsid w:val="000E1FC9"/>
    <w:rsid w:val="000E1FDA"/>
    <w:rsid w:val="000E203A"/>
    <w:rsid w:val="000E2044"/>
    <w:rsid w:val="000E20D1"/>
    <w:rsid w:val="000E20E2"/>
    <w:rsid w:val="000E2132"/>
    <w:rsid w:val="000E21D7"/>
    <w:rsid w:val="000E2226"/>
    <w:rsid w:val="000E24BC"/>
    <w:rsid w:val="000E25CF"/>
    <w:rsid w:val="000E2676"/>
    <w:rsid w:val="000E271D"/>
    <w:rsid w:val="000E2765"/>
    <w:rsid w:val="000E27F2"/>
    <w:rsid w:val="000E2907"/>
    <w:rsid w:val="000E291F"/>
    <w:rsid w:val="000E298D"/>
    <w:rsid w:val="000E29C8"/>
    <w:rsid w:val="000E2A98"/>
    <w:rsid w:val="000E2B40"/>
    <w:rsid w:val="000E2BB0"/>
    <w:rsid w:val="000E2C13"/>
    <w:rsid w:val="000E2C7C"/>
    <w:rsid w:val="000E2C94"/>
    <w:rsid w:val="000E2C97"/>
    <w:rsid w:val="000E2CAE"/>
    <w:rsid w:val="000E2E7E"/>
    <w:rsid w:val="000E2F7A"/>
    <w:rsid w:val="000E300C"/>
    <w:rsid w:val="000E3051"/>
    <w:rsid w:val="000E307E"/>
    <w:rsid w:val="000E3311"/>
    <w:rsid w:val="000E33AA"/>
    <w:rsid w:val="000E33F3"/>
    <w:rsid w:val="000E34D0"/>
    <w:rsid w:val="000E36A6"/>
    <w:rsid w:val="000E3701"/>
    <w:rsid w:val="000E370E"/>
    <w:rsid w:val="000E3782"/>
    <w:rsid w:val="000E3A2B"/>
    <w:rsid w:val="000E3B13"/>
    <w:rsid w:val="000E3B19"/>
    <w:rsid w:val="000E3B9C"/>
    <w:rsid w:val="000E3C00"/>
    <w:rsid w:val="000E3D90"/>
    <w:rsid w:val="000E3D95"/>
    <w:rsid w:val="000E3DD8"/>
    <w:rsid w:val="000E3E1C"/>
    <w:rsid w:val="000E3F1A"/>
    <w:rsid w:val="000E3F4E"/>
    <w:rsid w:val="000E3F78"/>
    <w:rsid w:val="000E3FDF"/>
    <w:rsid w:val="000E4084"/>
    <w:rsid w:val="000E40D2"/>
    <w:rsid w:val="000E4165"/>
    <w:rsid w:val="000E419C"/>
    <w:rsid w:val="000E41B1"/>
    <w:rsid w:val="000E4205"/>
    <w:rsid w:val="000E4259"/>
    <w:rsid w:val="000E43B3"/>
    <w:rsid w:val="000E4413"/>
    <w:rsid w:val="000E4463"/>
    <w:rsid w:val="000E4513"/>
    <w:rsid w:val="000E45E9"/>
    <w:rsid w:val="000E46EA"/>
    <w:rsid w:val="000E4729"/>
    <w:rsid w:val="000E4778"/>
    <w:rsid w:val="000E4797"/>
    <w:rsid w:val="000E4929"/>
    <w:rsid w:val="000E49EB"/>
    <w:rsid w:val="000E49FF"/>
    <w:rsid w:val="000E4A4B"/>
    <w:rsid w:val="000E4AA4"/>
    <w:rsid w:val="000E4B05"/>
    <w:rsid w:val="000E4B7D"/>
    <w:rsid w:val="000E4C0F"/>
    <w:rsid w:val="000E4FD6"/>
    <w:rsid w:val="000E4FDF"/>
    <w:rsid w:val="000E5210"/>
    <w:rsid w:val="000E523C"/>
    <w:rsid w:val="000E5243"/>
    <w:rsid w:val="000E52EE"/>
    <w:rsid w:val="000E53CB"/>
    <w:rsid w:val="000E55E4"/>
    <w:rsid w:val="000E5638"/>
    <w:rsid w:val="000E567F"/>
    <w:rsid w:val="000E56CC"/>
    <w:rsid w:val="000E5784"/>
    <w:rsid w:val="000E5842"/>
    <w:rsid w:val="000E58B3"/>
    <w:rsid w:val="000E59E2"/>
    <w:rsid w:val="000E59EF"/>
    <w:rsid w:val="000E5A51"/>
    <w:rsid w:val="000E5B2D"/>
    <w:rsid w:val="000E5B3C"/>
    <w:rsid w:val="000E5B6D"/>
    <w:rsid w:val="000E5CA9"/>
    <w:rsid w:val="000E5D2B"/>
    <w:rsid w:val="000E5DE9"/>
    <w:rsid w:val="000E5E93"/>
    <w:rsid w:val="000E5EB2"/>
    <w:rsid w:val="000E5F7A"/>
    <w:rsid w:val="000E5FAC"/>
    <w:rsid w:val="000E6041"/>
    <w:rsid w:val="000E606D"/>
    <w:rsid w:val="000E6074"/>
    <w:rsid w:val="000E60C5"/>
    <w:rsid w:val="000E6190"/>
    <w:rsid w:val="000E62C3"/>
    <w:rsid w:val="000E633A"/>
    <w:rsid w:val="000E635D"/>
    <w:rsid w:val="000E63A5"/>
    <w:rsid w:val="000E63AC"/>
    <w:rsid w:val="000E64D1"/>
    <w:rsid w:val="000E64FF"/>
    <w:rsid w:val="000E6504"/>
    <w:rsid w:val="000E650E"/>
    <w:rsid w:val="000E653B"/>
    <w:rsid w:val="000E6557"/>
    <w:rsid w:val="000E656D"/>
    <w:rsid w:val="000E65AA"/>
    <w:rsid w:val="000E65C2"/>
    <w:rsid w:val="000E6639"/>
    <w:rsid w:val="000E673A"/>
    <w:rsid w:val="000E674F"/>
    <w:rsid w:val="000E6796"/>
    <w:rsid w:val="000E6838"/>
    <w:rsid w:val="000E6861"/>
    <w:rsid w:val="000E6966"/>
    <w:rsid w:val="000E6994"/>
    <w:rsid w:val="000E69F7"/>
    <w:rsid w:val="000E6ABC"/>
    <w:rsid w:val="000E6B1F"/>
    <w:rsid w:val="000E6BE4"/>
    <w:rsid w:val="000E6CDC"/>
    <w:rsid w:val="000E6DA6"/>
    <w:rsid w:val="000E6DCD"/>
    <w:rsid w:val="000E6E5B"/>
    <w:rsid w:val="000E6ECA"/>
    <w:rsid w:val="000E709D"/>
    <w:rsid w:val="000E7139"/>
    <w:rsid w:val="000E71E5"/>
    <w:rsid w:val="000E73F5"/>
    <w:rsid w:val="000E7405"/>
    <w:rsid w:val="000E7422"/>
    <w:rsid w:val="000E742C"/>
    <w:rsid w:val="000E7484"/>
    <w:rsid w:val="000E74BB"/>
    <w:rsid w:val="000E7567"/>
    <w:rsid w:val="000E75A4"/>
    <w:rsid w:val="000E76EC"/>
    <w:rsid w:val="000E7872"/>
    <w:rsid w:val="000E7934"/>
    <w:rsid w:val="000E7A75"/>
    <w:rsid w:val="000E7A9C"/>
    <w:rsid w:val="000E7BAD"/>
    <w:rsid w:val="000E7CBC"/>
    <w:rsid w:val="000E7CFB"/>
    <w:rsid w:val="000E7E34"/>
    <w:rsid w:val="000E7EA9"/>
    <w:rsid w:val="000E7FB3"/>
    <w:rsid w:val="000F0068"/>
    <w:rsid w:val="000F0120"/>
    <w:rsid w:val="000F0138"/>
    <w:rsid w:val="000F01AC"/>
    <w:rsid w:val="000F0322"/>
    <w:rsid w:val="000F0367"/>
    <w:rsid w:val="000F036B"/>
    <w:rsid w:val="000F039A"/>
    <w:rsid w:val="000F03BC"/>
    <w:rsid w:val="000F04A7"/>
    <w:rsid w:val="000F04C4"/>
    <w:rsid w:val="000F04EE"/>
    <w:rsid w:val="000F0576"/>
    <w:rsid w:val="000F05E4"/>
    <w:rsid w:val="000F05F2"/>
    <w:rsid w:val="000F0654"/>
    <w:rsid w:val="000F0676"/>
    <w:rsid w:val="000F0766"/>
    <w:rsid w:val="000F0788"/>
    <w:rsid w:val="000F08A0"/>
    <w:rsid w:val="000F09AD"/>
    <w:rsid w:val="000F09DB"/>
    <w:rsid w:val="000F0B07"/>
    <w:rsid w:val="000F0C61"/>
    <w:rsid w:val="000F0D42"/>
    <w:rsid w:val="000F0D5B"/>
    <w:rsid w:val="000F0D99"/>
    <w:rsid w:val="000F0E17"/>
    <w:rsid w:val="000F0E1A"/>
    <w:rsid w:val="000F0E78"/>
    <w:rsid w:val="000F1031"/>
    <w:rsid w:val="000F113C"/>
    <w:rsid w:val="000F1262"/>
    <w:rsid w:val="000F1315"/>
    <w:rsid w:val="000F1388"/>
    <w:rsid w:val="000F1468"/>
    <w:rsid w:val="000F14E0"/>
    <w:rsid w:val="000F1507"/>
    <w:rsid w:val="000F153E"/>
    <w:rsid w:val="000F1681"/>
    <w:rsid w:val="000F16DB"/>
    <w:rsid w:val="000F1702"/>
    <w:rsid w:val="000F1730"/>
    <w:rsid w:val="000F17DA"/>
    <w:rsid w:val="000F1AD3"/>
    <w:rsid w:val="000F1B03"/>
    <w:rsid w:val="000F1B52"/>
    <w:rsid w:val="000F1B8C"/>
    <w:rsid w:val="000F1CB5"/>
    <w:rsid w:val="000F1CD2"/>
    <w:rsid w:val="000F1D6D"/>
    <w:rsid w:val="000F1DA8"/>
    <w:rsid w:val="000F1E1F"/>
    <w:rsid w:val="000F1E32"/>
    <w:rsid w:val="000F1E4F"/>
    <w:rsid w:val="000F1F07"/>
    <w:rsid w:val="000F20BD"/>
    <w:rsid w:val="000F2151"/>
    <w:rsid w:val="000F2369"/>
    <w:rsid w:val="000F2374"/>
    <w:rsid w:val="000F23E9"/>
    <w:rsid w:val="000F242C"/>
    <w:rsid w:val="000F255D"/>
    <w:rsid w:val="000F25FA"/>
    <w:rsid w:val="000F2682"/>
    <w:rsid w:val="000F2716"/>
    <w:rsid w:val="000F275D"/>
    <w:rsid w:val="000F2947"/>
    <w:rsid w:val="000F29E5"/>
    <w:rsid w:val="000F2A14"/>
    <w:rsid w:val="000F2A68"/>
    <w:rsid w:val="000F2ACA"/>
    <w:rsid w:val="000F2C3C"/>
    <w:rsid w:val="000F2ED2"/>
    <w:rsid w:val="000F2FAF"/>
    <w:rsid w:val="000F2FC1"/>
    <w:rsid w:val="000F305B"/>
    <w:rsid w:val="000F30AB"/>
    <w:rsid w:val="000F3142"/>
    <w:rsid w:val="000F31CD"/>
    <w:rsid w:val="000F3337"/>
    <w:rsid w:val="000F333F"/>
    <w:rsid w:val="000F3381"/>
    <w:rsid w:val="000F3440"/>
    <w:rsid w:val="000F34B0"/>
    <w:rsid w:val="000F355F"/>
    <w:rsid w:val="000F35DE"/>
    <w:rsid w:val="000F3630"/>
    <w:rsid w:val="000F3670"/>
    <w:rsid w:val="000F3745"/>
    <w:rsid w:val="000F37B6"/>
    <w:rsid w:val="000F380A"/>
    <w:rsid w:val="000F3876"/>
    <w:rsid w:val="000F38BB"/>
    <w:rsid w:val="000F38C0"/>
    <w:rsid w:val="000F394D"/>
    <w:rsid w:val="000F39DF"/>
    <w:rsid w:val="000F3A3C"/>
    <w:rsid w:val="000F3A7A"/>
    <w:rsid w:val="000F3AEF"/>
    <w:rsid w:val="000F3B03"/>
    <w:rsid w:val="000F3BE6"/>
    <w:rsid w:val="000F3BF7"/>
    <w:rsid w:val="000F3C6E"/>
    <w:rsid w:val="000F3D5C"/>
    <w:rsid w:val="000F3E94"/>
    <w:rsid w:val="000F3FA9"/>
    <w:rsid w:val="000F3FB6"/>
    <w:rsid w:val="000F3FC8"/>
    <w:rsid w:val="000F3FD2"/>
    <w:rsid w:val="000F41B4"/>
    <w:rsid w:val="000F4290"/>
    <w:rsid w:val="000F444B"/>
    <w:rsid w:val="000F44B2"/>
    <w:rsid w:val="000F455C"/>
    <w:rsid w:val="000F45C3"/>
    <w:rsid w:val="000F45CA"/>
    <w:rsid w:val="000F46DB"/>
    <w:rsid w:val="000F478D"/>
    <w:rsid w:val="000F479E"/>
    <w:rsid w:val="000F47AF"/>
    <w:rsid w:val="000F4837"/>
    <w:rsid w:val="000F495A"/>
    <w:rsid w:val="000F4B3D"/>
    <w:rsid w:val="000F4B8A"/>
    <w:rsid w:val="000F4BD3"/>
    <w:rsid w:val="000F4C28"/>
    <w:rsid w:val="000F4C8D"/>
    <w:rsid w:val="000F4CE3"/>
    <w:rsid w:val="000F4E03"/>
    <w:rsid w:val="000F4ED0"/>
    <w:rsid w:val="000F4F13"/>
    <w:rsid w:val="000F4F57"/>
    <w:rsid w:val="000F4FFB"/>
    <w:rsid w:val="000F5114"/>
    <w:rsid w:val="000F53B4"/>
    <w:rsid w:val="000F540C"/>
    <w:rsid w:val="000F54C0"/>
    <w:rsid w:val="000F5570"/>
    <w:rsid w:val="000F560E"/>
    <w:rsid w:val="000F5630"/>
    <w:rsid w:val="000F56C1"/>
    <w:rsid w:val="000F56F3"/>
    <w:rsid w:val="000F57B7"/>
    <w:rsid w:val="000F5838"/>
    <w:rsid w:val="000F5890"/>
    <w:rsid w:val="000F58F9"/>
    <w:rsid w:val="000F59DC"/>
    <w:rsid w:val="000F5A2E"/>
    <w:rsid w:val="000F5A43"/>
    <w:rsid w:val="000F5A5A"/>
    <w:rsid w:val="000F5B74"/>
    <w:rsid w:val="000F5BDD"/>
    <w:rsid w:val="000F5C22"/>
    <w:rsid w:val="000F5D5E"/>
    <w:rsid w:val="000F5D92"/>
    <w:rsid w:val="000F60B0"/>
    <w:rsid w:val="000F61AA"/>
    <w:rsid w:val="000F6255"/>
    <w:rsid w:val="000F6364"/>
    <w:rsid w:val="000F6377"/>
    <w:rsid w:val="000F6428"/>
    <w:rsid w:val="000F6434"/>
    <w:rsid w:val="000F6466"/>
    <w:rsid w:val="000F6495"/>
    <w:rsid w:val="000F6515"/>
    <w:rsid w:val="000F6584"/>
    <w:rsid w:val="000F65A3"/>
    <w:rsid w:val="000F66A9"/>
    <w:rsid w:val="000F673B"/>
    <w:rsid w:val="000F67C5"/>
    <w:rsid w:val="000F67EE"/>
    <w:rsid w:val="000F6901"/>
    <w:rsid w:val="000F6953"/>
    <w:rsid w:val="000F69AB"/>
    <w:rsid w:val="000F6A08"/>
    <w:rsid w:val="000F6A74"/>
    <w:rsid w:val="000F6AA6"/>
    <w:rsid w:val="000F6D89"/>
    <w:rsid w:val="000F6DCA"/>
    <w:rsid w:val="000F6E3A"/>
    <w:rsid w:val="000F6E53"/>
    <w:rsid w:val="000F705E"/>
    <w:rsid w:val="000F7100"/>
    <w:rsid w:val="000F7180"/>
    <w:rsid w:val="000F72E4"/>
    <w:rsid w:val="000F73A5"/>
    <w:rsid w:val="000F73DE"/>
    <w:rsid w:val="000F73E3"/>
    <w:rsid w:val="000F7412"/>
    <w:rsid w:val="000F74CC"/>
    <w:rsid w:val="000F756A"/>
    <w:rsid w:val="000F7702"/>
    <w:rsid w:val="000F78DB"/>
    <w:rsid w:val="000F78E2"/>
    <w:rsid w:val="000F79AB"/>
    <w:rsid w:val="000F7B80"/>
    <w:rsid w:val="000F7CC5"/>
    <w:rsid w:val="000F7CF2"/>
    <w:rsid w:val="000F7D9D"/>
    <w:rsid w:val="000F7DDD"/>
    <w:rsid w:val="000F7E4E"/>
    <w:rsid w:val="000F7E92"/>
    <w:rsid w:val="000F7F70"/>
    <w:rsid w:val="000F7FB7"/>
    <w:rsid w:val="000F7FDB"/>
    <w:rsid w:val="00100067"/>
    <w:rsid w:val="00100177"/>
    <w:rsid w:val="0010017C"/>
    <w:rsid w:val="001003CC"/>
    <w:rsid w:val="00100448"/>
    <w:rsid w:val="00100629"/>
    <w:rsid w:val="001006EF"/>
    <w:rsid w:val="00100728"/>
    <w:rsid w:val="0010082D"/>
    <w:rsid w:val="00100BD7"/>
    <w:rsid w:val="00100C88"/>
    <w:rsid w:val="00100E22"/>
    <w:rsid w:val="00100EAD"/>
    <w:rsid w:val="00101013"/>
    <w:rsid w:val="00101050"/>
    <w:rsid w:val="00101064"/>
    <w:rsid w:val="00101098"/>
    <w:rsid w:val="0010113D"/>
    <w:rsid w:val="00101164"/>
    <w:rsid w:val="0010118D"/>
    <w:rsid w:val="0010123C"/>
    <w:rsid w:val="00101246"/>
    <w:rsid w:val="00101481"/>
    <w:rsid w:val="00101569"/>
    <w:rsid w:val="00101682"/>
    <w:rsid w:val="00101704"/>
    <w:rsid w:val="00101793"/>
    <w:rsid w:val="00101799"/>
    <w:rsid w:val="0010179C"/>
    <w:rsid w:val="001017E6"/>
    <w:rsid w:val="00101826"/>
    <w:rsid w:val="001018AB"/>
    <w:rsid w:val="00101A2F"/>
    <w:rsid w:val="00101A4A"/>
    <w:rsid w:val="00101A9E"/>
    <w:rsid w:val="00101B0C"/>
    <w:rsid w:val="00101B97"/>
    <w:rsid w:val="00101CA2"/>
    <w:rsid w:val="00101CB2"/>
    <w:rsid w:val="00101CB3"/>
    <w:rsid w:val="00101CC8"/>
    <w:rsid w:val="00101D68"/>
    <w:rsid w:val="00101E54"/>
    <w:rsid w:val="00101EB7"/>
    <w:rsid w:val="00101F34"/>
    <w:rsid w:val="00102079"/>
    <w:rsid w:val="00102145"/>
    <w:rsid w:val="00102198"/>
    <w:rsid w:val="00102264"/>
    <w:rsid w:val="001023E4"/>
    <w:rsid w:val="001023F3"/>
    <w:rsid w:val="001024CD"/>
    <w:rsid w:val="001026B3"/>
    <w:rsid w:val="00102733"/>
    <w:rsid w:val="00102824"/>
    <w:rsid w:val="00102905"/>
    <w:rsid w:val="00102A67"/>
    <w:rsid w:val="00102AFE"/>
    <w:rsid w:val="00102C46"/>
    <w:rsid w:val="00102C47"/>
    <w:rsid w:val="00102D3E"/>
    <w:rsid w:val="00102DCB"/>
    <w:rsid w:val="00102EC8"/>
    <w:rsid w:val="00102F24"/>
    <w:rsid w:val="00102FBF"/>
    <w:rsid w:val="00102FCA"/>
    <w:rsid w:val="0010300F"/>
    <w:rsid w:val="00103022"/>
    <w:rsid w:val="00103045"/>
    <w:rsid w:val="001030CE"/>
    <w:rsid w:val="001031D1"/>
    <w:rsid w:val="001031EC"/>
    <w:rsid w:val="001031F0"/>
    <w:rsid w:val="00103238"/>
    <w:rsid w:val="00103251"/>
    <w:rsid w:val="0010337C"/>
    <w:rsid w:val="001033CB"/>
    <w:rsid w:val="0010342B"/>
    <w:rsid w:val="0010342F"/>
    <w:rsid w:val="001034CA"/>
    <w:rsid w:val="001035A3"/>
    <w:rsid w:val="001036E7"/>
    <w:rsid w:val="00103745"/>
    <w:rsid w:val="001037B7"/>
    <w:rsid w:val="00103884"/>
    <w:rsid w:val="00103917"/>
    <w:rsid w:val="001039C5"/>
    <w:rsid w:val="00103A09"/>
    <w:rsid w:val="00103B6B"/>
    <w:rsid w:val="00103CE2"/>
    <w:rsid w:val="00103D1A"/>
    <w:rsid w:val="00103D1E"/>
    <w:rsid w:val="00103D23"/>
    <w:rsid w:val="00103D35"/>
    <w:rsid w:val="00103D78"/>
    <w:rsid w:val="00103EC0"/>
    <w:rsid w:val="0010406E"/>
    <w:rsid w:val="00104127"/>
    <w:rsid w:val="001041D7"/>
    <w:rsid w:val="00104217"/>
    <w:rsid w:val="00104264"/>
    <w:rsid w:val="001043EC"/>
    <w:rsid w:val="001044AC"/>
    <w:rsid w:val="00104522"/>
    <w:rsid w:val="001045C0"/>
    <w:rsid w:val="0010462B"/>
    <w:rsid w:val="0010475A"/>
    <w:rsid w:val="0010481D"/>
    <w:rsid w:val="0010484D"/>
    <w:rsid w:val="001048B0"/>
    <w:rsid w:val="00104B84"/>
    <w:rsid w:val="00104BD0"/>
    <w:rsid w:val="00104C0B"/>
    <w:rsid w:val="00104CCB"/>
    <w:rsid w:val="00104E5A"/>
    <w:rsid w:val="00104E5F"/>
    <w:rsid w:val="00104E7E"/>
    <w:rsid w:val="00104F59"/>
    <w:rsid w:val="00104F85"/>
    <w:rsid w:val="00104FCF"/>
    <w:rsid w:val="00104FDD"/>
    <w:rsid w:val="00104FE3"/>
    <w:rsid w:val="00105017"/>
    <w:rsid w:val="00105062"/>
    <w:rsid w:val="0010507E"/>
    <w:rsid w:val="001050AF"/>
    <w:rsid w:val="00105163"/>
    <w:rsid w:val="00105284"/>
    <w:rsid w:val="00105508"/>
    <w:rsid w:val="0010555F"/>
    <w:rsid w:val="00105580"/>
    <w:rsid w:val="0010563A"/>
    <w:rsid w:val="0010568A"/>
    <w:rsid w:val="0010570C"/>
    <w:rsid w:val="00105833"/>
    <w:rsid w:val="00105890"/>
    <w:rsid w:val="001058AF"/>
    <w:rsid w:val="00105907"/>
    <w:rsid w:val="00105937"/>
    <w:rsid w:val="00105971"/>
    <w:rsid w:val="00105A2E"/>
    <w:rsid w:val="00105A46"/>
    <w:rsid w:val="00105A78"/>
    <w:rsid w:val="00105B44"/>
    <w:rsid w:val="00105B6C"/>
    <w:rsid w:val="00105B8E"/>
    <w:rsid w:val="00105C04"/>
    <w:rsid w:val="00105C67"/>
    <w:rsid w:val="00105CFA"/>
    <w:rsid w:val="00105DD5"/>
    <w:rsid w:val="00105E37"/>
    <w:rsid w:val="00105E47"/>
    <w:rsid w:val="00105F52"/>
    <w:rsid w:val="00105FCE"/>
    <w:rsid w:val="00106046"/>
    <w:rsid w:val="00106124"/>
    <w:rsid w:val="0010613E"/>
    <w:rsid w:val="00106270"/>
    <w:rsid w:val="0010635E"/>
    <w:rsid w:val="0010657E"/>
    <w:rsid w:val="0010664A"/>
    <w:rsid w:val="00106654"/>
    <w:rsid w:val="001066B4"/>
    <w:rsid w:val="00106756"/>
    <w:rsid w:val="0010676D"/>
    <w:rsid w:val="0010696E"/>
    <w:rsid w:val="001069CB"/>
    <w:rsid w:val="001069DE"/>
    <w:rsid w:val="00106AB1"/>
    <w:rsid w:val="00106AE2"/>
    <w:rsid w:val="00106B40"/>
    <w:rsid w:val="00106BFB"/>
    <w:rsid w:val="00106C37"/>
    <w:rsid w:val="00106D72"/>
    <w:rsid w:val="00106F09"/>
    <w:rsid w:val="00107015"/>
    <w:rsid w:val="001071D9"/>
    <w:rsid w:val="00107207"/>
    <w:rsid w:val="0010733C"/>
    <w:rsid w:val="0010749E"/>
    <w:rsid w:val="001074A8"/>
    <w:rsid w:val="001074E6"/>
    <w:rsid w:val="00107526"/>
    <w:rsid w:val="001075A6"/>
    <w:rsid w:val="001077F3"/>
    <w:rsid w:val="00107823"/>
    <w:rsid w:val="001078C0"/>
    <w:rsid w:val="001078DB"/>
    <w:rsid w:val="00107AA2"/>
    <w:rsid w:val="00107C0F"/>
    <w:rsid w:val="00107C5E"/>
    <w:rsid w:val="00107D05"/>
    <w:rsid w:val="00107FAD"/>
    <w:rsid w:val="001100AF"/>
    <w:rsid w:val="00110173"/>
    <w:rsid w:val="00110195"/>
    <w:rsid w:val="0011029A"/>
    <w:rsid w:val="00110393"/>
    <w:rsid w:val="001103DE"/>
    <w:rsid w:val="001103E2"/>
    <w:rsid w:val="00110471"/>
    <w:rsid w:val="00110473"/>
    <w:rsid w:val="001104D8"/>
    <w:rsid w:val="0011061A"/>
    <w:rsid w:val="00110646"/>
    <w:rsid w:val="00110688"/>
    <w:rsid w:val="001106CD"/>
    <w:rsid w:val="001106FD"/>
    <w:rsid w:val="001106FF"/>
    <w:rsid w:val="00110702"/>
    <w:rsid w:val="00110732"/>
    <w:rsid w:val="00110885"/>
    <w:rsid w:val="00110914"/>
    <w:rsid w:val="00110980"/>
    <w:rsid w:val="00110987"/>
    <w:rsid w:val="001109DD"/>
    <w:rsid w:val="00110A26"/>
    <w:rsid w:val="00110C2C"/>
    <w:rsid w:val="00110C92"/>
    <w:rsid w:val="00110D08"/>
    <w:rsid w:val="00110E46"/>
    <w:rsid w:val="00110F73"/>
    <w:rsid w:val="00110FB5"/>
    <w:rsid w:val="00110FC5"/>
    <w:rsid w:val="00110FFB"/>
    <w:rsid w:val="00111020"/>
    <w:rsid w:val="00111152"/>
    <w:rsid w:val="00111184"/>
    <w:rsid w:val="001112A2"/>
    <w:rsid w:val="001112B0"/>
    <w:rsid w:val="0011152D"/>
    <w:rsid w:val="00111592"/>
    <w:rsid w:val="00111699"/>
    <w:rsid w:val="001116A9"/>
    <w:rsid w:val="001117B3"/>
    <w:rsid w:val="0011195E"/>
    <w:rsid w:val="001119AB"/>
    <w:rsid w:val="00111A3E"/>
    <w:rsid w:val="00111D07"/>
    <w:rsid w:val="00111D2A"/>
    <w:rsid w:val="00111E9C"/>
    <w:rsid w:val="00111FF5"/>
    <w:rsid w:val="0011209A"/>
    <w:rsid w:val="001121EC"/>
    <w:rsid w:val="001122A6"/>
    <w:rsid w:val="0011239B"/>
    <w:rsid w:val="00112639"/>
    <w:rsid w:val="00112654"/>
    <w:rsid w:val="00112659"/>
    <w:rsid w:val="0011266E"/>
    <w:rsid w:val="00112685"/>
    <w:rsid w:val="001127BB"/>
    <w:rsid w:val="00112864"/>
    <w:rsid w:val="001128A3"/>
    <w:rsid w:val="00112968"/>
    <w:rsid w:val="001129AB"/>
    <w:rsid w:val="001129CA"/>
    <w:rsid w:val="00112A4C"/>
    <w:rsid w:val="00112A59"/>
    <w:rsid w:val="00112AC3"/>
    <w:rsid w:val="00112AE9"/>
    <w:rsid w:val="00112B07"/>
    <w:rsid w:val="00112BB6"/>
    <w:rsid w:val="00112BBA"/>
    <w:rsid w:val="00112C29"/>
    <w:rsid w:val="00112CB3"/>
    <w:rsid w:val="00112DAD"/>
    <w:rsid w:val="00112E0C"/>
    <w:rsid w:val="00112E51"/>
    <w:rsid w:val="00112EEA"/>
    <w:rsid w:val="001130CB"/>
    <w:rsid w:val="001133F8"/>
    <w:rsid w:val="001134B2"/>
    <w:rsid w:val="001134D9"/>
    <w:rsid w:val="001134F1"/>
    <w:rsid w:val="0011352E"/>
    <w:rsid w:val="00113573"/>
    <w:rsid w:val="00113619"/>
    <w:rsid w:val="00113692"/>
    <w:rsid w:val="001137E2"/>
    <w:rsid w:val="00113941"/>
    <w:rsid w:val="0011396C"/>
    <w:rsid w:val="001139F4"/>
    <w:rsid w:val="00113A2C"/>
    <w:rsid w:val="00113A81"/>
    <w:rsid w:val="00113B29"/>
    <w:rsid w:val="00113B50"/>
    <w:rsid w:val="00113CCE"/>
    <w:rsid w:val="00113CED"/>
    <w:rsid w:val="00113D6D"/>
    <w:rsid w:val="00113D91"/>
    <w:rsid w:val="00113DF2"/>
    <w:rsid w:val="00113EBF"/>
    <w:rsid w:val="00114007"/>
    <w:rsid w:val="001140B5"/>
    <w:rsid w:val="0011426B"/>
    <w:rsid w:val="001142D6"/>
    <w:rsid w:val="00114343"/>
    <w:rsid w:val="0011439C"/>
    <w:rsid w:val="0011439F"/>
    <w:rsid w:val="0011441C"/>
    <w:rsid w:val="0011444C"/>
    <w:rsid w:val="0011449C"/>
    <w:rsid w:val="00114630"/>
    <w:rsid w:val="001146CE"/>
    <w:rsid w:val="001147EC"/>
    <w:rsid w:val="00114856"/>
    <w:rsid w:val="001148E0"/>
    <w:rsid w:val="00114A9E"/>
    <w:rsid w:val="00114B13"/>
    <w:rsid w:val="00114CBB"/>
    <w:rsid w:val="00114E13"/>
    <w:rsid w:val="001150D4"/>
    <w:rsid w:val="00115408"/>
    <w:rsid w:val="00115581"/>
    <w:rsid w:val="001155A0"/>
    <w:rsid w:val="0011563C"/>
    <w:rsid w:val="001156E8"/>
    <w:rsid w:val="001158D0"/>
    <w:rsid w:val="001158D1"/>
    <w:rsid w:val="00115926"/>
    <w:rsid w:val="001159BA"/>
    <w:rsid w:val="00115A27"/>
    <w:rsid w:val="00115AE8"/>
    <w:rsid w:val="00115B2D"/>
    <w:rsid w:val="00115D37"/>
    <w:rsid w:val="00115DCA"/>
    <w:rsid w:val="00115DE2"/>
    <w:rsid w:val="00115ED0"/>
    <w:rsid w:val="0011604A"/>
    <w:rsid w:val="0011606A"/>
    <w:rsid w:val="001160C7"/>
    <w:rsid w:val="001160F6"/>
    <w:rsid w:val="00116107"/>
    <w:rsid w:val="0011610F"/>
    <w:rsid w:val="00116256"/>
    <w:rsid w:val="001162CF"/>
    <w:rsid w:val="001163C4"/>
    <w:rsid w:val="0011643A"/>
    <w:rsid w:val="0011646E"/>
    <w:rsid w:val="001165AC"/>
    <w:rsid w:val="001165B2"/>
    <w:rsid w:val="00116656"/>
    <w:rsid w:val="0011665E"/>
    <w:rsid w:val="00116688"/>
    <w:rsid w:val="00116839"/>
    <w:rsid w:val="001168C0"/>
    <w:rsid w:val="001168D1"/>
    <w:rsid w:val="0011690C"/>
    <w:rsid w:val="00116940"/>
    <w:rsid w:val="001169EC"/>
    <w:rsid w:val="00116A04"/>
    <w:rsid w:val="00116A88"/>
    <w:rsid w:val="00116AB3"/>
    <w:rsid w:val="00116B3A"/>
    <w:rsid w:val="00116BEE"/>
    <w:rsid w:val="00116CAF"/>
    <w:rsid w:val="00116D71"/>
    <w:rsid w:val="00116DD2"/>
    <w:rsid w:val="00116DD8"/>
    <w:rsid w:val="0011707D"/>
    <w:rsid w:val="001170CE"/>
    <w:rsid w:val="001170E5"/>
    <w:rsid w:val="00117112"/>
    <w:rsid w:val="00117157"/>
    <w:rsid w:val="00117240"/>
    <w:rsid w:val="0011724F"/>
    <w:rsid w:val="0011726C"/>
    <w:rsid w:val="001172C6"/>
    <w:rsid w:val="00117335"/>
    <w:rsid w:val="00117418"/>
    <w:rsid w:val="00117452"/>
    <w:rsid w:val="00117592"/>
    <w:rsid w:val="001175E0"/>
    <w:rsid w:val="001176EA"/>
    <w:rsid w:val="001177BD"/>
    <w:rsid w:val="00117845"/>
    <w:rsid w:val="00117888"/>
    <w:rsid w:val="00117997"/>
    <w:rsid w:val="00117A1C"/>
    <w:rsid w:val="00117A5A"/>
    <w:rsid w:val="00117AC9"/>
    <w:rsid w:val="00117B1E"/>
    <w:rsid w:val="00117BA1"/>
    <w:rsid w:val="00117BBA"/>
    <w:rsid w:val="00117BC6"/>
    <w:rsid w:val="00117CB8"/>
    <w:rsid w:val="00117E76"/>
    <w:rsid w:val="00117F0D"/>
    <w:rsid w:val="00117FD7"/>
    <w:rsid w:val="0012009F"/>
    <w:rsid w:val="001200BD"/>
    <w:rsid w:val="00120179"/>
    <w:rsid w:val="0012028E"/>
    <w:rsid w:val="001203FE"/>
    <w:rsid w:val="00120510"/>
    <w:rsid w:val="001205FB"/>
    <w:rsid w:val="00120604"/>
    <w:rsid w:val="0012063D"/>
    <w:rsid w:val="001207AD"/>
    <w:rsid w:val="00120871"/>
    <w:rsid w:val="001208B0"/>
    <w:rsid w:val="001208D0"/>
    <w:rsid w:val="001208E9"/>
    <w:rsid w:val="00120948"/>
    <w:rsid w:val="001209A5"/>
    <w:rsid w:val="001209E8"/>
    <w:rsid w:val="00120A5D"/>
    <w:rsid w:val="00120AFC"/>
    <w:rsid w:val="00120B5E"/>
    <w:rsid w:val="00120B9E"/>
    <w:rsid w:val="00120C98"/>
    <w:rsid w:val="00120DBD"/>
    <w:rsid w:val="00120E1A"/>
    <w:rsid w:val="00120FDD"/>
    <w:rsid w:val="0012106C"/>
    <w:rsid w:val="0012114C"/>
    <w:rsid w:val="001211A9"/>
    <w:rsid w:val="00121254"/>
    <w:rsid w:val="001212BB"/>
    <w:rsid w:val="001212FC"/>
    <w:rsid w:val="0012139A"/>
    <w:rsid w:val="001215A4"/>
    <w:rsid w:val="001215CD"/>
    <w:rsid w:val="0012160C"/>
    <w:rsid w:val="00121678"/>
    <w:rsid w:val="00121795"/>
    <w:rsid w:val="001217CD"/>
    <w:rsid w:val="001217D0"/>
    <w:rsid w:val="001217D8"/>
    <w:rsid w:val="00121854"/>
    <w:rsid w:val="001218CB"/>
    <w:rsid w:val="00121904"/>
    <w:rsid w:val="00121911"/>
    <w:rsid w:val="001219BF"/>
    <w:rsid w:val="001219C6"/>
    <w:rsid w:val="00121A7D"/>
    <w:rsid w:val="00121B7B"/>
    <w:rsid w:val="00121BB7"/>
    <w:rsid w:val="00121C11"/>
    <w:rsid w:val="00121C84"/>
    <w:rsid w:val="00121D13"/>
    <w:rsid w:val="00121D20"/>
    <w:rsid w:val="00121D9A"/>
    <w:rsid w:val="00121DD3"/>
    <w:rsid w:val="00121ED5"/>
    <w:rsid w:val="00121F9A"/>
    <w:rsid w:val="00121F9E"/>
    <w:rsid w:val="00121FA5"/>
    <w:rsid w:val="00121FA8"/>
    <w:rsid w:val="0012202B"/>
    <w:rsid w:val="0012203B"/>
    <w:rsid w:val="001220B9"/>
    <w:rsid w:val="001221AE"/>
    <w:rsid w:val="00122206"/>
    <w:rsid w:val="00122356"/>
    <w:rsid w:val="001223B0"/>
    <w:rsid w:val="001223B5"/>
    <w:rsid w:val="0012255C"/>
    <w:rsid w:val="001225F7"/>
    <w:rsid w:val="00122642"/>
    <w:rsid w:val="001227CB"/>
    <w:rsid w:val="001227D0"/>
    <w:rsid w:val="001229C8"/>
    <w:rsid w:val="00122A22"/>
    <w:rsid w:val="00122C42"/>
    <w:rsid w:val="00122CE9"/>
    <w:rsid w:val="00122DBE"/>
    <w:rsid w:val="0012307F"/>
    <w:rsid w:val="001230A0"/>
    <w:rsid w:val="001230F1"/>
    <w:rsid w:val="00123121"/>
    <w:rsid w:val="0012318C"/>
    <w:rsid w:val="00123194"/>
    <w:rsid w:val="001231FA"/>
    <w:rsid w:val="00123399"/>
    <w:rsid w:val="001233CC"/>
    <w:rsid w:val="001233ED"/>
    <w:rsid w:val="00123445"/>
    <w:rsid w:val="00123528"/>
    <w:rsid w:val="001235CF"/>
    <w:rsid w:val="0012361E"/>
    <w:rsid w:val="0012379A"/>
    <w:rsid w:val="0012383F"/>
    <w:rsid w:val="0012393B"/>
    <w:rsid w:val="0012396A"/>
    <w:rsid w:val="001239B4"/>
    <w:rsid w:val="001239EB"/>
    <w:rsid w:val="001239EC"/>
    <w:rsid w:val="00123AD3"/>
    <w:rsid w:val="00123AFE"/>
    <w:rsid w:val="00123C00"/>
    <w:rsid w:val="00123CA0"/>
    <w:rsid w:val="00123D4A"/>
    <w:rsid w:val="00123E08"/>
    <w:rsid w:val="00123E84"/>
    <w:rsid w:val="00123F26"/>
    <w:rsid w:val="00123F8B"/>
    <w:rsid w:val="00124059"/>
    <w:rsid w:val="00124060"/>
    <w:rsid w:val="001241AF"/>
    <w:rsid w:val="001241D1"/>
    <w:rsid w:val="0012420B"/>
    <w:rsid w:val="00124467"/>
    <w:rsid w:val="001244DA"/>
    <w:rsid w:val="00124517"/>
    <w:rsid w:val="00124627"/>
    <w:rsid w:val="00124653"/>
    <w:rsid w:val="00124735"/>
    <w:rsid w:val="0012479A"/>
    <w:rsid w:val="00124870"/>
    <w:rsid w:val="001249C7"/>
    <w:rsid w:val="00124B34"/>
    <w:rsid w:val="00124B54"/>
    <w:rsid w:val="00124BA4"/>
    <w:rsid w:val="00124BB1"/>
    <w:rsid w:val="00124BCD"/>
    <w:rsid w:val="00124E83"/>
    <w:rsid w:val="00124FCF"/>
    <w:rsid w:val="001250F2"/>
    <w:rsid w:val="00125149"/>
    <w:rsid w:val="0012523F"/>
    <w:rsid w:val="00125277"/>
    <w:rsid w:val="0012535A"/>
    <w:rsid w:val="0012537B"/>
    <w:rsid w:val="0012544B"/>
    <w:rsid w:val="00125490"/>
    <w:rsid w:val="001257C3"/>
    <w:rsid w:val="00125869"/>
    <w:rsid w:val="00125A39"/>
    <w:rsid w:val="00125AF2"/>
    <w:rsid w:val="00125B47"/>
    <w:rsid w:val="00125B87"/>
    <w:rsid w:val="00125CCE"/>
    <w:rsid w:val="00125CE7"/>
    <w:rsid w:val="00125D02"/>
    <w:rsid w:val="00125DB1"/>
    <w:rsid w:val="00125DBA"/>
    <w:rsid w:val="00125E8C"/>
    <w:rsid w:val="00125F2F"/>
    <w:rsid w:val="00126020"/>
    <w:rsid w:val="001260CA"/>
    <w:rsid w:val="001260FF"/>
    <w:rsid w:val="00126107"/>
    <w:rsid w:val="0012612B"/>
    <w:rsid w:val="0012615D"/>
    <w:rsid w:val="00126205"/>
    <w:rsid w:val="00126396"/>
    <w:rsid w:val="001264A6"/>
    <w:rsid w:val="001265CF"/>
    <w:rsid w:val="001266C2"/>
    <w:rsid w:val="001266E1"/>
    <w:rsid w:val="00126746"/>
    <w:rsid w:val="00126752"/>
    <w:rsid w:val="00126757"/>
    <w:rsid w:val="0012675E"/>
    <w:rsid w:val="0012688E"/>
    <w:rsid w:val="001268D3"/>
    <w:rsid w:val="001268DD"/>
    <w:rsid w:val="001268F8"/>
    <w:rsid w:val="00126AA1"/>
    <w:rsid w:val="00126B33"/>
    <w:rsid w:val="00126BC0"/>
    <w:rsid w:val="00126C93"/>
    <w:rsid w:val="00126D1C"/>
    <w:rsid w:val="00126D5D"/>
    <w:rsid w:val="00126D74"/>
    <w:rsid w:val="00126EB9"/>
    <w:rsid w:val="00126F6B"/>
    <w:rsid w:val="00126FF8"/>
    <w:rsid w:val="00127045"/>
    <w:rsid w:val="001270D9"/>
    <w:rsid w:val="0012715D"/>
    <w:rsid w:val="00127171"/>
    <w:rsid w:val="0012729A"/>
    <w:rsid w:val="001272C0"/>
    <w:rsid w:val="0012737B"/>
    <w:rsid w:val="001274AD"/>
    <w:rsid w:val="001274FD"/>
    <w:rsid w:val="00127512"/>
    <w:rsid w:val="001275EE"/>
    <w:rsid w:val="00127636"/>
    <w:rsid w:val="00127641"/>
    <w:rsid w:val="00127747"/>
    <w:rsid w:val="001278C9"/>
    <w:rsid w:val="001278D7"/>
    <w:rsid w:val="00127908"/>
    <w:rsid w:val="0012790C"/>
    <w:rsid w:val="00127A1B"/>
    <w:rsid w:val="00127B3E"/>
    <w:rsid w:val="00127B69"/>
    <w:rsid w:val="00127B8D"/>
    <w:rsid w:val="00127EAF"/>
    <w:rsid w:val="00130146"/>
    <w:rsid w:val="00130191"/>
    <w:rsid w:val="0013021C"/>
    <w:rsid w:val="00130284"/>
    <w:rsid w:val="0013034B"/>
    <w:rsid w:val="00130416"/>
    <w:rsid w:val="0013042B"/>
    <w:rsid w:val="00130543"/>
    <w:rsid w:val="00130753"/>
    <w:rsid w:val="0013078E"/>
    <w:rsid w:val="001309EE"/>
    <w:rsid w:val="00130A13"/>
    <w:rsid w:val="00130ADE"/>
    <w:rsid w:val="00130B23"/>
    <w:rsid w:val="00130C43"/>
    <w:rsid w:val="00130C8F"/>
    <w:rsid w:val="00130D38"/>
    <w:rsid w:val="00130E94"/>
    <w:rsid w:val="00130EC1"/>
    <w:rsid w:val="00130EE4"/>
    <w:rsid w:val="00130FEC"/>
    <w:rsid w:val="001310C7"/>
    <w:rsid w:val="00131253"/>
    <w:rsid w:val="001313A1"/>
    <w:rsid w:val="001313B6"/>
    <w:rsid w:val="001314F0"/>
    <w:rsid w:val="0013158F"/>
    <w:rsid w:val="001315BA"/>
    <w:rsid w:val="001316C9"/>
    <w:rsid w:val="001316F8"/>
    <w:rsid w:val="001317C0"/>
    <w:rsid w:val="0013183D"/>
    <w:rsid w:val="001318B5"/>
    <w:rsid w:val="0013192F"/>
    <w:rsid w:val="0013194F"/>
    <w:rsid w:val="001319FC"/>
    <w:rsid w:val="00131A9C"/>
    <w:rsid w:val="00131CD9"/>
    <w:rsid w:val="00131CFA"/>
    <w:rsid w:val="001320ED"/>
    <w:rsid w:val="001321EF"/>
    <w:rsid w:val="00132231"/>
    <w:rsid w:val="00132370"/>
    <w:rsid w:val="001323AB"/>
    <w:rsid w:val="001324A1"/>
    <w:rsid w:val="0013263F"/>
    <w:rsid w:val="00132705"/>
    <w:rsid w:val="00132715"/>
    <w:rsid w:val="00132734"/>
    <w:rsid w:val="001328AE"/>
    <w:rsid w:val="0013294F"/>
    <w:rsid w:val="00132A36"/>
    <w:rsid w:val="00132A48"/>
    <w:rsid w:val="00132B1C"/>
    <w:rsid w:val="00132B2D"/>
    <w:rsid w:val="00132B5C"/>
    <w:rsid w:val="00132B81"/>
    <w:rsid w:val="00132BB5"/>
    <w:rsid w:val="00132BEF"/>
    <w:rsid w:val="00132C57"/>
    <w:rsid w:val="00132C62"/>
    <w:rsid w:val="00132C66"/>
    <w:rsid w:val="00132D35"/>
    <w:rsid w:val="00132DAE"/>
    <w:rsid w:val="00132DCD"/>
    <w:rsid w:val="00132DFD"/>
    <w:rsid w:val="00133037"/>
    <w:rsid w:val="001331C1"/>
    <w:rsid w:val="00133250"/>
    <w:rsid w:val="001332D9"/>
    <w:rsid w:val="0013334F"/>
    <w:rsid w:val="001333E6"/>
    <w:rsid w:val="00133480"/>
    <w:rsid w:val="00133496"/>
    <w:rsid w:val="001336DC"/>
    <w:rsid w:val="001337F7"/>
    <w:rsid w:val="00133864"/>
    <w:rsid w:val="00133866"/>
    <w:rsid w:val="001338E9"/>
    <w:rsid w:val="00133998"/>
    <w:rsid w:val="00133999"/>
    <w:rsid w:val="00133A20"/>
    <w:rsid w:val="00133A54"/>
    <w:rsid w:val="00133A9C"/>
    <w:rsid w:val="00133B22"/>
    <w:rsid w:val="00133C6A"/>
    <w:rsid w:val="00133D4B"/>
    <w:rsid w:val="00133D9E"/>
    <w:rsid w:val="00133E6C"/>
    <w:rsid w:val="00133E73"/>
    <w:rsid w:val="00133EA7"/>
    <w:rsid w:val="00133EBE"/>
    <w:rsid w:val="00133F63"/>
    <w:rsid w:val="00133F9F"/>
    <w:rsid w:val="00134070"/>
    <w:rsid w:val="0013407C"/>
    <w:rsid w:val="00134165"/>
    <w:rsid w:val="0013418D"/>
    <w:rsid w:val="0013418E"/>
    <w:rsid w:val="0013422B"/>
    <w:rsid w:val="00134240"/>
    <w:rsid w:val="00134243"/>
    <w:rsid w:val="0013425F"/>
    <w:rsid w:val="001342A1"/>
    <w:rsid w:val="001342C3"/>
    <w:rsid w:val="001342ED"/>
    <w:rsid w:val="0013459F"/>
    <w:rsid w:val="0013469B"/>
    <w:rsid w:val="001346D0"/>
    <w:rsid w:val="00134755"/>
    <w:rsid w:val="0013482F"/>
    <w:rsid w:val="00134880"/>
    <w:rsid w:val="001348DE"/>
    <w:rsid w:val="00134969"/>
    <w:rsid w:val="0013497F"/>
    <w:rsid w:val="00134A07"/>
    <w:rsid w:val="00134B14"/>
    <w:rsid w:val="00134B4A"/>
    <w:rsid w:val="00134C38"/>
    <w:rsid w:val="00134D8F"/>
    <w:rsid w:val="00134D9F"/>
    <w:rsid w:val="00134DDB"/>
    <w:rsid w:val="00134E81"/>
    <w:rsid w:val="00134F29"/>
    <w:rsid w:val="00134F2F"/>
    <w:rsid w:val="00134FC8"/>
    <w:rsid w:val="00134FCA"/>
    <w:rsid w:val="001351BF"/>
    <w:rsid w:val="00135218"/>
    <w:rsid w:val="00135525"/>
    <w:rsid w:val="00135576"/>
    <w:rsid w:val="001355FA"/>
    <w:rsid w:val="0013570A"/>
    <w:rsid w:val="0013578C"/>
    <w:rsid w:val="0013581E"/>
    <w:rsid w:val="00135981"/>
    <w:rsid w:val="00135A1B"/>
    <w:rsid w:val="00135A3F"/>
    <w:rsid w:val="00135A69"/>
    <w:rsid w:val="00135AA1"/>
    <w:rsid w:val="00135C06"/>
    <w:rsid w:val="00135CAA"/>
    <w:rsid w:val="00135CF7"/>
    <w:rsid w:val="00135DAF"/>
    <w:rsid w:val="00135DBC"/>
    <w:rsid w:val="00135E31"/>
    <w:rsid w:val="00135F08"/>
    <w:rsid w:val="00135F4C"/>
    <w:rsid w:val="001360E1"/>
    <w:rsid w:val="001361DD"/>
    <w:rsid w:val="00136294"/>
    <w:rsid w:val="001362E4"/>
    <w:rsid w:val="00136350"/>
    <w:rsid w:val="00136489"/>
    <w:rsid w:val="001364AC"/>
    <w:rsid w:val="001364F2"/>
    <w:rsid w:val="00136536"/>
    <w:rsid w:val="00136606"/>
    <w:rsid w:val="0013664B"/>
    <w:rsid w:val="00136676"/>
    <w:rsid w:val="001367C9"/>
    <w:rsid w:val="00136811"/>
    <w:rsid w:val="0013686B"/>
    <w:rsid w:val="0013695E"/>
    <w:rsid w:val="001369C9"/>
    <w:rsid w:val="00136BE9"/>
    <w:rsid w:val="00136C70"/>
    <w:rsid w:val="00136C7C"/>
    <w:rsid w:val="00136CA4"/>
    <w:rsid w:val="00136CCF"/>
    <w:rsid w:val="00136D26"/>
    <w:rsid w:val="00136D85"/>
    <w:rsid w:val="00136E53"/>
    <w:rsid w:val="00136F61"/>
    <w:rsid w:val="00136F7B"/>
    <w:rsid w:val="00136F8F"/>
    <w:rsid w:val="00137062"/>
    <w:rsid w:val="001370E6"/>
    <w:rsid w:val="00137133"/>
    <w:rsid w:val="0013713E"/>
    <w:rsid w:val="0013715F"/>
    <w:rsid w:val="001371BC"/>
    <w:rsid w:val="0013722F"/>
    <w:rsid w:val="00137315"/>
    <w:rsid w:val="001373C4"/>
    <w:rsid w:val="001373C5"/>
    <w:rsid w:val="001373F0"/>
    <w:rsid w:val="001374B0"/>
    <w:rsid w:val="00137578"/>
    <w:rsid w:val="001375A2"/>
    <w:rsid w:val="001377EE"/>
    <w:rsid w:val="00137A86"/>
    <w:rsid w:val="00137B23"/>
    <w:rsid w:val="00137B26"/>
    <w:rsid w:val="00137BCB"/>
    <w:rsid w:val="00137CA3"/>
    <w:rsid w:val="00137D29"/>
    <w:rsid w:val="00137E4E"/>
    <w:rsid w:val="00137E50"/>
    <w:rsid w:val="00137E63"/>
    <w:rsid w:val="00137F44"/>
    <w:rsid w:val="00137F51"/>
    <w:rsid w:val="00137F61"/>
    <w:rsid w:val="00140091"/>
    <w:rsid w:val="00140144"/>
    <w:rsid w:val="00140176"/>
    <w:rsid w:val="00140212"/>
    <w:rsid w:val="00140228"/>
    <w:rsid w:val="001402CB"/>
    <w:rsid w:val="0014031B"/>
    <w:rsid w:val="00140436"/>
    <w:rsid w:val="0014048E"/>
    <w:rsid w:val="001404FB"/>
    <w:rsid w:val="001406F8"/>
    <w:rsid w:val="0014070D"/>
    <w:rsid w:val="001408BE"/>
    <w:rsid w:val="00140943"/>
    <w:rsid w:val="00140972"/>
    <w:rsid w:val="00140A50"/>
    <w:rsid w:val="00140A97"/>
    <w:rsid w:val="00140B10"/>
    <w:rsid w:val="00140BCC"/>
    <w:rsid w:val="00140C0B"/>
    <w:rsid w:val="00140CE0"/>
    <w:rsid w:val="00140D36"/>
    <w:rsid w:val="00140F0D"/>
    <w:rsid w:val="00140F14"/>
    <w:rsid w:val="00141076"/>
    <w:rsid w:val="001410E0"/>
    <w:rsid w:val="00141135"/>
    <w:rsid w:val="0014117E"/>
    <w:rsid w:val="001412BA"/>
    <w:rsid w:val="001412C0"/>
    <w:rsid w:val="00141431"/>
    <w:rsid w:val="0014143B"/>
    <w:rsid w:val="001415B3"/>
    <w:rsid w:val="00141634"/>
    <w:rsid w:val="001416B0"/>
    <w:rsid w:val="00141714"/>
    <w:rsid w:val="001417EE"/>
    <w:rsid w:val="00141941"/>
    <w:rsid w:val="00141A20"/>
    <w:rsid w:val="00141AE1"/>
    <w:rsid w:val="00141B01"/>
    <w:rsid w:val="00141B73"/>
    <w:rsid w:val="00141BC4"/>
    <w:rsid w:val="00141C16"/>
    <w:rsid w:val="00141C7D"/>
    <w:rsid w:val="00141CB5"/>
    <w:rsid w:val="00141EE7"/>
    <w:rsid w:val="00141EE9"/>
    <w:rsid w:val="00141FA5"/>
    <w:rsid w:val="00142013"/>
    <w:rsid w:val="00142149"/>
    <w:rsid w:val="001421AA"/>
    <w:rsid w:val="00142213"/>
    <w:rsid w:val="0014230C"/>
    <w:rsid w:val="001423CF"/>
    <w:rsid w:val="001424FD"/>
    <w:rsid w:val="00142517"/>
    <w:rsid w:val="0014269C"/>
    <w:rsid w:val="001426D6"/>
    <w:rsid w:val="0014279D"/>
    <w:rsid w:val="00142821"/>
    <w:rsid w:val="00142888"/>
    <w:rsid w:val="001428D8"/>
    <w:rsid w:val="00142955"/>
    <w:rsid w:val="00142985"/>
    <w:rsid w:val="00142996"/>
    <w:rsid w:val="00142A02"/>
    <w:rsid w:val="00142A46"/>
    <w:rsid w:val="00142C92"/>
    <w:rsid w:val="00142C9A"/>
    <w:rsid w:val="00142D11"/>
    <w:rsid w:val="00142E1A"/>
    <w:rsid w:val="00142E73"/>
    <w:rsid w:val="00142EBF"/>
    <w:rsid w:val="0014301C"/>
    <w:rsid w:val="001430B4"/>
    <w:rsid w:val="00143150"/>
    <w:rsid w:val="00143294"/>
    <w:rsid w:val="001432C5"/>
    <w:rsid w:val="001433C2"/>
    <w:rsid w:val="001433ED"/>
    <w:rsid w:val="00143404"/>
    <w:rsid w:val="00143452"/>
    <w:rsid w:val="0014347D"/>
    <w:rsid w:val="0014349C"/>
    <w:rsid w:val="001434D2"/>
    <w:rsid w:val="00143641"/>
    <w:rsid w:val="001436DA"/>
    <w:rsid w:val="00143827"/>
    <w:rsid w:val="00143851"/>
    <w:rsid w:val="001439FD"/>
    <w:rsid w:val="00143A59"/>
    <w:rsid w:val="00143B25"/>
    <w:rsid w:val="00143B88"/>
    <w:rsid w:val="00143BF8"/>
    <w:rsid w:val="00143E8A"/>
    <w:rsid w:val="00143EDE"/>
    <w:rsid w:val="00143EFC"/>
    <w:rsid w:val="00144098"/>
    <w:rsid w:val="00144110"/>
    <w:rsid w:val="0014415C"/>
    <w:rsid w:val="001441B8"/>
    <w:rsid w:val="001441C2"/>
    <w:rsid w:val="0014423B"/>
    <w:rsid w:val="00144247"/>
    <w:rsid w:val="001442F4"/>
    <w:rsid w:val="001443F7"/>
    <w:rsid w:val="001444BE"/>
    <w:rsid w:val="0014450C"/>
    <w:rsid w:val="00144516"/>
    <w:rsid w:val="00144522"/>
    <w:rsid w:val="001447C9"/>
    <w:rsid w:val="00144808"/>
    <w:rsid w:val="0014496C"/>
    <w:rsid w:val="00144996"/>
    <w:rsid w:val="001449FA"/>
    <w:rsid w:val="00144BB5"/>
    <w:rsid w:val="00144C86"/>
    <w:rsid w:val="00144DBA"/>
    <w:rsid w:val="00144E0D"/>
    <w:rsid w:val="00144F13"/>
    <w:rsid w:val="00144F70"/>
    <w:rsid w:val="00144FDD"/>
    <w:rsid w:val="00145044"/>
    <w:rsid w:val="00145053"/>
    <w:rsid w:val="00145097"/>
    <w:rsid w:val="001450DF"/>
    <w:rsid w:val="0014516A"/>
    <w:rsid w:val="001451AB"/>
    <w:rsid w:val="001451DC"/>
    <w:rsid w:val="00145223"/>
    <w:rsid w:val="00145277"/>
    <w:rsid w:val="001452A2"/>
    <w:rsid w:val="0014559D"/>
    <w:rsid w:val="0014563D"/>
    <w:rsid w:val="001457BC"/>
    <w:rsid w:val="0014580F"/>
    <w:rsid w:val="00145815"/>
    <w:rsid w:val="001458C2"/>
    <w:rsid w:val="00145923"/>
    <w:rsid w:val="001459AA"/>
    <w:rsid w:val="00145B7E"/>
    <w:rsid w:val="00145D62"/>
    <w:rsid w:val="00145D7B"/>
    <w:rsid w:val="00145E70"/>
    <w:rsid w:val="0014601E"/>
    <w:rsid w:val="0014608A"/>
    <w:rsid w:val="00146144"/>
    <w:rsid w:val="0014637F"/>
    <w:rsid w:val="00146444"/>
    <w:rsid w:val="0014649F"/>
    <w:rsid w:val="001464B3"/>
    <w:rsid w:val="001465AE"/>
    <w:rsid w:val="00146692"/>
    <w:rsid w:val="00146788"/>
    <w:rsid w:val="00146940"/>
    <w:rsid w:val="001469BB"/>
    <w:rsid w:val="00146A1D"/>
    <w:rsid w:val="00146A85"/>
    <w:rsid w:val="00146B2D"/>
    <w:rsid w:val="00146B58"/>
    <w:rsid w:val="00146BC2"/>
    <w:rsid w:val="00146BDD"/>
    <w:rsid w:val="00146BEA"/>
    <w:rsid w:val="00146C22"/>
    <w:rsid w:val="00146C3F"/>
    <w:rsid w:val="00146C78"/>
    <w:rsid w:val="00146CE9"/>
    <w:rsid w:val="00146D3C"/>
    <w:rsid w:val="00146FE6"/>
    <w:rsid w:val="00147031"/>
    <w:rsid w:val="0014705D"/>
    <w:rsid w:val="001470D3"/>
    <w:rsid w:val="001471A4"/>
    <w:rsid w:val="00147243"/>
    <w:rsid w:val="001472A6"/>
    <w:rsid w:val="0014746A"/>
    <w:rsid w:val="0014748F"/>
    <w:rsid w:val="001474FD"/>
    <w:rsid w:val="00147573"/>
    <w:rsid w:val="001475FD"/>
    <w:rsid w:val="00147649"/>
    <w:rsid w:val="001476D5"/>
    <w:rsid w:val="001478B0"/>
    <w:rsid w:val="001479BA"/>
    <w:rsid w:val="001479E2"/>
    <w:rsid w:val="00147B02"/>
    <w:rsid w:val="00147BFB"/>
    <w:rsid w:val="00147CCA"/>
    <w:rsid w:val="00147E7E"/>
    <w:rsid w:val="00147E94"/>
    <w:rsid w:val="00147F68"/>
    <w:rsid w:val="0015001B"/>
    <w:rsid w:val="0015002F"/>
    <w:rsid w:val="0015006C"/>
    <w:rsid w:val="001500BF"/>
    <w:rsid w:val="00150145"/>
    <w:rsid w:val="001501D0"/>
    <w:rsid w:val="0015029E"/>
    <w:rsid w:val="001502FF"/>
    <w:rsid w:val="001503AC"/>
    <w:rsid w:val="001503C3"/>
    <w:rsid w:val="0015040E"/>
    <w:rsid w:val="00150606"/>
    <w:rsid w:val="0015067B"/>
    <w:rsid w:val="0015067C"/>
    <w:rsid w:val="00150723"/>
    <w:rsid w:val="001507BB"/>
    <w:rsid w:val="001507F8"/>
    <w:rsid w:val="0015084A"/>
    <w:rsid w:val="0015085A"/>
    <w:rsid w:val="001509BB"/>
    <w:rsid w:val="001509C2"/>
    <w:rsid w:val="00150A04"/>
    <w:rsid w:val="00150A0E"/>
    <w:rsid w:val="00150A53"/>
    <w:rsid w:val="00150A87"/>
    <w:rsid w:val="00150AEA"/>
    <w:rsid w:val="00150E18"/>
    <w:rsid w:val="00150E2F"/>
    <w:rsid w:val="00150EC9"/>
    <w:rsid w:val="00151047"/>
    <w:rsid w:val="00151075"/>
    <w:rsid w:val="0015132C"/>
    <w:rsid w:val="001513DC"/>
    <w:rsid w:val="0015145E"/>
    <w:rsid w:val="00151513"/>
    <w:rsid w:val="00151591"/>
    <w:rsid w:val="001515C9"/>
    <w:rsid w:val="00151671"/>
    <w:rsid w:val="00151738"/>
    <w:rsid w:val="00151774"/>
    <w:rsid w:val="001517EF"/>
    <w:rsid w:val="001517F4"/>
    <w:rsid w:val="00151865"/>
    <w:rsid w:val="0015190E"/>
    <w:rsid w:val="00151952"/>
    <w:rsid w:val="00151986"/>
    <w:rsid w:val="00151A4F"/>
    <w:rsid w:val="00151AE7"/>
    <w:rsid w:val="00151C0B"/>
    <w:rsid w:val="00151CC9"/>
    <w:rsid w:val="00151DAE"/>
    <w:rsid w:val="00151E03"/>
    <w:rsid w:val="00151F60"/>
    <w:rsid w:val="00151FF7"/>
    <w:rsid w:val="00151FFF"/>
    <w:rsid w:val="001520BF"/>
    <w:rsid w:val="001520F2"/>
    <w:rsid w:val="00152257"/>
    <w:rsid w:val="001522C9"/>
    <w:rsid w:val="001522D3"/>
    <w:rsid w:val="001524EC"/>
    <w:rsid w:val="0015259E"/>
    <w:rsid w:val="001525D4"/>
    <w:rsid w:val="001526E5"/>
    <w:rsid w:val="00152739"/>
    <w:rsid w:val="00152828"/>
    <w:rsid w:val="00152835"/>
    <w:rsid w:val="00152844"/>
    <w:rsid w:val="00152847"/>
    <w:rsid w:val="0015289C"/>
    <w:rsid w:val="00152913"/>
    <w:rsid w:val="001529A9"/>
    <w:rsid w:val="00152B7A"/>
    <w:rsid w:val="00152BDA"/>
    <w:rsid w:val="00152C84"/>
    <w:rsid w:val="00152E2B"/>
    <w:rsid w:val="0015311B"/>
    <w:rsid w:val="00153169"/>
    <w:rsid w:val="00153339"/>
    <w:rsid w:val="0015342E"/>
    <w:rsid w:val="00153445"/>
    <w:rsid w:val="001534EA"/>
    <w:rsid w:val="00153553"/>
    <w:rsid w:val="0015357B"/>
    <w:rsid w:val="0015357F"/>
    <w:rsid w:val="001536E8"/>
    <w:rsid w:val="00153873"/>
    <w:rsid w:val="0015389E"/>
    <w:rsid w:val="00153A35"/>
    <w:rsid w:val="00153A96"/>
    <w:rsid w:val="00153AC1"/>
    <w:rsid w:val="00153ACF"/>
    <w:rsid w:val="00153AEB"/>
    <w:rsid w:val="00153BB1"/>
    <w:rsid w:val="00153BBF"/>
    <w:rsid w:val="00153BDD"/>
    <w:rsid w:val="00153C79"/>
    <w:rsid w:val="00153D6C"/>
    <w:rsid w:val="00153E22"/>
    <w:rsid w:val="00153E38"/>
    <w:rsid w:val="00153E43"/>
    <w:rsid w:val="00153EDE"/>
    <w:rsid w:val="00153F4D"/>
    <w:rsid w:val="0015405A"/>
    <w:rsid w:val="0015428E"/>
    <w:rsid w:val="00154296"/>
    <w:rsid w:val="001542BD"/>
    <w:rsid w:val="001542C5"/>
    <w:rsid w:val="00154370"/>
    <w:rsid w:val="00154536"/>
    <w:rsid w:val="00154629"/>
    <w:rsid w:val="0015475D"/>
    <w:rsid w:val="00154814"/>
    <w:rsid w:val="00154941"/>
    <w:rsid w:val="00154971"/>
    <w:rsid w:val="00154BB4"/>
    <w:rsid w:val="00154BBF"/>
    <w:rsid w:val="00154BC0"/>
    <w:rsid w:val="00154C90"/>
    <w:rsid w:val="00154D7B"/>
    <w:rsid w:val="00154E44"/>
    <w:rsid w:val="00154F31"/>
    <w:rsid w:val="00154FC0"/>
    <w:rsid w:val="00154FF6"/>
    <w:rsid w:val="00155069"/>
    <w:rsid w:val="00155075"/>
    <w:rsid w:val="0015512D"/>
    <w:rsid w:val="001552D1"/>
    <w:rsid w:val="001552E3"/>
    <w:rsid w:val="00155376"/>
    <w:rsid w:val="00155430"/>
    <w:rsid w:val="00155698"/>
    <w:rsid w:val="00155756"/>
    <w:rsid w:val="00155893"/>
    <w:rsid w:val="0015599E"/>
    <w:rsid w:val="001559A4"/>
    <w:rsid w:val="001559DE"/>
    <w:rsid w:val="00155A1B"/>
    <w:rsid w:val="00155AE6"/>
    <w:rsid w:val="00155BF9"/>
    <w:rsid w:val="00155D38"/>
    <w:rsid w:val="00155D73"/>
    <w:rsid w:val="00155DC3"/>
    <w:rsid w:val="00155DE4"/>
    <w:rsid w:val="00155EF2"/>
    <w:rsid w:val="00155FD2"/>
    <w:rsid w:val="00155FF1"/>
    <w:rsid w:val="0015606F"/>
    <w:rsid w:val="001560F1"/>
    <w:rsid w:val="001561DD"/>
    <w:rsid w:val="00156204"/>
    <w:rsid w:val="0015625A"/>
    <w:rsid w:val="001562BB"/>
    <w:rsid w:val="001562F2"/>
    <w:rsid w:val="00156310"/>
    <w:rsid w:val="0015633A"/>
    <w:rsid w:val="00156342"/>
    <w:rsid w:val="001563FD"/>
    <w:rsid w:val="001564A9"/>
    <w:rsid w:val="00156506"/>
    <w:rsid w:val="001565A2"/>
    <w:rsid w:val="00156689"/>
    <w:rsid w:val="001566EA"/>
    <w:rsid w:val="00156713"/>
    <w:rsid w:val="00156844"/>
    <w:rsid w:val="00156893"/>
    <w:rsid w:val="00156924"/>
    <w:rsid w:val="00156A6F"/>
    <w:rsid w:val="00156B10"/>
    <w:rsid w:val="00156B66"/>
    <w:rsid w:val="00156D2B"/>
    <w:rsid w:val="00156D8B"/>
    <w:rsid w:val="00156FA3"/>
    <w:rsid w:val="00157152"/>
    <w:rsid w:val="0015717F"/>
    <w:rsid w:val="00157192"/>
    <w:rsid w:val="001571BA"/>
    <w:rsid w:val="001571D5"/>
    <w:rsid w:val="00157209"/>
    <w:rsid w:val="0015723D"/>
    <w:rsid w:val="001572A5"/>
    <w:rsid w:val="00157474"/>
    <w:rsid w:val="0015767C"/>
    <w:rsid w:val="00157693"/>
    <w:rsid w:val="00157743"/>
    <w:rsid w:val="00157746"/>
    <w:rsid w:val="001577DB"/>
    <w:rsid w:val="001577DC"/>
    <w:rsid w:val="00157816"/>
    <w:rsid w:val="0015783A"/>
    <w:rsid w:val="0015791B"/>
    <w:rsid w:val="00157A8D"/>
    <w:rsid w:val="00157BD7"/>
    <w:rsid w:val="00157C79"/>
    <w:rsid w:val="00157D35"/>
    <w:rsid w:val="00157DA9"/>
    <w:rsid w:val="00157DB7"/>
    <w:rsid w:val="00157E3C"/>
    <w:rsid w:val="00157EB0"/>
    <w:rsid w:val="00157F2A"/>
    <w:rsid w:val="00157FB8"/>
    <w:rsid w:val="00160147"/>
    <w:rsid w:val="001601C3"/>
    <w:rsid w:val="001601F6"/>
    <w:rsid w:val="00160338"/>
    <w:rsid w:val="0016042F"/>
    <w:rsid w:val="00160487"/>
    <w:rsid w:val="0016049B"/>
    <w:rsid w:val="0016053C"/>
    <w:rsid w:val="0016056F"/>
    <w:rsid w:val="0016058C"/>
    <w:rsid w:val="001606EA"/>
    <w:rsid w:val="00160719"/>
    <w:rsid w:val="00160753"/>
    <w:rsid w:val="001607E7"/>
    <w:rsid w:val="00160B25"/>
    <w:rsid w:val="00160B3A"/>
    <w:rsid w:val="00160D80"/>
    <w:rsid w:val="00160F43"/>
    <w:rsid w:val="00161100"/>
    <w:rsid w:val="00161110"/>
    <w:rsid w:val="00161113"/>
    <w:rsid w:val="00161114"/>
    <w:rsid w:val="00161180"/>
    <w:rsid w:val="001612B9"/>
    <w:rsid w:val="00161452"/>
    <w:rsid w:val="001614F5"/>
    <w:rsid w:val="001615A0"/>
    <w:rsid w:val="001615DC"/>
    <w:rsid w:val="0016160A"/>
    <w:rsid w:val="001616CD"/>
    <w:rsid w:val="001616E2"/>
    <w:rsid w:val="001616E6"/>
    <w:rsid w:val="00161721"/>
    <w:rsid w:val="00161814"/>
    <w:rsid w:val="00161867"/>
    <w:rsid w:val="001618A0"/>
    <w:rsid w:val="00161908"/>
    <w:rsid w:val="00161910"/>
    <w:rsid w:val="00161918"/>
    <w:rsid w:val="00161A60"/>
    <w:rsid w:val="00161A90"/>
    <w:rsid w:val="00161B45"/>
    <w:rsid w:val="00161C3F"/>
    <w:rsid w:val="00161C49"/>
    <w:rsid w:val="00161CC6"/>
    <w:rsid w:val="00161CF9"/>
    <w:rsid w:val="00161F3F"/>
    <w:rsid w:val="00161F42"/>
    <w:rsid w:val="00162092"/>
    <w:rsid w:val="0016224D"/>
    <w:rsid w:val="001622C6"/>
    <w:rsid w:val="00162374"/>
    <w:rsid w:val="00162442"/>
    <w:rsid w:val="001624F7"/>
    <w:rsid w:val="00162523"/>
    <w:rsid w:val="001625D1"/>
    <w:rsid w:val="0016261B"/>
    <w:rsid w:val="001626F9"/>
    <w:rsid w:val="0016289E"/>
    <w:rsid w:val="00162946"/>
    <w:rsid w:val="001629C7"/>
    <w:rsid w:val="001629D9"/>
    <w:rsid w:val="00162ACE"/>
    <w:rsid w:val="00162AEB"/>
    <w:rsid w:val="00162BC3"/>
    <w:rsid w:val="00162C67"/>
    <w:rsid w:val="00163195"/>
    <w:rsid w:val="00163222"/>
    <w:rsid w:val="00163253"/>
    <w:rsid w:val="00163426"/>
    <w:rsid w:val="001635E1"/>
    <w:rsid w:val="001635F2"/>
    <w:rsid w:val="001635FE"/>
    <w:rsid w:val="00163778"/>
    <w:rsid w:val="00163881"/>
    <w:rsid w:val="001638F1"/>
    <w:rsid w:val="001638F7"/>
    <w:rsid w:val="001638F9"/>
    <w:rsid w:val="0016397D"/>
    <w:rsid w:val="00163A19"/>
    <w:rsid w:val="00163B45"/>
    <w:rsid w:val="00163B50"/>
    <w:rsid w:val="00163C9B"/>
    <w:rsid w:val="00163CFB"/>
    <w:rsid w:val="00163E3E"/>
    <w:rsid w:val="00163EB4"/>
    <w:rsid w:val="00163EF5"/>
    <w:rsid w:val="00163F56"/>
    <w:rsid w:val="00164027"/>
    <w:rsid w:val="0016415F"/>
    <w:rsid w:val="001641D2"/>
    <w:rsid w:val="001641EF"/>
    <w:rsid w:val="00164281"/>
    <w:rsid w:val="00164352"/>
    <w:rsid w:val="00164470"/>
    <w:rsid w:val="00164581"/>
    <w:rsid w:val="00164628"/>
    <w:rsid w:val="00164697"/>
    <w:rsid w:val="00164896"/>
    <w:rsid w:val="00164909"/>
    <w:rsid w:val="0016491A"/>
    <w:rsid w:val="0016494A"/>
    <w:rsid w:val="00164974"/>
    <w:rsid w:val="001649A5"/>
    <w:rsid w:val="00164A0B"/>
    <w:rsid w:val="00164ADE"/>
    <w:rsid w:val="00164AE8"/>
    <w:rsid w:val="00164B27"/>
    <w:rsid w:val="00164D68"/>
    <w:rsid w:val="00164D7E"/>
    <w:rsid w:val="00164DB3"/>
    <w:rsid w:val="00164E14"/>
    <w:rsid w:val="00164EF5"/>
    <w:rsid w:val="0016512A"/>
    <w:rsid w:val="00165152"/>
    <w:rsid w:val="001651C5"/>
    <w:rsid w:val="001652FB"/>
    <w:rsid w:val="0016532E"/>
    <w:rsid w:val="00165342"/>
    <w:rsid w:val="001653FD"/>
    <w:rsid w:val="00165499"/>
    <w:rsid w:val="001655DF"/>
    <w:rsid w:val="001656BC"/>
    <w:rsid w:val="001656C9"/>
    <w:rsid w:val="001656D4"/>
    <w:rsid w:val="0016579B"/>
    <w:rsid w:val="00165849"/>
    <w:rsid w:val="001658C1"/>
    <w:rsid w:val="001658DB"/>
    <w:rsid w:val="001659E4"/>
    <w:rsid w:val="00165A9C"/>
    <w:rsid w:val="00165AA2"/>
    <w:rsid w:val="00165B23"/>
    <w:rsid w:val="00165B77"/>
    <w:rsid w:val="00165B78"/>
    <w:rsid w:val="00165BF6"/>
    <w:rsid w:val="00165D29"/>
    <w:rsid w:val="00165D70"/>
    <w:rsid w:val="00165E4F"/>
    <w:rsid w:val="00165FD4"/>
    <w:rsid w:val="0016604C"/>
    <w:rsid w:val="00166100"/>
    <w:rsid w:val="001661BB"/>
    <w:rsid w:val="0016631B"/>
    <w:rsid w:val="00166412"/>
    <w:rsid w:val="001665D8"/>
    <w:rsid w:val="001665FE"/>
    <w:rsid w:val="00166617"/>
    <w:rsid w:val="0016676C"/>
    <w:rsid w:val="00166785"/>
    <w:rsid w:val="001668EC"/>
    <w:rsid w:val="00166A45"/>
    <w:rsid w:val="00166A50"/>
    <w:rsid w:val="00166A90"/>
    <w:rsid w:val="00166B62"/>
    <w:rsid w:val="00166DC7"/>
    <w:rsid w:val="00166E60"/>
    <w:rsid w:val="00166E81"/>
    <w:rsid w:val="00166F08"/>
    <w:rsid w:val="00166FA5"/>
    <w:rsid w:val="00166FF9"/>
    <w:rsid w:val="001670CA"/>
    <w:rsid w:val="00167559"/>
    <w:rsid w:val="001675DA"/>
    <w:rsid w:val="0016763A"/>
    <w:rsid w:val="001677D1"/>
    <w:rsid w:val="00167851"/>
    <w:rsid w:val="0016785A"/>
    <w:rsid w:val="001678F8"/>
    <w:rsid w:val="00167968"/>
    <w:rsid w:val="00167BAF"/>
    <w:rsid w:val="00167EC1"/>
    <w:rsid w:val="00167EC4"/>
    <w:rsid w:val="00167F68"/>
    <w:rsid w:val="001701D1"/>
    <w:rsid w:val="001702AB"/>
    <w:rsid w:val="00170307"/>
    <w:rsid w:val="00170331"/>
    <w:rsid w:val="00170465"/>
    <w:rsid w:val="001704A0"/>
    <w:rsid w:val="00170578"/>
    <w:rsid w:val="001705CB"/>
    <w:rsid w:val="001705F6"/>
    <w:rsid w:val="00170622"/>
    <w:rsid w:val="00170665"/>
    <w:rsid w:val="00170741"/>
    <w:rsid w:val="0017080E"/>
    <w:rsid w:val="00170867"/>
    <w:rsid w:val="00170891"/>
    <w:rsid w:val="001708B9"/>
    <w:rsid w:val="001708F1"/>
    <w:rsid w:val="00170CA5"/>
    <w:rsid w:val="00170CDF"/>
    <w:rsid w:val="00170D09"/>
    <w:rsid w:val="00170D40"/>
    <w:rsid w:val="00170DD5"/>
    <w:rsid w:val="00170E80"/>
    <w:rsid w:val="00170F39"/>
    <w:rsid w:val="00171201"/>
    <w:rsid w:val="00171237"/>
    <w:rsid w:val="00171266"/>
    <w:rsid w:val="0017126A"/>
    <w:rsid w:val="00171459"/>
    <w:rsid w:val="001715AA"/>
    <w:rsid w:val="001715E2"/>
    <w:rsid w:val="001715FD"/>
    <w:rsid w:val="00171679"/>
    <w:rsid w:val="001716B4"/>
    <w:rsid w:val="001716B7"/>
    <w:rsid w:val="001717C7"/>
    <w:rsid w:val="00171846"/>
    <w:rsid w:val="00171907"/>
    <w:rsid w:val="001719B1"/>
    <w:rsid w:val="00171A33"/>
    <w:rsid w:val="00171A51"/>
    <w:rsid w:val="00171ACF"/>
    <w:rsid w:val="00171BC5"/>
    <w:rsid w:val="00171BEB"/>
    <w:rsid w:val="00171C20"/>
    <w:rsid w:val="00171DF1"/>
    <w:rsid w:val="00171E24"/>
    <w:rsid w:val="001720B4"/>
    <w:rsid w:val="00172158"/>
    <w:rsid w:val="00172179"/>
    <w:rsid w:val="001721B5"/>
    <w:rsid w:val="00172204"/>
    <w:rsid w:val="00172241"/>
    <w:rsid w:val="00172285"/>
    <w:rsid w:val="001723F9"/>
    <w:rsid w:val="0017243A"/>
    <w:rsid w:val="00172512"/>
    <w:rsid w:val="001725DD"/>
    <w:rsid w:val="00172611"/>
    <w:rsid w:val="00172648"/>
    <w:rsid w:val="00172663"/>
    <w:rsid w:val="001726AA"/>
    <w:rsid w:val="00172748"/>
    <w:rsid w:val="0017274E"/>
    <w:rsid w:val="0017275F"/>
    <w:rsid w:val="001727AA"/>
    <w:rsid w:val="0017280D"/>
    <w:rsid w:val="00172887"/>
    <w:rsid w:val="001729F2"/>
    <w:rsid w:val="00172B54"/>
    <w:rsid w:val="00172C77"/>
    <w:rsid w:val="00172DA9"/>
    <w:rsid w:val="00172DFA"/>
    <w:rsid w:val="00172E05"/>
    <w:rsid w:val="00172EAA"/>
    <w:rsid w:val="00173023"/>
    <w:rsid w:val="00173063"/>
    <w:rsid w:val="001730CD"/>
    <w:rsid w:val="0017318C"/>
    <w:rsid w:val="001731E4"/>
    <w:rsid w:val="00173209"/>
    <w:rsid w:val="00173276"/>
    <w:rsid w:val="00173277"/>
    <w:rsid w:val="001732D5"/>
    <w:rsid w:val="001733AD"/>
    <w:rsid w:val="001733C4"/>
    <w:rsid w:val="001734B5"/>
    <w:rsid w:val="00173500"/>
    <w:rsid w:val="00173543"/>
    <w:rsid w:val="0017359E"/>
    <w:rsid w:val="001735D6"/>
    <w:rsid w:val="00173691"/>
    <w:rsid w:val="0017370C"/>
    <w:rsid w:val="00173710"/>
    <w:rsid w:val="001737BE"/>
    <w:rsid w:val="001738D2"/>
    <w:rsid w:val="00173A85"/>
    <w:rsid w:val="00173B3D"/>
    <w:rsid w:val="00173B42"/>
    <w:rsid w:val="00173C50"/>
    <w:rsid w:val="00173C97"/>
    <w:rsid w:val="00173CF5"/>
    <w:rsid w:val="00173DE2"/>
    <w:rsid w:val="00173DFC"/>
    <w:rsid w:val="00173EF9"/>
    <w:rsid w:val="00173FFE"/>
    <w:rsid w:val="00174055"/>
    <w:rsid w:val="0017406E"/>
    <w:rsid w:val="001740A4"/>
    <w:rsid w:val="001740CA"/>
    <w:rsid w:val="00174127"/>
    <w:rsid w:val="0017449E"/>
    <w:rsid w:val="001744AF"/>
    <w:rsid w:val="00174555"/>
    <w:rsid w:val="0017463D"/>
    <w:rsid w:val="00174737"/>
    <w:rsid w:val="00174793"/>
    <w:rsid w:val="001747A5"/>
    <w:rsid w:val="001748F5"/>
    <w:rsid w:val="00174999"/>
    <w:rsid w:val="00174A67"/>
    <w:rsid w:val="00174B18"/>
    <w:rsid w:val="00174B8F"/>
    <w:rsid w:val="00174BDF"/>
    <w:rsid w:val="00174D0F"/>
    <w:rsid w:val="00174DBF"/>
    <w:rsid w:val="00174DDD"/>
    <w:rsid w:val="00174E44"/>
    <w:rsid w:val="00174F5E"/>
    <w:rsid w:val="00174FC2"/>
    <w:rsid w:val="00174FD8"/>
    <w:rsid w:val="001750AD"/>
    <w:rsid w:val="00175206"/>
    <w:rsid w:val="0017527E"/>
    <w:rsid w:val="00175329"/>
    <w:rsid w:val="00175389"/>
    <w:rsid w:val="001753DD"/>
    <w:rsid w:val="001754D2"/>
    <w:rsid w:val="00175570"/>
    <w:rsid w:val="0017569B"/>
    <w:rsid w:val="001757CE"/>
    <w:rsid w:val="001757D6"/>
    <w:rsid w:val="0017586C"/>
    <w:rsid w:val="001759F6"/>
    <w:rsid w:val="00175C4E"/>
    <w:rsid w:val="00175CC7"/>
    <w:rsid w:val="00175D25"/>
    <w:rsid w:val="00175E52"/>
    <w:rsid w:val="00175E61"/>
    <w:rsid w:val="00175ED2"/>
    <w:rsid w:val="00175EDD"/>
    <w:rsid w:val="00175F54"/>
    <w:rsid w:val="001760B4"/>
    <w:rsid w:val="001761DD"/>
    <w:rsid w:val="0017624B"/>
    <w:rsid w:val="0017631B"/>
    <w:rsid w:val="0017631F"/>
    <w:rsid w:val="00176384"/>
    <w:rsid w:val="001763E4"/>
    <w:rsid w:val="001765EF"/>
    <w:rsid w:val="001766E2"/>
    <w:rsid w:val="001766F9"/>
    <w:rsid w:val="0017673C"/>
    <w:rsid w:val="00176793"/>
    <w:rsid w:val="00176834"/>
    <w:rsid w:val="0017688E"/>
    <w:rsid w:val="00176898"/>
    <w:rsid w:val="001768C6"/>
    <w:rsid w:val="00176982"/>
    <w:rsid w:val="00176A29"/>
    <w:rsid w:val="00176A96"/>
    <w:rsid w:val="00176B2E"/>
    <w:rsid w:val="00176C46"/>
    <w:rsid w:val="00176E28"/>
    <w:rsid w:val="00176F5A"/>
    <w:rsid w:val="00177276"/>
    <w:rsid w:val="00177341"/>
    <w:rsid w:val="001773A4"/>
    <w:rsid w:val="001773D1"/>
    <w:rsid w:val="001773F7"/>
    <w:rsid w:val="001774B6"/>
    <w:rsid w:val="0017762B"/>
    <w:rsid w:val="00177769"/>
    <w:rsid w:val="0017790B"/>
    <w:rsid w:val="001779A3"/>
    <w:rsid w:val="001779C8"/>
    <w:rsid w:val="00177B18"/>
    <w:rsid w:val="00177BB0"/>
    <w:rsid w:val="00177E85"/>
    <w:rsid w:val="00177EE4"/>
    <w:rsid w:val="00177FA5"/>
    <w:rsid w:val="0017F469"/>
    <w:rsid w:val="001800B6"/>
    <w:rsid w:val="00180153"/>
    <w:rsid w:val="001801A9"/>
    <w:rsid w:val="00180294"/>
    <w:rsid w:val="001802E9"/>
    <w:rsid w:val="001803C9"/>
    <w:rsid w:val="001803F3"/>
    <w:rsid w:val="0018040D"/>
    <w:rsid w:val="001804F0"/>
    <w:rsid w:val="001804F3"/>
    <w:rsid w:val="00180651"/>
    <w:rsid w:val="00180671"/>
    <w:rsid w:val="00180694"/>
    <w:rsid w:val="00180705"/>
    <w:rsid w:val="00180714"/>
    <w:rsid w:val="00180760"/>
    <w:rsid w:val="00180810"/>
    <w:rsid w:val="00180869"/>
    <w:rsid w:val="0018091D"/>
    <w:rsid w:val="001809F5"/>
    <w:rsid w:val="00180B5A"/>
    <w:rsid w:val="00180BDA"/>
    <w:rsid w:val="00180C0A"/>
    <w:rsid w:val="00180C32"/>
    <w:rsid w:val="00180CA4"/>
    <w:rsid w:val="00180CE2"/>
    <w:rsid w:val="00180CF2"/>
    <w:rsid w:val="00180CFF"/>
    <w:rsid w:val="00180DAD"/>
    <w:rsid w:val="00180E06"/>
    <w:rsid w:val="00180F04"/>
    <w:rsid w:val="00180F7A"/>
    <w:rsid w:val="0018101C"/>
    <w:rsid w:val="00181032"/>
    <w:rsid w:val="0018108F"/>
    <w:rsid w:val="0018109B"/>
    <w:rsid w:val="001810CE"/>
    <w:rsid w:val="00181172"/>
    <w:rsid w:val="0018117D"/>
    <w:rsid w:val="00181205"/>
    <w:rsid w:val="00181215"/>
    <w:rsid w:val="00181246"/>
    <w:rsid w:val="0018125D"/>
    <w:rsid w:val="001813CF"/>
    <w:rsid w:val="00181441"/>
    <w:rsid w:val="00181487"/>
    <w:rsid w:val="00181590"/>
    <w:rsid w:val="001815D4"/>
    <w:rsid w:val="001816E6"/>
    <w:rsid w:val="001817E4"/>
    <w:rsid w:val="00181984"/>
    <w:rsid w:val="001819B8"/>
    <w:rsid w:val="001819CF"/>
    <w:rsid w:val="00181ACD"/>
    <w:rsid w:val="00181AE9"/>
    <w:rsid w:val="00181AED"/>
    <w:rsid w:val="00181B2A"/>
    <w:rsid w:val="00181BA1"/>
    <w:rsid w:val="00181BA3"/>
    <w:rsid w:val="00181BB4"/>
    <w:rsid w:val="00181BF6"/>
    <w:rsid w:val="00181BFE"/>
    <w:rsid w:val="00181C3D"/>
    <w:rsid w:val="00181C67"/>
    <w:rsid w:val="00181D6B"/>
    <w:rsid w:val="00181D7F"/>
    <w:rsid w:val="00181E5A"/>
    <w:rsid w:val="00181EB5"/>
    <w:rsid w:val="00181F94"/>
    <w:rsid w:val="00182013"/>
    <w:rsid w:val="00182015"/>
    <w:rsid w:val="0018202B"/>
    <w:rsid w:val="00182050"/>
    <w:rsid w:val="001820F5"/>
    <w:rsid w:val="0018222A"/>
    <w:rsid w:val="00182269"/>
    <w:rsid w:val="001822BE"/>
    <w:rsid w:val="0018236C"/>
    <w:rsid w:val="00182425"/>
    <w:rsid w:val="001824C0"/>
    <w:rsid w:val="0018254F"/>
    <w:rsid w:val="00182595"/>
    <w:rsid w:val="001826C3"/>
    <w:rsid w:val="00182765"/>
    <w:rsid w:val="00182839"/>
    <w:rsid w:val="001828CE"/>
    <w:rsid w:val="001828F5"/>
    <w:rsid w:val="001829B0"/>
    <w:rsid w:val="00182A92"/>
    <w:rsid w:val="00182ABC"/>
    <w:rsid w:val="00182C98"/>
    <w:rsid w:val="00182CA1"/>
    <w:rsid w:val="00182DDB"/>
    <w:rsid w:val="00182E27"/>
    <w:rsid w:val="00182E73"/>
    <w:rsid w:val="00182EEA"/>
    <w:rsid w:val="00182F50"/>
    <w:rsid w:val="0018306E"/>
    <w:rsid w:val="00183117"/>
    <w:rsid w:val="00183153"/>
    <w:rsid w:val="00183185"/>
    <w:rsid w:val="00183370"/>
    <w:rsid w:val="0018343A"/>
    <w:rsid w:val="00183448"/>
    <w:rsid w:val="0018347B"/>
    <w:rsid w:val="001835F4"/>
    <w:rsid w:val="00183632"/>
    <w:rsid w:val="00183701"/>
    <w:rsid w:val="001837D0"/>
    <w:rsid w:val="00183829"/>
    <w:rsid w:val="001838A6"/>
    <w:rsid w:val="001838F7"/>
    <w:rsid w:val="00183AD3"/>
    <w:rsid w:val="00183BA8"/>
    <w:rsid w:val="00183C4F"/>
    <w:rsid w:val="00183C9E"/>
    <w:rsid w:val="00183CA7"/>
    <w:rsid w:val="00183D34"/>
    <w:rsid w:val="00183EC4"/>
    <w:rsid w:val="001840DE"/>
    <w:rsid w:val="0018410E"/>
    <w:rsid w:val="0018431F"/>
    <w:rsid w:val="0018442C"/>
    <w:rsid w:val="0018449A"/>
    <w:rsid w:val="00184686"/>
    <w:rsid w:val="00184733"/>
    <w:rsid w:val="001847A2"/>
    <w:rsid w:val="001847DD"/>
    <w:rsid w:val="0018485C"/>
    <w:rsid w:val="00184861"/>
    <w:rsid w:val="00184876"/>
    <w:rsid w:val="001848D0"/>
    <w:rsid w:val="0018493A"/>
    <w:rsid w:val="00184962"/>
    <w:rsid w:val="00184A44"/>
    <w:rsid w:val="00184ABD"/>
    <w:rsid w:val="00184D06"/>
    <w:rsid w:val="001850D2"/>
    <w:rsid w:val="001850EB"/>
    <w:rsid w:val="00185191"/>
    <w:rsid w:val="001851B1"/>
    <w:rsid w:val="00185220"/>
    <w:rsid w:val="0018539E"/>
    <w:rsid w:val="001853D1"/>
    <w:rsid w:val="0018541F"/>
    <w:rsid w:val="00185431"/>
    <w:rsid w:val="00185575"/>
    <w:rsid w:val="0018568D"/>
    <w:rsid w:val="001856C1"/>
    <w:rsid w:val="00185849"/>
    <w:rsid w:val="00185886"/>
    <w:rsid w:val="0018592F"/>
    <w:rsid w:val="0018594E"/>
    <w:rsid w:val="00185AD7"/>
    <w:rsid w:val="00185E93"/>
    <w:rsid w:val="00185F13"/>
    <w:rsid w:val="00185FED"/>
    <w:rsid w:val="0018602B"/>
    <w:rsid w:val="00186067"/>
    <w:rsid w:val="001861F9"/>
    <w:rsid w:val="00186286"/>
    <w:rsid w:val="001863DE"/>
    <w:rsid w:val="00186471"/>
    <w:rsid w:val="00186482"/>
    <w:rsid w:val="00186575"/>
    <w:rsid w:val="00186587"/>
    <w:rsid w:val="00186963"/>
    <w:rsid w:val="0018697D"/>
    <w:rsid w:val="00186983"/>
    <w:rsid w:val="00186A08"/>
    <w:rsid w:val="00186A99"/>
    <w:rsid w:val="00186B5A"/>
    <w:rsid w:val="00186B90"/>
    <w:rsid w:val="00186BC7"/>
    <w:rsid w:val="00186BFA"/>
    <w:rsid w:val="00186CAC"/>
    <w:rsid w:val="00186D52"/>
    <w:rsid w:val="00186E3C"/>
    <w:rsid w:val="00186F42"/>
    <w:rsid w:val="00186F60"/>
    <w:rsid w:val="00186F87"/>
    <w:rsid w:val="00186FC0"/>
    <w:rsid w:val="00186FC8"/>
    <w:rsid w:val="00187290"/>
    <w:rsid w:val="001873C0"/>
    <w:rsid w:val="001874A2"/>
    <w:rsid w:val="00187580"/>
    <w:rsid w:val="001876C7"/>
    <w:rsid w:val="0018779C"/>
    <w:rsid w:val="00187852"/>
    <w:rsid w:val="0018787E"/>
    <w:rsid w:val="00187907"/>
    <w:rsid w:val="001879F0"/>
    <w:rsid w:val="00187AA8"/>
    <w:rsid w:val="00187B1D"/>
    <w:rsid w:val="00187B26"/>
    <w:rsid w:val="00187B58"/>
    <w:rsid w:val="00187B69"/>
    <w:rsid w:val="00187BCE"/>
    <w:rsid w:val="00187C5B"/>
    <w:rsid w:val="00187CDE"/>
    <w:rsid w:val="00187CEC"/>
    <w:rsid w:val="00187D21"/>
    <w:rsid w:val="00187E40"/>
    <w:rsid w:val="00187EB8"/>
    <w:rsid w:val="00187ECF"/>
    <w:rsid w:val="001901E1"/>
    <w:rsid w:val="0019028D"/>
    <w:rsid w:val="00190314"/>
    <w:rsid w:val="0019031A"/>
    <w:rsid w:val="00190383"/>
    <w:rsid w:val="001903C0"/>
    <w:rsid w:val="00190441"/>
    <w:rsid w:val="00190468"/>
    <w:rsid w:val="00190542"/>
    <w:rsid w:val="0019054D"/>
    <w:rsid w:val="001905EE"/>
    <w:rsid w:val="001906A4"/>
    <w:rsid w:val="001906BD"/>
    <w:rsid w:val="0019084F"/>
    <w:rsid w:val="00190874"/>
    <w:rsid w:val="001908FB"/>
    <w:rsid w:val="00190987"/>
    <w:rsid w:val="00190994"/>
    <w:rsid w:val="00190A25"/>
    <w:rsid w:val="00190A93"/>
    <w:rsid w:val="00190C66"/>
    <w:rsid w:val="00190C9A"/>
    <w:rsid w:val="00190DA5"/>
    <w:rsid w:val="00190E1D"/>
    <w:rsid w:val="00190E47"/>
    <w:rsid w:val="00190F47"/>
    <w:rsid w:val="001911FC"/>
    <w:rsid w:val="001912EF"/>
    <w:rsid w:val="00191326"/>
    <w:rsid w:val="0019138F"/>
    <w:rsid w:val="001915C7"/>
    <w:rsid w:val="0019167C"/>
    <w:rsid w:val="00191715"/>
    <w:rsid w:val="00191750"/>
    <w:rsid w:val="00191900"/>
    <w:rsid w:val="001919DD"/>
    <w:rsid w:val="00191B92"/>
    <w:rsid w:val="00191BBC"/>
    <w:rsid w:val="00191BE9"/>
    <w:rsid w:val="00191CF9"/>
    <w:rsid w:val="00191D0C"/>
    <w:rsid w:val="00191D76"/>
    <w:rsid w:val="00191E5B"/>
    <w:rsid w:val="00191EAA"/>
    <w:rsid w:val="00191ECA"/>
    <w:rsid w:val="00191FEA"/>
    <w:rsid w:val="001920A5"/>
    <w:rsid w:val="001920FD"/>
    <w:rsid w:val="001921E0"/>
    <w:rsid w:val="00192286"/>
    <w:rsid w:val="001923B0"/>
    <w:rsid w:val="0019242C"/>
    <w:rsid w:val="0019270F"/>
    <w:rsid w:val="001928D1"/>
    <w:rsid w:val="001928DA"/>
    <w:rsid w:val="00192A34"/>
    <w:rsid w:val="00192A62"/>
    <w:rsid w:val="00192A6A"/>
    <w:rsid w:val="00192AFC"/>
    <w:rsid w:val="00192C2C"/>
    <w:rsid w:val="00192D0F"/>
    <w:rsid w:val="00192D90"/>
    <w:rsid w:val="00192DC3"/>
    <w:rsid w:val="00192E21"/>
    <w:rsid w:val="00192E54"/>
    <w:rsid w:val="00192E77"/>
    <w:rsid w:val="00192E92"/>
    <w:rsid w:val="0019303B"/>
    <w:rsid w:val="00193043"/>
    <w:rsid w:val="00193052"/>
    <w:rsid w:val="001930AB"/>
    <w:rsid w:val="001930BE"/>
    <w:rsid w:val="0019315B"/>
    <w:rsid w:val="001931CC"/>
    <w:rsid w:val="001931E4"/>
    <w:rsid w:val="00193205"/>
    <w:rsid w:val="0019331E"/>
    <w:rsid w:val="001933A4"/>
    <w:rsid w:val="001936DE"/>
    <w:rsid w:val="001937FA"/>
    <w:rsid w:val="00193886"/>
    <w:rsid w:val="001939E8"/>
    <w:rsid w:val="00193ABB"/>
    <w:rsid w:val="00193BB9"/>
    <w:rsid w:val="00193D88"/>
    <w:rsid w:val="00193EB1"/>
    <w:rsid w:val="00193F4A"/>
    <w:rsid w:val="00193F79"/>
    <w:rsid w:val="00193F82"/>
    <w:rsid w:val="00193FFC"/>
    <w:rsid w:val="0019402D"/>
    <w:rsid w:val="00194119"/>
    <w:rsid w:val="0019416E"/>
    <w:rsid w:val="00194170"/>
    <w:rsid w:val="00194185"/>
    <w:rsid w:val="001942FC"/>
    <w:rsid w:val="0019430F"/>
    <w:rsid w:val="00194373"/>
    <w:rsid w:val="00194449"/>
    <w:rsid w:val="001944F6"/>
    <w:rsid w:val="00194624"/>
    <w:rsid w:val="0019463A"/>
    <w:rsid w:val="0019468D"/>
    <w:rsid w:val="001946C5"/>
    <w:rsid w:val="001946DD"/>
    <w:rsid w:val="001946DF"/>
    <w:rsid w:val="001946F1"/>
    <w:rsid w:val="00194758"/>
    <w:rsid w:val="0019475F"/>
    <w:rsid w:val="001947C7"/>
    <w:rsid w:val="00194861"/>
    <w:rsid w:val="00194891"/>
    <w:rsid w:val="00194AE5"/>
    <w:rsid w:val="00194C24"/>
    <w:rsid w:val="00194D12"/>
    <w:rsid w:val="00194D29"/>
    <w:rsid w:val="00194D33"/>
    <w:rsid w:val="00194E7D"/>
    <w:rsid w:val="00194F35"/>
    <w:rsid w:val="00194F4B"/>
    <w:rsid w:val="00194F78"/>
    <w:rsid w:val="00194FCE"/>
    <w:rsid w:val="00195185"/>
    <w:rsid w:val="001951FD"/>
    <w:rsid w:val="0019540A"/>
    <w:rsid w:val="00195580"/>
    <w:rsid w:val="0019567B"/>
    <w:rsid w:val="001956D3"/>
    <w:rsid w:val="001956FB"/>
    <w:rsid w:val="00195780"/>
    <w:rsid w:val="001958A9"/>
    <w:rsid w:val="00195902"/>
    <w:rsid w:val="001959F0"/>
    <w:rsid w:val="00195AA3"/>
    <w:rsid w:val="00195C5A"/>
    <w:rsid w:val="00195CBB"/>
    <w:rsid w:val="00195DCE"/>
    <w:rsid w:val="00195ECD"/>
    <w:rsid w:val="00195EF2"/>
    <w:rsid w:val="00195FC3"/>
    <w:rsid w:val="001960DE"/>
    <w:rsid w:val="001960F9"/>
    <w:rsid w:val="0019615E"/>
    <w:rsid w:val="001961ED"/>
    <w:rsid w:val="00196276"/>
    <w:rsid w:val="001962BB"/>
    <w:rsid w:val="001962CD"/>
    <w:rsid w:val="00196351"/>
    <w:rsid w:val="001963D5"/>
    <w:rsid w:val="00196425"/>
    <w:rsid w:val="0019646E"/>
    <w:rsid w:val="00196616"/>
    <w:rsid w:val="00196679"/>
    <w:rsid w:val="001966BE"/>
    <w:rsid w:val="00196859"/>
    <w:rsid w:val="0019688A"/>
    <w:rsid w:val="001968E1"/>
    <w:rsid w:val="00196955"/>
    <w:rsid w:val="001969BE"/>
    <w:rsid w:val="00196A9E"/>
    <w:rsid w:val="00196B4D"/>
    <w:rsid w:val="00196B54"/>
    <w:rsid w:val="00196BC4"/>
    <w:rsid w:val="00196BE8"/>
    <w:rsid w:val="00196C25"/>
    <w:rsid w:val="00196C2B"/>
    <w:rsid w:val="00196C73"/>
    <w:rsid w:val="00196C8F"/>
    <w:rsid w:val="00196C90"/>
    <w:rsid w:val="00196C96"/>
    <w:rsid w:val="00196D22"/>
    <w:rsid w:val="00196F30"/>
    <w:rsid w:val="00196FAE"/>
    <w:rsid w:val="001970F5"/>
    <w:rsid w:val="001970FB"/>
    <w:rsid w:val="001971B2"/>
    <w:rsid w:val="001971BC"/>
    <w:rsid w:val="00197231"/>
    <w:rsid w:val="00197263"/>
    <w:rsid w:val="0019735B"/>
    <w:rsid w:val="001974FE"/>
    <w:rsid w:val="0019752C"/>
    <w:rsid w:val="0019758A"/>
    <w:rsid w:val="001975EF"/>
    <w:rsid w:val="001975F9"/>
    <w:rsid w:val="0019763B"/>
    <w:rsid w:val="0019765A"/>
    <w:rsid w:val="00197776"/>
    <w:rsid w:val="001977EC"/>
    <w:rsid w:val="00197827"/>
    <w:rsid w:val="0019790C"/>
    <w:rsid w:val="00197949"/>
    <w:rsid w:val="0019797F"/>
    <w:rsid w:val="00197B98"/>
    <w:rsid w:val="00197BF0"/>
    <w:rsid w:val="00197C82"/>
    <w:rsid w:val="00197CF9"/>
    <w:rsid w:val="00197CFF"/>
    <w:rsid w:val="00197DFC"/>
    <w:rsid w:val="00197E5F"/>
    <w:rsid w:val="00197E84"/>
    <w:rsid w:val="00197EB0"/>
    <w:rsid w:val="00197F6E"/>
    <w:rsid w:val="00197FAD"/>
    <w:rsid w:val="00197FD5"/>
    <w:rsid w:val="001A0002"/>
    <w:rsid w:val="001A0029"/>
    <w:rsid w:val="001A00E6"/>
    <w:rsid w:val="001A0208"/>
    <w:rsid w:val="001A045C"/>
    <w:rsid w:val="001A04F7"/>
    <w:rsid w:val="001A0659"/>
    <w:rsid w:val="001A06DA"/>
    <w:rsid w:val="001A07F4"/>
    <w:rsid w:val="001A085B"/>
    <w:rsid w:val="001A089E"/>
    <w:rsid w:val="001A0A5B"/>
    <w:rsid w:val="001A0AFE"/>
    <w:rsid w:val="001A0BC0"/>
    <w:rsid w:val="001A0BFA"/>
    <w:rsid w:val="001A0C57"/>
    <w:rsid w:val="001A0C91"/>
    <w:rsid w:val="001A0CA6"/>
    <w:rsid w:val="001A0CE9"/>
    <w:rsid w:val="001A0CF5"/>
    <w:rsid w:val="001A0D63"/>
    <w:rsid w:val="001A0D85"/>
    <w:rsid w:val="001A0E15"/>
    <w:rsid w:val="001A0E79"/>
    <w:rsid w:val="001A102D"/>
    <w:rsid w:val="001A1062"/>
    <w:rsid w:val="001A11B1"/>
    <w:rsid w:val="001A1314"/>
    <w:rsid w:val="001A13F0"/>
    <w:rsid w:val="001A1560"/>
    <w:rsid w:val="001A15C5"/>
    <w:rsid w:val="001A166C"/>
    <w:rsid w:val="001A173C"/>
    <w:rsid w:val="001A185F"/>
    <w:rsid w:val="001A188D"/>
    <w:rsid w:val="001A18BA"/>
    <w:rsid w:val="001A18BE"/>
    <w:rsid w:val="001A18F7"/>
    <w:rsid w:val="001A1909"/>
    <w:rsid w:val="001A1961"/>
    <w:rsid w:val="001A19F1"/>
    <w:rsid w:val="001A1A2C"/>
    <w:rsid w:val="001A1A5D"/>
    <w:rsid w:val="001A1AD5"/>
    <w:rsid w:val="001A1C23"/>
    <w:rsid w:val="001A1C65"/>
    <w:rsid w:val="001A1D4E"/>
    <w:rsid w:val="001A1D9D"/>
    <w:rsid w:val="001A1EC2"/>
    <w:rsid w:val="001A1F96"/>
    <w:rsid w:val="001A21CB"/>
    <w:rsid w:val="001A22EB"/>
    <w:rsid w:val="001A2393"/>
    <w:rsid w:val="001A244E"/>
    <w:rsid w:val="001A24D1"/>
    <w:rsid w:val="001A2520"/>
    <w:rsid w:val="001A265C"/>
    <w:rsid w:val="001A2767"/>
    <w:rsid w:val="001A2768"/>
    <w:rsid w:val="001A27C2"/>
    <w:rsid w:val="001A289C"/>
    <w:rsid w:val="001A295A"/>
    <w:rsid w:val="001A298F"/>
    <w:rsid w:val="001A29AC"/>
    <w:rsid w:val="001A2A7E"/>
    <w:rsid w:val="001A2AF7"/>
    <w:rsid w:val="001A2BB6"/>
    <w:rsid w:val="001A2BC0"/>
    <w:rsid w:val="001A2D72"/>
    <w:rsid w:val="001A2DD2"/>
    <w:rsid w:val="001A2E31"/>
    <w:rsid w:val="001A2E6A"/>
    <w:rsid w:val="001A2F0C"/>
    <w:rsid w:val="001A2F21"/>
    <w:rsid w:val="001A2F7E"/>
    <w:rsid w:val="001A2F9C"/>
    <w:rsid w:val="001A3099"/>
    <w:rsid w:val="001A30D7"/>
    <w:rsid w:val="001A30DA"/>
    <w:rsid w:val="001A3311"/>
    <w:rsid w:val="001A332D"/>
    <w:rsid w:val="001A34B8"/>
    <w:rsid w:val="001A34D4"/>
    <w:rsid w:val="001A34E1"/>
    <w:rsid w:val="001A3548"/>
    <w:rsid w:val="001A356A"/>
    <w:rsid w:val="001A35B5"/>
    <w:rsid w:val="001A3643"/>
    <w:rsid w:val="001A3666"/>
    <w:rsid w:val="001A370B"/>
    <w:rsid w:val="001A378E"/>
    <w:rsid w:val="001A37A5"/>
    <w:rsid w:val="001A37D6"/>
    <w:rsid w:val="001A398D"/>
    <w:rsid w:val="001A39B6"/>
    <w:rsid w:val="001A3A64"/>
    <w:rsid w:val="001A3B1F"/>
    <w:rsid w:val="001A3D2D"/>
    <w:rsid w:val="001A3D97"/>
    <w:rsid w:val="001A3DA1"/>
    <w:rsid w:val="001A3DC3"/>
    <w:rsid w:val="001A3E1D"/>
    <w:rsid w:val="001A3E41"/>
    <w:rsid w:val="001A3EA7"/>
    <w:rsid w:val="001A3F61"/>
    <w:rsid w:val="001A41AB"/>
    <w:rsid w:val="001A41E0"/>
    <w:rsid w:val="001A42F8"/>
    <w:rsid w:val="001A4310"/>
    <w:rsid w:val="001A433D"/>
    <w:rsid w:val="001A43F7"/>
    <w:rsid w:val="001A44D1"/>
    <w:rsid w:val="001A44EC"/>
    <w:rsid w:val="001A4516"/>
    <w:rsid w:val="001A455E"/>
    <w:rsid w:val="001A458C"/>
    <w:rsid w:val="001A45A5"/>
    <w:rsid w:val="001A45CF"/>
    <w:rsid w:val="001A45F5"/>
    <w:rsid w:val="001A464C"/>
    <w:rsid w:val="001A47E0"/>
    <w:rsid w:val="001A47FD"/>
    <w:rsid w:val="001A480C"/>
    <w:rsid w:val="001A4824"/>
    <w:rsid w:val="001A4890"/>
    <w:rsid w:val="001A48F2"/>
    <w:rsid w:val="001A49AE"/>
    <w:rsid w:val="001A49C8"/>
    <w:rsid w:val="001A4B20"/>
    <w:rsid w:val="001A4B3F"/>
    <w:rsid w:val="001A4B51"/>
    <w:rsid w:val="001A4B56"/>
    <w:rsid w:val="001A4BB3"/>
    <w:rsid w:val="001A4BD0"/>
    <w:rsid w:val="001A4D4E"/>
    <w:rsid w:val="001A4E77"/>
    <w:rsid w:val="001A4EBE"/>
    <w:rsid w:val="001A5004"/>
    <w:rsid w:val="001A5072"/>
    <w:rsid w:val="001A5088"/>
    <w:rsid w:val="001A5092"/>
    <w:rsid w:val="001A5105"/>
    <w:rsid w:val="001A5124"/>
    <w:rsid w:val="001A5126"/>
    <w:rsid w:val="001A5131"/>
    <w:rsid w:val="001A51C6"/>
    <w:rsid w:val="001A5269"/>
    <w:rsid w:val="001A543D"/>
    <w:rsid w:val="001A54AE"/>
    <w:rsid w:val="001A55B1"/>
    <w:rsid w:val="001A55C5"/>
    <w:rsid w:val="001A55FB"/>
    <w:rsid w:val="001A5652"/>
    <w:rsid w:val="001A5665"/>
    <w:rsid w:val="001A5667"/>
    <w:rsid w:val="001A56E1"/>
    <w:rsid w:val="001A571E"/>
    <w:rsid w:val="001A5827"/>
    <w:rsid w:val="001A588F"/>
    <w:rsid w:val="001A58D5"/>
    <w:rsid w:val="001A59A7"/>
    <w:rsid w:val="001A59E8"/>
    <w:rsid w:val="001A5AAB"/>
    <w:rsid w:val="001A5B0D"/>
    <w:rsid w:val="001A5B82"/>
    <w:rsid w:val="001A5D7C"/>
    <w:rsid w:val="001A5D9F"/>
    <w:rsid w:val="001A5F12"/>
    <w:rsid w:val="001A5F9B"/>
    <w:rsid w:val="001A61BA"/>
    <w:rsid w:val="001A6220"/>
    <w:rsid w:val="001A629A"/>
    <w:rsid w:val="001A63C5"/>
    <w:rsid w:val="001A6512"/>
    <w:rsid w:val="001A663C"/>
    <w:rsid w:val="001A66CC"/>
    <w:rsid w:val="001A675C"/>
    <w:rsid w:val="001A679F"/>
    <w:rsid w:val="001A67CF"/>
    <w:rsid w:val="001A6807"/>
    <w:rsid w:val="001A6860"/>
    <w:rsid w:val="001A68BA"/>
    <w:rsid w:val="001A6AE7"/>
    <w:rsid w:val="001A6C6E"/>
    <w:rsid w:val="001A6C8A"/>
    <w:rsid w:val="001A6EDD"/>
    <w:rsid w:val="001A70C8"/>
    <w:rsid w:val="001A7114"/>
    <w:rsid w:val="001A72BC"/>
    <w:rsid w:val="001A731C"/>
    <w:rsid w:val="001A7383"/>
    <w:rsid w:val="001A73FC"/>
    <w:rsid w:val="001A74CC"/>
    <w:rsid w:val="001A760F"/>
    <w:rsid w:val="001A769C"/>
    <w:rsid w:val="001A7795"/>
    <w:rsid w:val="001A7859"/>
    <w:rsid w:val="001A79E9"/>
    <w:rsid w:val="001A7A68"/>
    <w:rsid w:val="001A7A81"/>
    <w:rsid w:val="001A7BD9"/>
    <w:rsid w:val="001A7DC6"/>
    <w:rsid w:val="001A7E09"/>
    <w:rsid w:val="001A7F67"/>
    <w:rsid w:val="001A7FCA"/>
    <w:rsid w:val="001B0050"/>
    <w:rsid w:val="001B0130"/>
    <w:rsid w:val="001B02FA"/>
    <w:rsid w:val="001B039B"/>
    <w:rsid w:val="001B0438"/>
    <w:rsid w:val="001B04B5"/>
    <w:rsid w:val="001B0561"/>
    <w:rsid w:val="001B05A7"/>
    <w:rsid w:val="001B061A"/>
    <w:rsid w:val="001B0667"/>
    <w:rsid w:val="001B070E"/>
    <w:rsid w:val="001B0712"/>
    <w:rsid w:val="001B071A"/>
    <w:rsid w:val="001B0724"/>
    <w:rsid w:val="001B0870"/>
    <w:rsid w:val="001B08A3"/>
    <w:rsid w:val="001B08CD"/>
    <w:rsid w:val="001B0969"/>
    <w:rsid w:val="001B0AAA"/>
    <w:rsid w:val="001B0BAA"/>
    <w:rsid w:val="001B0BDB"/>
    <w:rsid w:val="001B0D35"/>
    <w:rsid w:val="001B0DB2"/>
    <w:rsid w:val="001B0DB3"/>
    <w:rsid w:val="001B0F80"/>
    <w:rsid w:val="001B0F94"/>
    <w:rsid w:val="001B0FC5"/>
    <w:rsid w:val="001B109E"/>
    <w:rsid w:val="001B111D"/>
    <w:rsid w:val="001B1176"/>
    <w:rsid w:val="001B11C2"/>
    <w:rsid w:val="001B1422"/>
    <w:rsid w:val="001B14ED"/>
    <w:rsid w:val="001B156E"/>
    <w:rsid w:val="001B16D8"/>
    <w:rsid w:val="001B172B"/>
    <w:rsid w:val="001B1740"/>
    <w:rsid w:val="001B190B"/>
    <w:rsid w:val="001B19E4"/>
    <w:rsid w:val="001B1A17"/>
    <w:rsid w:val="001B1B68"/>
    <w:rsid w:val="001B1BBE"/>
    <w:rsid w:val="001B1D4E"/>
    <w:rsid w:val="001B1D6B"/>
    <w:rsid w:val="001B1E98"/>
    <w:rsid w:val="001B1EE2"/>
    <w:rsid w:val="001B1F0F"/>
    <w:rsid w:val="001B1F47"/>
    <w:rsid w:val="001B201A"/>
    <w:rsid w:val="001B205A"/>
    <w:rsid w:val="001B2116"/>
    <w:rsid w:val="001B21ED"/>
    <w:rsid w:val="001B2309"/>
    <w:rsid w:val="001B2570"/>
    <w:rsid w:val="001B2677"/>
    <w:rsid w:val="001B277B"/>
    <w:rsid w:val="001B2891"/>
    <w:rsid w:val="001B28FC"/>
    <w:rsid w:val="001B294A"/>
    <w:rsid w:val="001B29A3"/>
    <w:rsid w:val="001B2B74"/>
    <w:rsid w:val="001B2B75"/>
    <w:rsid w:val="001B2C15"/>
    <w:rsid w:val="001B2C23"/>
    <w:rsid w:val="001B2C2D"/>
    <w:rsid w:val="001B2C97"/>
    <w:rsid w:val="001B2D1C"/>
    <w:rsid w:val="001B2DBD"/>
    <w:rsid w:val="001B2E43"/>
    <w:rsid w:val="001B2EAB"/>
    <w:rsid w:val="001B2EE1"/>
    <w:rsid w:val="001B2F34"/>
    <w:rsid w:val="001B2FFE"/>
    <w:rsid w:val="001B3069"/>
    <w:rsid w:val="001B30E9"/>
    <w:rsid w:val="001B32EC"/>
    <w:rsid w:val="001B3459"/>
    <w:rsid w:val="001B3612"/>
    <w:rsid w:val="001B3643"/>
    <w:rsid w:val="001B368D"/>
    <w:rsid w:val="001B36C1"/>
    <w:rsid w:val="001B3701"/>
    <w:rsid w:val="001B37D3"/>
    <w:rsid w:val="001B37EB"/>
    <w:rsid w:val="001B3A93"/>
    <w:rsid w:val="001B3AE9"/>
    <w:rsid w:val="001B3BFA"/>
    <w:rsid w:val="001B3C33"/>
    <w:rsid w:val="001B3C95"/>
    <w:rsid w:val="001B3D8F"/>
    <w:rsid w:val="001B3E13"/>
    <w:rsid w:val="001B3E7B"/>
    <w:rsid w:val="001B3FA3"/>
    <w:rsid w:val="001B41B4"/>
    <w:rsid w:val="001B4361"/>
    <w:rsid w:val="001B4374"/>
    <w:rsid w:val="001B4471"/>
    <w:rsid w:val="001B44D7"/>
    <w:rsid w:val="001B465F"/>
    <w:rsid w:val="001B4673"/>
    <w:rsid w:val="001B469C"/>
    <w:rsid w:val="001B473B"/>
    <w:rsid w:val="001B4749"/>
    <w:rsid w:val="001B4781"/>
    <w:rsid w:val="001B47C1"/>
    <w:rsid w:val="001B47D8"/>
    <w:rsid w:val="001B482B"/>
    <w:rsid w:val="001B4873"/>
    <w:rsid w:val="001B487D"/>
    <w:rsid w:val="001B49DE"/>
    <w:rsid w:val="001B4BBE"/>
    <w:rsid w:val="001B4BD0"/>
    <w:rsid w:val="001B4BE1"/>
    <w:rsid w:val="001B4C9C"/>
    <w:rsid w:val="001B4CF8"/>
    <w:rsid w:val="001B4D46"/>
    <w:rsid w:val="001B4D6D"/>
    <w:rsid w:val="001B4DB9"/>
    <w:rsid w:val="001B4E61"/>
    <w:rsid w:val="001B4F2A"/>
    <w:rsid w:val="001B4F52"/>
    <w:rsid w:val="001B509B"/>
    <w:rsid w:val="001B50AC"/>
    <w:rsid w:val="001B5109"/>
    <w:rsid w:val="001B5125"/>
    <w:rsid w:val="001B5159"/>
    <w:rsid w:val="001B51F2"/>
    <w:rsid w:val="001B525C"/>
    <w:rsid w:val="001B53A0"/>
    <w:rsid w:val="001B5595"/>
    <w:rsid w:val="001B5609"/>
    <w:rsid w:val="001B5679"/>
    <w:rsid w:val="001B58BF"/>
    <w:rsid w:val="001B58F0"/>
    <w:rsid w:val="001B58F6"/>
    <w:rsid w:val="001B5934"/>
    <w:rsid w:val="001B5942"/>
    <w:rsid w:val="001B5961"/>
    <w:rsid w:val="001B59A0"/>
    <w:rsid w:val="001B59E5"/>
    <w:rsid w:val="001B5A1A"/>
    <w:rsid w:val="001B5A51"/>
    <w:rsid w:val="001B5B38"/>
    <w:rsid w:val="001B5B4E"/>
    <w:rsid w:val="001B5C19"/>
    <w:rsid w:val="001B5CD1"/>
    <w:rsid w:val="001B5D5E"/>
    <w:rsid w:val="001B5F42"/>
    <w:rsid w:val="001B6007"/>
    <w:rsid w:val="001B60BD"/>
    <w:rsid w:val="001B61E5"/>
    <w:rsid w:val="001B6273"/>
    <w:rsid w:val="001B628F"/>
    <w:rsid w:val="001B6309"/>
    <w:rsid w:val="001B63E7"/>
    <w:rsid w:val="001B64F4"/>
    <w:rsid w:val="001B6525"/>
    <w:rsid w:val="001B6572"/>
    <w:rsid w:val="001B65BE"/>
    <w:rsid w:val="001B66FF"/>
    <w:rsid w:val="001B6707"/>
    <w:rsid w:val="001B68FE"/>
    <w:rsid w:val="001B691F"/>
    <w:rsid w:val="001B69F3"/>
    <w:rsid w:val="001B6AE0"/>
    <w:rsid w:val="001B6AF5"/>
    <w:rsid w:val="001B6C90"/>
    <w:rsid w:val="001B6DA9"/>
    <w:rsid w:val="001B7026"/>
    <w:rsid w:val="001B7143"/>
    <w:rsid w:val="001B714A"/>
    <w:rsid w:val="001B71A2"/>
    <w:rsid w:val="001B7208"/>
    <w:rsid w:val="001B72A5"/>
    <w:rsid w:val="001B7316"/>
    <w:rsid w:val="001B7327"/>
    <w:rsid w:val="001B732E"/>
    <w:rsid w:val="001B73EA"/>
    <w:rsid w:val="001B74DA"/>
    <w:rsid w:val="001B7543"/>
    <w:rsid w:val="001B755D"/>
    <w:rsid w:val="001B761B"/>
    <w:rsid w:val="001B767E"/>
    <w:rsid w:val="001B76F1"/>
    <w:rsid w:val="001B777C"/>
    <w:rsid w:val="001B7995"/>
    <w:rsid w:val="001B7A8D"/>
    <w:rsid w:val="001B7BE3"/>
    <w:rsid w:val="001B7BF7"/>
    <w:rsid w:val="001B7DE5"/>
    <w:rsid w:val="001B7F57"/>
    <w:rsid w:val="001C0112"/>
    <w:rsid w:val="001C012D"/>
    <w:rsid w:val="001C016C"/>
    <w:rsid w:val="001C017C"/>
    <w:rsid w:val="001C01EC"/>
    <w:rsid w:val="001C048A"/>
    <w:rsid w:val="001C050E"/>
    <w:rsid w:val="001C052E"/>
    <w:rsid w:val="001C0581"/>
    <w:rsid w:val="001C05ED"/>
    <w:rsid w:val="001C06CA"/>
    <w:rsid w:val="001C06E7"/>
    <w:rsid w:val="001C07DD"/>
    <w:rsid w:val="001C07F6"/>
    <w:rsid w:val="001C0855"/>
    <w:rsid w:val="001C0942"/>
    <w:rsid w:val="001C0AD3"/>
    <w:rsid w:val="001C0B7B"/>
    <w:rsid w:val="001C0BB8"/>
    <w:rsid w:val="001C0C1B"/>
    <w:rsid w:val="001C0CF9"/>
    <w:rsid w:val="001C0DC8"/>
    <w:rsid w:val="001C0E89"/>
    <w:rsid w:val="001C0F1C"/>
    <w:rsid w:val="001C0F24"/>
    <w:rsid w:val="001C0F46"/>
    <w:rsid w:val="001C0FAF"/>
    <w:rsid w:val="001C1017"/>
    <w:rsid w:val="001C12D3"/>
    <w:rsid w:val="001C12D6"/>
    <w:rsid w:val="001C13BD"/>
    <w:rsid w:val="001C140B"/>
    <w:rsid w:val="001C1444"/>
    <w:rsid w:val="001C15EF"/>
    <w:rsid w:val="001C1600"/>
    <w:rsid w:val="001C170C"/>
    <w:rsid w:val="001C1723"/>
    <w:rsid w:val="001C1831"/>
    <w:rsid w:val="001C1860"/>
    <w:rsid w:val="001C186B"/>
    <w:rsid w:val="001C1916"/>
    <w:rsid w:val="001C1960"/>
    <w:rsid w:val="001C1962"/>
    <w:rsid w:val="001C1ACB"/>
    <w:rsid w:val="001C1B45"/>
    <w:rsid w:val="001C1C0C"/>
    <w:rsid w:val="001C1C1C"/>
    <w:rsid w:val="001C1CD7"/>
    <w:rsid w:val="001C1D0E"/>
    <w:rsid w:val="001C1E74"/>
    <w:rsid w:val="001C1F24"/>
    <w:rsid w:val="001C1F5D"/>
    <w:rsid w:val="001C2135"/>
    <w:rsid w:val="001C219C"/>
    <w:rsid w:val="001C2335"/>
    <w:rsid w:val="001C24C3"/>
    <w:rsid w:val="001C254C"/>
    <w:rsid w:val="001C2797"/>
    <w:rsid w:val="001C27A5"/>
    <w:rsid w:val="001C2802"/>
    <w:rsid w:val="001C2B5D"/>
    <w:rsid w:val="001C2D17"/>
    <w:rsid w:val="001C2D79"/>
    <w:rsid w:val="001C2DA8"/>
    <w:rsid w:val="001C2DC9"/>
    <w:rsid w:val="001C2ED9"/>
    <w:rsid w:val="001C3066"/>
    <w:rsid w:val="001C30A9"/>
    <w:rsid w:val="001C3106"/>
    <w:rsid w:val="001C3124"/>
    <w:rsid w:val="001C3137"/>
    <w:rsid w:val="001C31E9"/>
    <w:rsid w:val="001C333D"/>
    <w:rsid w:val="001C333F"/>
    <w:rsid w:val="001C3345"/>
    <w:rsid w:val="001C3388"/>
    <w:rsid w:val="001C3390"/>
    <w:rsid w:val="001C33E0"/>
    <w:rsid w:val="001C3417"/>
    <w:rsid w:val="001C3427"/>
    <w:rsid w:val="001C362F"/>
    <w:rsid w:val="001C3638"/>
    <w:rsid w:val="001C3694"/>
    <w:rsid w:val="001C3752"/>
    <w:rsid w:val="001C3799"/>
    <w:rsid w:val="001C38CA"/>
    <w:rsid w:val="001C3901"/>
    <w:rsid w:val="001C399E"/>
    <w:rsid w:val="001C3A4E"/>
    <w:rsid w:val="001C3A9E"/>
    <w:rsid w:val="001C3B3B"/>
    <w:rsid w:val="001C3B7C"/>
    <w:rsid w:val="001C3BD1"/>
    <w:rsid w:val="001C3CEA"/>
    <w:rsid w:val="001C3D88"/>
    <w:rsid w:val="001C3E93"/>
    <w:rsid w:val="001C3EFA"/>
    <w:rsid w:val="001C3FA0"/>
    <w:rsid w:val="001C4025"/>
    <w:rsid w:val="001C4083"/>
    <w:rsid w:val="001C41D3"/>
    <w:rsid w:val="001C432D"/>
    <w:rsid w:val="001C4396"/>
    <w:rsid w:val="001C443C"/>
    <w:rsid w:val="001C4494"/>
    <w:rsid w:val="001C449B"/>
    <w:rsid w:val="001C4600"/>
    <w:rsid w:val="001C47D7"/>
    <w:rsid w:val="001C48DC"/>
    <w:rsid w:val="001C491D"/>
    <w:rsid w:val="001C4B10"/>
    <w:rsid w:val="001C4B51"/>
    <w:rsid w:val="001C4B54"/>
    <w:rsid w:val="001C4BCB"/>
    <w:rsid w:val="001C4C8E"/>
    <w:rsid w:val="001C4D16"/>
    <w:rsid w:val="001C4ECF"/>
    <w:rsid w:val="001C4F07"/>
    <w:rsid w:val="001C4F7A"/>
    <w:rsid w:val="001C5091"/>
    <w:rsid w:val="001C509F"/>
    <w:rsid w:val="001C5113"/>
    <w:rsid w:val="001C5216"/>
    <w:rsid w:val="001C52A3"/>
    <w:rsid w:val="001C531B"/>
    <w:rsid w:val="001C535E"/>
    <w:rsid w:val="001C53B1"/>
    <w:rsid w:val="001C5449"/>
    <w:rsid w:val="001C54AD"/>
    <w:rsid w:val="001C54CD"/>
    <w:rsid w:val="001C554B"/>
    <w:rsid w:val="001C55FA"/>
    <w:rsid w:val="001C5718"/>
    <w:rsid w:val="001C5838"/>
    <w:rsid w:val="001C5AA9"/>
    <w:rsid w:val="001C5BC1"/>
    <w:rsid w:val="001C5C10"/>
    <w:rsid w:val="001C5C51"/>
    <w:rsid w:val="001C5C58"/>
    <w:rsid w:val="001C5C62"/>
    <w:rsid w:val="001C5C9D"/>
    <w:rsid w:val="001C5D9E"/>
    <w:rsid w:val="001C5DE7"/>
    <w:rsid w:val="001C5EB1"/>
    <w:rsid w:val="001C5F26"/>
    <w:rsid w:val="001C5F5E"/>
    <w:rsid w:val="001C5FE0"/>
    <w:rsid w:val="001C5FEE"/>
    <w:rsid w:val="001C6172"/>
    <w:rsid w:val="001C6329"/>
    <w:rsid w:val="001C63BC"/>
    <w:rsid w:val="001C64AA"/>
    <w:rsid w:val="001C64F0"/>
    <w:rsid w:val="001C64F1"/>
    <w:rsid w:val="001C6547"/>
    <w:rsid w:val="001C665F"/>
    <w:rsid w:val="001C66AD"/>
    <w:rsid w:val="001C66B3"/>
    <w:rsid w:val="001C66BF"/>
    <w:rsid w:val="001C66C4"/>
    <w:rsid w:val="001C673F"/>
    <w:rsid w:val="001C6896"/>
    <w:rsid w:val="001C6980"/>
    <w:rsid w:val="001C6A4D"/>
    <w:rsid w:val="001C6C38"/>
    <w:rsid w:val="001C6D3E"/>
    <w:rsid w:val="001C6D87"/>
    <w:rsid w:val="001C6D8F"/>
    <w:rsid w:val="001C6EB0"/>
    <w:rsid w:val="001C7011"/>
    <w:rsid w:val="001C702E"/>
    <w:rsid w:val="001C70E7"/>
    <w:rsid w:val="001C70F1"/>
    <w:rsid w:val="001C716B"/>
    <w:rsid w:val="001C728E"/>
    <w:rsid w:val="001C72FE"/>
    <w:rsid w:val="001C73AA"/>
    <w:rsid w:val="001C7402"/>
    <w:rsid w:val="001C7579"/>
    <w:rsid w:val="001C7615"/>
    <w:rsid w:val="001C77D9"/>
    <w:rsid w:val="001C7948"/>
    <w:rsid w:val="001C79C5"/>
    <w:rsid w:val="001C79D5"/>
    <w:rsid w:val="001C7A1B"/>
    <w:rsid w:val="001C7AAC"/>
    <w:rsid w:val="001C7C0D"/>
    <w:rsid w:val="001C7CA4"/>
    <w:rsid w:val="001C7CC8"/>
    <w:rsid w:val="001C7D77"/>
    <w:rsid w:val="001C7D96"/>
    <w:rsid w:val="001C7EAD"/>
    <w:rsid w:val="001C7F1A"/>
    <w:rsid w:val="001D0201"/>
    <w:rsid w:val="001D0208"/>
    <w:rsid w:val="001D030A"/>
    <w:rsid w:val="001D034C"/>
    <w:rsid w:val="001D03A7"/>
    <w:rsid w:val="001D045C"/>
    <w:rsid w:val="001D053F"/>
    <w:rsid w:val="001D055A"/>
    <w:rsid w:val="001D0641"/>
    <w:rsid w:val="001D0687"/>
    <w:rsid w:val="001D072A"/>
    <w:rsid w:val="001D07B0"/>
    <w:rsid w:val="001D081F"/>
    <w:rsid w:val="001D08A0"/>
    <w:rsid w:val="001D08B7"/>
    <w:rsid w:val="001D0A1D"/>
    <w:rsid w:val="001D0A34"/>
    <w:rsid w:val="001D0A55"/>
    <w:rsid w:val="001D0A64"/>
    <w:rsid w:val="001D0AC3"/>
    <w:rsid w:val="001D0BBF"/>
    <w:rsid w:val="001D0DB0"/>
    <w:rsid w:val="001D11C3"/>
    <w:rsid w:val="001D1221"/>
    <w:rsid w:val="001D12C8"/>
    <w:rsid w:val="001D1310"/>
    <w:rsid w:val="001D1577"/>
    <w:rsid w:val="001D167B"/>
    <w:rsid w:val="001D1835"/>
    <w:rsid w:val="001D18AC"/>
    <w:rsid w:val="001D18DE"/>
    <w:rsid w:val="001D19C8"/>
    <w:rsid w:val="001D19D1"/>
    <w:rsid w:val="001D1A59"/>
    <w:rsid w:val="001D1A86"/>
    <w:rsid w:val="001D1B93"/>
    <w:rsid w:val="001D1B99"/>
    <w:rsid w:val="001D1BDC"/>
    <w:rsid w:val="001D1D9D"/>
    <w:rsid w:val="001D1E8B"/>
    <w:rsid w:val="001D1EDB"/>
    <w:rsid w:val="001D1FB5"/>
    <w:rsid w:val="001D201C"/>
    <w:rsid w:val="001D206E"/>
    <w:rsid w:val="001D2073"/>
    <w:rsid w:val="001D20BE"/>
    <w:rsid w:val="001D219E"/>
    <w:rsid w:val="001D220A"/>
    <w:rsid w:val="001D223E"/>
    <w:rsid w:val="001D22BD"/>
    <w:rsid w:val="001D2424"/>
    <w:rsid w:val="001D2551"/>
    <w:rsid w:val="001D2601"/>
    <w:rsid w:val="001D267F"/>
    <w:rsid w:val="001D26A0"/>
    <w:rsid w:val="001D279F"/>
    <w:rsid w:val="001D287F"/>
    <w:rsid w:val="001D28E9"/>
    <w:rsid w:val="001D2901"/>
    <w:rsid w:val="001D2963"/>
    <w:rsid w:val="001D29B5"/>
    <w:rsid w:val="001D2A05"/>
    <w:rsid w:val="001D2A4E"/>
    <w:rsid w:val="001D2D1F"/>
    <w:rsid w:val="001D2D79"/>
    <w:rsid w:val="001D2DCF"/>
    <w:rsid w:val="001D303B"/>
    <w:rsid w:val="001D30BF"/>
    <w:rsid w:val="001D30D2"/>
    <w:rsid w:val="001D3123"/>
    <w:rsid w:val="001D326F"/>
    <w:rsid w:val="001D32C8"/>
    <w:rsid w:val="001D335C"/>
    <w:rsid w:val="001D339E"/>
    <w:rsid w:val="001D3443"/>
    <w:rsid w:val="001D34B6"/>
    <w:rsid w:val="001D3598"/>
    <w:rsid w:val="001D35AA"/>
    <w:rsid w:val="001D35D8"/>
    <w:rsid w:val="001D39B2"/>
    <w:rsid w:val="001D39D4"/>
    <w:rsid w:val="001D3AA8"/>
    <w:rsid w:val="001D3B36"/>
    <w:rsid w:val="001D3B92"/>
    <w:rsid w:val="001D3BD3"/>
    <w:rsid w:val="001D3D00"/>
    <w:rsid w:val="001D3E13"/>
    <w:rsid w:val="001D3E51"/>
    <w:rsid w:val="001D3E64"/>
    <w:rsid w:val="001D3EB9"/>
    <w:rsid w:val="001D3F4C"/>
    <w:rsid w:val="001D3FD6"/>
    <w:rsid w:val="001D42A2"/>
    <w:rsid w:val="001D43EE"/>
    <w:rsid w:val="001D4436"/>
    <w:rsid w:val="001D4472"/>
    <w:rsid w:val="001D44BA"/>
    <w:rsid w:val="001D46E5"/>
    <w:rsid w:val="001D46EC"/>
    <w:rsid w:val="001D477C"/>
    <w:rsid w:val="001D487F"/>
    <w:rsid w:val="001D4891"/>
    <w:rsid w:val="001D4926"/>
    <w:rsid w:val="001D495C"/>
    <w:rsid w:val="001D4A24"/>
    <w:rsid w:val="001D4A39"/>
    <w:rsid w:val="001D4A4A"/>
    <w:rsid w:val="001D4AED"/>
    <w:rsid w:val="001D4BEA"/>
    <w:rsid w:val="001D4DBF"/>
    <w:rsid w:val="001D4E66"/>
    <w:rsid w:val="001D4EFB"/>
    <w:rsid w:val="001D5100"/>
    <w:rsid w:val="001D51D8"/>
    <w:rsid w:val="001D52DE"/>
    <w:rsid w:val="001D5412"/>
    <w:rsid w:val="001D5449"/>
    <w:rsid w:val="001D5465"/>
    <w:rsid w:val="001D54AF"/>
    <w:rsid w:val="001D54FD"/>
    <w:rsid w:val="001D5646"/>
    <w:rsid w:val="001D56F7"/>
    <w:rsid w:val="001D57B5"/>
    <w:rsid w:val="001D5883"/>
    <w:rsid w:val="001D58AA"/>
    <w:rsid w:val="001D59DF"/>
    <w:rsid w:val="001D5A49"/>
    <w:rsid w:val="001D5B5D"/>
    <w:rsid w:val="001D5BEA"/>
    <w:rsid w:val="001D5C99"/>
    <w:rsid w:val="001D5CA1"/>
    <w:rsid w:val="001D5CF9"/>
    <w:rsid w:val="001D5DC8"/>
    <w:rsid w:val="001D5ED9"/>
    <w:rsid w:val="001D5EF3"/>
    <w:rsid w:val="001D5F86"/>
    <w:rsid w:val="001D607B"/>
    <w:rsid w:val="001D609D"/>
    <w:rsid w:val="001D60A3"/>
    <w:rsid w:val="001D60C6"/>
    <w:rsid w:val="001D6160"/>
    <w:rsid w:val="001D625B"/>
    <w:rsid w:val="001D62B7"/>
    <w:rsid w:val="001D6308"/>
    <w:rsid w:val="001D63EF"/>
    <w:rsid w:val="001D6417"/>
    <w:rsid w:val="001D649E"/>
    <w:rsid w:val="001D6539"/>
    <w:rsid w:val="001D6649"/>
    <w:rsid w:val="001D6734"/>
    <w:rsid w:val="001D6891"/>
    <w:rsid w:val="001D69C9"/>
    <w:rsid w:val="001D6A5E"/>
    <w:rsid w:val="001D6C6A"/>
    <w:rsid w:val="001D6CCD"/>
    <w:rsid w:val="001D6E62"/>
    <w:rsid w:val="001D6E98"/>
    <w:rsid w:val="001D6EA6"/>
    <w:rsid w:val="001D6F02"/>
    <w:rsid w:val="001D6F1D"/>
    <w:rsid w:val="001D6F2B"/>
    <w:rsid w:val="001D6F6C"/>
    <w:rsid w:val="001D70B1"/>
    <w:rsid w:val="001D70D6"/>
    <w:rsid w:val="001D7276"/>
    <w:rsid w:val="001D72D4"/>
    <w:rsid w:val="001D735D"/>
    <w:rsid w:val="001D7453"/>
    <w:rsid w:val="001D764B"/>
    <w:rsid w:val="001D7666"/>
    <w:rsid w:val="001D76F6"/>
    <w:rsid w:val="001D77EF"/>
    <w:rsid w:val="001D7803"/>
    <w:rsid w:val="001D785F"/>
    <w:rsid w:val="001D787C"/>
    <w:rsid w:val="001D78A4"/>
    <w:rsid w:val="001D78B2"/>
    <w:rsid w:val="001D78D2"/>
    <w:rsid w:val="001D78D7"/>
    <w:rsid w:val="001D7A39"/>
    <w:rsid w:val="001D7A52"/>
    <w:rsid w:val="001D7A96"/>
    <w:rsid w:val="001D7AF2"/>
    <w:rsid w:val="001D7BD4"/>
    <w:rsid w:val="001D7BD7"/>
    <w:rsid w:val="001D7BDF"/>
    <w:rsid w:val="001D7D37"/>
    <w:rsid w:val="001D7E0F"/>
    <w:rsid w:val="001D7E82"/>
    <w:rsid w:val="001D7ED5"/>
    <w:rsid w:val="001D7F30"/>
    <w:rsid w:val="001D7F85"/>
    <w:rsid w:val="001D7FB1"/>
    <w:rsid w:val="001E0086"/>
    <w:rsid w:val="001E0159"/>
    <w:rsid w:val="001E016B"/>
    <w:rsid w:val="001E0255"/>
    <w:rsid w:val="001E02A1"/>
    <w:rsid w:val="001E037B"/>
    <w:rsid w:val="001E044E"/>
    <w:rsid w:val="001E04D6"/>
    <w:rsid w:val="001E0608"/>
    <w:rsid w:val="001E0609"/>
    <w:rsid w:val="001E0676"/>
    <w:rsid w:val="001E07A1"/>
    <w:rsid w:val="001E0831"/>
    <w:rsid w:val="001E085F"/>
    <w:rsid w:val="001E0882"/>
    <w:rsid w:val="001E09D7"/>
    <w:rsid w:val="001E0B39"/>
    <w:rsid w:val="001E0B3F"/>
    <w:rsid w:val="001E0B45"/>
    <w:rsid w:val="001E0B5A"/>
    <w:rsid w:val="001E0B67"/>
    <w:rsid w:val="001E0BAA"/>
    <w:rsid w:val="001E0C08"/>
    <w:rsid w:val="001E0C36"/>
    <w:rsid w:val="001E0CA9"/>
    <w:rsid w:val="001E0E67"/>
    <w:rsid w:val="001E0EC9"/>
    <w:rsid w:val="001E0F98"/>
    <w:rsid w:val="001E1004"/>
    <w:rsid w:val="001E1034"/>
    <w:rsid w:val="001E1159"/>
    <w:rsid w:val="001E11E2"/>
    <w:rsid w:val="001E1205"/>
    <w:rsid w:val="001E1354"/>
    <w:rsid w:val="001E13F7"/>
    <w:rsid w:val="001E13FD"/>
    <w:rsid w:val="001E1436"/>
    <w:rsid w:val="001E157E"/>
    <w:rsid w:val="001E1580"/>
    <w:rsid w:val="001E16F8"/>
    <w:rsid w:val="001E16FE"/>
    <w:rsid w:val="001E177A"/>
    <w:rsid w:val="001E17D1"/>
    <w:rsid w:val="001E17EF"/>
    <w:rsid w:val="001E1843"/>
    <w:rsid w:val="001E1887"/>
    <w:rsid w:val="001E18F6"/>
    <w:rsid w:val="001E1919"/>
    <w:rsid w:val="001E1932"/>
    <w:rsid w:val="001E1952"/>
    <w:rsid w:val="001E1957"/>
    <w:rsid w:val="001E1958"/>
    <w:rsid w:val="001E19E8"/>
    <w:rsid w:val="001E19F4"/>
    <w:rsid w:val="001E1ABB"/>
    <w:rsid w:val="001E1B78"/>
    <w:rsid w:val="001E1C49"/>
    <w:rsid w:val="001E1D22"/>
    <w:rsid w:val="001E1D3F"/>
    <w:rsid w:val="001E1D8D"/>
    <w:rsid w:val="001E1D8E"/>
    <w:rsid w:val="001E1E2B"/>
    <w:rsid w:val="001E1E59"/>
    <w:rsid w:val="001E1EBE"/>
    <w:rsid w:val="001E1EF2"/>
    <w:rsid w:val="001E1F18"/>
    <w:rsid w:val="001E203F"/>
    <w:rsid w:val="001E2206"/>
    <w:rsid w:val="001E25F2"/>
    <w:rsid w:val="001E2670"/>
    <w:rsid w:val="001E26BD"/>
    <w:rsid w:val="001E2705"/>
    <w:rsid w:val="001E27D8"/>
    <w:rsid w:val="001E2897"/>
    <w:rsid w:val="001E28DF"/>
    <w:rsid w:val="001E2A47"/>
    <w:rsid w:val="001E2A5D"/>
    <w:rsid w:val="001E2CA9"/>
    <w:rsid w:val="001E2CD4"/>
    <w:rsid w:val="001E2E48"/>
    <w:rsid w:val="001E2F68"/>
    <w:rsid w:val="001E2F84"/>
    <w:rsid w:val="001E308C"/>
    <w:rsid w:val="001E30BD"/>
    <w:rsid w:val="001E30D0"/>
    <w:rsid w:val="001E31B5"/>
    <w:rsid w:val="001E3241"/>
    <w:rsid w:val="001E32D9"/>
    <w:rsid w:val="001E333A"/>
    <w:rsid w:val="001E3343"/>
    <w:rsid w:val="001E334D"/>
    <w:rsid w:val="001E33A0"/>
    <w:rsid w:val="001E343A"/>
    <w:rsid w:val="001E347B"/>
    <w:rsid w:val="001E349B"/>
    <w:rsid w:val="001E34C1"/>
    <w:rsid w:val="001E34C3"/>
    <w:rsid w:val="001E3532"/>
    <w:rsid w:val="001E354F"/>
    <w:rsid w:val="001E37D5"/>
    <w:rsid w:val="001E3805"/>
    <w:rsid w:val="001E392C"/>
    <w:rsid w:val="001E3B42"/>
    <w:rsid w:val="001E3B53"/>
    <w:rsid w:val="001E3B7F"/>
    <w:rsid w:val="001E3BC3"/>
    <w:rsid w:val="001E3C53"/>
    <w:rsid w:val="001E3E20"/>
    <w:rsid w:val="001E3E9B"/>
    <w:rsid w:val="001E3EC8"/>
    <w:rsid w:val="001E3EF2"/>
    <w:rsid w:val="001E3F8F"/>
    <w:rsid w:val="001E3FED"/>
    <w:rsid w:val="001E4019"/>
    <w:rsid w:val="001E4045"/>
    <w:rsid w:val="001E4224"/>
    <w:rsid w:val="001E426C"/>
    <w:rsid w:val="001E427A"/>
    <w:rsid w:val="001E4438"/>
    <w:rsid w:val="001E44A6"/>
    <w:rsid w:val="001E4506"/>
    <w:rsid w:val="001E464C"/>
    <w:rsid w:val="001E464E"/>
    <w:rsid w:val="001E471A"/>
    <w:rsid w:val="001E47A3"/>
    <w:rsid w:val="001E491B"/>
    <w:rsid w:val="001E49A0"/>
    <w:rsid w:val="001E49D1"/>
    <w:rsid w:val="001E4A05"/>
    <w:rsid w:val="001E4B8C"/>
    <w:rsid w:val="001E4E6D"/>
    <w:rsid w:val="001E4EB7"/>
    <w:rsid w:val="001E4EDE"/>
    <w:rsid w:val="001E502B"/>
    <w:rsid w:val="001E505A"/>
    <w:rsid w:val="001E5066"/>
    <w:rsid w:val="001E50E6"/>
    <w:rsid w:val="001E5197"/>
    <w:rsid w:val="001E53D9"/>
    <w:rsid w:val="001E5452"/>
    <w:rsid w:val="001E54EE"/>
    <w:rsid w:val="001E563C"/>
    <w:rsid w:val="001E5643"/>
    <w:rsid w:val="001E5647"/>
    <w:rsid w:val="001E564C"/>
    <w:rsid w:val="001E564F"/>
    <w:rsid w:val="001E56AE"/>
    <w:rsid w:val="001E5803"/>
    <w:rsid w:val="001E582B"/>
    <w:rsid w:val="001E58DB"/>
    <w:rsid w:val="001E5973"/>
    <w:rsid w:val="001E5975"/>
    <w:rsid w:val="001E5986"/>
    <w:rsid w:val="001E5AD6"/>
    <w:rsid w:val="001E5AEE"/>
    <w:rsid w:val="001E5B8A"/>
    <w:rsid w:val="001E5B96"/>
    <w:rsid w:val="001E5C58"/>
    <w:rsid w:val="001E5D48"/>
    <w:rsid w:val="001E5F5F"/>
    <w:rsid w:val="001E5FE9"/>
    <w:rsid w:val="001E60FF"/>
    <w:rsid w:val="001E61B0"/>
    <w:rsid w:val="001E62C7"/>
    <w:rsid w:val="001E62F0"/>
    <w:rsid w:val="001E62FC"/>
    <w:rsid w:val="001E63B5"/>
    <w:rsid w:val="001E6526"/>
    <w:rsid w:val="001E658B"/>
    <w:rsid w:val="001E6646"/>
    <w:rsid w:val="001E66AC"/>
    <w:rsid w:val="001E679F"/>
    <w:rsid w:val="001E67E1"/>
    <w:rsid w:val="001E67F0"/>
    <w:rsid w:val="001E68D3"/>
    <w:rsid w:val="001E6980"/>
    <w:rsid w:val="001E6A47"/>
    <w:rsid w:val="001E6A78"/>
    <w:rsid w:val="001E6AB6"/>
    <w:rsid w:val="001E6ABE"/>
    <w:rsid w:val="001E6B95"/>
    <w:rsid w:val="001E6B99"/>
    <w:rsid w:val="001E6BA3"/>
    <w:rsid w:val="001E6C14"/>
    <w:rsid w:val="001E6C41"/>
    <w:rsid w:val="001E6CFD"/>
    <w:rsid w:val="001E6DAC"/>
    <w:rsid w:val="001E6E95"/>
    <w:rsid w:val="001E6F43"/>
    <w:rsid w:val="001E6F78"/>
    <w:rsid w:val="001E6F9A"/>
    <w:rsid w:val="001E6F9B"/>
    <w:rsid w:val="001E6FEF"/>
    <w:rsid w:val="001E6FFF"/>
    <w:rsid w:val="001E7025"/>
    <w:rsid w:val="001E7044"/>
    <w:rsid w:val="001E704B"/>
    <w:rsid w:val="001E70A4"/>
    <w:rsid w:val="001E71A2"/>
    <w:rsid w:val="001E71A9"/>
    <w:rsid w:val="001E72E7"/>
    <w:rsid w:val="001E72FB"/>
    <w:rsid w:val="001E734A"/>
    <w:rsid w:val="001E7445"/>
    <w:rsid w:val="001E7468"/>
    <w:rsid w:val="001E754C"/>
    <w:rsid w:val="001E75A1"/>
    <w:rsid w:val="001E75EB"/>
    <w:rsid w:val="001E76A0"/>
    <w:rsid w:val="001E784F"/>
    <w:rsid w:val="001E793B"/>
    <w:rsid w:val="001E7B0F"/>
    <w:rsid w:val="001E7C9C"/>
    <w:rsid w:val="001E7CB3"/>
    <w:rsid w:val="001E7D0D"/>
    <w:rsid w:val="001E7D3E"/>
    <w:rsid w:val="001E7DA2"/>
    <w:rsid w:val="001E7E4A"/>
    <w:rsid w:val="001E7F59"/>
    <w:rsid w:val="001E7F83"/>
    <w:rsid w:val="001E7FC4"/>
    <w:rsid w:val="001E7FC5"/>
    <w:rsid w:val="001E7FF2"/>
    <w:rsid w:val="001F00A7"/>
    <w:rsid w:val="001F00D6"/>
    <w:rsid w:val="001F0132"/>
    <w:rsid w:val="001F021F"/>
    <w:rsid w:val="001F0229"/>
    <w:rsid w:val="001F02FD"/>
    <w:rsid w:val="001F03D4"/>
    <w:rsid w:val="001F05E6"/>
    <w:rsid w:val="001F0649"/>
    <w:rsid w:val="001F06B5"/>
    <w:rsid w:val="001F0793"/>
    <w:rsid w:val="001F083F"/>
    <w:rsid w:val="001F0868"/>
    <w:rsid w:val="001F0904"/>
    <w:rsid w:val="001F094C"/>
    <w:rsid w:val="001F09C0"/>
    <w:rsid w:val="001F09E3"/>
    <w:rsid w:val="001F0B6A"/>
    <w:rsid w:val="001F0B8A"/>
    <w:rsid w:val="001F0BE1"/>
    <w:rsid w:val="001F0CAC"/>
    <w:rsid w:val="001F0D40"/>
    <w:rsid w:val="001F0EEE"/>
    <w:rsid w:val="001F12D2"/>
    <w:rsid w:val="001F133D"/>
    <w:rsid w:val="001F1381"/>
    <w:rsid w:val="001F13B9"/>
    <w:rsid w:val="001F15F5"/>
    <w:rsid w:val="001F173F"/>
    <w:rsid w:val="001F178B"/>
    <w:rsid w:val="001F18BB"/>
    <w:rsid w:val="001F18C8"/>
    <w:rsid w:val="001F1912"/>
    <w:rsid w:val="001F1913"/>
    <w:rsid w:val="001F1954"/>
    <w:rsid w:val="001F19E8"/>
    <w:rsid w:val="001F1A89"/>
    <w:rsid w:val="001F1A96"/>
    <w:rsid w:val="001F1BC6"/>
    <w:rsid w:val="001F1D23"/>
    <w:rsid w:val="001F1D7B"/>
    <w:rsid w:val="001F1DD0"/>
    <w:rsid w:val="001F1DD5"/>
    <w:rsid w:val="001F2004"/>
    <w:rsid w:val="001F2098"/>
    <w:rsid w:val="001F20D0"/>
    <w:rsid w:val="001F2171"/>
    <w:rsid w:val="001F21AC"/>
    <w:rsid w:val="001F21B4"/>
    <w:rsid w:val="001F2277"/>
    <w:rsid w:val="001F2399"/>
    <w:rsid w:val="001F24D1"/>
    <w:rsid w:val="001F2724"/>
    <w:rsid w:val="001F2790"/>
    <w:rsid w:val="001F2864"/>
    <w:rsid w:val="001F288C"/>
    <w:rsid w:val="001F29F9"/>
    <w:rsid w:val="001F2A4E"/>
    <w:rsid w:val="001F2B07"/>
    <w:rsid w:val="001F2B32"/>
    <w:rsid w:val="001F2B60"/>
    <w:rsid w:val="001F2B94"/>
    <w:rsid w:val="001F2BF1"/>
    <w:rsid w:val="001F2C05"/>
    <w:rsid w:val="001F2C33"/>
    <w:rsid w:val="001F2D70"/>
    <w:rsid w:val="001F2D8A"/>
    <w:rsid w:val="001F2D9C"/>
    <w:rsid w:val="001F2F3D"/>
    <w:rsid w:val="001F2FDE"/>
    <w:rsid w:val="001F3235"/>
    <w:rsid w:val="001F3243"/>
    <w:rsid w:val="001F3271"/>
    <w:rsid w:val="001F3436"/>
    <w:rsid w:val="001F343D"/>
    <w:rsid w:val="001F35A8"/>
    <w:rsid w:val="001F3770"/>
    <w:rsid w:val="001F38BE"/>
    <w:rsid w:val="001F38F0"/>
    <w:rsid w:val="001F390E"/>
    <w:rsid w:val="001F3940"/>
    <w:rsid w:val="001F3A31"/>
    <w:rsid w:val="001F3A86"/>
    <w:rsid w:val="001F3AED"/>
    <w:rsid w:val="001F3B7B"/>
    <w:rsid w:val="001F3BF5"/>
    <w:rsid w:val="001F3C80"/>
    <w:rsid w:val="001F3CD6"/>
    <w:rsid w:val="001F3D27"/>
    <w:rsid w:val="001F3D51"/>
    <w:rsid w:val="001F3E75"/>
    <w:rsid w:val="001F3E76"/>
    <w:rsid w:val="001F3EDF"/>
    <w:rsid w:val="001F3F5C"/>
    <w:rsid w:val="001F3F95"/>
    <w:rsid w:val="001F401A"/>
    <w:rsid w:val="001F4099"/>
    <w:rsid w:val="001F40B6"/>
    <w:rsid w:val="001F4127"/>
    <w:rsid w:val="001F41CC"/>
    <w:rsid w:val="001F4205"/>
    <w:rsid w:val="001F42A0"/>
    <w:rsid w:val="001F43B8"/>
    <w:rsid w:val="001F451B"/>
    <w:rsid w:val="001F464B"/>
    <w:rsid w:val="001F47EE"/>
    <w:rsid w:val="001F48E5"/>
    <w:rsid w:val="001F4910"/>
    <w:rsid w:val="001F4A4C"/>
    <w:rsid w:val="001F4AB5"/>
    <w:rsid w:val="001F4AC2"/>
    <w:rsid w:val="001F4B03"/>
    <w:rsid w:val="001F4B51"/>
    <w:rsid w:val="001F4B59"/>
    <w:rsid w:val="001F4BAC"/>
    <w:rsid w:val="001F4C16"/>
    <w:rsid w:val="001F4C41"/>
    <w:rsid w:val="001F4D14"/>
    <w:rsid w:val="001F4DAB"/>
    <w:rsid w:val="001F4E28"/>
    <w:rsid w:val="001F4F62"/>
    <w:rsid w:val="001F4FDA"/>
    <w:rsid w:val="001F4FE8"/>
    <w:rsid w:val="001F50EA"/>
    <w:rsid w:val="001F51FB"/>
    <w:rsid w:val="001F51FF"/>
    <w:rsid w:val="001F5223"/>
    <w:rsid w:val="001F535D"/>
    <w:rsid w:val="001F53C7"/>
    <w:rsid w:val="001F54A3"/>
    <w:rsid w:val="001F557C"/>
    <w:rsid w:val="001F5588"/>
    <w:rsid w:val="001F55F1"/>
    <w:rsid w:val="001F562C"/>
    <w:rsid w:val="001F56F4"/>
    <w:rsid w:val="001F573E"/>
    <w:rsid w:val="001F578D"/>
    <w:rsid w:val="001F57A9"/>
    <w:rsid w:val="001F582B"/>
    <w:rsid w:val="001F5AA0"/>
    <w:rsid w:val="001F5B13"/>
    <w:rsid w:val="001F5C67"/>
    <w:rsid w:val="001F5CA9"/>
    <w:rsid w:val="001F5EED"/>
    <w:rsid w:val="001F5EEF"/>
    <w:rsid w:val="001F5F23"/>
    <w:rsid w:val="001F5F3C"/>
    <w:rsid w:val="001F5FC8"/>
    <w:rsid w:val="001F606E"/>
    <w:rsid w:val="001F60AA"/>
    <w:rsid w:val="001F60ED"/>
    <w:rsid w:val="001F61B8"/>
    <w:rsid w:val="001F61CC"/>
    <w:rsid w:val="001F62AD"/>
    <w:rsid w:val="001F638B"/>
    <w:rsid w:val="001F63D3"/>
    <w:rsid w:val="001F6562"/>
    <w:rsid w:val="001F66E7"/>
    <w:rsid w:val="001F671D"/>
    <w:rsid w:val="001F6733"/>
    <w:rsid w:val="001F6839"/>
    <w:rsid w:val="001F6980"/>
    <w:rsid w:val="001F699C"/>
    <w:rsid w:val="001F6BCE"/>
    <w:rsid w:val="001F6E22"/>
    <w:rsid w:val="001F6EBC"/>
    <w:rsid w:val="001F707B"/>
    <w:rsid w:val="001F70DE"/>
    <w:rsid w:val="001F7234"/>
    <w:rsid w:val="001F7249"/>
    <w:rsid w:val="001F750D"/>
    <w:rsid w:val="001F7676"/>
    <w:rsid w:val="001F76F7"/>
    <w:rsid w:val="001F7861"/>
    <w:rsid w:val="001F78C9"/>
    <w:rsid w:val="001F7983"/>
    <w:rsid w:val="001F7A18"/>
    <w:rsid w:val="001F7A4D"/>
    <w:rsid w:val="001F7AD4"/>
    <w:rsid w:val="001F7AD9"/>
    <w:rsid w:val="001F7B13"/>
    <w:rsid w:val="001F7BA2"/>
    <w:rsid w:val="001F7C07"/>
    <w:rsid w:val="001F7C49"/>
    <w:rsid w:val="001F7D56"/>
    <w:rsid w:val="001F7D8E"/>
    <w:rsid w:val="001F7DCB"/>
    <w:rsid w:val="001F7E82"/>
    <w:rsid w:val="001F7F07"/>
    <w:rsid w:val="0020006F"/>
    <w:rsid w:val="002003FD"/>
    <w:rsid w:val="00200466"/>
    <w:rsid w:val="00200473"/>
    <w:rsid w:val="00200650"/>
    <w:rsid w:val="00200678"/>
    <w:rsid w:val="002006A1"/>
    <w:rsid w:val="00200722"/>
    <w:rsid w:val="00200758"/>
    <w:rsid w:val="00200864"/>
    <w:rsid w:val="002008AE"/>
    <w:rsid w:val="00200927"/>
    <w:rsid w:val="00200BBF"/>
    <w:rsid w:val="00200C10"/>
    <w:rsid w:val="00200C97"/>
    <w:rsid w:val="00200CD1"/>
    <w:rsid w:val="00200D79"/>
    <w:rsid w:val="00200DFD"/>
    <w:rsid w:val="00200E7F"/>
    <w:rsid w:val="00200ED6"/>
    <w:rsid w:val="00200EF7"/>
    <w:rsid w:val="00201096"/>
    <w:rsid w:val="002010A3"/>
    <w:rsid w:val="002010B5"/>
    <w:rsid w:val="0020118D"/>
    <w:rsid w:val="002014AE"/>
    <w:rsid w:val="00201537"/>
    <w:rsid w:val="0020156B"/>
    <w:rsid w:val="00201725"/>
    <w:rsid w:val="002018BD"/>
    <w:rsid w:val="0020194F"/>
    <w:rsid w:val="00201968"/>
    <w:rsid w:val="00201BC4"/>
    <w:rsid w:val="00201BEE"/>
    <w:rsid w:val="00201C20"/>
    <w:rsid w:val="00201CEB"/>
    <w:rsid w:val="00201E6B"/>
    <w:rsid w:val="00201F96"/>
    <w:rsid w:val="0020205F"/>
    <w:rsid w:val="0020213E"/>
    <w:rsid w:val="00202253"/>
    <w:rsid w:val="002022CE"/>
    <w:rsid w:val="00202327"/>
    <w:rsid w:val="00202333"/>
    <w:rsid w:val="002024D7"/>
    <w:rsid w:val="0020256D"/>
    <w:rsid w:val="002026AC"/>
    <w:rsid w:val="002026C3"/>
    <w:rsid w:val="00202704"/>
    <w:rsid w:val="002027A2"/>
    <w:rsid w:val="002027DE"/>
    <w:rsid w:val="00202846"/>
    <w:rsid w:val="0020287F"/>
    <w:rsid w:val="002028EA"/>
    <w:rsid w:val="0020294C"/>
    <w:rsid w:val="00202950"/>
    <w:rsid w:val="00202955"/>
    <w:rsid w:val="002029F6"/>
    <w:rsid w:val="00202B39"/>
    <w:rsid w:val="00202B5A"/>
    <w:rsid w:val="00202B97"/>
    <w:rsid w:val="00202C66"/>
    <w:rsid w:val="00202D19"/>
    <w:rsid w:val="00202E5B"/>
    <w:rsid w:val="00202E9B"/>
    <w:rsid w:val="00202FC1"/>
    <w:rsid w:val="00203058"/>
    <w:rsid w:val="002031C6"/>
    <w:rsid w:val="002031FC"/>
    <w:rsid w:val="00203273"/>
    <w:rsid w:val="00203337"/>
    <w:rsid w:val="0020333E"/>
    <w:rsid w:val="0020335A"/>
    <w:rsid w:val="002033FA"/>
    <w:rsid w:val="0020349D"/>
    <w:rsid w:val="002034DA"/>
    <w:rsid w:val="00203626"/>
    <w:rsid w:val="00203644"/>
    <w:rsid w:val="00203709"/>
    <w:rsid w:val="00203758"/>
    <w:rsid w:val="00203862"/>
    <w:rsid w:val="00203929"/>
    <w:rsid w:val="0020397B"/>
    <w:rsid w:val="00203B0A"/>
    <w:rsid w:val="00203BB6"/>
    <w:rsid w:val="00203C0A"/>
    <w:rsid w:val="00203D2B"/>
    <w:rsid w:val="00203D99"/>
    <w:rsid w:val="00203E17"/>
    <w:rsid w:val="00203EF6"/>
    <w:rsid w:val="0020401F"/>
    <w:rsid w:val="00204027"/>
    <w:rsid w:val="002040BD"/>
    <w:rsid w:val="00204110"/>
    <w:rsid w:val="0020412D"/>
    <w:rsid w:val="00204132"/>
    <w:rsid w:val="00204153"/>
    <w:rsid w:val="00204164"/>
    <w:rsid w:val="00204183"/>
    <w:rsid w:val="002041A2"/>
    <w:rsid w:val="00204234"/>
    <w:rsid w:val="0020434B"/>
    <w:rsid w:val="0020439A"/>
    <w:rsid w:val="00204408"/>
    <w:rsid w:val="0020442B"/>
    <w:rsid w:val="002045AB"/>
    <w:rsid w:val="00204726"/>
    <w:rsid w:val="0020477E"/>
    <w:rsid w:val="002049C4"/>
    <w:rsid w:val="00204A7F"/>
    <w:rsid w:val="00204AC2"/>
    <w:rsid w:val="00204AEA"/>
    <w:rsid w:val="00204BB6"/>
    <w:rsid w:val="00204CBA"/>
    <w:rsid w:val="00204D06"/>
    <w:rsid w:val="00204D4F"/>
    <w:rsid w:val="00204DED"/>
    <w:rsid w:val="00204E1A"/>
    <w:rsid w:val="00204E4D"/>
    <w:rsid w:val="00205038"/>
    <w:rsid w:val="0020503F"/>
    <w:rsid w:val="0020504F"/>
    <w:rsid w:val="002050BA"/>
    <w:rsid w:val="002050D1"/>
    <w:rsid w:val="00205114"/>
    <w:rsid w:val="0020515B"/>
    <w:rsid w:val="002051A6"/>
    <w:rsid w:val="002051BD"/>
    <w:rsid w:val="002051D7"/>
    <w:rsid w:val="002051DF"/>
    <w:rsid w:val="002051F8"/>
    <w:rsid w:val="00205209"/>
    <w:rsid w:val="00205210"/>
    <w:rsid w:val="00205415"/>
    <w:rsid w:val="00205483"/>
    <w:rsid w:val="002054AE"/>
    <w:rsid w:val="00205532"/>
    <w:rsid w:val="0020553C"/>
    <w:rsid w:val="00205672"/>
    <w:rsid w:val="002057A0"/>
    <w:rsid w:val="0020588C"/>
    <w:rsid w:val="00205930"/>
    <w:rsid w:val="0020595F"/>
    <w:rsid w:val="00205982"/>
    <w:rsid w:val="00205A27"/>
    <w:rsid w:val="00205A51"/>
    <w:rsid w:val="00205C84"/>
    <w:rsid w:val="00205CBC"/>
    <w:rsid w:val="00205CC9"/>
    <w:rsid w:val="00205CEA"/>
    <w:rsid w:val="00205D2A"/>
    <w:rsid w:val="00205D68"/>
    <w:rsid w:val="0020607A"/>
    <w:rsid w:val="00206136"/>
    <w:rsid w:val="002061F0"/>
    <w:rsid w:val="00206205"/>
    <w:rsid w:val="00206294"/>
    <w:rsid w:val="002062A1"/>
    <w:rsid w:val="002062E9"/>
    <w:rsid w:val="00206301"/>
    <w:rsid w:val="002065B7"/>
    <w:rsid w:val="002065FC"/>
    <w:rsid w:val="00206615"/>
    <w:rsid w:val="002066B8"/>
    <w:rsid w:val="00206805"/>
    <w:rsid w:val="00206882"/>
    <w:rsid w:val="0020690F"/>
    <w:rsid w:val="00206983"/>
    <w:rsid w:val="00206B27"/>
    <w:rsid w:val="00206BB8"/>
    <w:rsid w:val="00206C6C"/>
    <w:rsid w:val="00206CC3"/>
    <w:rsid w:val="00206D51"/>
    <w:rsid w:val="00206D71"/>
    <w:rsid w:val="00206EF4"/>
    <w:rsid w:val="00206F0B"/>
    <w:rsid w:val="00206F89"/>
    <w:rsid w:val="002070AC"/>
    <w:rsid w:val="002070ED"/>
    <w:rsid w:val="002070F3"/>
    <w:rsid w:val="002071C3"/>
    <w:rsid w:val="002072FD"/>
    <w:rsid w:val="0020731F"/>
    <w:rsid w:val="00207396"/>
    <w:rsid w:val="00207402"/>
    <w:rsid w:val="00207456"/>
    <w:rsid w:val="00207492"/>
    <w:rsid w:val="0020754E"/>
    <w:rsid w:val="00207686"/>
    <w:rsid w:val="002076A2"/>
    <w:rsid w:val="002076DA"/>
    <w:rsid w:val="0020780C"/>
    <w:rsid w:val="00207831"/>
    <w:rsid w:val="002078FA"/>
    <w:rsid w:val="00207996"/>
    <w:rsid w:val="002079BC"/>
    <w:rsid w:val="00207A8D"/>
    <w:rsid w:val="00207B61"/>
    <w:rsid w:val="00207B74"/>
    <w:rsid w:val="00207DB5"/>
    <w:rsid w:val="00207DC7"/>
    <w:rsid w:val="00207DD6"/>
    <w:rsid w:val="00207EED"/>
    <w:rsid w:val="00207F29"/>
    <w:rsid w:val="00207FF6"/>
    <w:rsid w:val="00210109"/>
    <w:rsid w:val="00210183"/>
    <w:rsid w:val="002101D5"/>
    <w:rsid w:val="002101FD"/>
    <w:rsid w:val="0021024E"/>
    <w:rsid w:val="002102B6"/>
    <w:rsid w:val="0021041B"/>
    <w:rsid w:val="0021054B"/>
    <w:rsid w:val="0021055F"/>
    <w:rsid w:val="00210567"/>
    <w:rsid w:val="0021058D"/>
    <w:rsid w:val="002105D8"/>
    <w:rsid w:val="002105EC"/>
    <w:rsid w:val="0021060B"/>
    <w:rsid w:val="00210657"/>
    <w:rsid w:val="002106CB"/>
    <w:rsid w:val="00210715"/>
    <w:rsid w:val="00210749"/>
    <w:rsid w:val="0021076A"/>
    <w:rsid w:val="00210864"/>
    <w:rsid w:val="0021097E"/>
    <w:rsid w:val="002109F9"/>
    <w:rsid w:val="00210ADE"/>
    <w:rsid w:val="00210B24"/>
    <w:rsid w:val="00210BF6"/>
    <w:rsid w:val="00210CAC"/>
    <w:rsid w:val="00210CD7"/>
    <w:rsid w:val="00210D13"/>
    <w:rsid w:val="00210D98"/>
    <w:rsid w:val="00210DE8"/>
    <w:rsid w:val="00210DFF"/>
    <w:rsid w:val="00210E0D"/>
    <w:rsid w:val="00210F43"/>
    <w:rsid w:val="00210F9E"/>
    <w:rsid w:val="00210FF9"/>
    <w:rsid w:val="0021101F"/>
    <w:rsid w:val="00211045"/>
    <w:rsid w:val="00211186"/>
    <w:rsid w:val="002111F6"/>
    <w:rsid w:val="00211279"/>
    <w:rsid w:val="00211332"/>
    <w:rsid w:val="002113E2"/>
    <w:rsid w:val="0021140B"/>
    <w:rsid w:val="00211414"/>
    <w:rsid w:val="00211448"/>
    <w:rsid w:val="00211473"/>
    <w:rsid w:val="0021153E"/>
    <w:rsid w:val="002115F2"/>
    <w:rsid w:val="0021165A"/>
    <w:rsid w:val="00211690"/>
    <w:rsid w:val="0021173C"/>
    <w:rsid w:val="00211805"/>
    <w:rsid w:val="002118C1"/>
    <w:rsid w:val="002118C3"/>
    <w:rsid w:val="0021192F"/>
    <w:rsid w:val="00211AFB"/>
    <w:rsid w:val="00211B68"/>
    <w:rsid w:val="00211B91"/>
    <w:rsid w:val="00211BE1"/>
    <w:rsid w:val="00211C0A"/>
    <w:rsid w:val="00211CAF"/>
    <w:rsid w:val="00211D35"/>
    <w:rsid w:val="00211D63"/>
    <w:rsid w:val="00211E07"/>
    <w:rsid w:val="00211E0E"/>
    <w:rsid w:val="00211E16"/>
    <w:rsid w:val="00211EA5"/>
    <w:rsid w:val="00211F29"/>
    <w:rsid w:val="00212003"/>
    <w:rsid w:val="002120B6"/>
    <w:rsid w:val="00212116"/>
    <w:rsid w:val="0021214E"/>
    <w:rsid w:val="0021222C"/>
    <w:rsid w:val="00212282"/>
    <w:rsid w:val="0021229F"/>
    <w:rsid w:val="002122B9"/>
    <w:rsid w:val="002122EB"/>
    <w:rsid w:val="00212313"/>
    <w:rsid w:val="00212346"/>
    <w:rsid w:val="0021245A"/>
    <w:rsid w:val="0021265C"/>
    <w:rsid w:val="00212665"/>
    <w:rsid w:val="002126AB"/>
    <w:rsid w:val="00212725"/>
    <w:rsid w:val="00212813"/>
    <w:rsid w:val="0021284B"/>
    <w:rsid w:val="00212852"/>
    <w:rsid w:val="0021298C"/>
    <w:rsid w:val="00212A01"/>
    <w:rsid w:val="00212B35"/>
    <w:rsid w:val="00212BD6"/>
    <w:rsid w:val="00212BF4"/>
    <w:rsid w:val="00212C3F"/>
    <w:rsid w:val="00212D39"/>
    <w:rsid w:val="00212D93"/>
    <w:rsid w:val="00212D9D"/>
    <w:rsid w:val="00212E84"/>
    <w:rsid w:val="00212F1C"/>
    <w:rsid w:val="00212F64"/>
    <w:rsid w:val="00212FA7"/>
    <w:rsid w:val="00212FCC"/>
    <w:rsid w:val="002130EA"/>
    <w:rsid w:val="00213258"/>
    <w:rsid w:val="00213341"/>
    <w:rsid w:val="0021341E"/>
    <w:rsid w:val="002134DB"/>
    <w:rsid w:val="00213706"/>
    <w:rsid w:val="002137C1"/>
    <w:rsid w:val="0021390A"/>
    <w:rsid w:val="0021392A"/>
    <w:rsid w:val="00213950"/>
    <w:rsid w:val="002139CB"/>
    <w:rsid w:val="00213AF4"/>
    <w:rsid w:val="00213B91"/>
    <w:rsid w:val="00213CC2"/>
    <w:rsid w:val="00213DB2"/>
    <w:rsid w:val="00213DFD"/>
    <w:rsid w:val="00213E03"/>
    <w:rsid w:val="00213E0B"/>
    <w:rsid w:val="00213E49"/>
    <w:rsid w:val="00213E78"/>
    <w:rsid w:val="00213ECC"/>
    <w:rsid w:val="00213FA1"/>
    <w:rsid w:val="00213FBC"/>
    <w:rsid w:val="00213FC5"/>
    <w:rsid w:val="00214084"/>
    <w:rsid w:val="00214153"/>
    <w:rsid w:val="0021418E"/>
    <w:rsid w:val="00214233"/>
    <w:rsid w:val="00214247"/>
    <w:rsid w:val="0021431B"/>
    <w:rsid w:val="0021441E"/>
    <w:rsid w:val="002144FA"/>
    <w:rsid w:val="0021453E"/>
    <w:rsid w:val="0021455D"/>
    <w:rsid w:val="002145A9"/>
    <w:rsid w:val="0021469B"/>
    <w:rsid w:val="002147EA"/>
    <w:rsid w:val="002147ED"/>
    <w:rsid w:val="002147FB"/>
    <w:rsid w:val="00214849"/>
    <w:rsid w:val="002148C6"/>
    <w:rsid w:val="00214904"/>
    <w:rsid w:val="0021492C"/>
    <w:rsid w:val="00214939"/>
    <w:rsid w:val="00214A6C"/>
    <w:rsid w:val="00214AE5"/>
    <w:rsid w:val="00214C6C"/>
    <w:rsid w:val="00214F53"/>
    <w:rsid w:val="00214FEB"/>
    <w:rsid w:val="0021515F"/>
    <w:rsid w:val="002151DE"/>
    <w:rsid w:val="00215259"/>
    <w:rsid w:val="00215290"/>
    <w:rsid w:val="00215383"/>
    <w:rsid w:val="002153E4"/>
    <w:rsid w:val="002154EE"/>
    <w:rsid w:val="002155CE"/>
    <w:rsid w:val="0021565C"/>
    <w:rsid w:val="002156F6"/>
    <w:rsid w:val="002157BB"/>
    <w:rsid w:val="002158B4"/>
    <w:rsid w:val="002158FE"/>
    <w:rsid w:val="00215979"/>
    <w:rsid w:val="00215980"/>
    <w:rsid w:val="00215A0A"/>
    <w:rsid w:val="00215AB6"/>
    <w:rsid w:val="00215C20"/>
    <w:rsid w:val="00215CFF"/>
    <w:rsid w:val="00215D80"/>
    <w:rsid w:val="00215D89"/>
    <w:rsid w:val="00215DCE"/>
    <w:rsid w:val="00215E8C"/>
    <w:rsid w:val="00215E9F"/>
    <w:rsid w:val="002160E3"/>
    <w:rsid w:val="002162C7"/>
    <w:rsid w:val="002162D3"/>
    <w:rsid w:val="00216358"/>
    <w:rsid w:val="00216380"/>
    <w:rsid w:val="002163D1"/>
    <w:rsid w:val="002163D4"/>
    <w:rsid w:val="00216785"/>
    <w:rsid w:val="0021679C"/>
    <w:rsid w:val="00216896"/>
    <w:rsid w:val="002168F3"/>
    <w:rsid w:val="00216932"/>
    <w:rsid w:val="00216A03"/>
    <w:rsid w:val="00216A31"/>
    <w:rsid w:val="00216B87"/>
    <w:rsid w:val="00216BCF"/>
    <w:rsid w:val="00216C21"/>
    <w:rsid w:val="00216C6E"/>
    <w:rsid w:val="00216CA6"/>
    <w:rsid w:val="00216CF6"/>
    <w:rsid w:val="00216D31"/>
    <w:rsid w:val="00216DAE"/>
    <w:rsid w:val="00216DD3"/>
    <w:rsid w:val="00216DF8"/>
    <w:rsid w:val="00216F19"/>
    <w:rsid w:val="00216F21"/>
    <w:rsid w:val="00216FC8"/>
    <w:rsid w:val="0021700A"/>
    <w:rsid w:val="0021710D"/>
    <w:rsid w:val="0021719E"/>
    <w:rsid w:val="00217257"/>
    <w:rsid w:val="002172AE"/>
    <w:rsid w:val="00217326"/>
    <w:rsid w:val="00217434"/>
    <w:rsid w:val="002174D8"/>
    <w:rsid w:val="0021764C"/>
    <w:rsid w:val="0021769F"/>
    <w:rsid w:val="002176F5"/>
    <w:rsid w:val="002176FA"/>
    <w:rsid w:val="00217806"/>
    <w:rsid w:val="0021798E"/>
    <w:rsid w:val="002179AF"/>
    <w:rsid w:val="002179BC"/>
    <w:rsid w:val="00217A9E"/>
    <w:rsid w:val="00217AC4"/>
    <w:rsid w:val="00217AF6"/>
    <w:rsid w:val="00217B38"/>
    <w:rsid w:val="00217C25"/>
    <w:rsid w:val="00217E08"/>
    <w:rsid w:val="00217EFB"/>
    <w:rsid w:val="00217F99"/>
    <w:rsid w:val="00220169"/>
    <w:rsid w:val="002201B8"/>
    <w:rsid w:val="00220223"/>
    <w:rsid w:val="0022033A"/>
    <w:rsid w:val="0022037A"/>
    <w:rsid w:val="0022038B"/>
    <w:rsid w:val="0022038F"/>
    <w:rsid w:val="002203E1"/>
    <w:rsid w:val="00220435"/>
    <w:rsid w:val="00220496"/>
    <w:rsid w:val="00220551"/>
    <w:rsid w:val="00220895"/>
    <w:rsid w:val="002208FA"/>
    <w:rsid w:val="00220937"/>
    <w:rsid w:val="002209FC"/>
    <w:rsid w:val="00220A0C"/>
    <w:rsid w:val="00220AEA"/>
    <w:rsid w:val="00220CCF"/>
    <w:rsid w:val="00220CD9"/>
    <w:rsid w:val="00220D7B"/>
    <w:rsid w:val="00220D9A"/>
    <w:rsid w:val="00220DFC"/>
    <w:rsid w:val="00220F32"/>
    <w:rsid w:val="00220F76"/>
    <w:rsid w:val="00221136"/>
    <w:rsid w:val="002211D3"/>
    <w:rsid w:val="002212B7"/>
    <w:rsid w:val="00221351"/>
    <w:rsid w:val="002214A9"/>
    <w:rsid w:val="0022160E"/>
    <w:rsid w:val="0022169B"/>
    <w:rsid w:val="0022179E"/>
    <w:rsid w:val="002217AD"/>
    <w:rsid w:val="00221893"/>
    <w:rsid w:val="002218A3"/>
    <w:rsid w:val="00221999"/>
    <w:rsid w:val="00221A0F"/>
    <w:rsid w:val="00221A66"/>
    <w:rsid w:val="00221AA5"/>
    <w:rsid w:val="00221B88"/>
    <w:rsid w:val="00221BF6"/>
    <w:rsid w:val="00221C39"/>
    <w:rsid w:val="00221CD9"/>
    <w:rsid w:val="00221CF7"/>
    <w:rsid w:val="00221D13"/>
    <w:rsid w:val="00221D55"/>
    <w:rsid w:val="00221D86"/>
    <w:rsid w:val="00221F82"/>
    <w:rsid w:val="00221FCB"/>
    <w:rsid w:val="0022200F"/>
    <w:rsid w:val="0022204E"/>
    <w:rsid w:val="00222100"/>
    <w:rsid w:val="0022212A"/>
    <w:rsid w:val="00222182"/>
    <w:rsid w:val="00222293"/>
    <w:rsid w:val="0022230B"/>
    <w:rsid w:val="00222485"/>
    <w:rsid w:val="0022250D"/>
    <w:rsid w:val="002226A4"/>
    <w:rsid w:val="00222703"/>
    <w:rsid w:val="0022270E"/>
    <w:rsid w:val="00222746"/>
    <w:rsid w:val="0022279A"/>
    <w:rsid w:val="002228A2"/>
    <w:rsid w:val="0022296D"/>
    <w:rsid w:val="00222A61"/>
    <w:rsid w:val="00222A69"/>
    <w:rsid w:val="00222AAC"/>
    <w:rsid w:val="00222B29"/>
    <w:rsid w:val="00222B9A"/>
    <w:rsid w:val="00222BAE"/>
    <w:rsid w:val="00222BC2"/>
    <w:rsid w:val="00222C8B"/>
    <w:rsid w:val="00222CE3"/>
    <w:rsid w:val="00222E2D"/>
    <w:rsid w:val="00222E50"/>
    <w:rsid w:val="00222EC8"/>
    <w:rsid w:val="00222F39"/>
    <w:rsid w:val="00222FD2"/>
    <w:rsid w:val="00223049"/>
    <w:rsid w:val="00223068"/>
    <w:rsid w:val="0022308F"/>
    <w:rsid w:val="00223131"/>
    <w:rsid w:val="00223213"/>
    <w:rsid w:val="0022322C"/>
    <w:rsid w:val="0022322D"/>
    <w:rsid w:val="00223258"/>
    <w:rsid w:val="002233C0"/>
    <w:rsid w:val="002234DE"/>
    <w:rsid w:val="0022356C"/>
    <w:rsid w:val="002236F2"/>
    <w:rsid w:val="00223777"/>
    <w:rsid w:val="002237D2"/>
    <w:rsid w:val="002238DF"/>
    <w:rsid w:val="00223915"/>
    <w:rsid w:val="002239AF"/>
    <w:rsid w:val="002239ED"/>
    <w:rsid w:val="00223BBC"/>
    <w:rsid w:val="00223BF1"/>
    <w:rsid w:val="00223D1D"/>
    <w:rsid w:val="00223F47"/>
    <w:rsid w:val="00223FC3"/>
    <w:rsid w:val="00223FE4"/>
    <w:rsid w:val="00224103"/>
    <w:rsid w:val="0022417F"/>
    <w:rsid w:val="0022418F"/>
    <w:rsid w:val="00224336"/>
    <w:rsid w:val="00224418"/>
    <w:rsid w:val="0022443B"/>
    <w:rsid w:val="00224512"/>
    <w:rsid w:val="002245E2"/>
    <w:rsid w:val="00224732"/>
    <w:rsid w:val="0022473E"/>
    <w:rsid w:val="0022489B"/>
    <w:rsid w:val="00224C86"/>
    <w:rsid w:val="00224C9D"/>
    <w:rsid w:val="00224CAD"/>
    <w:rsid w:val="00224D2C"/>
    <w:rsid w:val="00224E32"/>
    <w:rsid w:val="00224F24"/>
    <w:rsid w:val="00224F80"/>
    <w:rsid w:val="00225044"/>
    <w:rsid w:val="0022504B"/>
    <w:rsid w:val="00225275"/>
    <w:rsid w:val="00225429"/>
    <w:rsid w:val="002254AC"/>
    <w:rsid w:val="002254E8"/>
    <w:rsid w:val="002254FC"/>
    <w:rsid w:val="0022551D"/>
    <w:rsid w:val="00225560"/>
    <w:rsid w:val="002255EF"/>
    <w:rsid w:val="0022562A"/>
    <w:rsid w:val="00225643"/>
    <w:rsid w:val="00225847"/>
    <w:rsid w:val="00225878"/>
    <w:rsid w:val="0022591E"/>
    <w:rsid w:val="0022594F"/>
    <w:rsid w:val="002259F4"/>
    <w:rsid w:val="00225A23"/>
    <w:rsid w:val="00225A25"/>
    <w:rsid w:val="00225A3B"/>
    <w:rsid w:val="00225A8F"/>
    <w:rsid w:val="00225AF2"/>
    <w:rsid w:val="00225BA6"/>
    <w:rsid w:val="00225C39"/>
    <w:rsid w:val="00225EC8"/>
    <w:rsid w:val="00225FD1"/>
    <w:rsid w:val="00226049"/>
    <w:rsid w:val="002260EC"/>
    <w:rsid w:val="0022610F"/>
    <w:rsid w:val="00226142"/>
    <w:rsid w:val="002261AA"/>
    <w:rsid w:val="002261B6"/>
    <w:rsid w:val="002261E2"/>
    <w:rsid w:val="00226288"/>
    <w:rsid w:val="002263BD"/>
    <w:rsid w:val="002263C3"/>
    <w:rsid w:val="00226528"/>
    <w:rsid w:val="00226614"/>
    <w:rsid w:val="0022668C"/>
    <w:rsid w:val="002267EE"/>
    <w:rsid w:val="002268CC"/>
    <w:rsid w:val="00226C31"/>
    <w:rsid w:val="00226C73"/>
    <w:rsid w:val="00226C7E"/>
    <w:rsid w:val="00226C9F"/>
    <w:rsid w:val="00226CE6"/>
    <w:rsid w:val="00226D6E"/>
    <w:rsid w:val="00226DC9"/>
    <w:rsid w:val="00226E52"/>
    <w:rsid w:val="00226FB3"/>
    <w:rsid w:val="00226FDE"/>
    <w:rsid w:val="0022702C"/>
    <w:rsid w:val="00227038"/>
    <w:rsid w:val="0022703B"/>
    <w:rsid w:val="00227148"/>
    <w:rsid w:val="002271FD"/>
    <w:rsid w:val="00227305"/>
    <w:rsid w:val="0022745E"/>
    <w:rsid w:val="002276E0"/>
    <w:rsid w:val="002278C8"/>
    <w:rsid w:val="002278D8"/>
    <w:rsid w:val="0022794F"/>
    <w:rsid w:val="002279AE"/>
    <w:rsid w:val="002279B7"/>
    <w:rsid w:val="00227ADF"/>
    <w:rsid w:val="00227B4C"/>
    <w:rsid w:val="00227B85"/>
    <w:rsid w:val="00227C1C"/>
    <w:rsid w:val="00227C6D"/>
    <w:rsid w:val="00227C9E"/>
    <w:rsid w:val="00227CF9"/>
    <w:rsid w:val="00227D9D"/>
    <w:rsid w:val="00227F1F"/>
    <w:rsid w:val="00227F22"/>
    <w:rsid w:val="00227F84"/>
    <w:rsid w:val="002300AE"/>
    <w:rsid w:val="00230109"/>
    <w:rsid w:val="0023014A"/>
    <w:rsid w:val="00230263"/>
    <w:rsid w:val="002302C6"/>
    <w:rsid w:val="0023035B"/>
    <w:rsid w:val="00230553"/>
    <w:rsid w:val="002305A5"/>
    <w:rsid w:val="002306C2"/>
    <w:rsid w:val="0023071F"/>
    <w:rsid w:val="002307E8"/>
    <w:rsid w:val="0023080E"/>
    <w:rsid w:val="00230920"/>
    <w:rsid w:val="0023097B"/>
    <w:rsid w:val="002309CA"/>
    <w:rsid w:val="002309DA"/>
    <w:rsid w:val="00230A0C"/>
    <w:rsid w:val="00230AB1"/>
    <w:rsid w:val="00230AEA"/>
    <w:rsid w:val="00230AFB"/>
    <w:rsid w:val="00230B31"/>
    <w:rsid w:val="00230B45"/>
    <w:rsid w:val="00230B9F"/>
    <w:rsid w:val="00230C01"/>
    <w:rsid w:val="00230C50"/>
    <w:rsid w:val="00230C6A"/>
    <w:rsid w:val="00230C8B"/>
    <w:rsid w:val="00230CB7"/>
    <w:rsid w:val="00230DEF"/>
    <w:rsid w:val="00230E0D"/>
    <w:rsid w:val="00231001"/>
    <w:rsid w:val="00231091"/>
    <w:rsid w:val="0023111B"/>
    <w:rsid w:val="0023122C"/>
    <w:rsid w:val="00231232"/>
    <w:rsid w:val="0023127C"/>
    <w:rsid w:val="0023129C"/>
    <w:rsid w:val="0023132A"/>
    <w:rsid w:val="0023149B"/>
    <w:rsid w:val="002314D2"/>
    <w:rsid w:val="0023156D"/>
    <w:rsid w:val="00231588"/>
    <w:rsid w:val="002315F7"/>
    <w:rsid w:val="002316F3"/>
    <w:rsid w:val="002316FF"/>
    <w:rsid w:val="00231800"/>
    <w:rsid w:val="002318B5"/>
    <w:rsid w:val="00231B44"/>
    <w:rsid w:val="00231B79"/>
    <w:rsid w:val="00231CE0"/>
    <w:rsid w:val="00231E72"/>
    <w:rsid w:val="00231EE4"/>
    <w:rsid w:val="00231F05"/>
    <w:rsid w:val="00231FBB"/>
    <w:rsid w:val="00231FEA"/>
    <w:rsid w:val="00232012"/>
    <w:rsid w:val="0023206D"/>
    <w:rsid w:val="0023208C"/>
    <w:rsid w:val="002320AE"/>
    <w:rsid w:val="002320B0"/>
    <w:rsid w:val="00232158"/>
    <w:rsid w:val="002324F0"/>
    <w:rsid w:val="002326D2"/>
    <w:rsid w:val="002326FF"/>
    <w:rsid w:val="002327C8"/>
    <w:rsid w:val="00232809"/>
    <w:rsid w:val="0023282E"/>
    <w:rsid w:val="00232866"/>
    <w:rsid w:val="002328A8"/>
    <w:rsid w:val="00232A30"/>
    <w:rsid w:val="00232B36"/>
    <w:rsid w:val="00232BD2"/>
    <w:rsid w:val="00232BF8"/>
    <w:rsid w:val="00232C10"/>
    <w:rsid w:val="00232C98"/>
    <w:rsid w:val="00232CFD"/>
    <w:rsid w:val="00232D5C"/>
    <w:rsid w:val="00232E93"/>
    <w:rsid w:val="00232F5F"/>
    <w:rsid w:val="002330BD"/>
    <w:rsid w:val="0023314F"/>
    <w:rsid w:val="002331D1"/>
    <w:rsid w:val="002331F9"/>
    <w:rsid w:val="00233298"/>
    <w:rsid w:val="002333FE"/>
    <w:rsid w:val="00233477"/>
    <w:rsid w:val="002334A7"/>
    <w:rsid w:val="002334CD"/>
    <w:rsid w:val="0023352E"/>
    <w:rsid w:val="002335C5"/>
    <w:rsid w:val="0023365F"/>
    <w:rsid w:val="00233697"/>
    <w:rsid w:val="002336D1"/>
    <w:rsid w:val="0023379D"/>
    <w:rsid w:val="002338C1"/>
    <w:rsid w:val="002338CB"/>
    <w:rsid w:val="00233A02"/>
    <w:rsid w:val="00233A3C"/>
    <w:rsid w:val="00233A55"/>
    <w:rsid w:val="00233AF5"/>
    <w:rsid w:val="00233B98"/>
    <w:rsid w:val="00233BC7"/>
    <w:rsid w:val="00233C0D"/>
    <w:rsid w:val="00233DA1"/>
    <w:rsid w:val="00233DA5"/>
    <w:rsid w:val="00233EC3"/>
    <w:rsid w:val="00233EE7"/>
    <w:rsid w:val="00234019"/>
    <w:rsid w:val="002340B6"/>
    <w:rsid w:val="00234126"/>
    <w:rsid w:val="00234132"/>
    <w:rsid w:val="0023415A"/>
    <w:rsid w:val="002342A2"/>
    <w:rsid w:val="002343B7"/>
    <w:rsid w:val="002344A1"/>
    <w:rsid w:val="002344A8"/>
    <w:rsid w:val="002344E3"/>
    <w:rsid w:val="002345BE"/>
    <w:rsid w:val="002345FA"/>
    <w:rsid w:val="0023480D"/>
    <w:rsid w:val="002348CF"/>
    <w:rsid w:val="00234965"/>
    <w:rsid w:val="002349C7"/>
    <w:rsid w:val="002349D8"/>
    <w:rsid w:val="00234B4A"/>
    <w:rsid w:val="00234BA2"/>
    <w:rsid w:val="00234D2C"/>
    <w:rsid w:val="00234EF7"/>
    <w:rsid w:val="00234F0D"/>
    <w:rsid w:val="00234F52"/>
    <w:rsid w:val="00234F5D"/>
    <w:rsid w:val="00234FA1"/>
    <w:rsid w:val="0023502D"/>
    <w:rsid w:val="00235038"/>
    <w:rsid w:val="002350FD"/>
    <w:rsid w:val="00235106"/>
    <w:rsid w:val="0023514B"/>
    <w:rsid w:val="0023514C"/>
    <w:rsid w:val="00235196"/>
    <w:rsid w:val="0023522D"/>
    <w:rsid w:val="0023522E"/>
    <w:rsid w:val="002352B6"/>
    <w:rsid w:val="002352BE"/>
    <w:rsid w:val="00235411"/>
    <w:rsid w:val="0023555A"/>
    <w:rsid w:val="00235582"/>
    <w:rsid w:val="00235650"/>
    <w:rsid w:val="00235921"/>
    <w:rsid w:val="00235B94"/>
    <w:rsid w:val="00235CAA"/>
    <w:rsid w:val="00235FC3"/>
    <w:rsid w:val="00236028"/>
    <w:rsid w:val="00236030"/>
    <w:rsid w:val="00236060"/>
    <w:rsid w:val="0023608E"/>
    <w:rsid w:val="00236207"/>
    <w:rsid w:val="0023627A"/>
    <w:rsid w:val="00236307"/>
    <w:rsid w:val="0023635D"/>
    <w:rsid w:val="00236372"/>
    <w:rsid w:val="0023641D"/>
    <w:rsid w:val="00236447"/>
    <w:rsid w:val="002364A2"/>
    <w:rsid w:val="00236605"/>
    <w:rsid w:val="00236629"/>
    <w:rsid w:val="0023686E"/>
    <w:rsid w:val="002368DF"/>
    <w:rsid w:val="002368F6"/>
    <w:rsid w:val="00236AA1"/>
    <w:rsid w:val="00236AE3"/>
    <w:rsid w:val="00236CA5"/>
    <w:rsid w:val="00236CFE"/>
    <w:rsid w:val="00236D3C"/>
    <w:rsid w:val="00236E67"/>
    <w:rsid w:val="00236EE8"/>
    <w:rsid w:val="00236F51"/>
    <w:rsid w:val="00236F6E"/>
    <w:rsid w:val="002370AB"/>
    <w:rsid w:val="0023711F"/>
    <w:rsid w:val="002371CA"/>
    <w:rsid w:val="002372CF"/>
    <w:rsid w:val="0023735F"/>
    <w:rsid w:val="00237399"/>
    <w:rsid w:val="002373AE"/>
    <w:rsid w:val="00237415"/>
    <w:rsid w:val="002374F8"/>
    <w:rsid w:val="0023775C"/>
    <w:rsid w:val="002377F8"/>
    <w:rsid w:val="0023783E"/>
    <w:rsid w:val="00237872"/>
    <w:rsid w:val="0023787B"/>
    <w:rsid w:val="002379E2"/>
    <w:rsid w:val="00237A8A"/>
    <w:rsid w:val="00237B7C"/>
    <w:rsid w:val="00237B9D"/>
    <w:rsid w:val="00237C1B"/>
    <w:rsid w:val="00237F94"/>
    <w:rsid w:val="00240014"/>
    <w:rsid w:val="002400A5"/>
    <w:rsid w:val="002400EF"/>
    <w:rsid w:val="00240124"/>
    <w:rsid w:val="00240139"/>
    <w:rsid w:val="00240208"/>
    <w:rsid w:val="00240374"/>
    <w:rsid w:val="002403C6"/>
    <w:rsid w:val="002403DB"/>
    <w:rsid w:val="0024040A"/>
    <w:rsid w:val="0024041B"/>
    <w:rsid w:val="00240515"/>
    <w:rsid w:val="00240596"/>
    <w:rsid w:val="002406A9"/>
    <w:rsid w:val="002407B1"/>
    <w:rsid w:val="002408AA"/>
    <w:rsid w:val="00240969"/>
    <w:rsid w:val="00240A06"/>
    <w:rsid w:val="00240AEE"/>
    <w:rsid w:val="00240BE9"/>
    <w:rsid w:val="00240C09"/>
    <w:rsid w:val="00240CB2"/>
    <w:rsid w:val="00240CE2"/>
    <w:rsid w:val="00240E2B"/>
    <w:rsid w:val="00240E56"/>
    <w:rsid w:val="00240EA5"/>
    <w:rsid w:val="00240F1A"/>
    <w:rsid w:val="00240FA0"/>
    <w:rsid w:val="00241110"/>
    <w:rsid w:val="00241205"/>
    <w:rsid w:val="00241280"/>
    <w:rsid w:val="0024135B"/>
    <w:rsid w:val="00241368"/>
    <w:rsid w:val="002413BD"/>
    <w:rsid w:val="00241430"/>
    <w:rsid w:val="002414BC"/>
    <w:rsid w:val="0024154C"/>
    <w:rsid w:val="002415BC"/>
    <w:rsid w:val="002415EE"/>
    <w:rsid w:val="0024167A"/>
    <w:rsid w:val="0024177A"/>
    <w:rsid w:val="0024177C"/>
    <w:rsid w:val="002417DC"/>
    <w:rsid w:val="0024182B"/>
    <w:rsid w:val="002418B3"/>
    <w:rsid w:val="002418DD"/>
    <w:rsid w:val="00241A23"/>
    <w:rsid w:val="00241AA9"/>
    <w:rsid w:val="00241AEE"/>
    <w:rsid w:val="00241AF1"/>
    <w:rsid w:val="00241B3F"/>
    <w:rsid w:val="00241C0D"/>
    <w:rsid w:val="00241D37"/>
    <w:rsid w:val="00241D69"/>
    <w:rsid w:val="00241E3F"/>
    <w:rsid w:val="00241F3D"/>
    <w:rsid w:val="00241FDF"/>
    <w:rsid w:val="0024203B"/>
    <w:rsid w:val="002420B5"/>
    <w:rsid w:val="002420C7"/>
    <w:rsid w:val="00242178"/>
    <w:rsid w:val="00242296"/>
    <w:rsid w:val="002423BB"/>
    <w:rsid w:val="00242485"/>
    <w:rsid w:val="00242487"/>
    <w:rsid w:val="0024262C"/>
    <w:rsid w:val="00242635"/>
    <w:rsid w:val="0024273C"/>
    <w:rsid w:val="00242845"/>
    <w:rsid w:val="00242865"/>
    <w:rsid w:val="002428AF"/>
    <w:rsid w:val="002428B4"/>
    <w:rsid w:val="002428BC"/>
    <w:rsid w:val="002428C8"/>
    <w:rsid w:val="00242907"/>
    <w:rsid w:val="00242923"/>
    <w:rsid w:val="00242A6E"/>
    <w:rsid w:val="00242AD0"/>
    <w:rsid w:val="00242B59"/>
    <w:rsid w:val="00242BD0"/>
    <w:rsid w:val="00242D0F"/>
    <w:rsid w:val="00242D25"/>
    <w:rsid w:val="00242F93"/>
    <w:rsid w:val="00242FD0"/>
    <w:rsid w:val="00243062"/>
    <w:rsid w:val="0024309F"/>
    <w:rsid w:val="002430B0"/>
    <w:rsid w:val="00243186"/>
    <w:rsid w:val="0024319A"/>
    <w:rsid w:val="002431ED"/>
    <w:rsid w:val="00243286"/>
    <w:rsid w:val="0024338B"/>
    <w:rsid w:val="002433CB"/>
    <w:rsid w:val="00243519"/>
    <w:rsid w:val="0024357E"/>
    <w:rsid w:val="002435A6"/>
    <w:rsid w:val="00243640"/>
    <w:rsid w:val="00243688"/>
    <w:rsid w:val="00243794"/>
    <w:rsid w:val="00243869"/>
    <w:rsid w:val="002438D6"/>
    <w:rsid w:val="00243978"/>
    <w:rsid w:val="002439E0"/>
    <w:rsid w:val="00243A8A"/>
    <w:rsid w:val="00243AEE"/>
    <w:rsid w:val="00243C39"/>
    <w:rsid w:val="00243CC0"/>
    <w:rsid w:val="00243DD7"/>
    <w:rsid w:val="00243E80"/>
    <w:rsid w:val="00243F64"/>
    <w:rsid w:val="00244010"/>
    <w:rsid w:val="00244175"/>
    <w:rsid w:val="002441A7"/>
    <w:rsid w:val="002441E7"/>
    <w:rsid w:val="00244244"/>
    <w:rsid w:val="002444A3"/>
    <w:rsid w:val="002444FB"/>
    <w:rsid w:val="0024460D"/>
    <w:rsid w:val="002447E8"/>
    <w:rsid w:val="0024486E"/>
    <w:rsid w:val="00244876"/>
    <w:rsid w:val="0024491C"/>
    <w:rsid w:val="00244962"/>
    <w:rsid w:val="00244A1D"/>
    <w:rsid w:val="00244C81"/>
    <w:rsid w:val="00244C88"/>
    <w:rsid w:val="00244C93"/>
    <w:rsid w:val="00244CA6"/>
    <w:rsid w:val="00244CC8"/>
    <w:rsid w:val="00244CD7"/>
    <w:rsid w:val="00244D2D"/>
    <w:rsid w:val="00244E0E"/>
    <w:rsid w:val="00244E70"/>
    <w:rsid w:val="00244EE1"/>
    <w:rsid w:val="00244F55"/>
    <w:rsid w:val="002450B3"/>
    <w:rsid w:val="00245277"/>
    <w:rsid w:val="0024547B"/>
    <w:rsid w:val="002454A8"/>
    <w:rsid w:val="002455CB"/>
    <w:rsid w:val="002455CE"/>
    <w:rsid w:val="002455D2"/>
    <w:rsid w:val="002455FF"/>
    <w:rsid w:val="0024561F"/>
    <w:rsid w:val="002456FA"/>
    <w:rsid w:val="002458F3"/>
    <w:rsid w:val="0024591C"/>
    <w:rsid w:val="0024593E"/>
    <w:rsid w:val="002459D4"/>
    <w:rsid w:val="00245B3A"/>
    <w:rsid w:val="00245C30"/>
    <w:rsid w:val="00245D5D"/>
    <w:rsid w:val="00245DB1"/>
    <w:rsid w:val="00245F66"/>
    <w:rsid w:val="00245FBA"/>
    <w:rsid w:val="00245FD6"/>
    <w:rsid w:val="00246057"/>
    <w:rsid w:val="00246096"/>
    <w:rsid w:val="002460B3"/>
    <w:rsid w:val="002460B5"/>
    <w:rsid w:val="0024616B"/>
    <w:rsid w:val="0024626A"/>
    <w:rsid w:val="002462DD"/>
    <w:rsid w:val="00246351"/>
    <w:rsid w:val="0024637C"/>
    <w:rsid w:val="00246433"/>
    <w:rsid w:val="00246530"/>
    <w:rsid w:val="002465B0"/>
    <w:rsid w:val="00246652"/>
    <w:rsid w:val="00246655"/>
    <w:rsid w:val="00246667"/>
    <w:rsid w:val="00246725"/>
    <w:rsid w:val="0024673F"/>
    <w:rsid w:val="00246823"/>
    <w:rsid w:val="00246855"/>
    <w:rsid w:val="002468CC"/>
    <w:rsid w:val="002468DA"/>
    <w:rsid w:val="00246909"/>
    <w:rsid w:val="00246944"/>
    <w:rsid w:val="00246A69"/>
    <w:rsid w:val="00246A8C"/>
    <w:rsid w:val="00246B93"/>
    <w:rsid w:val="00246BB7"/>
    <w:rsid w:val="00246BF6"/>
    <w:rsid w:val="00246C02"/>
    <w:rsid w:val="00246C17"/>
    <w:rsid w:val="00246C8C"/>
    <w:rsid w:val="00246C91"/>
    <w:rsid w:val="00246C9A"/>
    <w:rsid w:val="00246DB5"/>
    <w:rsid w:val="00246F02"/>
    <w:rsid w:val="00247002"/>
    <w:rsid w:val="002471E6"/>
    <w:rsid w:val="002473E2"/>
    <w:rsid w:val="00247542"/>
    <w:rsid w:val="00247574"/>
    <w:rsid w:val="002475B3"/>
    <w:rsid w:val="002475CD"/>
    <w:rsid w:val="00247620"/>
    <w:rsid w:val="0024768C"/>
    <w:rsid w:val="0024769F"/>
    <w:rsid w:val="00247751"/>
    <w:rsid w:val="002477B0"/>
    <w:rsid w:val="00247858"/>
    <w:rsid w:val="002478E1"/>
    <w:rsid w:val="00247922"/>
    <w:rsid w:val="00247A0A"/>
    <w:rsid w:val="00247ACF"/>
    <w:rsid w:val="00247AE6"/>
    <w:rsid w:val="00247B09"/>
    <w:rsid w:val="00247CA1"/>
    <w:rsid w:val="00247D01"/>
    <w:rsid w:val="00247EAF"/>
    <w:rsid w:val="00247FB1"/>
    <w:rsid w:val="00250039"/>
    <w:rsid w:val="00250087"/>
    <w:rsid w:val="002500B0"/>
    <w:rsid w:val="00250100"/>
    <w:rsid w:val="0025016E"/>
    <w:rsid w:val="00250176"/>
    <w:rsid w:val="002501DC"/>
    <w:rsid w:val="00250209"/>
    <w:rsid w:val="002503FB"/>
    <w:rsid w:val="0025063B"/>
    <w:rsid w:val="002506D5"/>
    <w:rsid w:val="002507EF"/>
    <w:rsid w:val="00250824"/>
    <w:rsid w:val="00250922"/>
    <w:rsid w:val="0025093A"/>
    <w:rsid w:val="00250996"/>
    <w:rsid w:val="00250A13"/>
    <w:rsid w:val="00250A37"/>
    <w:rsid w:val="00250B07"/>
    <w:rsid w:val="00250B64"/>
    <w:rsid w:val="00250C93"/>
    <w:rsid w:val="00250CA5"/>
    <w:rsid w:val="00250CCA"/>
    <w:rsid w:val="00250E04"/>
    <w:rsid w:val="00250E70"/>
    <w:rsid w:val="00250EA3"/>
    <w:rsid w:val="002510FD"/>
    <w:rsid w:val="002511C0"/>
    <w:rsid w:val="002511F0"/>
    <w:rsid w:val="002512E8"/>
    <w:rsid w:val="00251438"/>
    <w:rsid w:val="002516AE"/>
    <w:rsid w:val="0025170B"/>
    <w:rsid w:val="00251764"/>
    <w:rsid w:val="002517FC"/>
    <w:rsid w:val="00251803"/>
    <w:rsid w:val="00251A0E"/>
    <w:rsid w:val="00251AEE"/>
    <w:rsid w:val="00251B22"/>
    <w:rsid w:val="00251B2A"/>
    <w:rsid w:val="00251C82"/>
    <w:rsid w:val="00251D7A"/>
    <w:rsid w:val="00251D8D"/>
    <w:rsid w:val="00251E72"/>
    <w:rsid w:val="00251F54"/>
    <w:rsid w:val="0025249C"/>
    <w:rsid w:val="002524E6"/>
    <w:rsid w:val="00252580"/>
    <w:rsid w:val="0025258C"/>
    <w:rsid w:val="00252688"/>
    <w:rsid w:val="002526CD"/>
    <w:rsid w:val="0025272A"/>
    <w:rsid w:val="00252751"/>
    <w:rsid w:val="00252832"/>
    <w:rsid w:val="002528B8"/>
    <w:rsid w:val="002528D7"/>
    <w:rsid w:val="00252A1B"/>
    <w:rsid w:val="00252A4F"/>
    <w:rsid w:val="00252B9D"/>
    <w:rsid w:val="00252BFA"/>
    <w:rsid w:val="00252C48"/>
    <w:rsid w:val="00252C52"/>
    <w:rsid w:val="00252EB3"/>
    <w:rsid w:val="00252F57"/>
    <w:rsid w:val="00252F86"/>
    <w:rsid w:val="00253215"/>
    <w:rsid w:val="002533FA"/>
    <w:rsid w:val="00253474"/>
    <w:rsid w:val="00253477"/>
    <w:rsid w:val="0025356B"/>
    <w:rsid w:val="0025360A"/>
    <w:rsid w:val="002536AF"/>
    <w:rsid w:val="002536B1"/>
    <w:rsid w:val="00253706"/>
    <w:rsid w:val="002537C4"/>
    <w:rsid w:val="00253A48"/>
    <w:rsid w:val="00253A8D"/>
    <w:rsid w:val="00253CDE"/>
    <w:rsid w:val="00253D2A"/>
    <w:rsid w:val="00253D55"/>
    <w:rsid w:val="00253DBF"/>
    <w:rsid w:val="00253DD3"/>
    <w:rsid w:val="00253E01"/>
    <w:rsid w:val="00253E2A"/>
    <w:rsid w:val="00253E2D"/>
    <w:rsid w:val="00253F16"/>
    <w:rsid w:val="00253FB7"/>
    <w:rsid w:val="00253FBB"/>
    <w:rsid w:val="00253FD2"/>
    <w:rsid w:val="00254098"/>
    <w:rsid w:val="00254099"/>
    <w:rsid w:val="00254130"/>
    <w:rsid w:val="00254158"/>
    <w:rsid w:val="0025435E"/>
    <w:rsid w:val="002543B9"/>
    <w:rsid w:val="00254437"/>
    <w:rsid w:val="002544A9"/>
    <w:rsid w:val="00254548"/>
    <w:rsid w:val="00254694"/>
    <w:rsid w:val="002546B7"/>
    <w:rsid w:val="00254707"/>
    <w:rsid w:val="00254766"/>
    <w:rsid w:val="002548FF"/>
    <w:rsid w:val="00254923"/>
    <w:rsid w:val="00254972"/>
    <w:rsid w:val="0025497B"/>
    <w:rsid w:val="002549FE"/>
    <w:rsid w:val="00254AAC"/>
    <w:rsid w:val="00254ADE"/>
    <w:rsid w:val="00254AE4"/>
    <w:rsid w:val="00254B4F"/>
    <w:rsid w:val="00254B95"/>
    <w:rsid w:val="00254C07"/>
    <w:rsid w:val="00254CA1"/>
    <w:rsid w:val="00254CE0"/>
    <w:rsid w:val="00254DDF"/>
    <w:rsid w:val="00254E28"/>
    <w:rsid w:val="00254E31"/>
    <w:rsid w:val="00254E8E"/>
    <w:rsid w:val="00254EAA"/>
    <w:rsid w:val="00254F1E"/>
    <w:rsid w:val="00254F90"/>
    <w:rsid w:val="00254F94"/>
    <w:rsid w:val="00255020"/>
    <w:rsid w:val="00255074"/>
    <w:rsid w:val="0025514A"/>
    <w:rsid w:val="00255221"/>
    <w:rsid w:val="00255262"/>
    <w:rsid w:val="00255281"/>
    <w:rsid w:val="00255298"/>
    <w:rsid w:val="002552D9"/>
    <w:rsid w:val="002552EF"/>
    <w:rsid w:val="002554D9"/>
    <w:rsid w:val="00255570"/>
    <w:rsid w:val="00255667"/>
    <w:rsid w:val="0025570B"/>
    <w:rsid w:val="002559FE"/>
    <w:rsid w:val="00255A82"/>
    <w:rsid w:val="00255B43"/>
    <w:rsid w:val="00255B5C"/>
    <w:rsid w:val="00255D49"/>
    <w:rsid w:val="00255D53"/>
    <w:rsid w:val="00255DD6"/>
    <w:rsid w:val="00255F2E"/>
    <w:rsid w:val="00255FDF"/>
    <w:rsid w:val="00256047"/>
    <w:rsid w:val="00256051"/>
    <w:rsid w:val="002560F5"/>
    <w:rsid w:val="0025618E"/>
    <w:rsid w:val="002561C0"/>
    <w:rsid w:val="002561E1"/>
    <w:rsid w:val="0025622D"/>
    <w:rsid w:val="00256286"/>
    <w:rsid w:val="002562E5"/>
    <w:rsid w:val="002562F2"/>
    <w:rsid w:val="00256329"/>
    <w:rsid w:val="0025646A"/>
    <w:rsid w:val="002564B6"/>
    <w:rsid w:val="002564E4"/>
    <w:rsid w:val="00256529"/>
    <w:rsid w:val="002565B2"/>
    <w:rsid w:val="002566D4"/>
    <w:rsid w:val="00256841"/>
    <w:rsid w:val="002568F4"/>
    <w:rsid w:val="00256A3C"/>
    <w:rsid w:val="00256A54"/>
    <w:rsid w:val="00256BC2"/>
    <w:rsid w:val="00256C6F"/>
    <w:rsid w:val="00256D7E"/>
    <w:rsid w:val="00256DDD"/>
    <w:rsid w:val="00257133"/>
    <w:rsid w:val="0025715B"/>
    <w:rsid w:val="002571B6"/>
    <w:rsid w:val="00257247"/>
    <w:rsid w:val="00257285"/>
    <w:rsid w:val="002572F4"/>
    <w:rsid w:val="002572FB"/>
    <w:rsid w:val="00257349"/>
    <w:rsid w:val="002573ED"/>
    <w:rsid w:val="0025742E"/>
    <w:rsid w:val="002574F1"/>
    <w:rsid w:val="0025753D"/>
    <w:rsid w:val="002575A7"/>
    <w:rsid w:val="00257645"/>
    <w:rsid w:val="0025769F"/>
    <w:rsid w:val="002576F1"/>
    <w:rsid w:val="002577AA"/>
    <w:rsid w:val="002577FB"/>
    <w:rsid w:val="002578E0"/>
    <w:rsid w:val="0025795C"/>
    <w:rsid w:val="00257966"/>
    <w:rsid w:val="00257979"/>
    <w:rsid w:val="002579DF"/>
    <w:rsid w:val="00257A88"/>
    <w:rsid w:val="00257B80"/>
    <w:rsid w:val="00257BA4"/>
    <w:rsid w:val="00257C99"/>
    <w:rsid w:val="00257D50"/>
    <w:rsid w:val="00257DBB"/>
    <w:rsid w:val="00257E55"/>
    <w:rsid w:val="00257F2F"/>
    <w:rsid w:val="00257F6B"/>
    <w:rsid w:val="00257F7E"/>
    <w:rsid w:val="002601E8"/>
    <w:rsid w:val="002601FD"/>
    <w:rsid w:val="00260249"/>
    <w:rsid w:val="00260362"/>
    <w:rsid w:val="00260519"/>
    <w:rsid w:val="00260568"/>
    <w:rsid w:val="002606E9"/>
    <w:rsid w:val="002607C9"/>
    <w:rsid w:val="0026090A"/>
    <w:rsid w:val="0026093A"/>
    <w:rsid w:val="002609C1"/>
    <w:rsid w:val="00260A39"/>
    <w:rsid w:val="00260ACE"/>
    <w:rsid w:val="00260BBC"/>
    <w:rsid w:val="00260BFA"/>
    <w:rsid w:val="00260CD3"/>
    <w:rsid w:val="00260CDE"/>
    <w:rsid w:val="00260E49"/>
    <w:rsid w:val="00261094"/>
    <w:rsid w:val="002610B3"/>
    <w:rsid w:val="002610E9"/>
    <w:rsid w:val="002610F0"/>
    <w:rsid w:val="002610FD"/>
    <w:rsid w:val="0026112A"/>
    <w:rsid w:val="0026113E"/>
    <w:rsid w:val="0026118D"/>
    <w:rsid w:val="00261218"/>
    <w:rsid w:val="002612F8"/>
    <w:rsid w:val="00261382"/>
    <w:rsid w:val="00261391"/>
    <w:rsid w:val="002614E8"/>
    <w:rsid w:val="0026157B"/>
    <w:rsid w:val="002615E5"/>
    <w:rsid w:val="002617A6"/>
    <w:rsid w:val="002618E6"/>
    <w:rsid w:val="00261A07"/>
    <w:rsid w:val="00261A63"/>
    <w:rsid w:val="00261A8D"/>
    <w:rsid w:val="00261AD1"/>
    <w:rsid w:val="00261B90"/>
    <w:rsid w:val="00261C65"/>
    <w:rsid w:val="00261CA4"/>
    <w:rsid w:val="00261D0A"/>
    <w:rsid w:val="00261D67"/>
    <w:rsid w:val="00261FC4"/>
    <w:rsid w:val="002620CF"/>
    <w:rsid w:val="002620E4"/>
    <w:rsid w:val="002620FE"/>
    <w:rsid w:val="00262184"/>
    <w:rsid w:val="002621A5"/>
    <w:rsid w:val="00262298"/>
    <w:rsid w:val="002622CD"/>
    <w:rsid w:val="002622FA"/>
    <w:rsid w:val="0026231F"/>
    <w:rsid w:val="00262351"/>
    <w:rsid w:val="00262393"/>
    <w:rsid w:val="002623E2"/>
    <w:rsid w:val="002623F2"/>
    <w:rsid w:val="00262420"/>
    <w:rsid w:val="00262475"/>
    <w:rsid w:val="00262513"/>
    <w:rsid w:val="00262566"/>
    <w:rsid w:val="00262654"/>
    <w:rsid w:val="002626B0"/>
    <w:rsid w:val="00262817"/>
    <w:rsid w:val="002628B6"/>
    <w:rsid w:val="002628BB"/>
    <w:rsid w:val="00262968"/>
    <w:rsid w:val="002629A2"/>
    <w:rsid w:val="00262A0C"/>
    <w:rsid w:val="00262A87"/>
    <w:rsid w:val="00262A9E"/>
    <w:rsid w:val="00262ACE"/>
    <w:rsid w:val="00262CFA"/>
    <w:rsid w:val="00262DC5"/>
    <w:rsid w:val="00262E2F"/>
    <w:rsid w:val="00262E84"/>
    <w:rsid w:val="00262F34"/>
    <w:rsid w:val="002630B2"/>
    <w:rsid w:val="00263139"/>
    <w:rsid w:val="00263200"/>
    <w:rsid w:val="00263305"/>
    <w:rsid w:val="00263579"/>
    <w:rsid w:val="00263667"/>
    <w:rsid w:val="0026369A"/>
    <w:rsid w:val="002636AF"/>
    <w:rsid w:val="0026374B"/>
    <w:rsid w:val="00263777"/>
    <w:rsid w:val="002637B2"/>
    <w:rsid w:val="002637BF"/>
    <w:rsid w:val="002637EF"/>
    <w:rsid w:val="002637FC"/>
    <w:rsid w:val="00263902"/>
    <w:rsid w:val="00263963"/>
    <w:rsid w:val="0026397C"/>
    <w:rsid w:val="0026397D"/>
    <w:rsid w:val="0026398E"/>
    <w:rsid w:val="002639D0"/>
    <w:rsid w:val="00263A78"/>
    <w:rsid w:val="00263AA1"/>
    <w:rsid w:val="00263B90"/>
    <w:rsid w:val="00263BAE"/>
    <w:rsid w:val="00263C19"/>
    <w:rsid w:val="00263E0D"/>
    <w:rsid w:val="00263F90"/>
    <w:rsid w:val="00263FA3"/>
    <w:rsid w:val="00263FB5"/>
    <w:rsid w:val="0026403B"/>
    <w:rsid w:val="0026408A"/>
    <w:rsid w:val="002641FF"/>
    <w:rsid w:val="00264339"/>
    <w:rsid w:val="0026436C"/>
    <w:rsid w:val="00264402"/>
    <w:rsid w:val="00264436"/>
    <w:rsid w:val="0026446D"/>
    <w:rsid w:val="002644B5"/>
    <w:rsid w:val="002644E2"/>
    <w:rsid w:val="00264556"/>
    <w:rsid w:val="0026463A"/>
    <w:rsid w:val="0026485F"/>
    <w:rsid w:val="0026487D"/>
    <w:rsid w:val="0026488D"/>
    <w:rsid w:val="0026495F"/>
    <w:rsid w:val="0026499F"/>
    <w:rsid w:val="002649E1"/>
    <w:rsid w:val="00264A93"/>
    <w:rsid w:val="00264AB2"/>
    <w:rsid w:val="00264ABE"/>
    <w:rsid w:val="00264BF6"/>
    <w:rsid w:val="00264E60"/>
    <w:rsid w:val="00264E90"/>
    <w:rsid w:val="00264EC9"/>
    <w:rsid w:val="00264FAF"/>
    <w:rsid w:val="0026502E"/>
    <w:rsid w:val="002650B2"/>
    <w:rsid w:val="002650D5"/>
    <w:rsid w:val="0026512A"/>
    <w:rsid w:val="0026528C"/>
    <w:rsid w:val="002652EF"/>
    <w:rsid w:val="002652F7"/>
    <w:rsid w:val="002653BB"/>
    <w:rsid w:val="002653E4"/>
    <w:rsid w:val="0026540F"/>
    <w:rsid w:val="00265422"/>
    <w:rsid w:val="002655B8"/>
    <w:rsid w:val="002655D1"/>
    <w:rsid w:val="0026560C"/>
    <w:rsid w:val="002657C8"/>
    <w:rsid w:val="002657DC"/>
    <w:rsid w:val="002659AE"/>
    <w:rsid w:val="002659D5"/>
    <w:rsid w:val="00265A07"/>
    <w:rsid w:val="00265A3A"/>
    <w:rsid w:val="00265B1B"/>
    <w:rsid w:val="00265BF8"/>
    <w:rsid w:val="00265DA2"/>
    <w:rsid w:val="00265DCA"/>
    <w:rsid w:val="00265E79"/>
    <w:rsid w:val="00265F92"/>
    <w:rsid w:val="002660CF"/>
    <w:rsid w:val="0026612B"/>
    <w:rsid w:val="002661C4"/>
    <w:rsid w:val="0026644D"/>
    <w:rsid w:val="00266452"/>
    <w:rsid w:val="0026645F"/>
    <w:rsid w:val="00266528"/>
    <w:rsid w:val="0026654F"/>
    <w:rsid w:val="002665A2"/>
    <w:rsid w:val="00266643"/>
    <w:rsid w:val="00266688"/>
    <w:rsid w:val="002666CC"/>
    <w:rsid w:val="00266736"/>
    <w:rsid w:val="0026675B"/>
    <w:rsid w:val="002667B9"/>
    <w:rsid w:val="002667DA"/>
    <w:rsid w:val="00266883"/>
    <w:rsid w:val="002668D9"/>
    <w:rsid w:val="00266A3C"/>
    <w:rsid w:val="00266A80"/>
    <w:rsid w:val="00266AB9"/>
    <w:rsid w:val="00266B1D"/>
    <w:rsid w:val="00266B74"/>
    <w:rsid w:val="00266B90"/>
    <w:rsid w:val="00266BE3"/>
    <w:rsid w:val="00266C23"/>
    <w:rsid w:val="00266D59"/>
    <w:rsid w:val="00266D9F"/>
    <w:rsid w:val="00266DB9"/>
    <w:rsid w:val="00266EB3"/>
    <w:rsid w:val="00266FA7"/>
    <w:rsid w:val="0026703E"/>
    <w:rsid w:val="00267048"/>
    <w:rsid w:val="0026708E"/>
    <w:rsid w:val="002670BB"/>
    <w:rsid w:val="0026713D"/>
    <w:rsid w:val="002672B8"/>
    <w:rsid w:val="00267315"/>
    <w:rsid w:val="00267360"/>
    <w:rsid w:val="00267384"/>
    <w:rsid w:val="00267391"/>
    <w:rsid w:val="00267399"/>
    <w:rsid w:val="0026739E"/>
    <w:rsid w:val="00267422"/>
    <w:rsid w:val="0026743C"/>
    <w:rsid w:val="00267444"/>
    <w:rsid w:val="00267503"/>
    <w:rsid w:val="002675B0"/>
    <w:rsid w:val="00267779"/>
    <w:rsid w:val="0026781D"/>
    <w:rsid w:val="0026789F"/>
    <w:rsid w:val="00267917"/>
    <w:rsid w:val="00267960"/>
    <w:rsid w:val="002679A0"/>
    <w:rsid w:val="002679F5"/>
    <w:rsid w:val="00267A83"/>
    <w:rsid w:val="00267AF5"/>
    <w:rsid w:val="00267BCB"/>
    <w:rsid w:val="00267BFB"/>
    <w:rsid w:val="00267C46"/>
    <w:rsid w:val="00267DE8"/>
    <w:rsid w:val="00267E70"/>
    <w:rsid w:val="00267EA7"/>
    <w:rsid w:val="00267EE8"/>
    <w:rsid w:val="00267EFF"/>
    <w:rsid w:val="00267F94"/>
    <w:rsid w:val="00270101"/>
    <w:rsid w:val="00270110"/>
    <w:rsid w:val="00270266"/>
    <w:rsid w:val="002702C1"/>
    <w:rsid w:val="0027031E"/>
    <w:rsid w:val="00270378"/>
    <w:rsid w:val="00270381"/>
    <w:rsid w:val="00270457"/>
    <w:rsid w:val="0027074B"/>
    <w:rsid w:val="00270767"/>
    <w:rsid w:val="002707C1"/>
    <w:rsid w:val="0027081E"/>
    <w:rsid w:val="002708B0"/>
    <w:rsid w:val="00270943"/>
    <w:rsid w:val="0027098F"/>
    <w:rsid w:val="002709D9"/>
    <w:rsid w:val="00270BDE"/>
    <w:rsid w:val="00270DAF"/>
    <w:rsid w:val="00270E32"/>
    <w:rsid w:val="00270E8F"/>
    <w:rsid w:val="00270F1C"/>
    <w:rsid w:val="00270FCD"/>
    <w:rsid w:val="00271020"/>
    <w:rsid w:val="00271027"/>
    <w:rsid w:val="002710E0"/>
    <w:rsid w:val="002711AC"/>
    <w:rsid w:val="00271376"/>
    <w:rsid w:val="0027141A"/>
    <w:rsid w:val="002714BC"/>
    <w:rsid w:val="002717EE"/>
    <w:rsid w:val="00271813"/>
    <w:rsid w:val="0027184F"/>
    <w:rsid w:val="0027186F"/>
    <w:rsid w:val="00271975"/>
    <w:rsid w:val="00271B3B"/>
    <w:rsid w:val="00271B78"/>
    <w:rsid w:val="00271C90"/>
    <w:rsid w:val="00271CA5"/>
    <w:rsid w:val="00271CDE"/>
    <w:rsid w:val="00271D0C"/>
    <w:rsid w:val="00271D10"/>
    <w:rsid w:val="00271E30"/>
    <w:rsid w:val="00271E33"/>
    <w:rsid w:val="0027201C"/>
    <w:rsid w:val="0027221C"/>
    <w:rsid w:val="00272222"/>
    <w:rsid w:val="00272347"/>
    <w:rsid w:val="0027234D"/>
    <w:rsid w:val="002724C6"/>
    <w:rsid w:val="002726C9"/>
    <w:rsid w:val="00272717"/>
    <w:rsid w:val="002727F5"/>
    <w:rsid w:val="00272837"/>
    <w:rsid w:val="0027291A"/>
    <w:rsid w:val="00272933"/>
    <w:rsid w:val="00272AC8"/>
    <w:rsid w:val="00272B0B"/>
    <w:rsid w:val="00272B26"/>
    <w:rsid w:val="00272B6A"/>
    <w:rsid w:val="00272B8F"/>
    <w:rsid w:val="00272BFD"/>
    <w:rsid w:val="00272C26"/>
    <w:rsid w:val="00272C5F"/>
    <w:rsid w:val="00272DB5"/>
    <w:rsid w:val="00272EFE"/>
    <w:rsid w:val="00273057"/>
    <w:rsid w:val="0027306E"/>
    <w:rsid w:val="0027313F"/>
    <w:rsid w:val="002731E1"/>
    <w:rsid w:val="0027329E"/>
    <w:rsid w:val="0027335A"/>
    <w:rsid w:val="002733C2"/>
    <w:rsid w:val="00273424"/>
    <w:rsid w:val="0027347C"/>
    <w:rsid w:val="0027351A"/>
    <w:rsid w:val="0027356E"/>
    <w:rsid w:val="00273591"/>
    <w:rsid w:val="002735C3"/>
    <w:rsid w:val="0027361C"/>
    <w:rsid w:val="00273636"/>
    <w:rsid w:val="0027387F"/>
    <w:rsid w:val="00273A0E"/>
    <w:rsid w:val="00273A56"/>
    <w:rsid w:val="00273AFF"/>
    <w:rsid w:val="00273B29"/>
    <w:rsid w:val="00273B42"/>
    <w:rsid w:val="00273C0A"/>
    <w:rsid w:val="00273C3D"/>
    <w:rsid w:val="00273CE1"/>
    <w:rsid w:val="00273F1D"/>
    <w:rsid w:val="00273F72"/>
    <w:rsid w:val="00273FA3"/>
    <w:rsid w:val="00273FDE"/>
    <w:rsid w:val="00273FF2"/>
    <w:rsid w:val="00273FF4"/>
    <w:rsid w:val="0027403A"/>
    <w:rsid w:val="00274087"/>
    <w:rsid w:val="00274119"/>
    <w:rsid w:val="0027415D"/>
    <w:rsid w:val="0027418B"/>
    <w:rsid w:val="0027427A"/>
    <w:rsid w:val="002742FF"/>
    <w:rsid w:val="002743E9"/>
    <w:rsid w:val="00274465"/>
    <w:rsid w:val="002744B5"/>
    <w:rsid w:val="00274508"/>
    <w:rsid w:val="002745E0"/>
    <w:rsid w:val="00274612"/>
    <w:rsid w:val="00274617"/>
    <w:rsid w:val="0027476F"/>
    <w:rsid w:val="00274820"/>
    <w:rsid w:val="00274823"/>
    <w:rsid w:val="0027484B"/>
    <w:rsid w:val="002748BE"/>
    <w:rsid w:val="00274A18"/>
    <w:rsid w:val="00274A4C"/>
    <w:rsid w:val="00274A5D"/>
    <w:rsid w:val="00274ACD"/>
    <w:rsid w:val="00274BDF"/>
    <w:rsid w:val="00274C45"/>
    <w:rsid w:val="00274CE4"/>
    <w:rsid w:val="00274D38"/>
    <w:rsid w:val="00274D61"/>
    <w:rsid w:val="00274D73"/>
    <w:rsid w:val="00274DD9"/>
    <w:rsid w:val="00274E19"/>
    <w:rsid w:val="00274E38"/>
    <w:rsid w:val="00274FAC"/>
    <w:rsid w:val="0027515A"/>
    <w:rsid w:val="002752F6"/>
    <w:rsid w:val="002753C3"/>
    <w:rsid w:val="002754AE"/>
    <w:rsid w:val="002754ED"/>
    <w:rsid w:val="0027557F"/>
    <w:rsid w:val="0027564C"/>
    <w:rsid w:val="002756FC"/>
    <w:rsid w:val="00275720"/>
    <w:rsid w:val="002757C3"/>
    <w:rsid w:val="002757C9"/>
    <w:rsid w:val="00275860"/>
    <w:rsid w:val="0027594E"/>
    <w:rsid w:val="00275954"/>
    <w:rsid w:val="0027596A"/>
    <w:rsid w:val="00275976"/>
    <w:rsid w:val="00275A2C"/>
    <w:rsid w:val="00275A8F"/>
    <w:rsid w:val="00275B3F"/>
    <w:rsid w:val="00275B45"/>
    <w:rsid w:val="00275B9D"/>
    <w:rsid w:val="00275BA5"/>
    <w:rsid w:val="00275BE2"/>
    <w:rsid w:val="00275C0A"/>
    <w:rsid w:val="00275C91"/>
    <w:rsid w:val="00275C99"/>
    <w:rsid w:val="00275CD4"/>
    <w:rsid w:val="00275D3E"/>
    <w:rsid w:val="00275D60"/>
    <w:rsid w:val="00275DB1"/>
    <w:rsid w:val="00275FAA"/>
    <w:rsid w:val="00276017"/>
    <w:rsid w:val="002760CE"/>
    <w:rsid w:val="002760F5"/>
    <w:rsid w:val="00276131"/>
    <w:rsid w:val="00276142"/>
    <w:rsid w:val="0027619F"/>
    <w:rsid w:val="002762B2"/>
    <w:rsid w:val="002762C9"/>
    <w:rsid w:val="0027636C"/>
    <w:rsid w:val="002763F8"/>
    <w:rsid w:val="002764F6"/>
    <w:rsid w:val="002767F4"/>
    <w:rsid w:val="00276827"/>
    <w:rsid w:val="00276853"/>
    <w:rsid w:val="002768E8"/>
    <w:rsid w:val="002768E9"/>
    <w:rsid w:val="0027699D"/>
    <w:rsid w:val="00276AE8"/>
    <w:rsid w:val="00276B4E"/>
    <w:rsid w:val="00276BC8"/>
    <w:rsid w:val="00276CED"/>
    <w:rsid w:val="00276E36"/>
    <w:rsid w:val="00276E82"/>
    <w:rsid w:val="00277055"/>
    <w:rsid w:val="0027709A"/>
    <w:rsid w:val="002771A5"/>
    <w:rsid w:val="00277231"/>
    <w:rsid w:val="00277646"/>
    <w:rsid w:val="002776C8"/>
    <w:rsid w:val="00277764"/>
    <w:rsid w:val="0027781F"/>
    <w:rsid w:val="00277898"/>
    <w:rsid w:val="0027789E"/>
    <w:rsid w:val="00277939"/>
    <w:rsid w:val="0027796F"/>
    <w:rsid w:val="00277A21"/>
    <w:rsid w:val="00277AC1"/>
    <w:rsid w:val="00277B60"/>
    <w:rsid w:val="00277D36"/>
    <w:rsid w:val="00277D4F"/>
    <w:rsid w:val="00277DE6"/>
    <w:rsid w:val="00277E35"/>
    <w:rsid w:val="00277E46"/>
    <w:rsid w:val="00277EC7"/>
    <w:rsid w:val="00277FB9"/>
    <w:rsid w:val="00280100"/>
    <w:rsid w:val="00280300"/>
    <w:rsid w:val="002803F0"/>
    <w:rsid w:val="00280482"/>
    <w:rsid w:val="00280487"/>
    <w:rsid w:val="00280610"/>
    <w:rsid w:val="00280647"/>
    <w:rsid w:val="002806D7"/>
    <w:rsid w:val="00280762"/>
    <w:rsid w:val="00280787"/>
    <w:rsid w:val="0028081A"/>
    <w:rsid w:val="002808A8"/>
    <w:rsid w:val="002809A4"/>
    <w:rsid w:val="002809EE"/>
    <w:rsid w:val="00280B2B"/>
    <w:rsid w:val="00280BE4"/>
    <w:rsid w:val="00280C99"/>
    <w:rsid w:val="00280D3A"/>
    <w:rsid w:val="00280EC8"/>
    <w:rsid w:val="00280EDE"/>
    <w:rsid w:val="00281010"/>
    <w:rsid w:val="0028110A"/>
    <w:rsid w:val="00281124"/>
    <w:rsid w:val="00281204"/>
    <w:rsid w:val="002812C8"/>
    <w:rsid w:val="002812E5"/>
    <w:rsid w:val="0028138E"/>
    <w:rsid w:val="0028140C"/>
    <w:rsid w:val="002814BE"/>
    <w:rsid w:val="00281566"/>
    <w:rsid w:val="0028166D"/>
    <w:rsid w:val="0028167F"/>
    <w:rsid w:val="00281757"/>
    <w:rsid w:val="00281781"/>
    <w:rsid w:val="002817FC"/>
    <w:rsid w:val="00281852"/>
    <w:rsid w:val="00281A7E"/>
    <w:rsid w:val="00281B44"/>
    <w:rsid w:val="00281BC4"/>
    <w:rsid w:val="00281C92"/>
    <w:rsid w:val="00281CFA"/>
    <w:rsid w:val="00281D1D"/>
    <w:rsid w:val="00281EA5"/>
    <w:rsid w:val="0028203F"/>
    <w:rsid w:val="002820A9"/>
    <w:rsid w:val="002820C5"/>
    <w:rsid w:val="002820DC"/>
    <w:rsid w:val="00282164"/>
    <w:rsid w:val="002821F1"/>
    <w:rsid w:val="002821FA"/>
    <w:rsid w:val="00282301"/>
    <w:rsid w:val="002823D1"/>
    <w:rsid w:val="002823D4"/>
    <w:rsid w:val="002824E3"/>
    <w:rsid w:val="00282565"/>
    <w:rsid w:val="0028258D"/>
    <w:rsid w:val="0028261A"/>
    <w:rsid w:val="00282739"/>
    <w:rsid w:val="0028276D"/>
    <w:rsid w:val="002827F6"/>
    <w:rsid w:val="002828EE"/>
    <w:rsid w:val="002828F6"/>
    <w:rsid w:val="002828F8"/>
    <w:rsid w:val="00282937"/>
    <w:rsid w:val="00282B81"/>
    <w:rsid w:val="00282C4D"/>
    <w:rsid w:val="00282CAB"/>
    <w:rsid w:val="00282D47"/>
    <w:rsid w:val="00282F7B"/>
    <w:rsid w:val="00282FE0"/>
    <w:rsid w:val="00283077"/>
    <w:rsid w:val="002830FA"/>
    <w:rsid w:val="00283362"/>
    <w:rsid w:val="00283367"/>
    <w:rsid w:val="002833F8"/>
    <w:rsid w:val="0028340D"/>
    <w:rsid w:val="00283479"/>
    <w:rsid w:val="0028357C"/>
    <w:rsid w:val="002837A2"/>
    <w:rsid w:val="00283AAD"/>
    <w:rsid w:val="00283B78"/>
    <w:rsid w:val="00283B87"/>
    <w:rsid w:val="00283BB8"/>
    <w:rsid w:val="00283C08"/>
    <w:rsid w:val="00283CAF"/>
    <w:rsid w:val="00283D45"/>
    <w:rsid w:val="00283DA8"/>
    <w:rsid w:val="00283E3F"/>
    <w:rsid w:val="00283E52"/>
    <w:rsid w:val="00283F6D"/>
    <w:rsid w:val="0028401D"/>
    <w:rsid w:val="0028409B"/>
    <w:rsid w:val="00284158"/>
    <w:rsid w:val="00284172"/>
    <w:rsid w:val="002841A2"/>
    <w:rsid w:val="00284372"/>
    <w:rsid w:val="002843AD"/>
    <w:rsid w:val="002844F6"/>
    <w:rsid w:val="00284765"/>
    <w:rsid w:val="00284861"/>
    <w:rsid w:val="00284862"/>
    <w:rsid w:val="002848A0"/>
    <w:rsid w:val="00284904"/>
    <w:rsid w:val="00284909"/>
    <w:rsid w:val="00284A43"/>
    <w:rsid w:val="00284A6D"/>
    <w:rsid w:val="00284AB3"/>
    <w:rsid w:val="00284AE9"/>
    <w:rsid w:val="00284B34"/>
    <w:rsid w:val="00284F6D"/>
    <w:rsid w:val="00285040"/>
    <w:rsid w:val="002850B8"/>
    <w:rsid w:val="00285283"/>
    <w:rsid w:val="002852FE"/>
    <w:rsid w:val="00285333"/>
    <w:rsid w:val="002853CC"/>
    <w:rsid w:val="0028550D"/>
    <w:rsid w:val="00285635"/>
    <w:rsid w:val="002856D4"/>
    <w:rsid w:val="002856E9"/>
    <w:rsid w:val="002856FD"/>
    <w:rsid w:val="002857CB"/>
    <w:rsid w:val="002857D9"/>
    <w:rsid w:val="00285877"/>
    <w:rsid w:val="002858A7"/>
    <w:rsid w:val="00285935"/>
    <w:rsid w:val="00285963"/>
    <w:rsid w:val="00285A35"/>
    <w:rsid w:val="00285BE3"/>
    <w:rsid w:val="00285CA6"/>
    <w:rsid w:val="00285E60"/>
    <w:rsid w:val="00285EC5"/>
    <w:rsid w:val="00285FC0"/>
    <w:rsid w:val="00286017"/>
    <w:rsid w:val="0028604F"/>
    <w:rsid w:val="002860A6"/>
    <w:rsid w:val="00286130"/>
    <w:rsid w:val="002861B1"/>
    <w:rsid w:val="002861C2"/>
    <w:rsid w:val="0028637F"/>
    <w:rsid w:val="002863F9"/>
    <w:rsid w:val="002865EB"/>
    <w:rsid w:val="0028664B"/>
    <w:rsid w:val="002866A7"/>
    <w:rsid w:val="00286AA2"/>
    <w:rsid w:val="00286AD4"/>
    <w:rsid w:val="00286B91"/>
    <w:rsid w:val="00286BA8"/>
    <w:rsid w:val="00286C8C"/>
    <w:rsid w:val="00286D0F"/>
    <w:rsid w:val="00286D57"/>
    <w:rsid w:val="00286D96"/>
    <w:rsid w:val="00286DC7"/>
    <w:rsid w:val="00286E24"/>
    <w:rsid w:val="00286EED"/>
    <w:rsid w:val="00286EFE"/>
    <w:rsid w:val="00287087"/>
    <w:rsid w:val="00287141"/>
    <w:rsid w:val="0028738E"/>
    <w:rsid w:val="002873BF"/>
    <w:rsid w:val="002874FF"/>
    <w:rsid w:val="0028751E"/>
    <w:rsid w:val="00287601"/>
    <w:rsid w:val="00287669"/>
    <w:rsid w:val="002876E0"/>
    <w:rsid w:val="002876EF"/>
    <w:rsid w:val="00287761"/>
    <w:rsid w:val="002878BE"/>
    <w:rsid w:val="002878E5"/>
    <w:rsid w:val="0028794E"/>
    <w:rsid w:val="002879F9"/>
    <w:rsid w:val="00287A69"/>
    <w:rsid w:val="00287A78"/>
    <w:rsid w:val="00287ADE"/>
    <w:rsid w:val="00287B25"/>
    <w:rsid w:val="00287B57"/>
    <w:rsid w:val="00287BD0"/>
    <w:rsid w:val="00287CA4"/>
    <w:rsid w:val="00287CC7"/>
    <w:rsid w:val="00287D10"/>
    <w:rsid w:val="00287E0C"/>
    <w:rsid w:val="002900DE"/>
    <w:rsid w:val="0029019C"/>
    <w:rsid w:val="0029028A"/>
    <w:rsid w:val="002902B9"/>
    <w:rsid w:val="0029031F"/>
    <w:rsid w:val="002903EE"/>
    <w:rsid w:val="002903F3"/>
    <w:rsid w:val="0029049D"/>
    <w:rsid w:val="002904BD"/>
    <w:rsid w:val="002904C9"/>
    <w:rsid w:val="00290549"/>
    <w:rsid w:val="0029058E"/>
    <w:rsid w:val="002905B5"/>
    <w:rsid w:val="0029065C"/>
    <w:rsid w:val="00290735"/>
    <w:rsid w:val="002907A7"/>
    <w:rsid w:val="002907C9"/>
    <w:rsid w:val="00290892"/>
    <w:rsid w:val="002908B9"/>
    <w:rsid w:val="002909E4"/>
    <w:rsid w:val="00290A1E"/>
    <w:rsid w:val="00290B2D"/>
    <w:rsid w:val="00290E1A"/>
    <w:rsid w:val="00290EEA"/>
    <w:rsid w:val="00290F3F"/>
    <w:rsid w:val="00291097"/>
    <w:rsid w:val="00291162"/>
    <w:rsid w:val="00291284"/>
    <w:rsid w:val="002913A7"/>
    <w:rsid w:val="00291459"/>
    <w:rsid w:val="0029155C"/>
    <w:rsid w:val="0029170F"/>
    <w:rsid w:val="00291714"/>
    <w:rsid w:val="00291745"/>
    <w:rsid w:val="002917EA"/>
    <w:rsid w:val="0029186B"/>
    <w:rsid w:val="002918E9"/>
    <w:rsid w:val="002918EA"/>
    <w:rsid w:val="00291989"/>
    <w:rsid w:val="002919A0"/>
    <w:rsid w:val="002919A8"/>
    <w:rsid w:val="002919D0"/>
    <w:rsid w:val="00291A4F"/>
    <w:rsid w:val="00291B33"/>
    <w:rsid w:val="00291B98"/>
    <w:rsid w:val="00291BD9"/>
    <w:rsid w:val="00291BEF"/>
    <w:rsid w:val="00291C56"/>
    <w:rsid w:val="00291CDB"/>
    <w:rsid w:val="00291D1C"/>
    <w:rsid w:val="00291E10"/>
    <w:rsid w:val="00291E32"/>
    <w:rsid w:val="0029205C"/>
    <w:rsid w:val="002922DB"/>
    <w:rsid w:val="0029231D"/>
    <w:rsid w:val="00292372"/>
    <w:rsid w:val="00292588"/>
    <w:rsid w:val="002925AB"/>
    <w:rsid w:val="00292600"/>
    <w:rsid w:val="002926CA"/>
    <w:rsid w:val="0029279D"/>
    <w:rsid w:val="00292827"/>
    <w:rsid w:val="002928C5"/>
    <w:rsid w:val="002929B1"/>
    <w:rsid w:val="002929E0"/>
    <w:rsid w:val="00292A07"/>
    <w:rsid w:val="00292BE9"/>
    <w:rsid w:val="00292CE6"/>
    <w:rsid w:val="00292F03"/>
    <w:rsid w:val="00293003"/>
    <w:rsid w:val="00293023"/>
    <w:rsid w:val="002930B2"/>
    <w:rsid w:val="002931F7"/>
    <w:rsid w:val="0029324B"/>
    <w:rsid w:val="00293274"/>
    <w:rsid w:val="002933E4"/>
    <w:rsid w:val="0029354B"/>
    <w:rsid w:val="00293593"/>
    <w:rsid w:val="002935CD"/>
    <w:rsid w:val="002935D8"/>
    <w:rsid w:val="002935DA"/>
    <w:rsid w:val="0029362D"/>
    <w:rsid w:val="00293666"/>
    <w:rsid w:val="002936D0"/>
    <w:rsid w:val="00293706"/>
    <w:rsid w:val="00293724"/>
    <w:rsid w:val="002937B8"/>
    <w:rsid w:val="00293813"/>
    <w:rsid w:val="00293821"/>
    <w:rsid w:val="00293856"/>
    <w:rsid w:val="002938F6"/>
    <w:rsid w:val="0029390B"/>
    <w:rsid w:val="00293925"/>
    <w:rsid w:val="00293A32"/>
    <w:rsid w:val="00293AB8"/>
    <w:rsid w:val="00293B97"/>
    <w:rsid w:val="00293BE6"/>
    <w:rsid w:val="00293BE7"/>
    <w:rsid w:val="00293C44"/>
    <w:rsid w:val="00293E2F"/>
    <w:rsid w:val="00293E9D"/>
    <w:rsid w:val="00293F2C"/>
    <w:rsid w:val="0029403B"/>
    <w:rsid w:val="00294053"/>
    <w:rsid w:val="002940D6"/>
    <w:rsid w:val="0029415F"/>
    <w:rsid w:val="002941FC"/>
    <w:rsid w:val="002941FD"/>
    <w:rsid w:val="00294205"/>
    <w:rsid w:val="00294223"/>
    <w:rsid w:val="00294234"/>
    <w:rsid w:val="0029428D"/>
    <w:rsid w:val="0029429C"/>
    <w:rsid w:val="002942F8"/>
    <w:rsid w:val="00294312"/>
    <w:rsid w:val="00294393"/>
    <w:rsid w:val="0029449B"/>
    <w:rsid w:val="002944D3"/>
    <w:rsid w:val="002944E5"/>
    <w:rsid w:val="0029466E"/>
    <w:rsid w:val="002946B5"/>
    <w:rsid w:val="002946BA"/>
    <w:rsid w:val="00294851"/>
    <w:rsid w:val="002948DE"/>
    <w:rsid w:val="002949CB"/>
    <w:rsid w:val="00294B0D"/>
    <w:rsid w:val="00294BBA"/>
    <w:rsid w:val="00294BF8"/>
    <w:rsid w:val="00294C48"/>
    <w:rsid w:val="00294D6A"/>
    <w:rsid w:val="00294D93"/>
    <w:rsid w:val="00294DC6"/>
    <w:rsid w:val="00295117"/>
    <w:rsid w:val="00295140"/>
    <w:rsid w:val="002951C3"/>
    <w:rsid w:val="0029527F"/>
    <w:rsid w:val="00295451"/>
    <w:rsid w:val="0029559C"/>
    <w:rsid w:val="002955AE"/>
    <w:rsid w:val="0029592D"/>
    <w:rsid w:val="0029597D"/>
    <w:rsid w:val="00295A36"/>
    <w:rsid w:val="00295B39"/>
    <w:rsid w:val="00295BFC"/>
    <w:rsid w:val="00295C61"/>
    <w:rsid w:val="00295E2E"/>
    <w:rsid w:val="00295F30"/>
    <w:rsid w:val="00295F98"/>
    <w:rsid w:val="00296001"/>
    <w:rsid w:val="00296143"/>
    <w:rsid w:val="002961AD"/>
    <w:rsid w:val="00296236"/>
    <w:rsid w:val="0029624F"/>
    <w:rsid w:val="00296323"/>
    <w:rsid w:val="0029641A"/>
    <w:rsid w:val="002964FE"/>
    <w:rsid w:val="00296551"/>
    <w:rsid w:val="002965C2"/>
    <w:rsid w:val="0029670C"/>
    <w:rsid w:val="0029671D"/>
    <w:rsid w:val="00296760"/>
    <w:rsid w:val="002967A0"/>
    <w:rsid w:val="002967C3"/>
    <w:rsid w:val="002967D8"/>
    <w:rsid w:val="0029697B"/>
    <w:rsid w:val="0029697F"/>
    <w:rsid w:val="00296A85"/>
    <w:rsid w:val="00296ABA"/>
    <w:rsid w:val="00296AC1"/>
    <w:rsid w:val="00296B26"/>
    <w:rsid w:val="00296D45"/>
    <w:rsid w:val="00296D4F"/>
    <w:rsid w:val="00296D89"/>
    <w:rsid w:val="00296E01"/>
    <w:rsid w:val="00296E36"/>
    <w:rsid w:val="00296E40"/>
    <w:rsid w:val="00296E9D"/>
    <w:rsid w:val="00296EBA"/>
    <w:rsid w:val="00296F29"/>
    <w:rsid w:val="0029708B"/>
    <w:rsid w:val="0029708D"/>
    <w:rsid w:val="00297214"/>
    <w:rsid w:val="00297269"/>
    <w:rsid w:val="00297447"/>
    <w:rsid w:val="002975BE"/>
    <w:rsid w:val="00297650"/>
    <w:rsid w:val="00297838"/>
    <w:rsid w:val="00297857"/>
    <w:rsid w:val="002978AB"/>
    <w:rsid w:val="002978DA"/>
    <w:rsid w:val="00297902"/>
    <w:rsid w:val="002979D1"/>
    <w:rsid w:val="00297A41"/>
    <w:rsid w:val="00297A67"/>
    <w:rsid w:val="00297A88"/>
    <w:rsid w:val="00297AB5"/>
    <w:rsid w:val="00297BE3"/>
    <w:rsid w:val="00297C5A"/>
    <w:rsid w:val="00297CAA"/>
    <w:rsid w:val="00297D5B"/>
    <w:rsid w:val="00297EBC"/>
    <w:rsid w:val="00297FC7"/>
    <w:rsid w:val="002A000B"/>
    <w:rsid w:val="002A005F"/>
    <w:rsid w:val="002A02EF"/>
    <w:rsid w:val="002A0306"/>
    <w:rsid w:val="002A0319"/>
    <w:rsid w:val="002A038A"/>
    <w:rsid w:val="002A03A1"/>
    <w:rsid w:val="002A03B2"/>
    <w:rsid w:val="002A0407"/>
    <w:rsid w:val="002A04B9"/>
    <w:rsid w:val="002A04FB"/>
    <w:rsid w:val="002A04FF"/>
    <w:rsid w:val="002A0619"/>
    <w:rsid w:val="002A0620"/>
    <w:rsid w:val="002A076F"/>
    <w:rsid w:val="002A0986"/>
    <w:rsid w:val="002A0A15"/>
    <w:rsid w:val="002A0A74"/>
    <w:rsid w:val="002A0A93"/>
    <w:rsid w:val="002A0D83"/>
    <w:rsid w:val="002A0DC4"/>
    <w:rsid w:val="002A0E6C"/>
    <w:rsid w:val="002A0E88"/>
    <w:rsid w:val="002A0EA1"/>
    <w:rsid w:val="002A1058"/>
    <w:rsid w:val="002A1358"/>
    <w:rsid w:val="002A1413"/>
    <w:rsid w:val="002A14B7"/>
    <w:rsid w:val="002A1527"/>
    <w:rsid w:val="002A160B"/>
    <w:rsid w:val="002A1647"/>
    <w:rsid w:val="002A180D"/>
    <w:rsid w:val="002A189C"/>
    <w:rsid w:val="002A19F2"/>
    <w:rsid w:val="002A1B27"/>
    <w:rsid w:val="002A1B65"/>
    <w:rsid w:val="002A1BD2"/>
    <w:rsid w:val="002A1C41"/>
    <w:rsid w:val="002A1C66"/>
    <w:rsid w:val="002A1C6E"/>
    <w:rsid w:val="002A1CA7"/>
    <w:rsid w:val="002A1D8D"/>
    <w:rsid w:val="002A202C"/>
    <w:rsid w:val="002A2061"/>
    <w:rsid w:val="002A20DA"/>
    <w:rsid w:val="002A222B"/>
    <w:rsid w:val="002A2276"/>
    <w:rsid w:val="002A233D"/>
    <w:rsid w:val="002A2403"/>
    <w:rsid w:val="002A259C"/>
    <w:rsid w:val="002A25E2"/>
    <w:rsid w:val="002A2810"/>
    <w:rsid w:val="002A2825"/>
    <w:rsid w:val="002A2947"/>
    <w:rsid w:val="002A2980"/>
    <w:rsid w:val="002A2A32"/>
    <w:rsid w:val="002A2A48"/>
    <w:rsid w:val="002A2A60"/>
    <w:rsid w:val="002A2A6A"/>
    <w:rsid w:val="002A2AAC"/>
    <w:rsid w:val="002A2B05"/>
    <w:rsid w:val="002A2B10"/>
    <w:rsid w:val="002A2B56"/>
    <w:rsid w:val="002A2B74"/>
    <w:rsid w:val="002A2C45"/>
    <w:rsid w:val="002A2C73"/>
    <w:rsid w:val="002A2C97"/>
    <w:rsid w:val="002A2D97"/>
    <w:rsid w:val="002A2DB6"/>
    <w:rsid w:val="002A2E01"/>
    <w:rsid w:val="002A2E30"/>
    <w:rsid w:val="002A2E3A"/>
    <w:rsid w:val="002A2E9B"/>
    <w:rsid w:val="002A2F20"/>
    <w:rsid w:val="002A2FF2"/>
    <w:rsid w:val="002A3001"/>
    <w:rsid w:val="002A3020"/>
    <w:rsid w:val="002A3048"/>
    <w:rsid w:val="002A313F"/>
    <w:rsid w:val="002A3160"/>
    <w:rsid w:val="002A320F"/>
    <w:rsid w:val="002A3213"/>
    <w:rsid w:val="002A324D"/>
    <w:rsid w:val="002A32B3"/>
    <w:rsid w:val="002A3387"/>
    <w:rsid w:val="002A342C"/>
    <w:rsid w:val="002A354B"/>
    <w:rsid w:val="002A369E"/>
    <w:rsid w:val="002A3880"/>
    <w:rsid w:val="002A38CB"/>
    <w:rsid w:val="002A39CF"/>
    <w:rsid w:val="002A3A15"/>
    <w:rsid w:val="002A3AB4"/>
    <w:rsid w:val="002A3B18"/>
    <w:rsid w:val="002A3BD8"/>
    <w:rsid w:val="002A3C95"/>
    <w:rsid w:val="002A3D90"/>
    <w:rsid w:val="002A3DDC"/>
    <w:rsid w:val="002A3EF9"/>
    <w:rsid w:val="002A3F33"/>
    <w:rsid w:val="002A3F3E"/>
    <w:rsid w:val="002A3FD1"/>
    <w:rsid w:val="002A40A1"/>
    <w:rsid w:val="002A410C"/>
    <w:rsid w:val="002A4118"/>
    <w:rsid w:val="002A423A"/>
    <w:rsid w:val="002A4287"/>
    <w:rsid w:val="002A42AD"/>
    <w:rsid w:val="002A4368"/>
    <w:rsid w:val="002A4369"/>
    <w:rsid w:val="002A4389"/>
    <w:rsid w:val="002A43D6"/>
    <w:rsid w:val="002A440E"/>
    <w:rsid w:val="002A442A"/>
    <w:rsid w:val="002A4625"/>
    <w:rsid w:val="002A464B"/>
    <w:rsid w:val="002A4658"/>
    <w:rsid w:val="002A467A"/>
    <w:rsid w:val="002A476D"/>
    <w:rsid w:val="002A4833"/>
    <w:rsid w:val="002A48B5"/>
    <w:rsid w:val="002A4A3B"/>
    <w:rsid w:val="002A4AB7"/>
    <w:rsid w:val="002A4B29"/>
    <w:rsid w:val="002A4C3C"/>
    <w:rsid w:val="002A4C4E"/>
    <w:rsid w:val="002A4DB2"/>
    <w:rsid w:val="002A4E8E"/>
    <w:rsid w:val="002A4FC2"/>
    <w:rsid w:val="002A520B"/>
    <w:rsid w:val="002A530B"/>
    <w:rsid w:val="002A535B"/>
    <w:rsid w:val="002A5476"/>
    <w:rsid w:val="002A54B8"/>
    <w:rsid w:val="002A54FD"/>
    <w:rsid w:val="002A563D"/>
    <w:rsid w:val="002A5667"/>
    <w:rsid w:val="002A56A2"/>
    <w:rsid w:val="002A5780"/>
    <w:rsid w:val="002A585E"/>
    <w:rsid w:val="002A5861"/>
    <w:rsid w:val="002A589A"/>
    <w:rsid w:val="002A59BE"/>
    <w:rsid w:val="002A5C88"/>
    <w:rsid w:val="002A5DDE"/>
    <w:rsid w:val="002A5E5B"/>
    <w:rsid w:val="002A5F26"/>
    <w:rsid w:val="002A61D4"/>
    <w:rsid w:val="002A6384"/>
    <w:rsid w:val="002A6465"/>
    <w:rsid w:val="002A6600"/>
    <w:rsid w:val="002A668C"/>
    <w:rsid w:val="002A6745"/>
    <w:rsid w:val="002A67BE"/>
    <w:rsid w:val="002A67E3"/>
    <w:rsid w:val="002A67EB"/>
    <w:rsid w:val="002A6809"/>
    <w:rsid w:val="002A68BE"/>
    <w:rsid w:val="002A6904"/>
    <w:rsid w:val="002A6972"/>
    <w:rsid w:val="002A6A3D"/>
    <w:rsid w:val="002A6B40"/>
    <w:rsid w:val="002A6B8F"/>
    <w:rsid w:val="002A6BF2"/>
    <w:rsid w:val="002A6C28"/>
    <w:rsid w:val="002A6C96"/>
    <w:rsid w:val="002A6CA4"/>
    <w:rsid w:val="002A6EAD"/>
    <w:rsid w:val="002A6EBC"/>
    <w:rsid w:val="002A6FA7"/>
    <w:rsid w:val="002A700B"/>
    <w:rsid w:val="002A706E"/>
    <w:rsid w:val="002A7070"/>
    <w:rsid w:val="002A710B"/>
    <w:rsid w:val="002A71BB"/>
    <w:rsid w:val="002A7322"/>
    <w:rsid w:val="002A73AD"/>
    <w:rsid w:val="002A74BE"/>
    <w:rsid w:val="002A74BF"/>
    <w:rsid w:val="002A754C"/>
    <w:rsid w:val="002A757E"/>
    <w:rsid w:val="002A75A0"/>
    <w:rsid w:val="002A7620"/>
    <w:rsid w:val="002A76EA"/>
    <w:rsid w:val="002A78E4"/>
    <w:rsid w:val="002A7913"/>
    <w:rsid w:val="002A7926"/>
    <w:rsid w:val="002A79AB"/>
    <w:rsid w:val="002A79CB"/>
    <w:rsid w:val="002A7AA8"/>
    <w:rsid w:val="002A7AED"/>
    <w:rsid w:val="002A7B4F"/>
    <w:rsid w:val="002A7B69"/>
    <w:rsid w:val="002A7C20"/>
    <w:rsid w:val="002A7C32"/>
    <w:rsid w:val="002A7C48"/>
    <w:rsid w:val="002A7CED"/>
    <w:rsid w:val="002A7DB1"/>
    <w:rsid w:val="002A7E43"/>
    <w:rsid w:val="002A7F00"/>
    <w:rsid w:val="002A7F9E"/>
    <w:rsid w:val="002B0004"/>
    <w:rsid w:val="002B0098"/>
    <w:rsid w:val="002B00A9"/>
    <w:rsid w:val="002B0211"/>
    <w:rsid w:val="002B029D"/>
    <w:rsid w:val="002B02E6"/>
    <w:rsid w:val="002B0375"/>
    <w:rsid w:val="002B039C"/>
    <w:rsid w:val="002B04F0"/>
    <w:rsid w:val="002B0520"/>
    <w:rsid w:val="002B0561"/>
    <w:rsid w:val="002B0629"/>
    <w:rsid w:val="002B0713"/>
    <w:rsid w:val="002B0724"/>
    <w:rsid w:val="002B0764"/>
    <w:rsid w:val="002B0965"/>
    <w:rsid w:val="002B096E"/>
    <w:rsid w:val="002B0D97"/>
    <w:rsid w:val="002B0DFB"/>
    <w:rsid w:val="002B0EC7"/>
    <w:rsid w:val="002B0EFF"/>
    <w:rsid w:val="002B1049"/>
    <w:rsid w:val="002B10EA"/>
    <w:rsid w:val="002B10EB"/>
    <w:rsid w:val="002B1140"/>
    <w:rsid w:val="002B11AE"/>
    <w:rsid w:val="002B12C5"/>
    <w:rsid w:val="002B1419"/>
    <w:rsid w:val="002B15A4"/>
    <w:rsid w:val="002B15C8"/>
    <w:rsid w:val="002B16B4"/>
    <w:rsid w:val="002B1A91"/>
    <w:rsid w:val="002B1B05"/>
    <w:rsid w:val="002B1B0E"/>
    <w:rsid w:val="002B1B88"/>
    <w:rsid w:val="002B1BFD"/>
    <w:rsid w:val="002B1C05"/>
    <w:rsid w:val="002B1D76"/>
    <w:rsid w:val="002B1D8B"/>
    <w:rsid w:val="002B1D98"/>
    <w:rsid w:val="002B1E03"/>
    <w:rsid w:val="002B1E51"/>
    <w:rsid w:val="002B1E84"/>
    <w:rsid w:val="002B1EAE"/>
    <w:rsid w:val="002B1FE0"/>
    <w:rsid w:val="002B2049"/>
    <w:rsid w:val="002B20B9"/>
    <w:rsid w:val="002B212F"/>
    <w:rsid w:val="002B21AE"/>
    <w:rsid w:val="002B21D6"/>
    <w:rsid w:val="002B2376"/>
    <w:rsid w:val="002B237F"/>
    <w:rsid w:val="002B23C4"/>
    <w:rsid w:val="002B23DE"/>
    <w:rsid w:val="002B24DF"/>
    <w:rsid w:val="002B25EB"/>
    <w:rsid w:val="002B272C"/>
    <w:rsid w:val="002B2736"/>
    <w:rsid w:val="002B276D"/>
    <w:rsid w:val="002B278E"/>
    <w:rsid w:val="002B27C4"/>
    <w:rsid w:val="002B27E5"/>
    <w:rsid w:val="002B27FB"/>
    <w:rsid w:val="002B283C"/>
    <w:rsid w:val="002B2942"/>
    <w:rsid w:val="002B2989"/>
    <w:rsid w:val="002B2999"/>
    <w:rsid w:val="002B2A56"/>
    <w:rsid w:val="002B2CBD"/>
    <w:rsid w:val="002B2D92"/>
    <w:rsid w:val="002B2DA7"/>
    <w:rsid w:val="002B2F48"/>
    <w:rsid w:val="002B2F61"/>
    <w:rsid w:val="002B2F91"/>
    <w:rsid w:val="002B3006"/>
    <w:rsid w:val="002B306B"/>
    <w:rsid w:val="002B3176"/>
    <w:rsid w:val="002B31F1"/>
    <w:rsid w:val="002B3220"/>
    <w:rsid w:val="002B32F2"/>
    <w:rsid w:val="002B3377"/>
    <w:rsid w:val="002B34B9"/>
    <w:rsid w:val="002B3632"/>
    <w:rsid w:val="002B36A9"/>
    <w:rsid w:val="002B3710"/>
    <w:rsid w:val="002B3755"/>
    <w:rsid w:val="002B37A2"/>
    <w:rsid w:val="002B37E9"/>
    <w:rsid w:val="002B3826"/>
    <w:rsid w:val="002B3848"/>
    <w:rsid w:val="002B3859"/>
    <w:rsid w:val="002B38DA"/>
    <w:rsid w:val="002B3950"/>
    <w:rsid w:val="002B3B34"/>
    <w:rsid w:val="002B3BD4"/>
    <w:rsid w:val="002B3BDF"/>
    <w:rsid w:val="002B3C17"/>
    <w:rsid w:val="002B3DE6"/>
    <w:rsid w:val="002B3E05"/>
    <w:rsid w:val="002B3E2B"/>
    <w:rsid w:val="002B403E"/>
    <w:rsid w:val="002B4048"/>
    <w:rsid w:val="002B4054"/>
    <w:rsid w:val="002B4142"/>
    <w:rsid w:val="002B4164"/>
    <w:rsid w:val="002B4264"/>
    <w:rsid w:val="002B42BB"/>
    <w:rsid w:val="002B42F4"/>
    <w:rsid w:val="002B4369"/>
    <w:rsid w:val="002B43CE"/>
    <w:rsid w:val="002B43D8"/>
    <w:rsid w:val="002B43F5"/>
    <w:rsid w:val="002B4514"/>
    <w:rsid w:val="002B45E5"/>
    <w:rsid w:val="002B4634"/>
    <w:rsid w:val="002B46B0"/>
    <w:rsid w:val="002B46C9"/>
    <w:rsid w:val="002B474D"/>
    <w:rsid w:val="002B47FC"/>
    <w:rsid w:val="002B4862"/>
    <w:rsid w:val="002B4970"/>
    <w:rsid w:val="002B49C4"/>
    <w:rsid w:val="002B4AD1"/>
    <w:rsid w:val="002B4B62"/>
    <w:rsid w:val="002B4C05"/>
    <w:rsid w:val="002B4C76"/>
    <w:rsid w:val="002B4CA9"/>
    <w:rsid w:val="002B4D02"/>
    <w:rsid w:val="002B4DAE"/>
    <w:rsid w:val="002B4DBB"/>
    <w:rsid w:val="002B4DE3"/>
    <w:rsid w:val="002B4E15"/>
    <w:rsid w:val="002B4E2F"/>
    <w:rsid w:val="002B4E4F"/>
    <w:rsid w:val="002B4E56"/>
    <w:rsid w:val="002B4E7A"/>
    <w:rsid w:val="002B4E9B"/>
    <w:rsid w:val="002B4EAC"/>
    <w:rsid w:val="002B4F15"/>
    <w:rsid w:val="002B4FBC"/>
    <w:rsid w:val="002B4FE0"/>
    <w:rsid w:val="002B5033"/>
    <w:rsid w:val="002B5042"/>
    <w:rsid w:val="002B50AF"/>
    <w:rsid w:val="002B514B"/>
    <w:rsid w:val="002B537A"/>
    <w:rsid w:val="002B540D"/>
    <w:rsid w:val="002B5517"/>
    <w:rsid w:val="002B55F3"/>
    <w:rsid w:val="002B5686"/>
    <w:rsid w:val="002B56A2"/>
    <w:rsid w:val="002B5715"/>
    <w:rsid w:val="002B576A"/>
    <w:rsid w:val="002B57A8"/>
    <w:rsid w:val="002B59BB"/>
    <w:rsid w:val="002B5A39"/>
    <w:rsid w:val="002B5B29"/>
    <w:rsid w:val="002B5B4D"/>
    <w:rsid w:val="002B5C1E"/>
    <w:rsid w:val="002B5CB7"/>
    <w:rsid w:val="002B5CBF"/>
    <w:rsid w:val="002B5D4D"/>
    <w:rsid w:val="002B5D86"/>
    <w:rsid w:val="002B5D89"/>
    <w:rsid w:val="002B5EDA"/>
    <w:rsid w:val="002B5FA7"/>
    <w:rsid w:val="002B61CD"/>
    <w:rsid w:val="002B61D2"/>
    <w:rsid w:val="002B61EC"/>
    <w:rsid w:val="002B6313"/>
    <w:rsid w:val="002B6442"/>
    <w:rsid w:val="002B64A0"/>
    <w:rsid w:val="002B6514"/>
    <w:rsid w:val="002B6567"/>
    <w:rsid w:val="002B656F"/>
    <w:rsid w:val="002B6672"/>
    <w:rsid w:val="002B66D2"/>
    <w:rsid w:val="002B6772"/>
    <w:rsid w:val="002B6917"/>
    <w:rsid w:val="002B6B26"/>
    <w:rsid w:val="002B6BB4"/>
    <w:rsid w:val="002B6C05"/>
    <w:rsid w:val="002B6D2E"/>
    <w:rsid w:val="002B6DD2"/>
    <w:rsid w:val="002B6DDB"/>
    <w:rsid w:val="002B6EBA"/>
    <w:rsid w:val="002B6F41"/>
    <w:rsid w:val="002B6F6C"/>
    <w:rsid w:val="002B70A6"/>
    <w:rsid w:val="002B70AD"/>
    <w:rsid w:val="002B7236"/>
    <w:rsid w:val="002B72E9"/>
    <w:rsid w:val="002B7353"/>
    <w:rsid w:val="002B73A8"/>
    <w:rsid w:val="002B74A1"/>
    <w:rsid w:val="002B7571"/>
    <w:rsid w:val="002B7580"/>
    <w:rsid w:val="002B7656"/>
    <w:rsid w:val="002B7758"/>
    <w:rsid w:val="002B7854"/>
    <w:rsid w:val="002B7B02"/>
    <w:rsid w:val="002B7C18"/>
    <w:rsid w:val="002B7C2B"/>
    <w:rsid w:val="002B7D1E"/>
    <w:rsid w:val="002B7D6F"/>
    <w:rsid w:val="002B7D87"/>
    <w:rsid w:val="002B7DA6"/>
    <w:rsid w:val="002B7F4E"/>
    <w:rsid w:val="002B7F77"/>
    <w:rsid w:val="002B7FC5"/>
    <w:rsid w:val="002C002F"/>
    <w:rsid w:val="002C0141"/>
    <w:rsid w:val="002C0158"/>
    <w:rsid w:val="002C01F1"/>
    <w:rsid w:val="002C02B1"/>
    <w:rsid w:val="002C0329"/>
    <w:rsid w:val="002C0465"/>
    <w:rsid w:val="002C04D6"/>
    <w:rsid w:val="002C0772"/>
    <w:rsid w:val="002C099A"/>
    <w:rsid w:val="002C0A11"/>
    <w:rsid w:val="002C0A30"/>
    <w:rsid w:val="002C0AC0"/>
    <w:rsid w:val="002C0AFF"/>
    <w:rsid w:val="002C0B17"/>
    <w:rsid w:val="002C0BB9"/>
    <w:rsid w:val="002C0CD5"/>
    <w:rsid w:val="002C0D02"/>
    <w:rsid w:val="002C0D92"/>
    <w:rsid w:val="002C0D94"/>
    <w:rsid w:val="002C0E19"/>
    <w:rsid w:val="002C0ED4"/>
    <w:rsid w:val="002C0F77"/>
    <w:rsid w:val="002C111E"/>
    <w:rsid w:val="002C1140"/>
    <w:rsid w:val="002C117E"/>
    <w:rsid w:val="002C119D"/>
    <w:rsid w:val="002C123D"/>
    <w:rsid w:val="002C125F"/>
    <w:rsid w:val="002C128A"/>
    <w:rsid w:val="002C12D4"/>
    <w:rsid w:val="002C13B5"/>
    <w:rsid w:val="002C14D9"/>
    <w:rsid w:val="002C14EA"/>
    <w:rsid w:val="002C1762"/>
    <w:rsid w:val="002C1813"/>
    <w:rsid w:val="002C188F"/>
    <w:rsid w:val="002C18D0"/>
    <w:rsid w:val="002C19DE"/>
    <w:rsid w:val="002C1AC2"/>
    <w:rsid w:val="002C1BF3"/>
    <w:rsid w:val="002C1CAC"/>
    <w:rsid w:val="002C1CEE"/>
    <w:rsid w:val="002C1D61"/>
    <w:rsid w:val="002C1E57"/>
    <w:rsid w:val="002C1FC4"/>
    <w:rsid w:val="002C20AD"/>
    <w:rsid w:val="002C20D6"/>
    <w:rsid w:val="002C21A9"/>
    <w:rsid w:val="002C2224"/>
    <w:rsid w:val="002C23A8"/>
    <w:rsid w:val="002C2405"/>
    <w:rsid w:val="002C2435"/>
    <w:rsid w:val="002C2474"/>
    <w:rsid w:val="002C25B7"/>
    <w:rsid w:val="002C26BD"/>
    <w:rsid w:val="002C2701"/>
    <w:rsid w:val="002C272B"/>
    <w:rsid w:val="002C2734"/>
    <w:rsid w:val="002C27D4"/>
    <w:rsid w:val="002C27D9"/>
    <w:rsid w:val="002C2851"/>
    <w:rsid w:val="002C29B4"/>
    <w:rsid w:val="002C2A89"/>
    <w:rsid w:val="002C2A93"/>
    <w:rsid w:val="002C2ABA"/>
    <w:rsid w:val="002C2B2E"/>
    <w:rsid w:val="002C2D20"/>
    <w:rsid w:val="002C2D5B"/>
    <w:rsid w:val="002C2DDE"/>
    <w:rsid w:val="002C2DF1"/>
    <w:rsid w:val="002C2E03"/>
    <w:rsid w:val="002C3081"/>
    <w:rsid w:val="002C30F9"/>
    <w:rsid w:val="002C3113"/>
    <w:rsid w:val="002C3130"/>
    <w:rsid w:val="002C31E3"/>
    <w:rsid w:val="002C323B"/>
    <w:rsid w:val="002C328A"/>
    <w:rsid w:val="002C3327"/>
    <w:rsid w:val="002C3397"/>
    <w:rsid w:val="002C33D1"/>
    <w:rsid w:val="002C3480"/>
    <w:rsid w:val="002C34C7"/>
    <w:rsid w:val="002C3559"/>
    <w:rsid w:val="002C35BB"/>
    <w:rsid w:val="002C364A"/>
    <w:rsid w:val="002C3696"/>
    <w:rsid w:val="002C3729"/>
    <w:rsid w:val="002C3764"/>
    <w:rsid w:val="002C3782"/>
    <w:rsid w:val="002C378D"/>
    <w:rsid w:val="002C3810"/>
    <w:rsid w:val="002C383E"/>
    <w:rsid w:val="002C3848"/>
    <w:rsid w:val="002C3A0A"/>
    <w:rsid w:val="002C3AB5"/>
    <w:rsid w:val="002C3B64"/>
    <w:rsid w:val="002C3C4C"/>
    <w:rsid w:val="002C3D4D"/>
    <w:rsid w:val="002C3DC3"/>
    <w:rsid w:val="002C3FCC"/>
    <w:rsid w:val="002C3FE2"/>
    <w:rsid w:val="002C400C"/>
    <w:rsid w:val="002C406B"/>
    <w:rsid w:val="002C40F7"/>
    <w:rsid w:val="002C4156"/>
    <w:rsid w:val="002C415A"/>
    <w:rsid w:val="002C41A3"/>
    <w:rsid w:val="002C4284"/>
    <w:rsid w:val="002C4296"/>
    <w:rsid w:val="002C42BE"/>
    <w:rsid w:val="002C42EF"/>
    <w:rsid w:val="002C435C"/>
    <w:rsid w:val="002C43B2"/>
    <w:rsid w:val="002C44B3"/>
    <w:rsid w:val="002C47BE"/>
    <w:rsid w:val="002C48EC"/>
    <w:rsid w:val="002C4956"/>
    <w:rsid w:val="002C4992"/>
    <w:rsid w:val="002C4A03"/>
    <w:rsid w:val="002C4B70"/>
    <w:rsid w:val="002C4B97"/>
    <w:rsid w:val="002C4C48"/>
    <w:rsid w:val="002C4C76"/>
    <w:rsid w:val="002C4CDF"/>
    <w:rsid w:val="002C4CF1"/>
    <w:rsid w:val="002C4D3B"/>
    <w:rsid w:val="002C4E65"/>
    <w:rsid w:val="002C4E6D"/>
    <w:rsid w:val="002C4E6E"/>
    <w:rsid w:val="002C4EA6"/>
    <w:rsid w:val="002C4F2B"/>
    <w:rsid w:val="002C4F35"/>
    <w:rsid w:val="002C4FC4"/>
    <w:rsid w:val="002C5009"/>
    <w:rsid w:val="002C5068"/>
    <w:rsid w:val="002C51D2"/>
    <w:rsid w:val="002C5298"/>
    <w:rsid w:val="002C5347"/>
    <w:rsid w:val="002C5416"/>
    <w:rsid w:val="002C5467"/>
    <w:rsid w:val="002C55E5"/>
    <w:rsid w:val="002C573F"/>
    <w:rsid w:val="002C586C"/>
    <w:rsid w:val="002C58D1"/>
    <w:rsid w:val="002C5BA1"/>
    <w:rsid w:val="002C5CE4"/>
    <w:rsid w:val="002C5E37"/>
    <w:rsid w:val="002C5F18"/>
    <w:rsid w:val="002C5FEA"/>
    <w:rsid w:val="002C603E"/>
    <w:rsid w:val="002C6045"/>
    <w:rsid w:val="002C6079"/>
    <w:rsid w:val="002C613F"/>
    <w:rsid w:val="002C617F"/>
    <w:rsid w:val="002C625A"/>
    <w:rsid w:val="002C6475"/>
    <w:rsid w:val="002C6573"/>
    <w:rsid w:val="002C657E"/>
    <w:rsid w:val="002C6657"/>
    <w:rsid w:val="002C6666"/>
    <w:rsid w:val="002C67A5"/>
    <w:rsid w:val="002C67CC"/>
    <w:rsid w:val="002C681C"/>
    <w:rsid w:val="002C690A"/>
    <w:rsid w:val="002C6A5D"/>
    <w:rsid w:val="002C6C17"/>
    <w:rsid w:val="002C6C49"/>
    <w:rsid w:val="002C6C78"/>
    <w:rsid w:val="002C6C85"/>
    <w:rsid w:val="002C6E52"/>
    <w:rsid w:val="002C6E5D"/>
    <w:rsid w:val="002C6F4A"/>
    <w:rsid w:val="002C6F50"/>
    <w:rsid w:val="002C7045"/>
    <w:rsid w:val="002C710C"/>
    <w:rsid w:val="002C7194"/>
    <w:rsid w:val="002C71A4"/>
    <w:rsid w:val="002C7227"/>
    <w:rsid w:val="002C72C6"/>
    <w:rsid w:val="002C73AB"/>
    <w:rsid w:val="002C746D"/>
    <w:rsid w:val="002C7482"/>
    <w:rsid w:val="002C752F"/>
    <w:rsid w:val="002C755A"/>
    <w:rsid w:val="002C76CC"/>
    <w:rsid w:val="002C7748"/>
    <w:rsid w:val="002C7752"/>
    <w:rsid w:val="002C7790"/>
    <w:rsid w:val="002C7844"/>
    <w:rsid w:val="002C785F"/>
    <w:rsid w:val="002C7960"/>
    <w:rsid w:val="002C7965"/>
    <w:rsid w:val="002C7974"/>
    <w:rsid w:val="002C7A58"/>
    <w:rsid w:val="002C7C5B"/>
    <w:rsid w:val="002C7CFA"/>
    <w:rsid w:val="002C7E6E"/>
    <w:rsid w:val="002C7FDC"/>
    <w:rsid w:val="002D00D1"/>
    <w:rsid w:val="002D00DA"/>
    <w:rsid w:val="002D0120"/>
    <w:rsid w:val="002D0180"/>
    <w:rsid w:val="002D01F6"/>
    <w:rsid w:val="002D0252"/>
    <w:rsid w:val="002D0547"/>
    <w:rsid w:val="002D058A"/>
    <w:rsid w:val="002D05DB"/>
    <w:rsid w:val="002D070A"/>
    <w:rsid w:val="002D084A"/>
    <w:rsid w:val="002D08BA"/>
    <w:rsid w:val="002D094E"/>
    <w:rsid w:val="002D0975"/>
    <w:rsid w:val="002D0991"/>
    <w:rsid w:val="002D09B9"/>
    <w:rsid w:val="002D0B4B"/>
    <w:rsid w:val="002D0BDB"/>
    <w:rsid w:val="002D0D65"/>
    <w:rsid w:val="002D0D74"/>
    <w:rsid w:val="002D0E74"/>
    <w:rsid w:val="002D0F76"/>
    <w:rsid w:val="002D1169"/>
    <w:rsid w:val="002D1188"/>
    <w:rsid w:val="002D11CD"/>
    <w:rsid w:val="002D11FC"/>
    <w:rsid w:val="002D12E7"/>
    <w:rsid w:val="002D14F8"/>
    <w:rsid w:val="002D154D"/>
    <w:rsid w:val="002D1665"/>
    <w:rsid w:val="002D166B"/>
    <w:rsid w:val="002D169A"/>
    <w:rsid w:val="002D16E3"/>
    <w:rsid w:val="002D1749"/>
    <w:rsid w:val="002D1757"/>
    <w:rsid w:val="002D17EA"/>
    <w:rsid w:val="002D181E"/>
    <w:rsid w:val="002D1844"/>
    <w:rsid w:val="002D1996"/>
    <w:rsid w:val="002D19F1"/>
    <w:rsid w:val="002D1A68"/>
    <w:rsid w:val="002D1A87"/>
    <w:rsid w:val="002D1A89"/>
    <w:rsid w:val="002D1A99"/>
    <w:rsid w:val="002D1AB1"/>
    <w:rsid w:val="002D1AC8"/>
    <w:rsid w:val="002D1AFF"/>
    <w:rsid w:val="002D1BB9"/>
    <w:rsid w:val="002D1C0C"/>
    <w:rsid w:val="002D1D6F"/>
    <w:rsid w:val="002D1DA9"/>
    <w:rsid w:val="002D1E3A"/>
    <w:rsid w:val="002D200E"/>
    <w:rsid w:val="002D2055"/>
    <w:rsid w:val="002D2082"/>
    <w:rsid w:val="002D20BF"/>
    <w:rsid w:val="002D2244"/>
    <w:rsid w:val="002D2459"/>
    <w:rsid w:val="002D245D"/>
    <w:rsid w:val="002D24E4"/>
    <w:rsid w:val="002D24FB"/>
    <w:rsid w:val="002D255C"/>
    <w:rsid w:val="002D25B0"/>
    <w:rsid w:val="002D2787"/>
    <w:rsid w:val="002D290F"/>
    <w:rsid w:val="002D2988"/>
    <w:rsid w:val="002D299D"/>
    <w:rsid w:val="002D2C19"/>
    <w:rsid w:val="002D2C2E"/>
    <w:rsid w:val="002D2D43"/>
    <w:rsid w:val="002D2E66"/>
    <w:rsid w:val="002D2E84"/>
    <w:rsid w:val="002D2EDE"/>
    <w:rsid w:val="002D2F37"/>
    <w:rsid w:val="002D2F3C"/>
    <w:rsid w:val="002D3024"/>
    <w:rsid w:val="002D30D2"/>
    <w:rsid w:val="002D32E2"/>
    <w:rsid w:val="002D3475"/>
    <w:rsid w:val="002D34D6"/>
    <w:rsid w:val="002D34EC"/>
    <w:rsid w:val="002D3530"/>
    <w:rsid w:val="002D361A"/>
    <w:rsid w:val="002D3622"/>
    <w:rsid w:val="002D3644"/>
    <w:rsid w:val="002D3699"/>
    <w:rsid w:val="002D36A4"/>
    <w:rsid w:val="002D36AA"/>
    <w:rsid w:val="002D376F"/>
    <w:rsid w:val="002D3827"/>
    <w:rsid w:val="002D383A"/>
    <w:rsid w:val="002D38F0"/>
    <w:rsid w:val="002D397A"/>
    <w:rsid w:val="002D39DD"/>
    <w:rsid w:val="002D3A8B"/>
    <w:rsid w:val="002D3A92"/>
    <w:rsid w:val="002D3DCF"/>
    <w:rsid w:val="002D3EB6"/>
    <w:rsid w:val="002D4080"/>
    <w:rsid w:val="002D40F4"/>
    <w:rsid w:val="002D412D"/>
    <w:rsid w:val="002D4137"/>
    <w:rsid w:val="002D41CA"/>
    <w:rsid w:val="002D41F7"/>
    <w:rsid w:val="002D4260"/>
    <w:rsid w:val="002D43C3"/>
    <w:rsid w:val="002D44D8"/>
    <w:rsid w:val="002D44F1"/>
    <w:rsid w:val="002D453D"/>
    <w:rsid w:val="002D4593"/>
    <w:rsid w:val="002D4698"/>
    <w:rsid w:val="002D4733"/>
    <w:rsid w:val="002D473C"/>
    <w:rsid w:val="002D476C"/>
    <w:rsid w:val="002D47AE"/>
    <w:rsid w:val="002D4900"/>
    <w:rsid w:val="002D491E"/>
    <w:rsid w:val="002D492D"/>
    <w:rsid w:val="002D4A0B"/>
    <w:rsid w:val="002D4A0F"/>
    <w:rsid w:val="002D4BA8"/>
    <w:rsid w:val="002D4BBC"/>
    <w:rsid w:val="002D4BFB"/>
    <w:rsid w:val="002D4C1E"/>
    <w:rsid w:val="002D4D38"/>
    <w:rsid w:val="002D4D9C"/>
    <w:rsid w:val="002D4DC5"/>
    <w:rsid w:val="002D4EB5"/>
    <w:rsid w:val="002D4ED3"/>
    <w:rsid w:val="002D4EF2"/>
    <w:rsid w:val="002D5047"/>
    <w:rsid w:val="002D5148"/>
    <w:rsid w:val="002D51F2"/>
    <w:rsid w:val="002D5212"/>
    <w:rsid w:val="002D52DB"/>
    <w:rsid w:val="002D52FC"/>
    <w:rsid w:val="002D537B"/>
    <w:rsid w:val="002D54AF"/>
    <w:rsid w:val="002D55FB"/>
    <w:rsid w:val="002D568F"/>
    <w:rsid w:val="002D56EC"/>
    <w:rsid w:val="002D573E"/>
    <w:rsid w:val="002D5798"/>
    <w:rsid w:val="002D5A9F"/>
    <w:rsid w:val="002D5AF7"/>
    <w:rsid w:val="002D5B83"/>
    <w:rsid w:val="002D5BA6"/>
    <w:rsid w:val="002D5BF0"/>
    <w:rsid w:val="002D5C2E"/>
    <w:rsid w:val="002D5CE1"/>
    <w:rsid w:val="002D5CE2"/>
    <w:rsid w:val="002D5DD4"/>
    <w:rsid w:val="002D5E6A"/>
    <w:rsid w:val="002D5E86"/>
    <w:rsid w:val="002D5E9B"/>
    <w:rsid w:val="002D5F71"/>
    <w:rsid w:val="002D600B"/>
    <w:rsid w:val="002D6304"/>
    <w:rsid w:val="002D6325"/>
    <w:rsid w:val="002D63A6"/>
    <w:rsid w:val="002D63BC"/>
    <w:rsid w:val="002D63C2"/>
    <w:rsid w:val="002D63F3"/>
    <w:rsid w:val="002D64CC"/>
    <w:rsid w:val="002D6511"/>
    <w:rsid w:val="002D6575"/>
    <w:rsid w:val="002D6595"/>
    <w:rsid w:val="002D65F9"/>
    <w:rsid w:val="002D6621"/>
    <w:rsid w:val="002D66F1"/>
    <w:rsid w:val="002D6742"/>
    <w:rsid w:val="002D6998"/>
    <w:rsid w:val="002D69A2"/>
    <w:rsid w:val="002D6AFE"/>
    <w:rsid w:val="002D6C05"/>
    <w:rsid w:val="002D6C88"/>
    <w:rsid w:val="002D6D0C"/>
    <w:rsid w:val="002D6D36"/>
    <w:rsid w:val="002D6D78"/>
    <w:rsid w:val="002D6D7B"/>
    <w:rsid w:val="002D6EA3"/>
    <w:rsid w:val="002D6EC6"/>
    <w:rsid w:val="002D6F4B"/>
    <w:rsid w:val="002D70EC"/>
    <w:rsid w:val="002D726B"/>
    <w:rsid w:val="002D728E"/>
    <w:rsid w:val="002D73BE"/>
    <w:rsid w:val="002D7484"/>
    <w:rsid w:val="002D7485"/>
    <w:rsid w:val="002D75A7"/>
    <w:rsid w:val="002D75CE"/>
    <w:rsid w:val="002D76DB"/>
    <w:rsid w:val="002D7716"/>
    <w:rsid w:val="002D786B"/>
    <w:rsid w:val="002D787A"/>
    <w:rsid w:val="002D78D7"/>
    <w:rsid w:val="002D78D8"/>
    <w:rsid w:val="002D79AB"/>
    <w:rsid w:val="002D7A6A"/>
    <w:rsid w:val="002D7AD9"/>
    <w:rsid w:val="002D7BB9"/>
    <w:rsid w:val="002D7C35"/>
    <w:rsid w:val="002D7C5F"/>
    <w:rsid w:val="002D7C64"/>
    <w:rsid w:val="002D7C71"/>
    <w:rsid w:val="002D7C75"/>
    <w:rsid w:val="002D7CC5"/>
    <w:rsid w:val="002D7D90"/>
    <w:rsid w:val="002D7E21"/>
    <w:rsid w:val="002D7EA0"/>
    <w:rsid w:val="002D7ECC"/>
    <w:rsid w:val="002E00C8"/>
    <w:rsid w:val="002E0158"/>
    <w:rsid w:val="002E0187"/>
    <w:rsid w:val="002E022C"/>
    <w:rsid w:val="002E031F"/>
    <w:rsid w:val="002E0358"/>
    <w:rsid w:val="002E05AF"/>
    <w:rsid w:val="002E0632"/>
    <w:rsid w:val="002E0963"/>
    <w:rsid w:val="002E0970"/>
    <w:rsid w:val="002E09CF"/>
    <w:rsid w:val="002E0A24"/>
    <w:rsid w:val="002E0A33"/>
    <w:rsid w:val="002E0A66"/>
    <w:rsid w:val="002E0AE1"/>
    <w:rsid w:val="002E0BA0"/>
    <w:rsid w:val="002E0BB7"/>
    <w:rsid w:val="002E0CD3"/>
    <w:rsid w:val="002E0D3E"/>
    <w:rsid w:val="002E0D87"/>
    <w:rsid w:val="002E0F15"/>
    <w:rsid w:val="002E1042"/>
    <w:rsid w:val="002E106E"/>
    <w:rsid w:val="002E112D"/>
    <w:rsid w:val="002E117F"/>
    <w:rsid w:val="002E1318"/>
    <w:rsid w:val="002E1399"/>
    <w:rsid w:val="002E13C1"/>
    <w:rsid w:val="002E1572"/>
    <w:rsid w:val="002E1587"/>
    <w:rsid w:val="002E1599"/>
    <w:rsid w:val="002E1630"/>
    <w:rsid w:val="002E1704"/>
    <w:rsid w:val="002E17AB"/>
    <w:rsid w:val="002E180E"/>
    <w:rsid w:val="002E1879"/>
    <w:rsid w:val="002E192B"/>
    <w:rsid w:val="002E1971"/>
    <w:rsid w:val="002E19AC"/>
    <w:rsid w:val="002E19E2"/>
    <w:rsid w:val="002E19FC"/>
    <w:rsid w:val="002E1A80"/>
    <w:rsid w:val="002E1AB2"/>
    <w:rsid w:val="002E1B35"/>
    <w:rsid w:val="002E1B6C"/>
    <w:rsid w:val="002E1BAF"/>
    <w:rsid w:val="002E1C00"/>
    <w:rsid w:val="002E1C4D"/>
    <w:rsid w:val="002E1CAE"/>
    <w:rsid w:val="002E1CB6"/>
    <w:rsid w:val="002E1DAF"/>
    <w:rsid w:val="002E1E5D"/>
    <w:rsid w:val="002E1E72"/>
    <w:rsid w:val="002E1EED"/>
    <w:rsid w:val="002E1EF0"/>
    <w:rsid w:val="002E2092"/>
    <w:rsid w:val="002E20BE"/>
    <w:rsid w:val="002E21AF"/>
    <w:rsid w:val="002E22AE"/>
    <w:rsid w:val="002E2329"/>
    <w:rsid w:val="002E2421"/>
    <w:rsid w:val="002E2485"/>
    <w:rsid w:val="002E25A4"/>
    <w:rsid w:val="002E2627"/>
    <w:rsid w:val="002E2667"/>
    <w:rsid w:val="002E2684"/>
    <w:rsid w:val="002E26F9"/>
    <w:rsid w:val="002E270E"/>
    <w:rsid w:val="002E27C6"/>
    <w:rsid w:val="002E28FC"/>
    <w:rsid w:val="002E291C"/>
    <w:rsid w:val="002E2929"/>
    <w:rsid w:val="002E299F"/>
    <w:rsid w:val="002E2A7A"/>
    <w:rsid w:val="002E2AE4"/>
    <w:rsid w:val="002E2B5E"/>
    <w:rsid w:val="002E2BC9"/>
    <w:rsid w:val="002E2F36"/>
    <w:rsid w:val="002E2F5C"/>
    <w:rsid w:val="002E300A"/>
    <w:rsid w:val="002E3092"/>
    <w:rsid w:val="002E3106"/>
    <w:rsid w:val="002E3110"/>
    <w:rsid w:val="002E313C"/>
    <w:rsid w:val="002E31FA"/>
    <w:rsid w:val="002E32D1"/>
    <w:rsid w:val="002E35CA"/>
    <w:rsid w:val="002E36AC"/>
    <w:rsid w:val="002E372D"/>
    <w:rsid w:val="002E3751"/>
    <w:rsid w:val="002E384D"/>
    <w:rsid w:val="002E3989"/>
    <w:rsid w:val="002E3A0E"/>
    <w:rsid w:val="002E3A6F"/>
    <w:rsid w:val="002E3BDE"/>
    <w:rsid w:val="002E3C5A"/>
    <w:rsid w:val="002E3C72"/>
    <w:rsid w:val="002E3CBB"/>
    <w:rsid w:val="002E4151"/>
    <w:rsid w:val="002E42E4"/>
    <w:rsid w:val="002E4359"/>
    <w:rsid w:val="002E4394"/>
    <w:rsid w:val="002E4693"/>
    <w:rsid w:val="002E47E5"/>
    <w:rsid w:val="002E4804"/>
    <w:rsid w:val="002E4878"/>
    <w:rsid w:val="002E4906"/>
    <w:rsid w:val="002E491D"/>
    <w:rsid w:val="002E4A6A"/>
    <w:rsid w:val="002E4B45"/>
    <w:rsid w:val="002E4C41"/>
    <w:rsid w:val="002E4CA3"/>
    <w:rsid w:val="002E4CFA"/>
    <w:rsid w:val="002E4DE3"/>
    <w:rsid w:val="002E4FCD"/>
    <w:rsid w:val="002E5002"/>
    <w:rsid w:val="002E5102"/>
    <w:rsid w:val="002E5117"/>
    <w:rsid w:val="002E5282"/>
    <w:rsid w:val="002E529F"/>
    <w:rsid w:val="002E5553"/>
    <w:rsid w:val="002E5640"/>
    <w:rsid w:val="002E5655"/>
    <w:rsid w:val="002E5657"/>
    <w:rsid w:val="002E577B"/>
    <w:rsid w:val="002E57DA"/>
    <w:rsid w:val="002E5897"/>
    <w:rsid w:val="002E59C2"/>
    <w:rsid w:val="002E5AF1"/>
    <w:rsid w:val="002E5B9F"/>
    <w:rsid w:val="002E5C71"/>
    <w:rsid w:val="002E5C8B"/>
    <w:rsid w:val="002E5D7B"/>
    <w:rsid w:val="002E5DA8"/>
    <w:rsid w:val="002E5E54"/>
    <w:rsid w:val="002E5F12"/>
    <w:rsid w:val="002E5FE6"/>
    <w:rsid w:val="002E600C"/>
    <w:rsid w:val="002E6063"/>
    <w:rsid w:val="002E60A5"/>
    <w:rsid w:val="002E61BE"/>
    <w:rsid w:val="002E64DD"/>
    <w:rsid w:val="002E657A"/>
    <w:rsid w:val="002E659D"/>
    <w:rsid w:val="002E67BC"/>
    <w:rsid w:val="002E6841"/>
    <w:rsid w:val="002E6847"/>
    <w:rsid w:val="002E6895"/>
    <w:rsid w:val="002E6906"/>
    <w:rsid w:val="002E6952"/>
    <w:rsid w:val="002E698F"/>
    <w:rsid w:val="002E6A44"/>
    <w:rsid w:val="002E6C83"/>
    <w:rsid w:val="002E6D39"/>
    <w:rsid w:val="002E6D7A"/>
    <w:rsid w:val="002E6E39"/>
    <w:rsid w:val="002E6EAA"/>
    <w:rsid w:val="002E6EFF"/>
    <w:rsid w:val="002E6F02"/>
    <w:rsid w:val="002E6F1B"/>
    <w:rsid w:val="002E703A"/>
    <w:rsid w:val="002E7099"/>
    <w:rsid w:val="002E70E1"/>
    <w:rsid w:val="002E714E"/>
    <w:rsid w:val="002E716F"/>
    <w:rsid w:val="002E71A9"/>
    <w:rsid w:val="002E71BD"/>
    <w:rsid w:val="002E73C2"/>
    <w:rsid w:val="002E75BC"/>
    <w:rsid w:val="002E7626"/>
    <w:rsid w:val="002E766F"/>
    <w:rsid w:val="002E77D9"/>
    <w:rsid w:val="002E77FD"/>
    <w:rsid w:val="002E784F"/>
    <w:rsid w:val="002E78B5"/>
    <w:rsid w:val="002E79CB"/>
    <w:rsid w:val="002E7A1E"/>
    <w:rsid w:val="002E7A7E"/>
    <w:rsid w:val="002E7A81"/>
    <w:rsid w:val="002E7AA3"/>
    <w:rsid w:val="002E7C0E"/>
    <w:rsid w:val="002E7C3E"/>
    <w:rsid w:val="002E7D62"/>
    <w:rsid w:val="002E7E6D"/>
    <w:rsid w:val="002E7F03"/>
    <w:rsid w:val="002E7F0D"/>
    <w:rsid w:val="002E7FA8"/>
    <w:rsid w:val="002F00A6"/>
    <w:rsid w:val="002F00B1"/>
    <w:rsid w:val="002F017B"/>
    <w:rsid w:val="002F01D5"/>
    <w:rsid w:val="002F028C"/>
    <w:rsid w:val="002F0298"/>
    <w:rsid w:val="002F02FC"/>
    <w:rsid w:val="002F037B"/>
    <w:rsid w:val="002F045F"/>
    <w:rsid w:val="002F0542"/>
    <w:rsid w:val="002F0547"/>
    <w:rsid w:val="002F0596"/>
    <w:rsid w:val="002F05DE"/>
    <w:rsid w:val="002F06D9"/>
    <w:rsid w:val="002F06E8"/>
    <w:rsid w:val="002F074C"/>
    <w:rsid w:val="002F07AF"/>
    <w:rsid w:val="002F085B"/>
    <w:rsid w:val="002F09D8"/>
    <w:rsid w:val="002F0BCB"/>
    <w:rsid w:val="002F0C0E"/>
    <w:rsid w:val="002F0C62"/>
    <w:rsid w:val="002F0CCF"/>
    <w:rsid w:val="002F0E8C"/>
    <w:rsid w:val="002F0E9A"/>
    <w:rsid w:val="002F106A"/>
    <w:rsid w:val="002F1120"/>
    <w:rsid w:val="002F1141"/>
    <w:rsid w:val="002F11AA"/>
    <w:rsid w:val="002F11FB"/>
    <w:rsid w:val="002F121B"/>
    <w:rsid w:val="002F126A"/>
    <w:rsid w:val="002F1325"/>
    <w:rsid w:val="002F137A"/>
    <w:rsid w:val="002F13F9"/>
    <w:rsid w:val="002F13FF"/>
    <w:rsid w:val="002F1509"/>
    <w:rsid w:val="002F15C2"/>
    <w:rsid w:val="002F164B"/>
    <w:rsid w:val="002F1677"/>
    <w:rsid w:val="002F16AF"/>
    <w:rsid w:val="002F16CF"/>
    <w:rsid w:val="002F1700"/>
    <w:rsid w:val="002F17D6"/>
    <w:rsid w:val="002F17DC"/>
    <w:rsid w:val="002F1961"/>
    <w:rsid w:val="002F1974"/>
    <w:rsid w:val="002F197D"/>
    <w:rsid w:val="002F1D3B"/>
    <w:rsid w:val="002F1E59"/>
    <w:rsid w:val="002F1EEC"/>
    <w:rsid w:val="002F20B4"/>
    <w:rsid w:val="002F2156"/>
    <w:rsid w:val="002F21E1"/>
    <w:rsid w:val="002F231A"/>
    <w:rsid w:val="002F238F"/>
    <w:rsid w:val="002F23FC"/>
    <w:rsid w:val="002F247B"/>
    <w:rsid w:val="002F248D"/>
    <w:rsid w:val="002F24D3"/>
    <w:rsid w:val="002F2530"/>
    <w:rsid w:val="002F2592"/>
    <w:rsid w:val="002F263E"/>
    <w:rsid w:val="002F26C9"/>
    <w:rsid w:val="002F2771"/>
    <w:rsid w:val="002F27CD"/>
    <w:rsid w:val="002F28B8"/>
    <w:rsid w:val="002F28F4"/>
    <w:rsid w:val="002F29DE"/>
    <w:rsid w:val="002F2A8F"/>
    <w:rsid w:val="002F2AAA"/>
    <w:rsid w:val="002F2AB9"/>
    <w:rsid w:val="002F2B2B"/>
    <w:rsid w:val="002F2BC7"/>
    <w:rsid w:val="002F2D48"/>
    <w:rsid w:val="002F2DA8"/>
    <w:rsid w:val="002F2E52"/>
    <w:rsid w:val="002F2F44"/>
    <w:rsid w:val="002F3061"/>
    <w:rsid w:val="002F30FA"/>
    <w:rsid w:val="002F32A2"/>
    <w:rsid w:val="002F32ED"/>
    <w:rsid w:val="002F3590"/>
    <w:rsid w:val="002F3838"/>
    <w:rsid w:val="002F383A"/>
    <w:rsid w:val="002F39AE"/>
    <w:rsid w:val="002F39D6"/>
    <w:rsid w:val="002F3A1F"/>
    <w:rsid w:val="002F3A77"/>
    <w:rsid w:val="002F3AB6"/>
    <w:rsid w:val="002F3BCA"/>
    <w:rsid w:val="002F3C7B"/>
    <w:rsid w:val="002F3CF3"/>
    <w:rsid w:val="002F3D58"/>
    <w:rsid w:val="002F3D62"/>
    <w:rsid w:val="002F3DC9"/>
    <w:rsid w:val="002F3EAC"/>
    <w:rsid w:val="002F400C"/>
    <w:rsid w:val="002F4017"/>
    <w:rsid w:val="002F426C"/>
    <w:rsid w:val="002F42D5"/>
    <w:rsid w:val="002F4475"/>
    <w:rsid w:val="002F4609"/>
    <w:rsid w:val="002F463A"/>
    <w:rsid w:val="002F4661"/>
    <w:rsid w:val="002F4756"/>
    <w:rsid w:val="002F47A6"/>
    <w:rsid w:val="002F4812"/>
    <w:rsid w:val="002F489A"/>
    <w:rsid w:val="002F48C9"/>
    <w:rsid w:val="002F495A"/>
    <w:rsid w:val="002F4AC9"/>
    <w:rsid w:val="002F4D04"/>
    <w:rsid w:val="002F4DA5"/>
    <w:rsid w:val="002F4DE9"/>
    <w:rsid w:val="002F4F1E"/>
    <w:rsid w:val="002F4FFF"/>
    <w:rsid w:val="002F500C"/>
    <w:rsid w:val="002F505E"/>
    <w:rsid w:val="002F50B7"/>
    <w:rsid w:val="002F50F7"/>
    <w:rsid w:val="002F52ED"/>
    <w:rsid w:val="002F5462"/>
    <w:rsid w:val="002F552C"/>
    <w:rsid w:val="002F55DE"/>
    <w:rsid w:val="002F569D"/>
    <w:rsid w:val="002F57AD"/>
    <w:rsid w:val="002F588F"/>
    <w:rsid w:val="002F58C5"/>
    <w:rsid w:val="002F5AAA"/>
    <w:rsid w:val="002F5B40"/>
    <w:rsid w:val="002F5B73"/>
    <w:rsid w:val="002F5BAA"/>
    <w:rsid w:val="002F5BD4"/>
    <w:rsid w:val="002F5D53"/>
    <w:rsid w:val="002F5D8C"/>
    <w:rsid w:val="002F5F27"/>
    <w:rsid w:val="002F6073"/>
    <w:rsid w:val="002F60F5"/>
    <w:rsid w:val="002F6161"/>
    <w:rsid w:val="002F633C"/>
    <w:rsid w:val="002F651F"/>
    <w:rsid w:val="002F6613"/>
    <w:rsid w:val="002F6792"/>
    <w:rsid w:val="002F685F"/>
    <w:rsid w:val="002F68DC"/>
    <w:rsid w:val="002F6958"/>
    <w:rsid w:val="002F6A38"/>
    <w:rsid w:val="002F6AC2"/>
    <w:rsid w:val="002F6AD3"/>
    <w:rsid w:val="002F6C69"/>
    <w:rsid w:val="002F6D95"/>
    <w:rsid w:val="002F6EBB"/>
    <w:rsid w:val="002F7116"/>
    <w:rsid w:val="002F714D"/>
    <w:rsid w:val="002F7219"/>
    <w:rsid w:val="002F7406"/>
    <w:rsid w:val="002F7434"/>
    <w:rsid w:val="002F74F3"/>
    <w:rsid w:val="002F7548"/>
    <w:rsid w:val="002F7555"/>
    <w:rsid w:val="002F765D"/>
    <w:rsid w:val="002F7685"/>
    <w:rsid w:val="002F7695"/>
    <w:rsid w:val="002F76A1"/>
    <w:rsid w:val="002F76A3"/>
    <w:rsid w:val="002F775A"/>
    <w:rsid w:val="002F7808"/>
    <w:rsid w:val="002F78BB"/>
    <w:rsid w:val="002F78FA"/>
    <w:rsid w:val="002F797B"/>
    <w:rsid w:val="002F79D7"/>
    <w:rsid w:val="002F7A0A"/>
    <w:rsid w:val="002F7A2D"/>
    <w:rsid w:val="002F7CBE"/>
    <w:rsid w:val="002F7D00"/>
    <w:rsid w:val="002F7D05"/>
    <w:rsid w:val="002F7DF0"/>
    <w:rsid w:val="002F7E08"/>
    <w:rsid w:val="002F7E11"/>
    <w:rsid w:val="002F7E36"/>
    <w:rsid w:val="002F7EB4"/>
    <w:rsid w:val="002F7EE5"/>
    <w:rsid w:val="002F7F47"/>
    <w:rsid w:val="002F7F5C"/>
    <w:rsid w:val="002F7FB0"/>
    <w:rsid w:val="002F7FC3"/>
    <w:rsid w:val="002F7FD5"/>
    <w:rsid w:val="00300112"/>
    <w:rsid w:val="0030012F"/>
    <w:rsid w:val="003001F6"/>
    <w:rsid w:val="0030030C"/>
    <w:rsid w:val="00300338"/>
    <w:rsid w:val="0030035F"/>
    <w:rsid w:val="003004AD"/>
    <w:rsid w:val="0030054E"/>
    <w:rsid w:val="0030056B"/>
    <w:rsid w:val="003005D8"/>
    <w:rsid w:val="003005DA"/>
    <w:rsid w:val="003005FB"/>
    <w:rsid w:val="003006F8"/>
    <w:rsid w:val="0030078A"/>
    <w:rsid w:val="003007E6"/>
    <w:rsid w:val="00300856"/>
    <w:rsid w:val="003008B0"/>
    <w:rsid w:val="003009BD"/>
    <w:rsid w:val="003009E5"/>
    <w:rsid w:val="00300A2D"/>
    <w:rsid w:val="00300AC6"/>
    <w:rsid w:val="00300B5D"/>
    <w:rsid w:val="00300D88"/>
    <w:rsid w:val="00300EDD"/>
    <w:rsid w:val="00300F2D"/>
    <w:rsid w:val="0030100F"/>
    <w:rsid w:val="003011CA"/>
    <w:rsid w:val="003011D7"/>
    <w:rsid w:val="003011F6"/>
    <w:rsid w:val="0030127E"/>
    <w:rsid w:val="00301364"/>
    <w:rsid w:val="0030137E"/>
    <w:rsid w:val="003013B2"/>
    <w:rsid w:val="003013E7"/>
    <w:rsid w:val="00301444"/>
    <w:rsid w:val="00301476"/>
    <w:rsid w:val="003017B3"/>
    <w:rsid w:val="00301872"/>
    <w:rsid w:val="00301878"/>
    <w:rsid w:val="003018E1"/>
    <w:rsid w:val="003019D9"/>
    <w:rsid w:val="00301A88"/>
    <w:rsid w:val="00301AC3"/>
    <w:rsid w:val="00301B2C"/>
    <w:rsid w:val="00301C68"/>
    <w:rsid w:val="00301D60"/>
    <w:rsid w:val="00301D67"/>
    <w:rsid w:val="00301F23"/>
    <w:rsid w:val="003020CC"/>
    <w:rsid w:val="00302351"/>
    <w:rsid w:val="0030238A"/>
    <w:rsid w:val="0030242F"/>
    <w:rsid w:val="00302468"/>
    <w:rsid w:val="003024F2"/>
    <w:rsid w:val="0030266A"/>
    <w:rsid w:val="003026C2"/>
    <w:rsid w:val="003026D5"/>
    <w:rsid w:val="003026D6"/>
    <w:rsid w:val="003026EB"/>
    <w:rsid w:val="00302757"/>
    <w:rsid w:val="0030276D"/>
    <w:rsid w:val="00302907"/>
    <w:rsid w:val="003029D3"/>
    <w:rsid w:val="003029FA"/>
    <w:rsid w:val="00302A0B"/>
    <w:rsid w:val="00302A27"/>
    <w:rsid w:val="00302A74"/>
    <w:rsid w:val="00302A8F"/>
    <w:rsid w:val="00302AD8"/>
    <w:rsid w:val="00302ADF"/>
    <w:rsid w:val="00302B24"/>
    <w:rsid w:val="00302B89"/>
    <w:rsid w:val="00302C26"/>
    <w:rsid w:val="00302CDD"/>
    <w:rsid w:val="00302CFC"/>
    <w:rsid w:val="00302D1A"/>
    <w:rsid w:val="00302D48"/>
    <w:rsid w:val="00302D91"/>
    <w:rsid w:val="00302E42"/>
    <w:rsid w:val="00302ED7"/>
    <w:rsid w:val="00302F82"/>
    <w:rsid w:val="00303021"/>
    <w:rsid w:val="00303036"/>
    <w:rsid w:val="00303186"/>
    <w:rsid w:val="0030321C"/>
    <w:rsid w:val="003032B4"/>
    <w:rsid w:val="00303383"/>
    <w:rsid w:val="00303385"/>
    <w:rsid w:val="00303447"/>
    <w:rsid w:val="003034DB"/>
    <w:rsid w:val="00303540"/>
    <w:rsid w:val="0030361F"/>
    <w:rsid w:val="00303690"/>
    <w:rsid w:val="003036BC"/>
    <w:rsid w:val="003036CF"/>
    <w:rsid w:val="00303705"/>
    <w:rsid w:val="0030385F"/>
    <w:rsid w:val="0030391B"/>
    <w:rsid w:val="00303A30"/>
    <w:rsid w:val="00303A92"/>
    <w:rsid w:val="00303B76"/>
    <w:rsid w:val="00303B90"/>
    <w:rsid w:val="00303C03"/>
    <w:rsid w:val="00303C83"/>
    <w:rsid w:val="00303D4B"/>
    <w:rsid w:val="00303D72"/>
    <w:rsid w:val="00303E85"/>
    <w:rsid w:val="00303EFE"/>
    <w:rsid w:val="003041D4"/>
    <w:rsid w:val="00304222"/>
    <w:rsid w:val="003042A8"/>
    <w:rsid w:val="003047FD"/>
    <w:rsid w:val="0030482F"/>
    <w:rsid w:val="0030483F"/>
    <w:rsid w:val="00304890"/>
    <w:rsid w:val="00304A08"/>
    <w:rsid w:val="00304AB9"/>
    <w:rsid w:val="00304AF9"/>
    <w:rsid w:val="00304B77"/>
    <w:rsid w:val="00304BAA"/>
    <w:rsid w:val="00304C20"/>
    <w:rsid w:val="00304C76"/>
    <w:rsid w:val="00304C8A"/>
    <w:rsid w:val="00304E94"/>
    <w:rsid w:val="00305036"/>
    <w:rsid w:val="00305159"/>
    <w:rsid w:val="003051E3"/>
    <w:rsid w:val="003051E7"/>
    <w:rsid w:val="0030521B"/>
    <w:rsid w:val="00305274"/>
    <w:rsid w:val="00305305"/>
    <w:rsid w:val="00305347"/>
    <w:rsid w:val="003054E4"/>
    <w:rsid w:val="00305606"/>
    <w:rsid w:val="003056A1"/>
    <w:rsid w:val="003057B0"/>
    <w:rsid w:val="0030584B"/>
    <w:rsid w:val="0030584F"/>
    <w:rsid w:val="00305A3B"/>
    <w:rsid w:val="00305A54"/>
    <w:rsid w:val="00305A71"/>
    <w:rsid w:val="00305B06"/>
    <w:rsid w:val="00305B98"/>
    <w:rsid w:val="00305C3C"/>
    <w:rsid w:val="00305CF0"/>
    <w:rsid w:val="00305DC1"/>
    <w:rsid w:val="00305E18"/>
    <w:rsid w:val="00305E44"/>
    <w:rsid w:val="00305F16"/>
    <w:rsid w:val="0030601B"/>
    <w:rsid w:val="0030610B"/>
    <w:rsid w:val="0030612E"/>
    <w:rsid w:val="0030614B"/>
    <w:rsid w:val="00306248"/>
    <w:rsid w:val="003062B6"/>
    <w:rsid w:val="0030635E"/>
    <w:rsid w:val="00306470"/>
    <w:rsid w:val="003065AC"/>
    <w:rsid w:val="0030662F"/>
    <w:rsid w:val="0030673A"/>
    <w:rsid w:val="003067A1"/>
    <w:rsid w:val="003068E0"/>
    <w:rsid w:val="00306B60"/>
    <w:rsid w:val="00306B66"/>
    <w:rsid w:val="00306B79"/>
    <w:rsid w:val="00306C81"/>
    <w:rsid w:val="00306CC2"/>
    <w:rsid w:val="00306D0A"/>
    <w:rsid w:val="00306D0D"/>
    <w:rsid w:val="00306DA6"/>
    <w:rsid w:val="00306EF3"/>
    <w:rsid w:val="00307004"/>
    <w:rsid w:val="003070CE"/>
    <w:rsid w:val="003070FF"/>
    <w:rsid w:val="00307143"/>
    <w:rsid w:val="0030716F"/>
    <w:rsid w:val="00307187"/>
    <w:rsid w:val="0030736E"/>
    <w:rsid w:val="00307406"/>
    <w:rsid w:val="003074E0"/>
    <w:rsid w:val="003074E6"/>
    <w:rsid w:val="00307503"/>
    <w:rsid w:val="00307552"/>
    <w:rsid w:val="0030756F"/>
    <w:rsid w:val="0030759B"/>
    <w:rsid w:val="003076D7"/>
    <w:rsid w:val="003076D9"/>
    <w:rsid w:val="00307869"/>
    <w:rsid w:val="00307879"/>
    <w:rsid w:val="00307945"/>
    <w:rsid w:val="00307A82"/>
    <w:rsid w:val="00307B80"/>
    <w:rsid w:val="00307C3A"/>
    <w:rsid w:val="00307C47"/>
    <w:rsid w:val="00307D77"/>
    <w:rsid w:val="00307DE9"/>
    <w:rsid w:val="00307E87"/>
    <w:rsid w:val="00307F2B"/>
    <w:rsid w:val="0030BB41"/>
    <w:rsid w:val="003100A6"/>
    <w:rsid w:val="003100F4"/>
    <w:rsid w:val="0031010C"/>
    <w:rsid w:val="00310193"/>
    <w:rsid w:val="00310265"/>
    <w:rsid w:val="00310370"/>
    <w:rsid w:val="003103BA"/>
    <w:rsid w:val="00310520"/>
    <w:rsid w:val="0031065D"/>
    <w:rsid w:val="0031066C"/>
    <w:rsid w:val="0031070A"/>
    <w:rsid w:val="00310881"/>
    <w:rsid w:val="003108FB"/>
    <w:rsid w:val="00310A13"/>
    <w:rsid w:val="00310AF3"/>
    <w:rsid w:val="00310B0A"/>
    <w:rsid w:val="00310CAC"/>
    <w:rsid w:val="00310CEE"/>
    <w:rsid w:val="00310D71"/>
    <w:rsid w:val="00310D90"/>
    <w:rsid w:val="00310DC4"/>
    <w:rsid w:val="00310EE3"/>
    <w:rsid w:val="00310F83"/>
    <w:rsid w:val="00311008"/>
    <w:rsid w:val="0031102F"/>
    <w:rsid w:val="00311190"/>
    <w:rsid w:val="003111A3"/>
    <w:rsid w:val="00311228"/>
    <w:rsid w:val="003112EF"/>
    <w:rsid w:val="003112FE"/>
    <w:rsid w:val="00311484"/>
    <w:rsid w:val="0031154A"/>
    <w:rsid w:val="0031160E"/>
    <w:rsid w:val="00311785"/>
    <w:rsid w:val="00311792"/>
    <w:rsid w:val="00311864"/>
    <w:rsid w:val="003118E5"/>
    <w:rsid w:val="00311984"/>
    <w:rsid w:val="00311989"/>
    <w:rsid w:val="00311A10"/>
    <w:rsid w:val="00311A7D"/>
    <w:rsid w:val="00311A9B"/>
    <w:rsid w:val="00311BAB"/>
    <w:rsid w:val="00311C09"/>
    <w:rsid w:val="00311D44"/>
    <w:rsid w:val="00311D9A"/>
    <w:rsid w:val="00311DD7"/>
    <w:rsid w:val="00311E5E"/>
    <w:rsid w:val="00311ED5"/>
    <w:rsid w:val="00311F50"/>
    <w:rsid w:val="00311FD2"/>
    <w:rsid w:val="003120F8"/>
    <w:rsid w:val="00312137"/>
    <w:rsid w:val="003121C1"/>
    <w:rsid w:val="00312208"/>
    <w:rsid w:val="0031228E"/>
    <w:rsid w:val="00312355"/>
    <w:rsid w:val="00312391"/>
    <w:rsid w:val="00312441"/>
    <w:rsid w:val="00312452"/>
    <w:rsid w:val="003124F4"/>
    <w:rsid w:val="003126B5"/>
    <w:rsid w:val="003126E6"/>
    <w:rsid w:val="00312780"/>
    <w:rsid w:val="00312AA0"/>
    <w:rsid w:val="00312EE2"/>
    <w:rsid w:val="00312F2B"/>
    <w:rsid w:val="00312F6A"/>
    <w:rsid w:val="00312F71"/>
    <w:rsid w:val="00312FFE"/>
    <w:rsid w:val="003130CA"/>
    <w:rsid w:val="00313162"/>
    <w:rsid w:val="003131B7"/>
    <w:rsid w:val="00313209"/>
    <w:rsid w:val="0031335A"/>
    <w:rsid w:val="0031339E"/>
    <w:rsid w:val="0031352E"/>
    <w:rsid w:val="00313557"/>
    <w:rsid w:val="003135B8"/>
    <w:rsid w:val="00313792"/>
    <w:rsid w:val="003138B9"/>
    <w:rsid w:val="00313912"/>
    <w:rsid w:val="00313A4E"/>
    <w:rsid w:val="00313A60"/>
    <w:rsid w:val="00313AB9"/>
    <w:rsid w:val="00313B9D"/>
    <w:rsid w:val="00313C01"/>
    <w:rsid w:val="00313C85"/>
    <w:rsid w:val="00313CF4"/>
    <w:rsid w:val="00313CFD"/>
    <w:rsid w:val="00313E90"/>
    <w:rsid w:val="00313ED6"/>
    <w:rsid w:val="00313F22"/>
    <w:rsid w:val="00314093"/>
    <w:rsid w:val="00314263"/>
    <w:rsid w:val="003143D9"/>
    <w:rsid w:val="00314440"/>
    <w:rsid w:val="00314481"/>
    <w:rsid w:val="00314543"/>
    <w:rsid w:val="003145B4"/>
    <w:rsid w:val="003146A2"/>
    <w:rsid w:val="003146C7"/>
    <w:rsid w:val="003146E2"/>
    <w:rsid w:val="003146F8"/>
    <w:rsid w:val="00314785"/>
    <w:rsid w:val="003147A5"/>
    <w:rsid w:val="00314AD7"/>
    <w:rsid w:val="00314B7B"/>
    <w:rsid w:val="00314B95"/>
    <w:rsid w:val="00314C69"/>
    <w:rsid w:val="00314EC2"/>
    <w:rsid w:val="00314F8D"/>
    <w:rsid w:val="00314FD3"/>
    <w:rsid w:val="003150D0"/>
    <w:rsid w:val="0031511F"/>
    <w:rsid w:val="00315141"/>
    <w:rsid w:val="00315148"/>
    <w:rsid w:val="0031520F"/>
    <w:rsid w:val="00315214"/>
    <w:rsid w:val="003152A5"/>
    <w:rsid w:val="003155B1"/>
    <w:rsid w:val="00315665"/>
    <w:rsid w:val="003156B0"/>
    <w:rsid w:val="00315753"/>
    <w:rsid w:val="003158C6"/>
    <w:rsid w:val="00315A1B"/>
    <w:rsid w:val="00315A6C"/>
    <w:rsid w:val="00315B9B"/>
    <w:rsid w:val="00315BF0"/>
    <w:rsid w:val="00315C0D"/>
    <w:rsid w:val="00315C25"/>
    <w:rsid w:val="00315CAA"/>
    <w:rsid w:val="00315E62"/>
    <w:rsid w:val="00315FEF"/>
    <w:rsid w:val="00316030"/>
    <w:rsid w:val="003160B7"/>
    <w:rsid w:val="003161A5"/>
    <w:rsid w:val="003164D1"/>
    <w:rsid w:val="003165DE"/>
    <w:rsid w:val="00316692"/>
    <w:rsid w:val="003166E2"/>
    <w:rsid w:val="00316742"/>
    <w:rsid w:val="0031676B"/>
    <w:rsid w:val="0031678D"/>
    <w:rsid w:val="003167E1"/>
    <w:rsid w:val="003168EA"/>
    <w:rsid w:val="003169DE"/>
    <w:rsid w:val="00316A53"/>
    <w:rsid w:val="00316A96"/>
    <w:rsid w:val="00316AA6"/>
    <w:rsid w:val="00316AAD"/>
    <w:rsid w:val="00316B44"/>
    <w:rsid w:val="00316BC8"/>
    <w:rsid w:val="00316D28"/>
    <w:rsid w:val="00316E17"/>
    <w:rsid w:val="00316EE8"/>
    <w:rsid w:val="00316FB7"/>
    <w:rsid w:val="00316FBE"/>
    <w:rsid w:val="00316FC9"/>
    <w:rsid w:val="0031707E"/>
    <w:rsid w:val="003170A1"/>
    <w:rsid w:val="003170A2"/>
    <w:rsid w:val="003170EC"/>
    <w:rsid w:val="00317151"/>
    <w:rsid w:val="003172F1"/>
    <w:rsid w:val="003173E6"/>
    <w:rsid w:val="00317406"/>
    <w:rsid w:val="0031745D"/>
    <w:rsid w:val="003175C0"/>
    <w:rsid w:val="0031767B"/>
    <w:rsid w:val="003179BA"/>
    <w:rsid w:val="003179C0"/>
    <w:rsid w:val="003179D6"/>
    <w:rsid w:val="00317ADC"/>
    <w:rsid w:val="00317B19"/>
    <w:rsid w:val="00317B61"/>
    <w:rsid w:val="00317CFC"/>
    <w:rsid w:val="00317D6B"/>
    <w:rsid w:val="00317DC6"/>
    <w:rsid w:val="00317E13"/>
    <w:rsid w:val="00317E33"/>
    <w:rsid w:val="00317F78"/>
    <w:rsid w:val="00317FC4"/>
    <w:rsid w:val="00320154"/>
    <w:rsid w:val="00320287"/>
    <w:rsid w:val="00320397"/>
    <w:rsid w:val="003203AA"/>
    <w:rsid w:val="003203E9"/>
    <w:rsid w:val="00320507"/>
    <w:rsid w:val="00320568"/>
    <w:rsid w:val="003206A1"/>
    <w:rsid w:val="003206D0"/>
    <w:rsid w:val="00320748"/>
    <w:rsid w:val="003207C4"/>
    <w:rsid w:val="00320A3D"/>
    <w:rsid w:val="00320B22"/>
    <w:rsid w:val="00320BEA"/>
    <w:rsid w:val="00320C9C"/>
    <w:rsid w:val="00320C9F"/>
    <w:rsid w:val="00320DE3"/>
    <w:rsid w:val="00320E29"/>
    <w:rsid w:val="00320E38"/>
    <w:rsid w:val="00320EB6"/>
    <w:rsid w:val="00320F0C"/>
    <w:rsid w:val="00320F15"/>
    <w:rsid w:val="0032106C"/>
    <w:rsid w:val="003210A0"/>
    <w:rsid w:val="003211AF"/>
    <w:rsid w:val="0032121B"/>
    <w:rsid w:val="00321342"/>
    <w:rsid w:val="003213C5"/>
    <w:rsid w:val="00321406"/>
    <w:rsid w:val="003214F8"/>
    <w:rsid w:val="00321502"/>
    <w:rsid w:val="0032151E"/>
    <w:rsid w:val="003215B1"/>
    <w:rsid w:val="0032166C"/>
    <w:rsid w:val="003216E8"/>
    <w:rsid w:val="0032170F"/>
    <w:rsid w:val="003217E5"/>
    <w:rsid w:val="00321863"/>
    <w:rsid w:val="00321A23"/>
    <w:rsid w:val="00321A8B"/>
    <w:rsid w:val="00321B33"/>
    <w:rsid w:val="00321C03"/>
    <w:rsid w:val="00321CA7"/>
    <w:rsid w:val="00321CC0"/>
    <w:rsid w:val="00321D3F"/>
    <w:rsid w:val="00321DBA"/>
    <w:rsid w:val="00321DCD"/>
    <w:rsid w:val="00321E32"/>
    <w:rsid w:val="00321EF4"/>
    <w:rsid w:val="00321F34"/>
    <w:rsid w:val="003221BF"/>
    <w:rsid w:val="0032229B"/>
    <w:rsid w:val="00322349"/>
    <w:rsid w:val="00322383"/>
    <w:rsid w:val="00322499"/>
    <w:rsid w:val="003224C2"/>
    <w:rsid w:val="0032254D"/>
    <w:rsid w:val="0032254E"/>
    <w:rsid w:val="003225E0"/>
    <w:rsid w:val="00322632"/>
    <w:rsid w:val="00322668"/>
    <w:rsid w:val="00322678"/>
    <w:rsid w:val="00322715"/>
    <w:rsid w:val="0032271B"/>
    <w:rsid w:val="00322811"/>
    <w:rsid w:val="0032299B"/>
    <w:rsid w:val="003229D8"/>
    <w:rsid w:val="00322A35"/>
    <w:rsid w:val="00322C14"/>
    <w:rsid w:val="00322D1A"/>
    <w:rsid w:val="00322E72"/>
    <w:rsid w:val="00322EA0"/>
    <w:rsid w:val="00322EC6"/>
    <w:rsid w:val="00322FB9"/>
    <w:rsid w:val="003230BD"/>
    <w:rsid w:val="00323152"/>
    <w:rsid w:val="003231B9"/>
    <w:rsid w:val="00323304"/>
    <w:rsid w:val="003233AF"/>
    <w:rsid w:val="00323544"/>
    <w:rsid w:val="0032354C"/>
    <w:rsid w:val="00323557"/>
    <w:rsid w:val="0032356D"/>
    <w:rsid w:val="003235F3"/>
    <w:rsid w:val="0032373B"/>
    <w:rsid w:val="00323794"/>
    <w:rsid w:val="00323834"/>
    <w:rsid w:val="00323931"/>
    <w:rsid w:val="00323980"/>
    <w:rsid w:val="003239EF"/>
    <w:rsid w:val="00323D4D"/>
    <w:rsid w:val="00323DB8"/>
    <w:rsid w:val="00323DBF"/>
    <w:rsid w:val="00323E3C"/>
    <w:rsid w:val="00323F6D"/>
    <w:rsid w:val="0032415D"/>
    <w:rsid w:val="003241BC"/>
    <w:rsid w:val="0032421F"/>
    <w:rsid w:val="003242E6"/>
    <w:rsid w:val="003243AF"/>
    <w:rsid w:val="003243ED"/>
    <w:rsid w:val="00324475"/>
    <w:rsid w:val="0032451C"/>
    <w:rsid w:val="00324706"/>
    <w:rsid w:val="0032479B"/>
    <w:rsid w:val="00324805"/>
    <w:rsid w:val="00324903"/>
    <w:rsid w:val="00324994"/>
    <w:rsid w:val="0032499E"/>
    <w:rsid w:val="003249F8"/>
    <w:rsid w:val="00324A6C"/>
    <w:rsid w:val="00324B44"/>
    <w:rsid w:val="00324BF7"/>
    <w:rsid w:val="00324C8B"/>
    <w:rsid w:val="00324DA5"/>
    <w:rsid w:val="00324F68"/>
    <w:rsid w:val="0032500A"/>
    <w:rsid w:val="0032529A"/>
    <w:rsid w:val="003252D9"/>
    <w:rsid w:val="003252DD"/>
    <w:rsid w:val="00325332"/>
    <w:rsid w:val="0032539F"/>
    <w:rsid w:val="0032541D"/>
    <w:rsid w:val="003254C0"/>
    <w:rsid w:val="003254DA"/>
    <w:rsid w:val="0032550B"/>
    <w:rsid w:val="00325515"/>
    <w:rsid w:val="00325544"/>
    <w:rsid w:val="003256FE"/>
    <w:rsid w:val="00325835"/>
    <w:rsid w:val="0032590F"/>
    <w:rsid w:val="0032593D"/>
    <w:rsid w:val="0032594C"/>
    <w:rsid w:val="00325964"/>
    <w:rsid w:val="0032596F"/>
    <w:rsid w:val="00325A34"/>
    <w:rsid w:val="00325A69"/>
    <w:rsid w:val="00325B9A"/>
    <w:rsid w:val="00325BE9"/>
    <w:rsid w:val="00325C19"/>
    <w:rsid w:val="00325C61"/>
    <w:rsid w:val="00325F19"/>
    <w:rsid w:val="00325FF4"/>
    <w:rsid w:val="00326050"/>
    <w:rsid w:val="003261DE"/>
    <w:rsid w:val="003261E6"/>
    <w:rsid w:val="003262DB"/>
    <w:rsid w:val="0032636C"/>
    <w:rsid w:val="00326383"/>
    <w:rsid w:val="00326390"/>
    <w:rsid w:val="003263D2"/>
    <w:rsid w:val="003263D7"/>
    <w:rsid w:val="00326486"/>
    <w:rsid w:val="003264D2"/>
    <w:rsid w:val="003264E4"/>
    <w:rsid w:val="00326539"/>
    <w:rsid w:val="0032657B"/>
    <w:rsid w:val="003265EB"/>
    <w:rsid w:val="003266B8"/>
    <w:rsid w:val="0032674F"/>
    <w:rsid w:val="00326784"/>
    <w:rsid w:val="0032685D"/>
    <w:rsid w:val="003268CE"/>
    <w:rsid w:val="00326932"/>
    <w:rsid w:val="003269CA"/>
    <w:rsid w:val="003269EB"/>
    <w:rsid w:val="00326A38"/>
    <w:rsid w:val="00326AD9"/>
    <w:rsid w:val="00326BE4"/>
    <w:rsid w:val="00326D2A"/>
    <w:rsid w:val="00326D51"/>
    <w:rsid w:val="00326DB4"/>
    <w:rsid w:val="00326F5E"/>
    <w:rsid w:val="00326FBC"/>
    <w:rsid w:val="00326FC3"/>
    <w:rsid w:val="00326FDE"/>
    <w:rsid w:val="00326FE4"/>
    <w:rsid w:val="00326FEB"/>
    <w:rsid w:val="00327070"/>
    <w:rsid w:val="003270CF"/>
    <w:rsid w:val="00327226"/>
    <w:rsid w:val="003272E9"/>
    <w:rsid w:val="00327320"/>
    <w:rsid w:val="00327390"/>
    <w:rsid w:val="00327393"/>
    <w:rsid w:val="0032755F"/>
    <w:rsid w:val="003276F9"/>
    <w:rsid w:val="003276FE"/>
    <w:rsid w:val="00327722"/>
    <w:rsid w:val="0032775A"/>
    <w:rsid w:val="003277FD"/>
    <w:rsid w:val="00327804"/>
    <w:rsid w:val="00327833"/>
    <w:rsid w:val="00327846"/>
    <w:rsid w:val="00327BB9"/>
    <w:rsid w:val="00327BE4"/>
    <w:rsid w:val="00327C19"/>
    <w:rsid w:val="00327C1C"/>
    <w:rsid w:val="00327EE9"/>
    <w:rsid w:val="00330043"/>
    <w:rsid w:val="003301C8"/>
    <w:rsid w:val="00330473"/>
    <w:rsid w:val="00330650"/>
    <w:rsid w:val="003306DB"/>
    <w:rsid w:val="00330717"/>
    <w:rsid w:val="00330741"/>
    <w:rsid w:val="00330763"/>
    <w:rsid w:val="00330972"/>
    <w:rsid w:val="00330B48"/>
    <w:rsid w:val="00330BA1"/>
    <w:rsid w:val="00330C16"/>
    <w:rsid w:val="00330EEA"/>
    <w:rsid w:val="00330F48"/>
    <w:rsid w:val="0033108D"/>
    <w:rsid w:val="003311AA"/>
    <w:rsid w:val="00331241"/>
    <w:rsid w:val="00331291"/>
    <w:rsid w:val="003312FF"/>
    <w:rsid w:val="003314D0"/>
    <w:rsid w:val="00331538"/>
    <w:rsid w:val="003315AA"/>
    <w:rsid w:val="003315AE"/>
    <w:rsid w:val="003315BD"/>
    <w:rsid w:val="0033168F"/>
    <w:rsid w:val="003316CB"/>
    <w:rsid w:val="00331715"/>
    <w:rsid w:val="00331750"/>
    <w:rsid w:val="003317CA"/>
    <w:rsid w:val="003317D0"/>
    <w:rsid w:val="0033181A"/>
    <w:rsid w:val="00331936"/>
    <w:rsid w:val="00331988"/>
    <w:rsid w:val="003319A7"/>
    <w:rsid w:val="00331B8C"/>
    <w:rsid w:val="00331BCB"/>
    <w:rsid w:val="00331D0A"/>
    <w:rsid w:val="00331D1F"/>
    <w:rsid w:val="00331D44"/>
    <w:rsid w:val="00331D77"/>
    <w:rsid w:val="00331DE4"/>
    <w:rsid w:val="00331ED5"/>
    <w:rsid w:val="00331FC0"/>
    <w:rsid w:val="00331FEF"/>
    <w:rsid w:val="00332002"/>
    <w:rsid w:val="00332274"/>
    <w:rsid w:val="0033237F"/>
    <w:rsid w:val="003324D8"/>
    <w:rsid w:val="003324E3"/>
    <w:rsid w:val="003326B3"/>
    <w:rsid w:val="003327FE"/>
    <w:rsid w:val="00332813"/>
    <w:rsid w:val="0033281D"/>
    <w:rsid w:val="003328B0"/>
    <w:rsid w:val="00332951"/>
    <w:rsid w:val="003329C6"/>
    <w:rsid w:val="00332A13"/>
    <w:rsid w:val="00332A1E"/>
    <w:rsid w:val="00332B43"/>
    <w:rsid w:val="00332BE2"/>
    <w:rsid w:val="00332C33"/>
    <w:rsid w:val="00332C74"/>
    <w:rsid w:val="00332CF3"/>
    <w:rsid w:val="00332D7A"/>
    <w:rsid w:val="00332EC3"/>
    <w:rsid w:val="00332FAC"/>
    <w:rsid w:val="00333087"/>
    <w:rsid w:val="003330A6"/>
    <w:rsid w:val="003331F7"/>
    <w:rsid w:val="003331FD"/>
    <w:rsid w:val="00333239"/>
    <w:rsid w:val="00333537"/>
    <w:rsid w:val="003335A5"/>
    <w:rsid w:val="00333670"/>
    <w:rsid w:val="00333733"/>
    <w:rsid w:val="0033376B"/>
    <w:rsid w:val="003337D0"/>
    <w:rsid w:val="00333893"/>
    <w:rsid w:val="003338F8"/>
    <w:rsid w:val="003339C4"/>
    <w:rsid w:val="00333BF1"/>
    <w:rsid w:val="00333D29"/>
    <w:rsid w:val="00333D41"/>
    <w:rsid w:val="00333E4A"/>
    <w:rsid w:val="00333E85"/>
    <w:rsid w:val="00333F64"/>
    <w:rsid w:val="003340F1"/>
    <w:rsid w:val="00334106"/>
    <w:rsid w:val="0033419C"/>
    <w:rsid w:val="003341C7"/>
    <w:rsid w:val="00334458"/>
    <w:rsid w:val="00334513"/>
    <w:rsid w:val="00334597"/>
    <w:rsid w:val="00334837"/>
    <w:rsid w:val="00334C69"/>
    <w:rsid w:val="00334CB2"/>
    <w:rsid w:val="00334D95"/>
    <w:rsid w:val="00334E87"/>
    <w:rsid w:val="00334F5E"/>
    <w:rsid w:val="00334FB0"/>
    <w:rsid w:val="0033501B"/>
    <w:rsid w:val="0033505E"/>
    <w:rsid w:val="003350CF"/>
    <w:rsid w:val="003351BC"/>
    <w:rsid w:val="00335397"/>
    <w:rsid w:val="003354C8"/>
    <w:rsid w:val="00335566"/>
    <w:rsid w:val="0033583A"/>
    <w:rsid w:val="003358B1"/>
    <w:rsid w:val="00335937"/>
    <w:rsid w:val="003359B9"/>
    <w:rsid w:val="003359BA"/>
    <w:rsid w:val="003359C5"/>
    <w:rsid w:val="003359FE"/>
    <w:rsid w:val="00335A88"/>
    <w:rsid w:val="00335B82"/>
    <w:rsid w:val="00335B8E"/>
    <w:rsid w:val="00335C3E"/>
    <w:rsid w:val="00335C9B"/>
    <w:rsid w:val="00335F51"/>
    <w:rsid w:val="00335F8C"/>
    <w:rsid w:val="00335FAC"/>
    <w:rsid w:val="00335FB4"/>
    <w:rsid w:val="003360AE"/>
    <w:rsid w:val="003361C2"/>
    <w:rsid w:val="003361DD"/>
    <w:rsid w:val="00336322"/>
    <w:rsid w:val="00336360"/>
    <w:rsid w:val="00336366"/>
    <w:rsid w:val="00336408"/>
    <w:rsid w:val="003364AE"/>
    <w:rsid w:val="0033668A"/>
    <w:rsid w:val="0033685C"/>
    <w:rsid w:val="00336934"/>
    <w:rsid w:val="00336A10"/>
    <w:rsid w:val="00336D14"/>
    <w:rsid w:val="00336D29"/>
    <w:rsid w:val="00336D41"/>
    <w:rsid w:val="00336D77"/>
    <w:rsid w:val="00336DC1"/>
    <w:rsid w:val="00336E86"/>
    <w:rsid w:val="00336ED4"/>
    <w:rsid w:val="00336F43"/>
    <w:rsid w:val="00336FC7"/>
    <w:rsid w:val="00337080"/>
    <w:rsid w:val="00337156"/>
    <w:rsid w:val="003371DC"/>
    <w:rsid w:val="00337294"/>
    <w:rsid w:val="003372B4"/>
    <w:rsid w:val="003373CC"/>
    <w:rsid w:val="003374F1"/>
    <w:rsid w:val="00337573"/>
    <w:rsid w:val="00337576"/>
    <w:rsid w:val="00337586"/>
    <w:rsid w:val="003375BA"/>
    <w:rsid w:val="00337680"/>
    <w:rsid w:val="003376CF"/>
    <w:rsid w:val="003376F5"/>
    <w:rsid w:val="003377F2"/>
    <w:rsid w:val="00337885"/>
    <w:rsid w:val="00337AA2"/>
    <w:rsid w:val="00337B05"/>
    <w:rsid w:val="00337B07"/>
    <w:rsid w:val="00337B89"/>
    <w:rsid w:val="00337C92"/>
    <w:rsid w:val="00337CD7"/>
    <w:rsid w:val="00337D75"/>
    <w:rsid w:val="00337D8F"/>
    <w:rsid w:val="00337F7E"/>
    <w:rsid w:val="00337FFE"/>
    <w:rsid w:val="0034002E"/>
    <w:rsid w:val="00340056"/>
    <w:rsid w:val="003400D7"/>
    <w:rsid w:val="0034020C"/>
    <w:rsid w:val="00340231"/>
    <w:rsid w:val="00340248"/>
    <w:rsid w:val="00340418"/>
    <w:rsid w:val="003405C9"/>
    <w:rsid w:val="00340618"/>
    <w:rsid w:val="0034061E"/>
    <w:rsid w:val="003406B4"/>
    <w:rsid w:val="00340723"/>
    <w:rsid w:val="003407A0"/>
    <w:rsid w:val="003407F7"/>
    <w:rsid w:val="00340946"/>
    <w:rsid w:val="00340974"/>
    <w:rsid w:val="00340A0A"/>
    <w:rsid w:val="00340A0B"/>
    <w:rsid w:val="00340B66"/>
    <w:rsid w:val="00340BBA"/>
    <w:rsid w:val="00340C14"/>
    <w:rsid w:val="00340C1B"/>
    <w:rsid w:val="00340C24"/>
    <w:rsid w:val="00340CA3"/>
    <w:rsid w:val="00340F2E"/>
    <w:rsid w:val="00340F50"/>
    <w:rsid w:val="00340FD7"/>
    <w:rsid w:val="00341000"/>
    <w:rsid w:val="00341001"/>
    <w:rsid w:val="00341058"/>
    <w:rsid w:val="00341067"/>
    <w:rsid w:val="0034117A"/>
    <w:rsid w:val="00341259"/>
    <w:rsid w:val="00341315"/>
    <w:rsid w:val="00341389"/>
    <w:rsid w:val="00341474"/>
    <w:rsid w:val="003415B4"/>
    <w:rsid w:val="00341699"/>
    <w:rsid w:val="0034173F"/>
    <w:rsid w:val="00341952"/>
    <w:rsid w:val="003419CD"/>
    <w:rsid w:val="00341B0E"/>
    <w:rsid w:val="00341B5A"/>
    <w:rsid w:val="00341B94"/>
    <w:rsid w:val="00341C07"/>
    <w:rsid w:val="00341C7B"/>
    <w:rsid w:val="00341C8A"/>
    <w:rsid w:val="00341D4B"/>
    <w:rsid w:val="00341DA4"/>
    <w:rsid w:val="00341F51"/>
    <w:rsid w:val="00341FD2"/>
    <w:rsid w:val="00342051"/>
    <w:rsid w:val="00342087"/>
    <w:rsid w:val="003421BC"/>
    <w:rsid w:val="00342294"/>
    <w:rsid w:val="0034230B"/>
    <w:rsid w:val="0034234E"/>
    <w:rsid w:val="00342378"/>
    <w:rsid w:val="00342382"/>
    <w:rsid w:val="003423E3"/>
    <w:rsid w:val="003425C3"/>
    <w:rsid w:val="00342681"/>
    <w:rsid w:val="0034279F"/>
    <w:rsid w:val="0034282D"/>
    <w:rsid w:val="003428B1"/>
    <w:rsid w:val="003429E8"/>
    <w:rsid w:val="00342A4E"/>
    <w:rsid w:val="00342A4F"/>
    <w:rsid w:val="00342B3B"/>
    <w:rsid w:val="00342C2B"/>
    <w:rsid w:val="00342C4E"/>
    <w:rsid w:val="00342EED"/>
    <w:rsid w:val="00342F03"/>
    <w:rsid w:val="00342F2B"/>
    <w:rsid w:val="00342F92"/>
    <w:rsid w:val="00342F9E"/>
    <w:rsid w:val="00343062"/>
    <w:rsid w:val="0034306F"/>
    <w:rsid w:val="00343074"/>
    <w:rsid w:val="0034320A"/>
    <w:rsid w:val="00343467"/>
    <w:rsid w:val="0034347B"/>
    <w:rsid w:val="003434CD"/>
    <w:rsid w:val="00343523"/>
    <w:rsid w:val="0034354E"/>
    <w:rsid w:val="0034382A"/>
    <w:rsid w:val="00343880"/>
    <w:rsid w:val="00343931"/>
    <w:rsid w:val="0034396F"/>
    <w:rsid w:val="003439BD"/>
    <w:rsid w:val="00343B04"/>
    <w:rsid w:val="00343B2B"/>
    <w:rsid w:val="00343BA6"/>
    <w:rsid w:val="00343BBA"/>
    <w:rsid w:val="00343C2D"/>
    <w:rsid w:val="00343C56"/>
    <w:rsid w:val="00343C62"/>
    <w:rsid w:val="00343D5A"/>
    <w:rsid w:val="00343EE3"/>
    <w:rsid w:val="00343F30"/>
    <w:rsid w:val="00343F35"/>
    <w:rsid w:val="0034405E"/>
    <w:rsid w:val="003440C1"/>
    <w:rsid w:val="0034411E"/>
    <w:rsid w:val="00344157"/>
    <w:rsid w:val="0034415F"/>
    <w:rsid w:val="0034419C"/>
    <w:rsid w:val="003442AC"/>
    <w:rsid w:val="003442F1"/>
    <w:rsid w:val="003443F3"/>
    <w:rsid w:val="00344430"/>
    <w:rsid w:val="00344449"/>
    <w:rsid w:val="0034449D"/>
    <w:rsid w:val="003445C6"/>
    <w:rsid w:val="003445CA"/>
    <w:rsid w:val="00344627"/>
    <w:rsid w:val="00344657"/>
    <w:rsid w:val="00344679"/>
    <w:rsid w:val="003447C8"/>
    <w:rsid w:val="003447CA"/>
    <w:rsid w:val="0034486D"/>
    <w:rsid w:val="003448B3"/>
    <w:rsid w:val="0034496D"/>
    <w:rsid w:val="00344ACC"/>
    <w:rsid w:val="00344BE6"/>
    <w:rsid w:val="00344C02"/>
    <w:rsid w:val="00344C53"/>
    <w:rsid w:val="00344D0C"/>
    <w:rsid w:val="00344DE7"/>
    <w:rsid w:val="00344E4B"/>
    <w:rsid w:val="00344EE6"/>
    <w:rsid w:val="00344F2B"/>
    <w:rsid w:val="00344FC9"/>
    <w:rsid w:val="003450C4"/>
    <w:rsid w:val="003451E5"/>
    <w:rsid w:val="00345318"/>
    <w:rsid w:val="0034537E"/>
    <w:rsid w:val="0034555A"/>
    <w:rsid w:val="003455CD"/>
    <w:rsid w:val="003456DC"/>
    <w:rsid w:val="00345858"/>
    <w:rsid w:val="003458C6"/>
    <w:rsid w:val="003458E8"/>
    <w:rsid w:val="0034593A"/>
    <w:rsid w:val="0034599B"/>
    <w:rsid w:val="003459ED"/>
    <w:rsid w:val="00345A30"/>
    <w:rsid w:val="00345B11"/>
    <w:rsid w:val="00345B6F"/>
    <w:rsid w:val="00345DF2"/>
    <w:rsid w:val="00345EB0"/>
    <w:rsid w:val="00345FAA"/>
    <w:rsid w:val="00345FFD"/>
    <w:rsid w:val="00346008"/>
    <w:rsid w:val="00346018"/>
    <w:rsid w:val="00346270"/>
    <w:rsid w:val="00346351"/>
    <w:rsid w:val="003463AD"/>
    <w:rsid w:val="003463C4"/>
    <w:rsid w:val="00346454"/>
    <w:rsid w:val="00346470"/>
    <w:rsid w:val="003464EE"/>
    <w:rsid w:val="003465AA"/>
    <w:rsid w:val="003466BA"/>
    <w:rsid w:val="003466D5"/>
    <w:rsid w:val="00346730"/>
    <w:rsid w:val="00346980"/>
    <w:rsid w:val="00346994"/>
    <w:rsid w:val="00346B1D"/>
    <w:rsid w:val="00346BB0"/>
    <w:rsid w:val="00346DE2"/>
    <w:rsid w:val="00346E89"/>
    <w:rsid w:val="00346EC8"/>
    <w:rsid w:val="00346F70"/>
    <w:rsid w:val="00346F9F"/>
    <w:rsid w:val="00346FDD"/>
    <w:rsid w:val="00347022"/>
    <w:rsid w:val="003470E7"/>
    <w:rsid w:val="00347225"/>
    <w:rsid w:val="00347399"/>
    <w:rsid w:val="00347580"/>
    <w:rsid w:val="003475CD"/>
    <w:rsid w:val="00347604"/>
    <w:rsid w:val="00347620"/>
    <w:rsid w:val="003476DA"/>
    <w:rsid w:val="00347797"/>
    <w:rsid w:val="00347971"/>
    <w:rsid w:val="003479CB"/>
    <w:rsid w:val="00347A5C"/>
    <w:rsid w:val="00347B24"/>
    <w:rsid w:val="00347B79"/>
    <w:rsid w:val="00347C48"/>
    <w:rsid w:val="00347C7E"/>
    <w:rsid w:val="00347C8C"/>
    <w:rsid w:val="00347D4C"/>
    <w:rsid w:val="00347D87"/>
    <w:rsid w:val="00347EF6"/>
    <w:rsid w:val="00347F56"/>
    <w:rsid w:val="00347FDC"/>
    <w:rsid w:val="0035015D"/>
    <w:rsid w:val="00350195"/>
    <w:rsid w:val="003501E5"/>
    <w:rsid w:val="003502B3"/>
    <w:rsid w:val="00350304"/>
    <w:rsid w:val="00350318"/>
    <w:rsid w:val="0035036F"/>
    <w:rsid w:val="003503DA"/>
    <w:rsid w:val="00350429"/>
    <w:rsid w:val="0035060D"/>
    <w:rsid w:val="003506BA"/>
    <w:rsid w:val="00350756"/>
    <w:rsid w:val="003507FB"/>
    <w:rsid w:val="0035080F"/>
    <w:rsid w:val="003508A6"/>
    <w:rsid w:val="00350931"/>
    <w:rsid w:val="0035098A"/>
    <w:rsid w:val="003509B2"/>
    <w:rsid w:val="003509F5"/>
    <w:rsid w:val="00350A8E"/>
    <w:rsid w:val="00350B12"/>
    <w:rsid w:val="00350C5B"/>
    <w:rsid w:val="00350C8F"/>
    <w:rsid w:val="00350E29"/>
    <w:rsid w:val="00350F7A"/>
    <w:rsid w:val="00350FD4"/>
    <w:rsid w:val="00350FFE"/>
    <w:rsid w:val="0035114C"/>
    <w:rsid w:val="00351346"/>
    <w:rsid w:val="003514ED"/>
    <w:rsid w:val="003515C0"/>
    <w:rsid w:val="003515EB"/>
    <w:rsid w:val="00351633"/>
    <w:rsid w:val="003516E1"/>
    <w:rsid w:val="003517AE"/>
    <w:rsid w:val="00351817"/>
    <w:rsid w:val="00351895"/>
    <w:rsid w:val="00351A26"/>
    <w:rsid w:val="00351A53"/>
    <w:rsid w:val="00351DA4"/>
    <w:rsid w:val="00351DDF"/>
    <w:rsid w:val="00351F64"/>
    <w:rsid w:val="00351FAF"/>
    <w:rsid w:val="00351FB3"/>
    <w:rsid w:val="00352038"/>
    <w:rsid w:val="003521F5"/>
    <w:rsid w:val="0035225A"/>
    <w:rsid w:val="00352379"/>
    <w:rsid w:val="0035241D"/>
    <w:rsid w:val="003524B2"/>
    <w:rsid w:val="00352602"/>
    <w:rsid w:val="00352622"/>
    <w:rsid w:val="0035267C"/>
    <w:rsid w:val="00352789"/>
    <w:rsid w:val="003527F5"/>
    <w:rsid w:val="003528A1"/>
    <w:rsid w:val="00352942"/>
    <w:rsid w:val="003529F5"/>
    <w:rsid w:val="003529FE"/>
    <w:rsid w:val="00352BF7"/>
    <w:rsid w:val="00352C4D"/>
    <w:rsid w:val="00352C7A"/>
    <w:rsid w:val="00352CAC"/>
    <w:rsid w:val="00352D8E"/>
    <w:rsid w:val="00352DD6"/>
    <w:rsid w:val="00352E4B"/>
    <w:rsid w:val="00352F7C"/>
    <w:rsid w:val="00352FC5"/>
    <w:rsid w:val="003530A3"/>
    <w:rsid w:val="003530F6"/>
    <w:rsid w:val="0035316B"/>
    <w:rsid w:val="0035318F"/>
    <w:rsid w:val="003531B3"/>
    <w:rsid w:val="00353550"/>
    <w:rsid w:val="003535D2"/>
    <w:rsid w:val="0035373D"/>
    <w:rsid w:val="003537E4"/>
    <w:rsid w:val="00353817"/>
    <w:rsid w:val="00353956"/>
    <w:rsid w:val="00353957"/>
    <w:rsid w:val="00353968"/>
    <w:rsid w:val="003539B7"/>
    <w:rsid w:val="00353A3D"/>
    <w:rsid w:val="00353BF2"/>
    <w:rsid w:val="00353C40"/>
    <w:rsid w:val="00353CEB"/>
    <w:rsid w:val="00353D9D"/>
    <w:rsid w:val="00353E28"/>
    <w:rsid w:val="00353FCD"/>
    <w:rsid w:val="0035407F"/>
    <w:rsid w:val="003540F6"/>
    <w:rsid w:val="0035422C"/>
    <w:rsid w:val="00354487"/>
    <w:rsid w:val="003544E4"/>
    <w:rsid w:val="0035453C"/>
    <w:rsid w:val="00354665"/>
    <w:rsid w:val="003546DB"/>
    <w:rsid w:val="003546F5"/>
    <w:rsid w:val="003547E6"/>
    <w:rsid w:val="003547E8"/>
    <w:rsid w:val="00354834"/>
    <w:rsid w:val="0035489A"/>
    <w:rsid w:val="00354905"/>
    <w:rsid w:val="00354B73"/>
    <w:rsid w:val="00354C0D"/>
    <w:rsid w:val="00354C43"/>
    <w:rsid w:val="00354CB3"/>
    <w:rsid w:val="00354ED4"/>
    <w:rsid w:val="00354F22"/>
    <w:rsid w:val="00355009"/>
    <w:rsid w:val="0035526D"/>
    <w:rsid w:val="003552A7"/>
    <w:rsid w:val="003552D3"/>
    <w:rsid w:val="00355436"/>
    <w:rsid w:val="00355514"/>
    <w:rsid w:val="003555D4"/>
    <w:rsid w:val="00355636"/>
    <w:rsid w:val="00355762"/>
    <w:rsid w:val="003557AD"/>
    <w:rsid w:val="00355871"/>
    <w:rsid w:val="003558AB"/>
    <w:rsid w:val="0035599E"/>
    <w:rsid w:val="00355A88"/>
    <w:rsid w:val="00355B05"/>
    <w:rsid w:val="00355B50"/>
    <w:rsid w:val="00355B9E"/>
    <w:rsid w:val="00355BE1"/>
    <w:rsid w:val="00355CAF"/>
    <w:rsid w:val="00355D06"/>
    <w:rsid w:val="00355DBE"/>
    <w:rsid w:val="00355E29"/>
    <w:rsid w:val="00355E9C"/>
    <w:rsid w:val="00355FA7"/>
    <w:rsid w:val="003560EB"/>
    <w:rsid w:val="0035618D"/>
    <w:rsid w:val="003561F8"/>
    <w:rsid w:val="0035620F"/>
    <w:rsid w:val="00356329"/>
    <w:rsid w:val="00356362"/>
    <w:rsid w:val="003563AA"/>
    <w:rsid w:val="00356478"/>
    <w:rsid w:val="0035648F"/>
    <w:rsid w:val="00356496"/>
    <w:rsid w:val="0035649F"/>
    <w:rsid w:val="00356532"/>
    <w:rsid w:val="0035654F"/>
    <w:rsid w:val="00356571"/>
    <w:rsid w:val="003565A5"/>
    <w:rsid w:val="003565D1"/>
    <w:rsid w:val="0035661B"/>
    <w:rsid w:val="003566F3"/>
    <w:rsid w:val="00356742"/>
    <w:rsid w:val="0035677A"/>
    <w:rsid w:val="00356787"/>
    <w:rsid w:val="003567D7"/>
    <w:rsid w:val="003567FA"/>
    <w:rsid w:val="00356824"/>
    <w:rsid w:val="003568C2"/>
    <w:rsid w:val="003569F8"/>
    <w:rsid w:val="00356A35"/>
    <w:rsid w:val="00356B7E"/>
    <w:rsid w:val="00356B86"/>
    <w:rsid w:val="00356BD5"/>
    <w:rsid w:val="00356BEF"/>
    <w:rsid w:val="00356C8E"/>
    <w:rsid w:val="00356CCB"/>
    <w:rsid w:val="00356D27"/>
    <w:rsid w:val="00356D38"/>
    <w:rsid w:val="00356D65"/>
    <w:rsid w:val="00356D71"/>
    <w:rsid w:val="00356DF6"/>
    <w:rsid w:val="003570CB"/>
    <w:rsid w:val="003570D7"/>
    <w:rsid w:val="003570ED"/>
    <w:rsid w:val="00357101"/>
    <w:rsid w:val="00357138"/>
    <w:rsid w:val="00357173"/>
    <w:rsid w:val="00357198"/>
    <w:rsid w:val="003571B7"/>
    <w:rsid w:val="003572A7"/>
    <w:rsid w:val="003573E7"/>
    <w:rsid w:val="00357436"/>
    <w:rsid w:val="003574A1"/>
    <w:rsid w:val="003574C5"/>
    <w:rsid w:val="0035767E"/>
    <w:rsid w:val="003577CB"/>
    <w:rsid w:val="00357841"/>
    <w:rsid w:val="003578C2"/>
    <w:rsid w:val="0035790D"/>
    <w:rsid w:val="00357A1C"/>
    <w:rsid w:val="00357A86"/>
    <w:rsid w:val="00357A8F"/>
    <w:rsid w:val="00357B16"/>
    <w:rsid w:val="00357B92"/>
    <w:rsid w:val="00357B9C"/>
    <w:rsid w:val="00357BCB"/>
    <w:rsid w:val="00357BE7"/>
    <w:rsid w:val="00357C54"/>
    <w:rsid w:val="00357CA2"/>
    <w:rsid w:val="00357E21"/>
    <w:rsid w:val="00357E3F"/>
    <w:rsid w:val="00357E4F"/>
    <w:rsid w:val="00357EC8"/>
    <w:rsid w:val="00357F8B"/>
    <w:rsid w:val="00360060"/>
    <w:rsid w:val="003600A4"/>
    <w:rsid w:val="0036012C"/>
    <w:rsid w:val="00360337"/>
    <w:rsid w:val="00360340"/>
    <w:rsid w:val="003603C6"/>
    <w:rsid w:val="00360416"/>
    <w:rsid w:val="00360422"/>
    <w:rsid w:val="00360437"/>
    <w:rsid w:val="003604AC"/>
    <w:rsid w:val="003604CB"/>
    <w:rsid w:val="003605F5"/>
    <w:rsid w:val="003606EA"/>
    <w:rsid w:val="0036077F"/>
    <w:rsid w:val="003607D6"/>
    <w:rsid w:val="00360808"/>
    <w:rsid w:val="003608B1"/>
    <w:rsid w:val="00360A3E"/>
    <w:rsid w:val="00360B55"/>
    <w:rsid w:val="00360D81"/>
    <w:rsid w:val="00360E1D"/>
    <w:rsid w:val="00360E5C"/>
    <w:rsid w:val="00360EAC"/>
    <w:rsid w:val="00360EE0"/>
    <w:rsid w:val="00360F7C"/>
    <w:rsid w:val="00360FDD"/>
    <w:rsid w:val="00360FDE"/>
    <w:rsid w:val="003610E2"/>
    <w:rsid w:val="0036118E"/>
    <w:rsid w:val="003612F7"/>
    <w:rsid w:val="00361306"/>
    <w:rsid w:val="00361378"/>
    <w:rsid w:val="003614F3"/>
    <w:rsid w:val="0036159E"/>
    <w:rsid w:val="00361604"/>
    <w:rsid w:val="00361772"/>
    <w:rsid w:val="00361796"/>
    <w:rsid w:val="003617C4"/>
    <w:rsid w:val="00361818"/>
    <w:rsid w:val="003619CC"/>
    <w:rsid w:val="00361B07"/>
    <w:rsid w:val="00361BD8"/>
    <w:rsid w:val="00361C88"/>
    <w:rsid w:val="00361CEC"/>
    <w:rsid w:val="00361D56"/>
    <w:rsid w:val="00361E3C"/>
    <w:rsid w:val="00361EB9"/>
    <w:rsid w:val="00362009"/>
    <w:rsid w:val="0036204A"/>
    <w:rsid w:val="00362077"/>
    <w:rsid w:val="003621F8"/>
    <w:rsid w:val="0036223D"/>
    <w:rsid w:val="0036267C"/>
    <w:rsid w:val="00362710"/>
    <w:rsid w:val="00362742"/>
    <w:rsid w:val="003628A2"/>
    <w:rsid w:val="003628E4"/>
    <w:rsid w:val="003629FE"/>
    <w:rsid w:val="00362A39"/>
    <w:rsid w:val="00362AB1"/>
    <w:rsid w:val="00362ACF"/>
    <w:rsid w:val="00362B5B"/>
    <w:rsid w:val="00362B96"/>
    <w:rsid w:val="00362C0F"/>
    <w:rsid w:val="00362C28"/>
    <w:rsid w:val="00362CAE"/>
    <w:rsid w:val="00362CC5"/>
    <w:rsid w:val="00362D10"/>
    <w:rsid w:val="00362D17"/>
    <w:rsid w:val="00362E5D"/>
    <w:rsid w:val="0036300B"/>
    <w:rsid w:val="003630F0"/>
    <w:rsid w:val="00363117"/>
    <w:rsid w:val="003631CB"/>
    <w:rsid w:val="003631EB"/>
    <w:rsid w:val="003631FF"/>
    <w:rsid w:val="00363201"/>
    <w:rsid w:val="00363211"/>
    <w:rsid w:val="0036335B"/>
    <w:rsid w:val="00363390"/>
    <w:rsid w:val="003633A6"/>
    <w:rsid w:val="0036355A"/>
    <w:rsid w:val="003636D2"/>
    <w:rsid w:val="00363700"/>
    <w:rsid w:val="0036372C"/>
    <w:rsid w:val="0036376C"/>
    <w:rsid w:val="003637D7"/>
    <w:rsid w:val="0036387D"/>
    <w:rsid w:val="00363A08"/>
    <w:rsid w:val="00363ABD"/>
    <w:rsid w:val="00363AE8"/>
    <w:rsid w:val="00363B58"/>
    <w:rsid w:val="00363C6F"/>
    <w:rsid w:val="00363C9A"/>
    <w:rsid w:val="00363D83"/>
    <w:rsid w:val="00363F66"/>
    <w:rsid w:val="00363F85"/>
    <w:rsid w:val="00364016"/>
    <w:rsid w:val="003640B7"/>
    <w:rsid w:val="003640C0"/>
    <w:rsid w:val="003640CD"/>
    <w:rsid w:val="00364167"/>
    <w:rsid w:val="003641A1"/>
    <w:rsid w:val="0036420C"/>
    <w:rsid w:val="00364216"/>
    <w:rsid w:val="00364233"/>
    <w:rsid w:val="0036426C"/>
    <w:rsid w:val="00364281"/>
    <w:rsid w:val="00364334"/>
    <w:rsid w:val="0036440E"/>
    <w:rsid w:val="0036441F"/>
    <w:rsid w:val="00364438"/>
    <w:rsid w:val="00364464"/>
    <w:rsid w:val="00364546"/>
    <w:rsid w:val="0036455C"/>
    <w:rsid w:val="003646F8"/>
    <w:rsid w:val="0036473C"/>
    <w:rsid w:val="00364796"/>
    <w:rsid w:val="0036489D"/>
    <w:rsid w:val="003648E5"/>
    <w:rsid w:val="0036499D"/>
    <w:rsid w:val="00364B5D"/>
    <w:rsid w:val="00364B5F"/>
    <w:rsid w:val="00364BB4"/>
    <w:rsid w:val="00364C24"/>
    <w:rsid w:val="00364C2A"/>
    <w:rsid w:val="00364C5E"/>
    <w:rsid w:val="00364CBA"/>
    <w:rsid w:val="00364CD1"/>
    <w:rsid w:val="00364D4D"/>
    <w:rsid w:val="00364E00"/>
    <w:rsid w:val="00364E8B"/>
    <w:rsid w:val="00364F6F"/>
    <w:rsid w:val="0036504D"/>
    <w:rsid w:val="003651CE"/>
    <w:rsid w:val="003654D9"/>
    <w:rsid w:val="00365571"/>
    <w:rsid w:val="003655BE"/>
    <w:rsid w:val="00365873"/>
    <w:rsid w:val="003658B1"/>
    <w:rsid w:val="00365938"/>
    <w:rsid w:val="00365A9F"/>
    <w:rsid w:val="00365B66"/>
    <w:rsid w:val="00365B94"/>
    <w:rsid w:val="00365C34"/>
    <w:rsid w:val="00365D9B"/>
    <w:rsid w:val="00365DAB"/>
    <w:rsid w:val="00365DF8"/>
    <w:rsid w:val="00365F17"/>
    <w:rsid w:val="00365F59"/>
    <w:rsid w:val="00365FB1"/>
    <w:rsid w:val="00366059"/>
    <w:rsid w:val="0036605A"/>
    <w:rsid w:val="00366080"/>
    <w:rsid w:val="00366125"/>
    <w:rsid w:val="00366138"/>
    <w:rsid w:val="0036618D"/>
    <w:rsid w:val="003662DE"/>
    <w:rsid w:val="003663D1"/>
    <w:rsid w:val="003663D6"/>
    <w:rsid w:val="003663DA"/>
    <w:rsid w:val="00366403"/>
    <w:rsid w:val="00366419"/>
    <w:rsid w:val="00366433"/>
    <w:rsid w:val="0036655A"/>
    <w:rsid w:val="003665E4"/>
    <w:rsid w:val="00366611"/>
    <w:rsid w:val="00366612"/>
    <w:rsid w:val="0036661D"/>
    <w:rsid w:val="00366740"/>
    <w:rsid w:val="0036683E"/>
    <w:rsid w:val="00366948"/>
    <w:rsid w:val="00366A40"/>
    <w:rsid w:val="00366AA5"/>
    <w:rsid w:val="00366B13"/>
    <w:rsid w:val="00366D02"/>
    <w:rsid w:val="00366D1B"/>
    <w:rsid w:val="00366D5A"/>
    <w:rsid w:val="00366D9C"/>
    <w:rsid w:val="00366E30"/>
    <w:rsid w:val="00366ED6"/>
    <w:rsid w:val="00366F23"/>
    <w:rsid w:val="00366F24"/>
    <w:rsid w:val="00367010"/>
    <w:rsid w:val="0036701E"/>
    <w:rsid w:val="00367066"/>
    <w:rsid w:val="0036711A"/>
    <w:rsid w:val="00367133"/>
    <w:rsid w:val="003671F8"/>
    <w:rsid w:val="00367293"/>
    <w:rsid w:val="00367372"/>
    <w:rsid w:val="00367488"/>
    <w:rsid w:val="003675F0"/>
    <w:rsid w:val="00367623"/>
    <w:rsid w:val="00367644"/>
    <w:rsid w:val="0036769D"/>
    <w:rsid w:val="003677E6"/>
    <w:rsid w:val="003677FE"/>
    <w:rsid w:val="00367AF2"/>
    <w:rsid w:val="00367C39"/>
    <w:rsid w:val="00367D35"/>
    <w:rsid w:val="00367D65"/>
    <w:rsid w:val="00367E20"/>
    <w:rsid w:val="00367EA5"/>
    <w:rsid w:val="00367EBB"/>
    <w:rsid w:val="00367EF9"/>
    <w:rsid w:val="00367F39"/>
    <w:rsid w:val="0037007F"/>
    <w:rsid w:val="00370082"/>
    <w:rsid w:val="0037008D"/>
    <w:rsid w:val="003700C2"/>
    <w:rsid w:val="00370121"/>
    <w:rsid w:val="00370190"/>
    <w:rsid w:val="003701C7"/>
    <w:rsid w:val="003701F3"/>
    <w:rsid w:val="00370375"/>
    <w:rsid w:val="003703F4"/>
    <w:rsid w:val="003705A7"/>
    <w:rsid w:val="00370607"/>
    <w:rsid w:val="0037065A"/>
    <w:rsid w:val="003707BA"/>
    <w:rsid w:val="003707D7"/>
    <w:rsid w:val="003707ED"/>
    <w:rsid w:val="00370823"/>
    <w:rsid w:val="003709BC"/>
    <w:rsid w:val="003709FA"/>
    <w:rsid w:val="00370B9D"/>
    <w:rsid w:val="00370C3C"/>
    <w:rsid w:val="00370E6C"/>
    <w:rsid w:val="00370E7A"/>
    <w:rsid w:val="003710D7"/>
    <w:rsid w:val="00371236"/>
    <w:rsid w:val="003712D2"/>
    <w:rsid w:val="003713CF"/>
    <w:rsid w:val="00371418"/>
    <w:rsid w:val="003714E9"/>
    <w:rsid w:val="00371569"/>
    <w:rsid w:val="003715C8"/>
    <w:rsid w:val="003715FC"/>
    <w:rsid w:val="00371727"/>
    <w:rsid w:val="00371752"/>
    <w:rsid w:val="003717AE"/>
    <w:rsid w:val="003717BB"/>
    <w:rsid w:val="00371821"/>
    <w:rsid w:val="003718D4"/>
    <w:rsid w:val="00371AA1"/>
    <w:rsid w:val="00371AB6"/>
    <w:rsid w:val="00371B37"/>
    <w:rsid w:val="00371BAA"/>
    <w:rsid w:val="00371C0C"/>
    <w:rsid w:val="00371C71"/>
    <w:rsid w:val="00371CBF"/>
    <w:rsid w:val="00371F62"/>
    <w:rsid w:val="003720B6"/>
    <w:rsid w:val="00372238"/>
    <w:rsid w:val="00372274"/>
    <w:rsid w:val="0037228A"/>
    <w:rsid w:val="003722A8"/>
    <w:rsid w:val="00372301"/>
    <w:rsid w:val="00372327"/>
    <w:rsid w:val="0037233A"/>
    <w:rsid w:val="00372438"/>
    <w:rsid w:val="003725A5"/>
    <w:rsid w:val="00372622"/>
    <w:rsid w:val="0037262C"/>
    <w:rsid w:val="003726CD"/>
    <w:rsid w:val="0037274B"/>
    <w:rsid w:val="0037293D"/>
    <w:rsid w:val="00372AD8"/>
    <w:rsid w:val="00372B17"/>
    <w:rsid w:val="00372B62"/>
    <w:rsid w:val="00372B81"/>
    <w:rsid w:val="00372B99"/>
    <w:rsid w:val="00372D02"/>
    <w:rsid w:val="00372D67"/>
    <w:rsid w:val="00372ECA"/>
    <w:rsid w:val="00372F0D"/>
    <w:rsid w:val="00372F58"/>
    <w:rsid w:val="00372F71"/>
    <w:rsid w:val="003730BC"/>
    <w:rsid w:val="003731D0"/>
    <w:rsid w:val="003732A4"/>
    <w:rsid w:val="003732BE"/>
    <w:rsid w:val="003734C4"/>
    <w:rsid w:val="00373514"/>
    <w:rsid w:val="00373525"/>
    <w:rsid w:val="003736A5"/>
    <w:rsid w:val="0037373E"/>
    <w:rsid w:val="0037378D"/>
    <w:rsid w:val="003737FF"/>
    <w:rsid w:val="0037386D"/>
    <w:rsid w:val="00373A3B"/>
    <w:rsid w:val="00373A63"/>
    <w:rsid w:val="00373A6E"/>
    <w:rsid w:val="00373AAB"/>
    <w:rsid w:val="00373AC0"/>
    <w:rsid w:val="00373AC9"/>
    <w:rsid w:val="00373B06"/>
    <w:rsid w:val="00373BF7"/>
    <w:rsid w:val="00373C12"/>
    <w:rsid w:val="00373C2E"/>
    <w:rsid w:val="00373C6A"/>
    <w:rsid w:val="00373C6B"/>
    <w:rsid w:val="00373CCA"/>
    <w:rsid w:val="00373D7C"/>
    <w:rsid w:val="00373ECD"/>
    <w:rsid w:val="00373ED8"/>
    <w:rsid w:val="0037406D"/>
    <w:rsid w:val="003740A7"/>
    <w:rsid w:val="003740AE"/>
    <w:rsid w:val="003740C3"/>
    <w:rsid w:val="003740F3"/>
    <w:rsid w:val="00374150"/>
    <w:rsid w:val="003742CE"/>
    <w:rsid w:val="00374343"/>
    <w:rsid w:val="003743AD"/>
    <w:rsid w:val="003743B7"/>
    <w:rsid w:val="0037444E"/>
    <w:rsid w:val="00374456"/>
    <w:rsid w:val="00374583"/>
    <w:rsid w:val="0037469A"/>
    <w:rsid w:val="003748E2"/>
    <w:rsid w:val="00374A3A"/>
    <w:rsid w:val="00374AA1"/>
    <w:rsid w:val="00374AB1"/>
    <w:rsid w:val="00374BA4"/>
    <w:rsid w:val="00374C53"/>
    <w:rsid w:val="00374C55"/>
    <w:rsid w:val="00374C74"/>
    <w:rsid w:val="00374C76"/>
    <w:rsid w:val="00374C84"/>
    <w:rsid w:val="00374CF0"/>
    <w:rsid w:val="00374D0D"/>
    <w:rsid w:val="00374D19"/>
    <w:rsid w:val="00374D82"/>
    <w:rsid w:val="00374E2A"/>
    <w:rsid w:val="00374E34"/>
    <w:rsid w:val="00374E53"/>
    <w:rsid w:val="00374EBB"/>
    <w:rsid w:val="00374FB1"/>
    <w:rsid w:val="00374FED"/>
    <w:rsid w:val="00375101"/>
    <w:rsid w:val="003751B7"/>
    <w:rsid w:val="00375274"/>
    <w:rsid w:val="00375318"/>
    <w:rsid w:val="00375352"/>
    <w:rsid w:val="003753C5"/>
    <w:rsid w:val="003753E3"/>
    <w:rsid w:val="003754E9"/>
    <w:rsid w:val="003755F3"/>
    <w:rsid w:val="00375664"/>
    <w:rsid w:val="00375679"/>
    <w:rsid w:val="003756B8"/>
    <w:rsid w:val="003756C3"/>
    <w:rsid w:val="00375744"/>
    <w:rsid w:val="0037577C"/>
    <w:rsid w:val="00375782"/>
    <w:rsid w:val="00375836"/>
    <w:rsid w:val="003758A9"/>
    <w:rsid w:val="003758C7"/>
    <w:rsid w:val="003758F1"/>
    <w:rsid w:val="00375A78"/>
    <w:rsid w:val="00375AF3"/>
    <w:rsid w:val="00375C52"/>
    <w:rsid w:val="00375DA7"/>
    <w:rsid w:val="00375EA4"/>
    <w:rsid w:val="00375EAA"/>
    <w:rsid w:val="00375EB8"/>
    <w:rsid w:val="00376012"/>
    <w:rsid w:val="0037617A"/>
    <w:rsid w:val="003761ED"/>
    <w:rsid w:val="00376245"/>
    <w:rsid w:val="003762B1"/>
    <w:rsid w:val="003762B8"/>
    <w:rsid w:val="003762D8"/>
    <w:rsid w:val="003762F5"/>
    <w:rsid w:val="00376317"/>
    <w:rsid w:val="003763AA"/>
    <w:rsid w:val="00376414"/>
    <w:rsid w:val="00376439"/>
    <w:rsid w:val="003764C3"/>
    <w:rsid w:val="003764E1"/>
    <w:rsid w:val="00376502"/>
    <w:rsid w:val="00376558"/>
    <w:rsid w:val="0037656A"/>
    <w:rsid w:val="0037656C"/>
    <w:rsid w:val="00376732"/>
    <w:rsid w:val="0037674B"/>
    <w:rsid w:val="0037675F"/>
    <w:rsid w:val="0037684D"/>
    <w:rsid w:val="003768F6"/>
    <w:rsid w:val="00376A86"/>
    <w:rsid w:val="00376ACC"/>
    <w:rsid w:val="00376B8B"/>
    <w:rsid w:val="00376C1C"/>
    <w:rsid w:val="00376D90"/>
    <w:rsid w:val="00376F43"/>
    <w:rsid w:val="00376F63"/>
    <w:rsid w:val="00376F82"/>
    <w:rsid w:val="0037704D"/>
    <w:rsid w:val="0037706B"/>
    <w:rsid w:val="00377090"/>
    <w:rsid w:val="00377184"/>
    <w:rsid w:val="00377193"/>
    <w:rsid w:val="00377207"/>
    <w:rsid w:val="00377251"/>
    <w:rsid w:val="00377281"/>
    <w:rsid w:val="0037734D"/>
    <w:rsid w:val="0037735D"/>
    <w:rsid w:val="003773E8"/>
    <w:rsid w:val="003774B0"/>
    <w:rsid w:val="003774B5"/>
    <w:rsid w:val="00377545"/>
    <w:rsid w:val="00377687"/>
    <w:rsid w:val="0037769E"/>
    <w:rsid w:val="003776F9"/>
    <w:rsid w:val="0037773A"/>
    <w:rsid w:val="00377910"/>
    <w:rsid w:val="00377995"/>
    <w:rsid w:val="00377A0A"/>
    <w:rsid w:val="00377A4E"/>
    <w:rsid w:val="00377AE4"/>
    <w:rsid w:val="00377B55"/>
    <w:rsid w:val="00377CAB"/>
    <w:rsid w:val="00377D98"/>
    <w:rsid w:val="0038003B"/>
    <w:rsid w:val="0038005F"/>
    <w:rsid w:val="003801E8"/>
    <w:rsid w:val="0038020D"/>
    <w:rsid w:val="0038022D"/>
    <w:rsid w:val="00380292"/>
    <w:rsid w:val="003803A2"/>
    <w:rsid w:val="003803C6"/>
    <w:rsid w:val="0038052A"/>
    <w:rsid w:val="003805CC"/>
    <w:rsid w:val="003805D3"/>
    <w:rsid w:val="0038062A"/>
    <w:rsid w:val="00380799"/>
    <w:rsid w:val="003808F7"/>
    <w:rsid w:val="00380921"/>
    <w:rsid w:val="00380A54"/>
    <w:rsid w:val="00380B2C"/>
    <w:rsid w:val="00380B4E"/>
    <w:rsid w:val="00380DFE"/>
    <w:rsid w:val="00380ECF"/>
    <w:rsid w:val="0038105C"/>
    <w:rsid w:val="0038109C"/>
    <w:rsid w:val="0038112E"/>
    <w:rsid w:val="0038121D"/>
    <w:rsid w:val="0038121F"/>
    <w:rsid w:val="00381319"/>
    <w:rsid w:val="0038131A"/>
    <w:rsid w:val="0038143A"/>
    <w:rsid w:val="00381471"/>
    <w:rsid w:val="00381649"/>
    <w:rsid w:val="00381689"/>
    <w:rsid w:val="0038168F"/>
    <w:rsid w:val="0038169E"/>
    <w:rsid w:val="003816DF"/>
    <w:rsid w:val="0038170B"/>
    <w:rsid w:val="00381799"/>
    <w:rsid w:val="003817F7"/>
    <w:rsid w:val="00381810"/>
    <w:rsid w:val="00381856"/>
    <w:rsid w:val="00381B99"/>
    <w:rsid w:val="00381C0F"/>
    <w:rsid w:val="00381C55"/>
    <w:rsid w:val="00381ED7"/>
    <w:rsid w:val="0038205F"/>
    <w:rsid w:val="003820FA"/>
    <w:rsid w:val="003821B2"/>
    <w:rsid w:val="00382344"/>
    <w:rsid w:val="0038240D"/>
    <w:rsid w:val="0038249A"/>
    <w:rsid w:val="003824E2"/>
    <w:rsid w:val="003824F9"/>
    <w:rsid w:val="00382592"/>
    <w:rsid w:val="003826DD"/>
    <w:rsid w:val="00382735"/>
    <w:rsid w:val="00382803"/>
    <w:rsid w:val="0038287A"/>
    <w:rsid w:val="00382918"/>
    <w:rsid w:val="00382B23"/>
    <w:rsid w:val="00382BE3"/>
    <w:rsid w:val="00382CA9"/>
    <w:rsid w:val="00382CE6"/>
    <w:rsid w:val="00382CF3"/>
    <w:rsid w:val="00382DAE"/>
    <w:rsid w:val="00382E6D"/>
    <w:rsid w:val="00382FAA"/>
    <w:rsid w:val="00382FB2"/>
    <w:rsid w:val="00382FBF"/>
    <w:rsid w:val="00383085"/>
    <w:rsid w:val="00383171"/>
    <w:rsid w:val="00383309"/>
    <w:rsid w:val="00383324"/>
    <w:rsid w:val="00383490"/>
    <w:rsid w:val="003835A6"/>
    <w:rsid w:val="00383723"/>
    <w:rsid w:val="0038375E"/>
    <w:rsid w:val="0038378B"/>
    <w:rsid w:val="003837AF"/>
    <w:rsid w:val="003839AA"/>
    <w:rsid w:val="00383A92"/>
    <w:rsid w:val="00383B40"/>
    <w:rsid w:val="00383BC5"/>
    <w:rsid w:val="00383BD1"/>
    <w:rsid w:val="00383C73"/>
    <w:rsid w:val="00383D93"/>
    <w:rsid w:val="00383DC9"/>
    <w:rsid w:val="00383E31"/>
    <w:rsid w:val="00383EA2"/>
    <w:rsid w:val="00383ECE"/>
    <w:rsid w:val="00383FA3"/>
    <w:rsid w:val="00384140"/>
    <w:rsid w:val="003841F0"/>
    <w:rsid w:val="0038429A"/>
    <w:rsid w:val="00384467"/>
    <w:rsid w:val="003844F8"/>
    <w:rsid w:val="003845CA"/>
    <w:rsid w:val="003845CB"/>
    <w:rsid w:val="003846D5"/>
    <w:rsid w:val="003847B4"/>
    <w:rsid w:val="00384990"/>
    <w:rsid w:val="003849D4"/>
    <w:rsid w:val="00384B2A"/>
    <w:rsid w:val="00384B53"/>
    <w:rsid w:val="00384B66"/>
    <w:rsid w:val="00384C49"/>
    <w:rsid w:val="00384CB4"/>
    <w:rsid w:val="00384D1C"/>
    <w:rsid w:val="00384D31"/>
    <w:rsid w:val="00384DB9"/>
    <w:rsid w:val="00384E2F"/>
    <w:rsid w:val="00384EE0"/>
    <w:rsid w:val="00384F63"/>
    <w:rsid w:val="0038501D"/>
    <w:rsid w:val="0038514D"/>
    <w:rsid w:val="00385357"/>
    <w:rsid w:val="003853A5"/>
    <w:rsid w:val="003853FD"/>
    <w:rsid w:val="0038540D"/>
    <w:rsid w:val="0038542F"/>
    <w:rsid w:val="003857A0"/>
    <w:rsid w:val="003858CC"/>
    <w:rsid w:val="0038596A"/>
    <w:rsid w:val="00385997"/>
    <w:rsid w:val="003859BD"/>
    <w:rsid w:val="00385ABE"/>
    <w:rsid w:val="00385AF9"/>
    <w:rsid w:val="00385AFB"/>
    <w:rsid w:val="00385B0E"/>
    <w:rsid w:val="00385BE7"/>
    <w:rsid w:val="00385DBA"/>
    <w:rsid w:val="00385DE1"/>
    <w:rsid w:val="00386086"/>
    <w:rsid w:val="003860C7"/>
    <w:rsid w:val="00386399"/>
    <w:rsid w:val="003863C7"/>
    <w:rsid w:val="00386463"/>
    <w:rsid w:val="00386489"/>
    <w:rsid w:val="003864AE"/>
    <w:rsid w:val="00386547"/>
    <w:rsid w:val="0038667B"/>
    <w:rsid w:val="003866FE"/>
    <w:rsid w:val="00386797"/>
    <w:rsid w:val="0038687A"/>
    <w:rsid w:val="0038698F"/>
    <w:rsid w:val="00386A34"/>
    <w:rsid w:val="00386BAE"/>
    <w:rsid w:val="00386D59"/>
    <w:rsid w:val="00386D70"/>
    <w:rsid w:val="00386D77"/>
    <w:rsid w:val="00386E53"/>
    <w:rsid w:val="00387004"/>
    <w:rsid w:val="003871C6"/>
    <w:rsid w:val="00387355"/>
    <w:rsid w:val="00387428"/>
    <w:rsid w:val="003874FC"/>
    <w:rsid w:val="0038759D"/>
    <w:rsid w:val="00387645"/>
    <w:rsid w:val="00387706"/>
    <w:rsid w:val="003878DE"/>
    <w:rsid w:val="0038791B"/>
    <w:rsid w:val="00387A30"/>
    <w:rsid w:val="00387AC2"/>
    <w:rsid w:val="00387ACF"/>
    <w:rsid w:val="00387E0B"/>
    <w:rsid w:val="003900F6"/>
    <w:rsid w:val="00390163"/>
    <w:rsid w:val="0039019B"/>
    <w:rsid w:val="00390210"/>
    <w:rsid w:val="00390322"/>
    <w:rsid w:val="003904B5"/>
    <w:rsid w:val="003904B8"/>
    <w:rsid w:val="00390589"/>
    <w:rsid w:val="003906E1"/>
    <w:rsid w:val="0039071E"/>
    <w:rsid w:val="0039083A"/>
    <w:rsid w:val="0039095C"/>
    <w:rsid w:val="003909AB"/>
    <w:rsid w:val="00390AF7"/>
    <w:rsid w:val="00390C15"/>
    <w:rsid w:val="00390C2F"/>
    <w:rsid w:val="00390C52"/>
    <w:rsid w:val="00390C55"/>
    <w:rsid w:val="00390E32"/>
    <w:rsid w:val="00390EA3"/>
    <w:rsid w:val="00390EB0"/>
    <w:rsid w:val="00390F21"/>
    <w:rsid w:val="00390F96"/>
    <w:rsid w:val="00390F9D"/>
    <w:rsid w:val="00390FA1"/>
    <w:rsid w:val="00390FB5"/>
    <w:rsid w:val="00390FBA"/>
    <w:rsid w:val="00391045"/>
    <w:rsid w:val="00391140"/>
    <w:rsid w:val="003911D5"/>
    <w:rsid w:val="00391229"/>
    <w:rsid w:val="0039122A"/>
    <w:rsid w:val="00391297"/>
    <w:rsid w:val="003912BA"/>
    <w:rsid w:val="003912E7"/>
    <w:rsid w:val="00391342"/>
    <w:rsid w:val="003913F3"/>
    <w:rsid w:val="003913FF"/>
    <w:rsid w:val="00391434"/>
    <w:rsid w:val="00391441"/>
    <w:rsid w:val="00391525"/>
    <w:rsid w:val="00391590"/>
    <w:rsid w:val="003916C3"/>
    <w:rsid w:val="00391714"/>
    <w:rsid w:val="003917F9"/>
    <w:rsid w:val="0039181B"/>
    <w:rsid w:val="0039186F"/>
    <w:rsid w:val="00391913"/>
    <w:rsid w:val="00391941"/>
    <w:rsid w:val="00391B27"/>
    <w:rsid w:val="00391B2C"/>
    <w:rsid w:val="00391B47"/>
    <w:rsid w:val="00391B9B"/>
    <w:rsid w:val="00391C70"/>
    <w:rsid w:val="00391CD1"/>
    <w:rsid w:val="00391D95"/>
    <w:rsid w:val="00391FEE"/>
    <w:rsid w:val="00392135"/>
    <w:rsid w:val="00392376"/>
    <w:rsid w:val="003923AE"/>
    <w:rsid w:val="003923FD"/>
    <w:rsid w:val="0039240D"/>
    <w:rsid w:val="0039242F"/>
    <w:rsid w:val="003924EC"/>
    <w:rsid w:val="0039250B"/>
    <w:rsid w:val="0039254C"/>
    <w:rsid w:val="003925FC"/>
    <w:rsid w:val="0039279E"/>
    <w:rsid w:val="00392864"/>
    <w:rsid w:val="003929A1"/>
    <w:rsid w:val="00392ACF"/>
    <w:rsid w:val="00392B7C"/>
    <w:rsid w:val="00392D8E"/>
    <w:rsid w:val="00392DF3"/>
    <w:rsid w:val="00392E4E"/>
    <w:rsid w:val="00392F6E"/>
    <w:rsid w:val="0039307B"/>
    <w:rsid w:val="003931C1"/>
    <w:rsid w:val="0039323F"/>
    <w:rsid w:val="00393380"/>
    <w:rsid w:val="00393382"/>
    <w:rsid w:val="003933A8"/>
    <w:rsid w:val="0039369E"/>
    <w:rsid w:val="003937BB"/>
    <w:rsid w:val="00393870"/>
    <w:rsid w:val="003939B8"/>
    <w:rsid w:val="003939E8"/>
    <w:rsid w:val="003939FA"/>
    <w:rsid w:val="00393B18"/>
    <w:rsid w:val="00393B3A"/>
    <w:rsid w:val="00393C0C"/>
    <w:rsid w:val="00393C26"/>
    <w:rsid w:val="00393C9F"/>
    <w:rsid w:val="00393D04"/>
    <w:rsid w:val="00393D27"/>
    <w:rsid w:val="00393D9F"/>
    <w:rsid w:val="00393DC4"/>
    <w:rsid w:val="00393E92"/>
    <w:rsid w:val="00394136"/>
    <w:rsid w:val="0039421D"/>
    <w:rsid w:val="0039425F"/>
    <w:rsid w:val="00394355"/>
    <w:rsid w:val="003943E7"/>
    <w:rsid w:val="00394401"/>
    <w:rsid w:val="00394456"/>
    <w:rsid w:val="003945B4"/>
    <w:rsid w:val="0039460B"/>
    <w:rsid w:val="00394629"/>
    <w:rsid w:val="00394658"/>
    <w:rsid w:val="003946FA"/>
    <w:rsid w:val="00394782"/>
    <w:rsid w:val="003947A1"/>
    <w:rsid w:val="003947DB"/>
    <w:rsid w:val="0039492E"/>
    <w:rsid w:val="00394A1F"/>
    <w:rsid w:val="00394B42"/>
    <w:rsid w:val="00394B55"/>
    <w:rsid w:val="00394B68"/>
    <w:rsid w:val="00394C69"/>
    <w:rsid w:val="00394C86"/>
    <w:rsid w:val="00394CDC"/>
    <w:rsid w:val="00394FBD"/>
    <w:rsid w:val="00395037"/>
    <w:rsid w:val="003950FB"/>
    <w:rsid w:val="00395137"/>
    <w:rsid w:val="003951A0"/>
    <w:rsid w:val="00395212"/>
    <w:rsid w:val="003952BC"/>
    <w:rsid w:val="00395307"/>
    <w:rsid w:val="00395467"/>
    <w:rsid w:val="003954EE"/>
    <w:rsid w:val="00395553"/>
    <w:rsid w:val="00395568"/>
    <w:rsid w:val="0039556B"/>
    <w:rsid w:val="0039559A"/>
    <w:rsid w:val="00395608"/>
    <w:rsid w:val="00395621"/>
    <w:rsid w:val="003956AC"/>
    <w:rsid w:val="003956D9"/>
    <w:rsid w:val="003957A8"/>
    <w:rsid w:val="003958F1"/>
    <w:rsid w:val="003958FD"/>
    <w:rsid w:val="00395ADF"/>
    <w:rsid w:val="00395BEC"/>
    <w:rsid w:val="00395D93"/>
    <w:rsid w:val="00395DB2"/>
    <w:rsid w:val="00395DC1"/>
    <w:rsid w:val="00395EE4"/>
    <w:rsid w:val="00395F0A"/>
    <w:rsid w:val="00395F1F"/>
    <w:rsid w:val="00395F33"/>
    <w:rsid w:val="0039613E"/>
    <w:rsid w:val="00396205"/>
    <w:rsid w:val="00396378"/>
    <w:rsid w:val="00396386"/>
    <w:rsid w:val="003966C6"/>
    <w:rsid w:val="003966E8"/>
    <w:rsid w:val="0039679C"/>
    <w:rsid w:val="003968A7"/>
    <w:rsid w:val="0039690C"/>
    <w:rsid w:val="00396A11"/>
    <w:rsid w:val="00396B26"/>
    <w:rsid w:val="00396B9D"/>
    <w:rsid w:val="00396C22"/>
    <w:rsid w:val="00396CC5"/>
    <w:rsid w:val="00396CDA"/>
    <w:rsid w:val="00396CDB"/>
    <w:rsid w:val="00396D33"/>
    <w:rsid w:val="00396D44"/>
    <w:rsid w:val="00396DBC"/>
    <w:rsid w:val="00396E0E"/>
    <w:rsid w:val="00396E50"/>
    <w:rsid w:val="00396ED0"/>
    <w:rsid w:val="00396ED8"/>
    <w:rsid w:val="00396FB5"/>
    <w:rsid w:val="00397010"/>
    <w:rsid w:val="00397187"/>
    <w:rsid w:val="00397206"/>
    <w:rsid w:val="00397445"/>
    <w:rsid w:val="003974B9"/>
    <w:rsid w:val="003974DB"/>
    <w:rsid w:val="003977AB"/>
    <w:rsid w:val="003977D7"/>
    <w:rsid w:val="003979C5"/>
    <w:rsid w:val="003979D5"/>
    <w:rsid w:val="00397A34"/>
    <w:rsid w:val="00397B3C"/>
    <w:rsid w:val="00397EEA"/>
    <w:rsid w:val="00397FA4"/>
    <w:rsid w:val="003A0107"/>
    <w:rsid w:val="003A0188"/>
    <w:rsid w:val="003A01D1"/>
    <w:rsid w:val="003A01F7"/>
    <w:rsid w:val="003A0309"/>
    <w:rsid w:val="003A0314"/>
    <w:rsid w:val="003A0353"/>
    <w:rsid w:val="003A0383"/>
    <w:rsid w:val="003A0585"/>
    <w:rsid w:val="003A05E4"/>
    <w:rsid w:val="003A05E9"/>
    <w:rsid w:val="003A06A1"/>
    <w:rsid w:val="003A074F"/>
    <w:rsid w:val="003A07B0"/>
    <w:rsid w:val="003A082D"/>
    <w:rsid w:val="003A08AE"/>
    <w:rsid w:val="003A08C3"/>
    <w:rsid w:val="003A08EA"/>
    <w:rsid w:val="003A08EC"/>
    <w:rsid w:val="003A09D3"/>
    <w:rsid w:val="003A0B41"/>
    <w:rsid w:val="003A0BC6"/>
    <w:rsid w:val="003A0D0B"/>
    <w:rsid w:val="003A0DC4"/>
    <w:rsid w:val="003A0ECA"/>
    <w:rsid w:val="003A1017"/>
    <w:rsid w:val="003A107F"/>
    <w:rsid w:val="003A110D"/>
    <w:rsid w:val="003A1118"/>
    <w:rsid w:val="003A1125"/>
    <w:rsid w:val="003A113E"/>
    <w:rsid w:val="003A11C3"/>
    <w:rsid w:val="003A1295"/>
    <w:rsid w:val="003A1308"/>
    <w:rsid w:val="003A130A"/>
    <w:rsid w:val="003A131C"/>
    <w:rsid w:val="003A131F"/>
    <w:rsid w:val="003A1330"/>
    <w:rsid w:val="003A13C9"/>
    <w:rsid w:val="003A13F0"/>
    <w:rsid w:val="003A14F0"/>
    <w:rsid w:val="003A1516"/>
    <w:rsid w:val="003A157B"/>
    <w:rsid w:val="003A1609"/>
    <w:rsid w:val="003A1945"/>
    <w:rsid w:val="003A1959"/>
    <w:rsid w:val="003A19CC"/>
    <w:rsid w:val="003A1B51"/>
    <w:rsid w:val="003A1C16"/>
    <w:rsid w:val="003A1CC9"/>
    <w:rsid w:val="003A1DE1"/>
    <w:rsid w:val="003A1DFF"/>
    <w:rsid w:val="003A1E28"/>
    <w:rsid w:val="003A1E59"/>
    <w:rsid w:val="003A1F60"/>
    <w:rsid w:val="003A1FC5"/>
    <w:rsid w:val="003A1FFB"/>
    <w:rsid w:val="003A20A7"/>
    <w:rsid w:val="003A20BC"/>
    <w:rsid w:val="003A2102"/>
    <w:rsid w:val="003A228A"/>
    <w:rsid w:val="003A2393"/>
    <w:rsid w:val="003A23C2"/>
    <w:rsid w:val="003A260A"/>
    <w:rsid w:val="003A2616"/>
    <w:rsid w:val="003A2775"/>
    <w:rsid w:val="003A2777"/>
    <w:rsid w:val="003A2808"/>
    <w:rsid w:val="003A28FA"/>
    <w:rsid w:val="003A2972"/>
    <w:rsid w:val="003A2A14"/>
    <w:rsid w:val="003A2A3A"/>
    <w:rsid w:val="003A2A50"/>
    <w:rsid w:val="003A2AD4"/>
    <w:rsid w:val="003A2AF8"/>
    <w:rsid w:val="003A2B36"/>
    <w:rsid w:val="003A2B3E"/>
    <w:rsid w:val="003A2B44"/>
    <w:rsid w:val="003A2B82"/>
    <w:rsid w:val="003A2C05"/>
    <w:rsid w:val="003A2C48"/>
    <w:rsid w:val="003A2C94"/>
    <w:rsid w:val="003A2DF9"/>
    <w:rsid w:val="003A2EDD"/>
    <w:rsid w:val="003A305A"/>
    <w:rsid w:val="003A3085"/>
    <w:rsid w:val="003A30C9"/>
    <w:rsid w:val="003A3117"/>
    <w:rsid w:val="003A318A"/>
    <w:rsid w:val="003A31CD"/>
    <w:rsid w:val="003A33BC"/>
    <w:rsid w:val="003A34D0"/>
    <w:rsid w:val="003A3591"/>
    <w:rsid w:val="003A35E9"/>
    <w:rsid w:val="003A37CF"/>
    <w:rsid w:val="003A3850"/>
    <w:rsid w:val="003A3905"/>
    <w:rsid w:val="003A3965"/>
    <w:rsid w:val="003A3989"/>
    <w:rsid w:val="003A3A52"/>
    <w:rsid w:val="003A3B47"/>
    <w:rsid w:val="003A3B80"/>
    <w:rsid w:val="003A3BE4"/>
    <w:rsid w:val="003A3D5B"/>
    <w:rsid w:val="003A3D74"/>
    <w:rsid w:val="003A3EB5"/>
    <w:rsid w:val="003A3F00"/>
    <w:rsid w:val="003A3F0B"/>
    <w:rsid w:val="003A3FD4"/>
    <w:rsid w:val="003A4057"/>
    <w:rsid w:val="003A40EA"/>
    <w:rsid w:val="003A415B"/>
    <w:rsid w:val="003A41B3"/>
    <w:rsid w:val="003A421C"/>
    <w:rsid w:val="003A4431"/>
    <w:rsid w:val="003A44A2"/>
    <w:rsid w:val="003A4504"/>
    <w:rsid w:val="003A465B"/>
    <w:rsid w:val="003A46AB"/>
    <w:rsid w:val="003A46C4"/>
    <w:rsid w:val="003A4799"/>
    <w:rsid w:val="003A47CD"/>
    <w:rsid w:val="003A47F0"/>
    <w:rsid w:val="003A4821"/>
    <w:rsid w:val="003A494E"/>
    <w:rsid w:val="003A4988"/>
    <w:rsid w:val="003A4A87"/>
    <w:rsid w:val="003A4ABF"/>
    <w:rsid w:val="003A4B67"/>
    <w:rsid w:val="003A4BD1"/>
    <w:rsid w:val="003A4C62"/>
    <w:rsid w:val="003A4CA5"/>
    <w:rsid w:val="003A4CD2"/>
    <w:rsid w:val="003A4CEC"/>
    <w:rsid w:val="003A4DD7"/>
    <w:rsid w:val="003A4F0C"/>
    <w:rsid w:val="003A4FA5"/>
    <w:rsid w:val="003A4FFE"/>
    <w:rsid w:val="003A53AA"/>
    <w:rsid w:val="003A53E6"/>
    <w:rsid w:val="003A53FF"/>
    <w:rsid w:val="003A54B9"/>
    <w:rsid w:val="003A5677"/>
    <w:rsid w:val="003A56F0"/>
    <w:rsid w:val="003A5872"/>
    <w:rsid w:val="003A597C"/>
    <w:rsid w:val="003A599F"/>
    <w:rsid w:val="003A59B3"/>
    <w:rsid w:val="003A5BCF"/>
    <w:rsid w:val="003A5C1F"/>
    <w:rsid w:val="003A5C84"/>
    <w:rsid w:val="003A5C92"/>
    <w:rsid w:val="003A5C9E"/>
    <w:rsid w:val="003A5CA2"/>
    <w:rsid w:val="003A5DDB"/>
    <w:rsid w:val="003A5DE0"/>
    <w:rsid w:val="003A5E27"/>
    <w:rsid w:val="003A5F46"/>
    <w:rsid w:val="003A60A8"/>
    <w:rsid w:val="003A60C3"/>
    <w:rsid w:val="003A6118"/>
    <w:rsid w:val="003A611A"/>
    <w:rsid w:val="003A61E6"/>
    <w:rsid w:val="003A6316"/>
    <w:rsid w:val="003A633D"/>
    <w:rsid w:val="003A645E"/>
    <w:rsid w:val="003A646D"/>
    <w:rsid w:val="003A6484"/>
    <w:rsid w:val="003A660E"/>
    <w:rsid w:val="003A6690"/>
    <w:rsid w:val="003A66EB"/>
    <w:rsid w:val="003A67F6"/>
    <w:rsid w:val="003A67F9"/>
    <w:rsid w:val="003A6837"/>
    <w:rsid w:val="003A683C"/>
    <w:rsid w:val="003A68A4"/>
    <w:rsid w:val="003A6973"/>
    <w:rsid w:val="003A69BB"/>
    <w:rsid w:val="003A6BB8"/>
    <w:rsid w:val="003A6C11"/>
    <w:rsid w:val="003A6C48"/>
    <w:rsid w:val="003A6D54"/>
    <w:rsid w:val="003A6DB0"/>
    <w:rsid w:val="003A6EAC"/>
    <w:rsid w:val="003A6EBF"/>
    <w:rsid w:val="003A6FE3"/>
    <w:rsid w:val="003A704D"/>
    <w:rsid w:val="003A7118"/>
    <w:rsid w:val="003A7273"/>
    <w:rsid w:val="003A7290"/>
    <w:rsid w:val="003A72EF"/>
    <w:rsid w:val="003A7356"/>
    <w:rsid w:val="003A7377"/>
    <w:rsid w:val="003A73EE"/>
    <w:rsid w:val="003A7422"/>
    <w:rsid w:val="003A7512"/>
    <w:rsid w:val="003A7565"/>
    <w:rsid w:val="003A7569"/>
    <w:rsid w:val="003A7676"/>
    <w:rsid w:val="003A769B"/>
    <w:rsid w:val="003A76AD"/>
    <w:rsid w:val="003A76C3"/>
    <w:rsid w:val="003A775A"/>
    <w:rsid w:val="003A7771"/>
    <w:rsid w:val="003A78A9"/>
    <w:rsid w:val="003A7948"/>
    <w:rsid w:val="003A7959"/>
    <w:rsid w:val="003A79C3"/>
    <w:rsid w:val="003A7A74"/>
    <w:rsid w:val="003A7B48"/>
    <w:rsid w:val="003A7BED"/>
    <w:rsid w:val="003A7D9B"/>
    <w:rsid w:val="003A7E22"/>
    <w:rsid w:val="003A7F3B"/>
    <w:rsid w:val="003B0056"/>
    <w:rsid w:val="003B0236"/>
    <w:rsid w:val="003B0237"/>
    <w:rsid w:val="003B02BA"/>
    <w:rsid w:val="003B0332"/>
    <w:rsid w:val="003B03ED"/>
    <w:rsid w:val="003B043F"/>
    <w:rsid w:val="003B0464"/>
    <w:rsid w:val="003B05F4"/>
    <w:rsid w:val="003B064A"/>
    <w:rsid w:val="003B068C"/>
    <w:rsid w:val="003B088A"/>
    <w:rsid w:val="003B08C1"/>
    <w:rsid w:val="003B0915"/>
    <w:rsid w:val="003B0980"/>
    <w:rsid w:val="003B0A90"/>
    <w:rsid w:val="003B0D07"/>
    <w:rsid w:val="003B0E38"/>
    <w:rsid w:val="003B0EC6"/>
    <w:rsid w:val="003B0F17"/>
    <w:rsid w:val="003B1071"/>
    <w:rsid w:val="003B1087"/>
    <w:rsid w:val="003B10B2"/>
    <w:rsid w:val="003B111A"/>
    <w:rsid w:val="003B111D"/>
    <w:rsid w:val="003B1140"/>
    <w:rsid w:val="003B11CA"/>
    <w:rsid w:val="003B12EF"/>
    <w:rsid w:val="003B1335"/>
    <w:rsid w:val="003B1359"/>
    <w:rsid w:val="003B14EE"/>
    <w:rsid w:val="003B14F3"/>
    <w:rsid w:val="003B1508"/>
    <w:rsid w:val="003B16FD"/>
    <w:rsid w:val="003B1824"/>
    <w:rsid w:val="003B198D"/>
    <w:rsid w:val="003B1A3B"/>
    <w:rsid w:val="003B1A7C"/>
    <w:rsid w:val="003B1B0C"/>
    <w:rsid w:val="003B1B16"/>
    <w:rsid w:val="003B1B8D"/>
    <w:rsid w:val="003B1BFD"/>
    <w:rsid w:val="003B1CEA"/>
    <w:rsid w:val="003B1DB7"/>
    <w:rsid w:val="003B1E65"/>
    <w:rsid w:val="003B1F45"/>
    <w:rsid w:val="003B20B0"/>
    <w:rsid w:val="003B214D"/>
    <w:rsid w:val="003B21CE"/>
    <w:rsid w:val="003B227C"/>
    <w:rsid w:val="003B2370"/>
    <w:rsid w:val="003B23B4"/>
    <w:rsid w:val="003B244C"/>
    <w:rsid w:val="003B246A"/>
    <w:rsid w:val="003B24B5"/>
    <w:rsid w:val="003B24DD"/>
    <w:rsid w:val="003B2592"/>
    <w:rsid w:val="003B2617"/>
    <w:rsid w:val="003B2642"/>
    <w:rsid w:val="003B2661"/>
    <w:rsid w:val="003B270E"/>
    <w:rsid w:val="003B27A1"/>
    <w:rsid w:val="003B27F9"/>
    <w:rsid w:val="003B2870"/>
    <w:rsid w:val="003B2892"/>
    <w:rsid w:val="003B2903"/>
    <w:rsid w:val="003B290B"/>
    <w:rsid w:val="003B29A1"/>
    <w:rsid w:val="003B2AEA"/>
    <w:rsid w:val="003B2BCF"/>
    <w:rsid w:val="003B2C57"/>
    <w:rsid w:val="003B2C9D"/>
    <w:rsid w:val="003B2D0D"/>
    <w:rsid w:val="003B2D73"/>
    <w:rsid w:val="003B2F25"/>
    <w:rsid w:val="003B3083"/>
    <w:rsid w:val="003B3093"/>
    <w:rsid w:val="003B30F5"/>
    <w:rsid w:val="003B3198"/>
    <w:rsid w:val="003B319A"/>
    <w:rsid w:val="003B31C2"/>
    <w:rsid w:val="003B3208"/>
    <w:rsid w:val="003B3244"/>
    <w:rsid w:val="003B32C9"/>
    <w:rsid w:val="003B334B"/>
    <w:rsid w:val="003B3379"/>
    <w:rsid w:val="003B33BC"/>
    <w:rsid w:val="003B33E1"/>
    <w:rsid w:val="003B3469"/>
    <w:rsid w:val="003B3512"/>
    <w:rsid w:val="003B3652"/>
    <w:rsid w:val="003B3668"/>
    <w:rsid w:val="003B368C"/>
    <w:rsid w:val="003B36B5"/>
    <w:rsid w:val="003B36EF"/>
    <w:rsid w:val="003B37A5"/>
    <w:rsid w:val="003B381C"/>
    <w:rsid w:val="003B38D9"/>
    <w:rsid w:val="003B39BE"/>
    <w:rsid w:val="003B3A25"/>
    <w:rsid w:val="003B3A64"/>
    <w:rsid w:val="003B3A80"/>
    <w:rsid w:val="003B3AC2"/>
    <w:rsid w:val="003B3B79"/>
    <w:rsid w:val="003B3C47"/>
    <w:rsid w:val="003B3CB8"/>
    <w:rsid w:val="003B3CD5"/>
    <w:rsid w:val="003B3D18"/>
    <w:rsid w:val="003B3DD6"/>
    <w:rsid w:val="003B3E61"/>
    <w:rsid w:val="003B3F96"/>
    <w:rsid w:val="003B3F9B"/>
    <w:rsid w:val="003B3FF7"/>
    <w:rsid w:val="003B4027"/>
    <w:rsid w:val="003B40AB"/>
    <w:rsid w:val="003B4151"/>
    <w:rsid w:val="003B41A9"/>
    <w:rsid w:val="003B4286"/>
    <w:rsid w:val="003B4420"/>
    <w:rsid w:val="003B4431"/>
    <w:rsid w:val="003B4454"/>
    <w:rsid w:val="003B44FB"/>
    <w:rsid w:val="003B460E"/>
    <w:rsid w:val="003B464B"/>
    <w:rsid w:val="003B4884"/>
    <w:rsid w:val="003B4899"/>
    <w:rsid w:val="003B48B8"/>
    <w:rsid w:val="003B4902"/>
    <w:rsid w:val="003B490A"/>
    <w:rsid w:val="003B490E"/>
    <w:rsid w:val="003B49CF"/>
    <w:rsid w:val="003B49E0"/>
    <w:rsid w:val="003B4ABB"/>
    <w:rsid w:val="003B4B12"/>
    <w:rsid w:val="003B4BF2"/>
    <w:rsid w:val="003B4C12"/>
    <w:rsid w:val="003B4C6F"/>
    <w:rsid w:val="003B4CE8"/>
    <w:rsid w:val="003B4D4C"/>
    <w:rsid w:val="003B4D77"/>
    <w:rsid w:val="003B4F0A"/>
    <w:rsid w:val="003B4F7A"/>
    <w:rsid w:val="003B4FA8"/>
    <w:rsid w:val="003B501F"/>
    <w:rsid w:val="003B515C"/>
    <w:rsid w:val="003B5377"/>
    <w:rsid w:val="003B5430"/>
    <w:rsid w:val="003B5463"/>
    <w:rsid w:val="003B546A"/>
    <w:rsid w:val="003B54C9"/>
    <w:rsid w:val="003B5525"/>
    <w:rsid w:val="003B55A8"/>
    <w:rsid w:val="003B584D"/>
    <w:rsid w:val="003B585C"/>
    <w:rsid w:val="003B58FE"/>
    <w:rsid w:val="003B594A"/>
    <w:rsid w:val="003B59F6"/>
    <w:rsid w:val="003B5AD6"/>
    <w:rsid w:val="003B5BC7"/>
    <w:rsid w:val="003B5C23"/>
    <w:rsid w:val="003B5C7E"/>
    <w:rsid w:val="003B5D17"/>
    <w:rsid w:val="003B5DC1"/>
    <w:rsid w:val="003B5E82"/>
    <w:rsid w:val="003B5F53"/>
    <w:rsid w:val="003B5FCA"/>
    <w:rsid w:val="003B5FEB"/>
    <w:rsid w:val="003B6018"/>
    <w:rsid w:val="003B605E"/>
    <w:rsid w:val="003B612E"/>
    <w:rsid w:val="003B6137"/>
    <w:rsid w:val="003B62C6"/>
    <w:rsid w:val="003B630E"/>
    <w:rsid w:val="003B6325"/>
    <w:rsid w:val="003B63FD"/>
    <w:rsid w:val="003B65DD"/>
    <w:rsid w:val="003B6676"/>
    <w:rsid w:val="003B669F"/>
    <w:rsid w:val="003B6789"/>
    <w:rsid w:val="003B6852"/>
    <w:rsid w:val="003B68DC"/>
    <w:rsid w:val="003B6AA7"/>
    <w:rsid w:val="003B6B8E"/>
    <w:rsid w:val="003B6BE2"/>
    <w:rsid w:val="003B6CB2"/>
    <w:rsid w:val="003B6D3E"/>
    <w:rsid w:val="003B6DBA"/>
    <w:rsid w:val="003B6E9C"/>
    <w:rsid w:val="003B71B3"/>
    <w:rsid w:val="003B7210"/>
    <w:rsid w:val="003B7406"/>
    <w:rsid w:val="003B76A0"/>
    <w:rsid w:val="003B76FC"/>
    <w:rsid w:val="003B7765"/>
    <w:rsid w:val="003B7776"/>
    <w:rsid w:val="003B77B3"/>
    <w:rsid w:val="003B784A"/>
    <w:rsid w:val="003B78C5"/>
    <w:rsid w:val="003B79B5"/>
    <w:rsid w:val="003B7A9B"/>
    <w:rsid w:val="003B7A9E"/>
    <w:rsid w:val="003B7ACC"/>
    <w:rsid w:val="003B7B22"/>
    <w:rsid w:val="003B7B26"/>
    <w:rsid w:val="003B7BDD"/>
    <w:rsid w:val="003B7C56"/>
    <w:rsid w:val="003B7C5F"/>
    <w:rsid w:val="003B7CB1"/>
    <w:rsid w:val="003B7E00"/>
    <w:rsid w:val="003B7E74"/>
    <w:rsid w:val="003B7FED"/>
    <w:rsid w:val="003C0030"/>
    <w:rsid w:val="003C00BB"/>
    <w:rsid w:val="003C00F7"/>
    <w:rsid w:val="003C01ED"/>
    <w:rsid w:val="003C01F7"/>
    <w:rsid w:val="003C02DF"/>
    <w:rsid w:val="003C0328"/>
    <w:rsid w:val="003C03C4"/>
    <w:rsid w:val="003C0425"/>
    <w:rsid w:val="003C0431"/>
    <w:rsid w:val="003C04CA"/>
    <w:rsid w:val="003C064E"/>
    <w:rsid w:val="003C0725"/>
    <w:rsid w:val="003C0808"/>
    <w:rsid w:val="003C083E"/>
    <w:rsid w:val="003C08AE"/>
    <w:rsid w:val="003C0ABB"/>
    <w:rsid w:val="003C0ADB"/>
    <w:rsid w:val="003C0AF8"/>
    <w:rsid w:val="003C0B57"/>
    <w:rsid w:val="003C0C24"/>
    <w:rsid w:val="003C0C2A"/>
    <w:rsid w:val="003C0C6D"/>
    <w:rsid w:val="003C0CDB"/>
    <w:rsid w:val="003C0D58"/>
    <w:rsid w:val="003C0D92"/>
    <w:rsid w:val="003C0FE0"/>
    <w:rsid w:val="003C1066"/>
    <w:rsid w:val="003C10B4"/>
    <w:rsid w:val="003C10BF"/>
    <w:rsid w:val="003C12AF"/>
    <w:rsid w:val="003C132C"/>
    <w:rsid w:val="003C136A"/>
    <w:rsid w:val="003C13A3"/>
    <w:rsid w:val="003C140D"/>
    <w:rsid w:val="003C1435"/>
    <w:rsid w:val="003C146E"/>
    <w:rsid w:val="003C1555"/>
    <w:rsid w:val="003C15AB"/>
    <w:rsid w:val="003C166A"/>
    <w:rsid w:val="003C178B"/>
    <w:rsid w:val="003C17D7"/>
    <w:rsid w:val="003C17D8"/>
    <w:rsid w:val="003C1849"/>
    <w:rsid w:val="003C1932"/>
    <w:rsid w:val="003C19BB"/>
    <w:rsid w:val="003C1AA1"/>
    <w:rsid w:val="003C1B3D"/>
    <w:rsid w:val="003C1C5F"/>
    <w:rsid w:val="003C1C97"/>
    <w:rsid w:val="003C1D30"/>
    <w:rsid w:val="003C1DAD"/>
    <w:rsid w:val="003C1DD7"/>
    <w:rsid w:val="003C1E5E"/>
    <w:rsid w:val="003C1EA7"/>
    <w:rsid w:val="003C1EA8"/>
    <w:rsid w:val="003C20B3"/>
    <w:rsid w:val="003C213C"/>
    <w:rsid w:val="003C2209"/>
    <w:rsid w:val="003C2255"/>
    <w:rsid w:val="003C22FB"/>
    <w:rsid w:val="003C237E"/>
    <w:rsid w:val="003C242D"/>
    <w:rsid w:val="003C2652"/>
    <w:rsid w:val="003C2662"/>
    <w:rsid w:val="003C26BD"/>
    <w:rsid w:val="003C2715"/>
    <w:rsid w:val="003C293E"/>
    <w:rsid w:val="003C296D"/>
    <w:rsid w:val="003C29AB"/>
    <w:rsid w:val="003C2A8E"/>
    <w:rsid w:val="003C2BA4"/>
    <w:rsid w:val="003C2C09"/>
    <w:rsid w:val="003C2D38"/>
    <w:rsid w:val="003C2ED4"/>
    <w:rsid w:val="003C2FA6"/>
    <w:rsid w:val="003C300B"/>
    <w:rsid w:val="003C30DD"/>
    <w:rsid w:val="003C30F1"/>
    <w:rsid w:val="003C31F0"/>
    <w:rsid w:val="003C3272"/>
    <w:rsid w:val="003C3443"/>
    <w:rsid w:val="003C352A"/>
    <w:rsid w:val="003C35A6"/>
    <w:rsid w:val="003C3616"/>
    <w:rsid w:val="003C3692"/>
    <w:rsid w:val="003C36BE"/>
    <w:rsid w:val="003C36BF"/>
    <w:rsid w:val="003C375F"/>
    <w:rsid w:val="003C37D4"/>
    <w:rsid w:val="003C37D6"/>
    <w:rsid w:val="003C3828"/>
    <w:rsid w:val="003C3850"/>
    <w:rsid w:val="003C38B7"/>
    <w:rsid w:val="003C3A07"/>
    <w:rsid w:val="003C3A49"/>
    <w:rsid w:val="003C3A73"/>
    <w:rsid w:val="003C3AAF"/>
    <w:rsid w:val="003C3BB6"/>
    <w:rsid w:val="003C3C8C"/>
    <w:rsid w:val="003C3CB7"/>
    <w:rsid w:val="003C3DC1"/>
    <w:rsid w:val="003C3E86"/>
    <w:rsid w:val="003C3F2D"/>
    <w:rsid w:val="003C3F5B"/>
    <w:rsid w:val="003C40E9"/>
    <w:rsid w:val="003C4122"/>
    <w:rsid w:val="003C423A"/>
    <w:rsid w:val="003C42E5"/>
    <w:rsid w:val="003C444F"/>
    <w:rsid w:val="003C44AD"/>
    <w:rsid w:val="003C4511"/>
    <w:rsid w:val="003C4525"/>
    <w:rsid w:val="003C4571"/>
    <w:rsid w:val="003C46BE"/>
    <w:rsid w:val="003C473E"/>
    <w:rsid w:val="003C4920"/>
    <w:rsid w:val="003C4925"/>
    <w:rsid w:val="003C4997"/>
    <w:rsid w:val="003C499D"/>
    <w:rsid w:val="003C4A54"/>
    <w:rsid w:val="003C4B9A"/>
    <w:rsid w:val="003C4BE4"/>
    <w:rsid w:val="003C4CC8"/>
    <w:rsid w:val="003C4D09"/>
    <w:rsid w:val="003C4DE4"/>
    <w:rsid w:val="003C4E46"/>
    <w:rsid w:val="003C4EA8"/>
    <w:rsid w:val="003C4F09"/>
    <w:rsid w:val="003C4FA9"/>
    <w:rsid w:val="003C52EE"/>
    <w:rsid w:val="003C52F6"/>
    <w:rsid w:val="003C5491"/>
    <w:rsid w:val="003C558D"/>
    <w:rsid w:val="003C55DE"/>
    <w:rsid w:val="003C5647"/>
    <w:rsid w:val="003C5699"/>
    <w:rsid w:val="003C576A"/>
    <w:rsid w:val="003C58DB"/>
    <w:rsid w:val="003C59BD"/>
    <w:rsid w:val="003C5A20"/>
    <w:rsid w:val="003C5B84"/>
    <w:rsid w:val="003C5B93"/>
    <w:rsid w:val="003C5BB3"/>
    <w:rsid w:val="003C5C1A"/>
    <w:rsid w:val="003C5D75"/>
    <w:rsid w:val="003C5E3C"/>
    <w:rsid w:val="003C5E94"/>
    <w:rsid w:val="003C5EE3"/>
    <w:rsid w:val="003C5F5F"/>
    <w:rsid w:val="003C6136"/>
    <w:rsid w:val="003C61EE"/>
    <w:rsid w:val="003C6227"/>
    <w:rsid w:val="003C6254"/>
    <w:rsid w:val="003C6278"/>
    <w:rsid w:val="003C636F"/>
    <w:rsid w:val="003C63EE"/>
    <w:rsid w:val="003C64DD"/>
    <w:rsid w:val="003C6582"/>
    <w:rsid w:val="003C65A1"/>
    <w:rsid w:val="003C6636"/>
    <w:rsid w:val="003C6781"/>
    <w:rsid w:val="003C67FF"/>
    <w:rsid w:val="003C6911"/>
    <w:rsid w:val="003C69DB"/>
    <w:rsid w:val="003C6ABB"/>
    <w:rsid w:val="003C6ACE"/>
    <w:rsid w:val="003C6B1B"/>
    <w:rsid w:val="003C6B4A"/>
    <w:rsid w:val="003C6C92"/>
    <w:rsid w:val="003C6C94"/>
    <w:rsid w:val="003C6CF8"/>
    <w:rsid w:val="003C6DF5"/>
    <w:rsid w:val="003C6EF1"/>
    <w:rsid w:val="003C6F0B"/>
    <w:rsid w:val="003C6FDB"/>
    <w:rsid w:val="003C7038"/>
    <w:rsid w:val="003C70C4"/>
    <w:rsid w:val="003C713A"/>
    <w:rsid w:val="003C723B"/>
    <w:rsid w:val="003C7276"/>
    <w:rsid w:val="003C73A1"/>
    <w:rsid w:val="003C7408"/>
    <w:rsid w:val="003C7427"/>
    <w:rsid w:val="003C742C"/>
    <w:rsid w:val="003C742F"/>
    <w:rsid w:val="003C7549"/>
    <w:rsid w:val="003C75CE"/>
    <w:rsid w:val="003C75E5"/>
    <w:rsid w:val="003C7729"/>
    <w:rsid w:val="003C7786"/>
    <w:rsid w:val="003C77A7"/>
    <w:rsid w:val="003C7808"/>
    <w:rsid w:val="003C78DA"/>
    <w:rsid w:val="003C79C5"/>
    <w:rsid w:val="003C7A4E"/>
    <w:rsid w:val="003C7AF9"/>
    <w:rsid w:val="003C7BA5"/>
    <w:rsid w:val="003C7BA9"/>
    <w:rsid w:val="003C7BEE"/>
    <w:rsid w:val="003D00B4"/>
    <w:rsid w:val="003D0158"/>
    <w:rsid w:val="003D0199"/>
    <w:rsid w:val="003D032B"/>
    <w:rsid w:val="003D035C"/>
    <w:rsid w:val="003D04BD"/>
    <w:rsid w:val="003D0590"/>
    <w:rsid w:val="003D05E8"/>
    <w:rsid w:val="003D05F1"/>
    <w:rsid w:val="003D06C5"/>
    <w:rsid w:val="003D0714"/>
    <w:rsid w:val="003D07FE"/>
    <w:rsid w:val="003D0800"/>
    <w:rsid w:val="003D0894"/>
    <w:rsid w:val="003D0906"/>
    <w:rsid w:val="003D096F"/>
    <w:rsid w:val="003D0A35"/>
    <w:rsid w:val="003D0A69"/>
    <w:rsid w:val="003D0B55"/>
    <w:rsid w:val="003D0BF4"/>
    <w:rsid w:val="003D0BF5"/>
    <w:rsid w:val="003D0C04"/>
    <w:rsid w:val="003D0C07"/>
    <w:rsid w:val="003D0C41"/>
    <w:rsid w:val="003D0C45"/>
    <w:rsid w:val="003D0D79"/>
    <w:rsid w:val="003D0DD1"/>
    <w:rsid w:val="003D0EE9"/>
    <w:rsid w:val="003D1064"/>
    <w:rsid w:val="003D10A8"/>
    <w:rsid w:val="003D127F"/>
    <w:rsid w:val="003D1351"/>
    <w:rsid w:val="003D1402"/>
    <w:rsid w:val="003D14FA"/>
    <w:rsid w:val="003D151D"/>
    <w:rsid w:val="003D156A"/>
    <w:rsid w:val="003D1614"/>
    <w:rsid w:val="003D169D"/>
    <w:rsid w:val="003D170D"/>
    <w:rsid w:val="003D1876"/>
    <w:rsid w:val="003D18F1"/>
    <w:rsid w:val="003D1973"/>
    <w:rsid w:val="003D1A80"/>
    <w:rsid w:val="003D1B60"/>
    <w:rsid w:val="003D1D70"/>
    <w:rsid w:val="003D1DB3"/>
    <w:rsid w:val="003D1FD5"/>
    <w:rsid w:val="003D2033"/>
    <w:rsid w:val="003D21DC"/>
    <w:rsid w:val="003D224C"/>
    <w:rsid w:val="003D22D8"/>
    <w:rsid w:val="003D23BF"/>
    <w:rsid w:val="003D2512"/>
    <w:rsid w:val="003D26B6"/>
    <w:rsid w:val="003D2867"/>
    <w:rsid w:val="003D28B3"/>
    <w:rsid w:val="003D29BE"/>
    <w:rsid w:val="003D2AAD"/>
    <w:rsid w:val="003D2AD2"/>
    <w:rsid w:val="003D2BA4"/>
    <w:rsid w:val="003D2BAB"/>
    <w:rsid w:val="003D2C2B"/>
    <w:rsid w:val="003D2D01"/>
    <w:rsid w:val="003D2E3E"/>
    <w:rsid w:val="003D2F84"/>
    <w:rsid w:val="003D2FCF"/>
    <w:rsid w:val="003D3169"/>
    <w:rsid w:val="003D3423"/>
    <w:rsid w:val="003D342E"/>
    <w:rsid w:val="003D34A9"/>
    <w:rsid w:val="003D34B5"/>
    <w:rsid w:val="003D353E"/>
    <w:rsid w:val="003D3667"/>
    <w:rsid w:val="003D368F"/>
    <w:rsid w:val="003D36D3"/>
    <w:rsid w:val="003D372C"/>
    <w:rsid w:val="003D3869"/>
    <w:rsid w:val="003D3949"/>
    <w:rsid w:val="003D39DD"/>
    <w:rsid w:val="003D3AE9"/>
    <w:rsid w:val="003D3AF0"/>
    <w:rsid w:val="003D3B36"/>
    <w:rsid w:val="003D3D49"/>
    <w:rsid w:val="003D3D61"/>
    <w:rsid w:val="003D3DD8"/>
    <w:rsid w:val="003D3E86"/>
    <w:rsid w:val="003D3E98"/>
    <w:rsid w:val="003D3EA5"/>
    <w:rsid w:val="003D3F27"/>
    <w:rsid w:val="003D4023"/>
    <w:rsid w:val="003D40ED"/>
    <w:rsid w:val="003D410B"/>
    <w:rsid w:val="003D4111"/>
    <w:rsid w:val="003D42BD"/>
    <w:rsid w:val="003D4326"/>
    <w:rsid w:val="003D437A"/>
    <w:rsid w:val="003D43D9"/>
    <w:rsid w:val="003D4495"/>
    <w:rsid w:val="003D4555"/>
    <w:rsid w:val="003D4686"/>
    <w:rsid w:val="003D470A"/>
    <w:rsid w:val="003D4868"/>
    <w:rsid w:val="003D494A"/>
    <w:rsid w:val="003D49D0"/>
    <w:rsid w:val="003D49E6"/>
    <w:rsid w:val="003D4B60"/>
    <w:rsid w:val="003D4C25"/>
    <w:rsid w:val="003D4C5B"/>
    <w:rsid w:val="003D4CDC"/>
    <w:rsid w:val="003D4D61"/>
    <w:rsid w:val="003D4D6D"/>
    <w:rsid w:val="003D4D7C"/>
    <w:rsid w:val="003D4D8D"/>
    <w:rsid w:val="003D4D97"/>
    <w:rsid w:val="003D4E1C"/>
    <w:rsid w:val="003D4EDB"/>
    <w:rsid w:val="003D5094"/>
    <w:rsid w:val="003D50D3"/>
    <w:rsid w:val="003D515A"/>
    <w:rsid w:val="003D51BB"/>
    <w:rsid w:val="003D5255"/>
    <w:rsid w:val="003D528A"/>
    <w:rsid w:val="003D52CB"/>
    <w:rsid w:val="003D52D5"/>
    <w:rsid w:val="003D5456"/>
    <w:rsid w:val="003D54B1"/>
    <w:rsid w:val="003D55CE"/>
    <w:rsid w:val="003D55E2"/>
    <w:rsid w:val="003D55FD"/>
    <w:rsid w:val="003D56F7"/>
    <w:rsid w:val="003D5717"/>
    <w:rsid w:val="003D5732"/>
    <w:rsid w:val="003D57F1"/>
    <w:rsid w:val="003D5803"/>
    <w:rsid w:val="003D5806"/>
    <w:rsid w:val="003D5872"/>
    <w:rsid w:val="003D59DA"/>
    <w:rsid w:val="003D5A44"/>
    <w:rsid w:val="003D5A47"/>
    <w:rsid w:val="003D5A80"/>
    <w:rsid w:val="003D5B95"/>
    <w:rsid w:val="003D5BA1"/>
    <w:rsid w:val="003D5BA7"/>
    <w:rsid w:val="003D5BE2"/>
    <w:rsid w:val="003D5C26"/>
    <w:rsid w:val="003D5C34"/>
    <w:rsid w:val="003D5E46"/>
    <w:rsid w:val="003D5FDA"/>
    <w:rsid w:val="003D6094"/>
    <w:rsid w:val="003D6113"/>
    <w:rsid w:val="003D61ED"/>
    <w:rsid w:val="003D6210"/>
    <w:rsid w:val="003D6234"/>
    <w:rsid w:val="003D62A2"/>
    <w:rsid w:val="003D633D"/>
    <w:rsid w:val="003D635D"/>
    <w:rsid w:val="003D66D0"/>
    <w:rsid w:val="003D66E1"/>
    <w:rsid w:val="003D672C"/>
    <w:rsid w:val="003D677D"/>
    <w:rsid w:val="003D6812"/>
    <w:rsid w:val="003D686B"/>
    <w:rsid w:val="003D68B0"/>
    <w:rsid w:val="003D69C1"/>
    <w:rsid w:val="003D6A51"/>
    <w:rsid w:val="003D6AE4"/>
    <w:rsid w:val="003D6B31"/>
    <w:rsid w:val="003D6B4D"/>
    <w:rsid w:val="003D6B9C"/>
    <w:rsid w:val="003D6D0D"/>
    <w:rsid w:val="003D6EBE"/>
    <w:rsid w:val="003D6ED7"/>
    <w:rsid w:val="003D6F2C"/>
    <w:rsid w:val="003D7065"/>
    <w:rsid w:val="003D70F5"/>
    <w:rsid w:val="003D7243"/>
    <w:rsid w:val="003D72DC"/>
    <w:rsid w:val="003D7309"/>
    <w:rsid w:val="003D73E5"/>
    <w:rsid w:val="003D7411"/>
    <w:rsid w:val="003D74A3"/>
    <w:rsid w:val="003D75C0"/>
    <w:rsid w:val="003D7629"/>
    <w:rsid w:val="003D763A"/>
    <w:rsid w:val="003D7714"/>
    <w:rsid w:val="003D7720"/>
    <w:rsid w:val="003D7942"/>
    <w:rsid w:val="003D7AC0"/>
    <w:rsid w:val="003D7AF6"/>
    <w:rsid w:val="003D7B90"/>
    <w:rsid w:val="003D7C58"/>
    <w:rsid w:val="003D7CFA"/>
    <w:rsid w:val="003D7E2C"/>
    <w:rsid w:val="003D7EB5"/>
    <w:rsid w:val="003D7EC7"/>
    <w:rsid w:val="003D7EC9"/>
    <w:rsid w:val="003D7F15"/>
    <w:rsid w:val="003D7F77"/>
    <w:rsid w:val="003E0002"/>
    <w:rsid w:val="003E0064"/>
    <w:rsid w:val="003E013E"/>
    <w:rsid w:val="003E017F"/>
    <w:rsid w:val="003E01A4"/>
    <w:rsid w:val="003E01B3"/>
    <w:rsid w:val="003E0235"/>
    <w:rsid w:val="003E0265"/>
    <w:rsid w:val="003E0342"/>
    <w:rsid w:val="003E03ED"/>
    <w:rsid w:val="003E04E7"/>
    <w:rsid w:val="003E057D"/>
    <w:rsid w:val="003E05D1"/>
    <w:rsid w:val="003E062D"/>
    <w:rsid w:val="003E06DC"/>
    <w:rsid w:val="003E073C"/>
    <w:rsid w:val="003E07A6"/>
    <w:rsid w:val="003E07BC"/>
    <w:rsid w:val="003E07DB"/>
    <w:rsid w:val="003E07DD"/>
    <w:rsid w:val="003E07E9"/>
    <w:rsid w:val="003E0949"/>
    <w:rsid w:val="003E0A55"/>
    <w:rsid w:val="003E0A78"/>
    <w:rsid w:val="003E0BE2"/>
    <w:rsid w:val="003E0DA1"/>
    <w:rsid w:val="003E0DAE"/>
    <w:rsid w:val="003E0DF6"/>
    <w:rsid w:val="003E0E8A"/>
    <w:rsid w:val="003E0EAE"/>
    <w:rsid w:val="003E0FA0"/>
    <w:rsid w:val="003E1127"/>
    <w:rsid w:val="003E11DD"/>
    <w:rsid w:val="003E122E"/>
    <w:rsid w:val="003E12A0"/>
    <w:rsid w:val="003E1336"/>
    <w:rsid w:val="003E134E"/>
    <w:rsid w:val="003E138D"/>
    <w:rsid w:val="003E13A3"/>
    <w:rsid w:val="003E146E"/>
    <w:rsid w:val="003E1503"/>
    <w:rsid w:val="003E156F"/>
    <w:rsid w:val="003E15C2"/>
    <w:rsid w:val="003E1820"/>
    <w:rsid w:val="003E1856"/>
    <w:rsid w:val="003E185B"/>
    <w:rsid w:val="003E18AD"/>
    <w:rsid w:val="003E18D9"/>
    <w:rsid w:val="003E194E"/>
    <w:rsid w:val="003E199D"/>
    <w:rsid w:val="003E19F8"/>
    <w:rsid w:val="003E1A41"/>
    <w:rsid w:val="003E1A47"/>
    <w:rsid w:val="003E1A97"/>
    <w:rsid w:val="003E1AFD"/>
    <w:rsid w:val="003E1B01"/>
    <w:rsid w:val="003E1B56"/>
    <w:rsid w:val="003E1B69"/>
    <w:rsid w:val="003E1B94"/>
    <w:rsid w:val="003E1B98"/>
    <w:rsid w:val="003E1C29"/>
    <w:rsid w:val="003E1CA5"/>
    <w:rsid w:val="003E1CC7"/>
    <w:rsid w:val="003E1D27"/>
    <w:rsid w:val="003E1DCC"/>
    <w:rsid w:val="003E1F68"/>
    <w:rsid w:val="003E2082"/>
    <w:rsid w:val="003E20D1"/>
    <w:rsid w:val="003E20DC"/>
    <w:rsid w:val="003E2148"/>
    <w:rsid w:val="003E2217"/>
    <w:rsid w:val="003E2367"/>
    <w:rsid w:val="003E240D"/>
    <w:rsid w:val="003E24AD"/>
    <w:rsid w:val="003E2525"/>
    <w:rsid w:val="003E254D"/>
    <w:rsid w:val="003E2566"/>
    <w:rsid w:val="003E263A"/>
    <w:rsid w:val="003E26C1"/>
    <w:rsid w:val="003E274F"/>
    <w:rsid w:val="003E287A"/>
    <w:rsid w:val="003E28ED"/>
    <w:rsid w:val="003E2A71"/>
    <w:rsid w:val="003E2B57"/>
    <w:rsid w:val="003E2D54"/>
    <w:rsid w:val="003E2D91"/>
    <w:rsid w:val="003E2DC6"/>
    <w:rsid w:val="003E2DF9"/>
    <w:rsid w:val="003E2E2F"/>
    <w:rsid w:val="003E2E4E"/>
    <w:rsid w:val="003E2E63"/>
    <w:rsid w:val="003E2E6B"/>
    <w:rsid w:val="003E2F99"/>
    <w:rsid w:val="003E2FB4"/>
    <w:rsid w:val="003E300F"/>
    <w:rsid w:val="003E30B7"/>
    <w:rsid w:val="003E30D2"/>
    <w:rsid w:val="003E312C"/>
    <w:rsid w:val="003E3229"/>
    <w:rsid w:val="003E3339"/>
    <w:rsid w:val="003E334D"/>
    <w:rsid w:val="003E3631"/>
    <w:rsid w:val="003E37C2"/>
    <w:rsid w:val="003E37D3"/>
    <w:rsid w:val="003E3824"/>
    <w:rsid w:val="003E388A"/>
    <w:rsid w:val="003E38F4"/>
    <w:rsid w:val="003E38FF"/>
    <w:rsid w:val="003E3AD8"/>
    <w:rsid w:val="003E3ADF"/>
    <w:rsid w:val="003E3BB0"/>
    <w:rsid w:val="003E3BC5"/>
    <w:rsid w:val="003E3C29"/>
    <w:rsid w:val="003E3D69"/>
    <w:rsid w:val="003E3D71"/>
    <w:rsid w:val="003E3DAD"/>
    <w:rsid w:val="003E3DE1"/>
    <w:rsid w:val="003E3E4F"/>
    <w:rsid w:val="003E3EC4"/>
    <w:rsid w:val="003E3FE4"/>
    <w:rsid w:val="003E4279"/>
    <w:rsid w:val="003E43D6"/>
    <w:rsid w:val="003E43EE"/>
    <w:rsid w:val="003E4464"/>
    <w:rsid w:val="003E44BA"/>
    <w:rsid w:val="003E45C9"/>
    <w:rsid w:val="003E4639"/>
    <w:rsid w:val="003E4694"/>
    <w:rsid w:val="003E47EC"/>
    <w:rsid w:val="003E49BA"/>
    <w:rsid w:val="003E4A21"/>
    <w:rsid w:val="003E4B3A"/>
    <w:rsid w:val="003E4C08"/>
    <w:rsid w:val="003E4C1A"/>
    <w:rsid w:val="003E4D35"/>
    <w:rsid w:val="003E4D50"/>
    <w:rsid w:val="003E4DB6"/>
    <w:rsid w:val="003E4E51"/>
    <w:rsid w:val="003E4FCF"/>
    <w:rsid w:val="003E500F"/>
    <w:rsid w:val="003E5048"/>
    <w:rsid w:val="003E5127"/>
    <w:rsid w:val="003E512A"/>
    <w:rsid w:val="003E51B8"/>
    <w:rsid w:val="003E5283"/>
    <w:rsid w:val="003E52B9"/>
    <w:rsid w:val="003E5360"/>
    <w:rsid w:val="003E53C5"/>
    <w:rsid w:val="003E54DD"/>
    <w:rsid w:val="003E564D"/>
    <w:rsid w:val="003E570C"/>
    <w:rsid w:val="003E574E"/>
    <w:rsid w:val="003E576B"/>
    <w:rsid w:val="003E57ED"/>
    <w:rsid w:val="003E5809"/>
    <w:rsid w:val="003E5870"/>
    <w:rsid w:val="003E5890"/>
    <w:rsid w:val="003E5973"/>
    <w:rsid w:val="003E599B"/>
    <w:rsid w:val="003E5A60"/>
    <w:rsid w:val="003E5AAC"/>
    <w:rsid w:val="003E5B24"/>
    <w:rsid w:val="003E5C67"/>
    <w:rsid w:val="003E5DB0"/>
    <w:rsid w:val="003E5E22"/>
    <w:rsid w:val="003E5E83"/>
    <w:rsid w:val="003E5EA6"/>
    <w:rsid w:val="003E5F08"/>
    <w:rsid w:val="003E5F4B"/>
    <w:rsid w:val="003E5FD3"/>
    <w:rsid w:val="003E5FDE"/>
    <w:rsid w:val="003E601D"/>
    <w:rsid w:val="003E60E8"/>
    <w:rsid w:val="003E6117"/>
    <w:rsid w:val="003E6156"/>
    <w:rsid w:val="003E619C"/>
    <w:rsid w:val="003E6246"/>
    <w:rsid w:val="003E6311"/>
    <w:rsid w:val="003E6443"/>
    <w:rsid w:val="003E6471"/>
    <w:rsid w:val="003E64A7"/>
    <w:rsid w:val="003E64A9"/>
    <w:rsid w:val="003E6553"/>
    <w:rsid w:val="003E665F"/>
    <w:rsid w:val="003E677C"/>
    <w:rsid w:val="003E6891"/>
    <w:rsid w:val="003E6A0F"/>
    <w:rsid w:val="003E6BCB"/>
    <w:rsid w:val="003E6CF1"/>
    <w:rsid w:val="003E6D78"/>
    <w:rsid w:val="003E6DC6"/>
    <w:rsid w:val="003E7037"/>
    <w:rsid w:val="003E7075"/>
    <w:rsid w:val="003E7110"/>
    <w:rsid w:val="003E716E"/>
    <w:rsid w:val="003E71FA"/>
    <w:rsid w:val="003E7330"/>
    <w:rsid w:val="003E73B0"/>
    <w:rsid w:val="003E73EC"/>
    <w:rsid w:val="003E746A"/>
    <w:rsid w:val="003E7653"/>
    <w:rsid w:val="003E7672"/>
    <w:rsid w:val="003E7814"/>
    <w:rsid w:val="003E787C"/>
    <w:rsid w:val="003E7944"/>
    <w:rsid w:val="003E7A06"/>
    <w:rsid w:val="003E7A1E"/>
    <w:rsid w:val="003E7AB9"/>
    <w:rsid w:val="003E7B92"/>
    <w:rsid w:val="003E7CCC"/>
    <w:rsid w:val="003E7D9A"/>
    <w:rsid w:val="003E7DDD"/>
    <w:rsid w:val="003E7EC9"/>
    <w:rsid w:val="003E7EFF"/>
    <w:rsid w:val="003F0136"/>
    <w:rsid w:val="003F01E7"/>
    <w:rsid w:val="003F01F9"/>
    <w:rsid w:val="003F04BB"/>
    <w:rsid w:val="003F0549"/>
    <w:rsid w:val="003F0600"/>
    <w:rsid w:val="003F067A"/>
    <w:rsid w:val="003F06F8"/>
    <w:rsid w:val="003F076D"/>
    <w:rsid w:val="003F0965"/>
    <w:rsid w:val="003F0975"/>
    <w:rsid w:val="003F09B4"/>
    <w:rsid w:val="003F0A5D"/>
    <w:rsid w:val="003F0ADC"/>
    <w:rsid w:val="003F0B04"/>
    <w:rsid w:val="003F0C39"/>
    <w:rsid w:val="003F0C89"/>
    <w:rsid w:val="003F0C99"/>
    <w:rsid w:val="003F0D82"/>
    <w:rsid w:val="003F0F29"/>
    <w:rsid w:val="003F0F8D"/>
    <w:rsid w:val="003F1067"/>
    <w:rsid w:val="003F10A6"/>
    <w:rsid w:val="003F119F"/>
    <w:rsid w:val="003F1213"/>
    <w:rsid w:val="003F1216"/>
    <w:rsid w:val="003F122F"/>
    <w:rsid w:val="003F164A"/>
    <w:rsid w:val="003F1720"/>
    <w:rsid w:val="003F18E1"/>
    <w:rsid w:val="003F18FD"/>
    <w:rsid w:val="003F1A35"/>
    <w:rsid w:val="003F1A3E"/>
    <w:rsid w:val="003F1A40"/>
    <w:rsid w:val="003F1A97"/>
    <w:rsid w:val="003F1B3B"/>
    <w:rsid w:val="003F1C85"/>
    <w:rsid w:val="003F1EA2"/>
    <w:rsid w:val="003F1ED3"/>
    <w:rsid w:val="003F1F19"/>
    <w:rsid w:val="003F1F3C"/>
    <w:rsid w:val="003F21E9"/>
    <w:rsid w:val="003F2212"/>
    <w:rsid w:val="003F2224"/>
    <w:rsid w:val="003F23F2"/>
    <w:rsid w:val="003F2492"/>
    <w:rsid w:val="003F249F"/>
    <w:rsid w:val="003F24A1"/>
    <w:rsid w:val="003F24A7"/>
    <w:rsid w:val="003F24B4"/>
    <w:rsid w:val="003F2588"/>
    <w:rsid w:val="003F25E3"/>
    <w:rsid w:val="003F29EF"/>
    <w:rsid w:val="003F2AF8"/>
    <w:rsid w:val="003F2B7E"/>
    <w:rsid w:val="003F2BD9"/>
    <w:rsid w:val="003F2C54"/>
    <w:rsid w:val="003F2D04"/>
    <w:rsid w:val="003F2D56"/>
    <w:rsid w:val="003F2DC0"/>
    <w:rsid w:val="003F2E5C"/>
    <w:rsid w:val="003F2EA2"/>
    <w:rsid w:val="003F2EF8"/>
    <w:rsid w:val="003F2F6B"/>
    <w:rsid w:val="003F307C"/>
    <w:rsid w:val="003F3123"/>
    <w:rsid w:val="003F31DD"/>
    <w:rsid w:val="003F321F"/>
    <w:rsid w:val="003F3266"/>
    <w:rsid w:val="003F3312"/>
    <w:rsid w:val="003F3316"/>
    <w:rsid w:val="003F336F"/>
    <w:rsid w:val="003F344A"/>
    <w:rsid w:val="003F345E"/>
    <w:rsid w:val="003F34EB"/>
    <w:rsid w:val="003F34EC"/>
    <w:rsid w:val="003F355D"/>
    <w:rsid w:val="003F3562"/>
    <w:rsid w:val="003F35DA"/>
    <w:rsid w:val="003F3723"/>
    <w:rsid w:val="003F372C"/>
    <w:rsid w:val="003F37AF"/>
    <w:rsid w:val="003F395B"/>
    <w:rsid w:val="003F39D3"/>
    <w:rsid w:val="003F3AFC"/>
    <w:rsid w:val="003F3BB9"/>
    <w:rsid w:val="003F3CB5"/>
    <w:rsid w:val="003F3D30"/>
    <w:rsid w:val="003F3E9B"/>
    <w:rsid w:val="003F3F30"/>
    <w:rsid w:val="003F417C"/>
    <w:rsid w:val="003F419C"/>
    <w:rsid w:val="003F4330"/>
    <w:rsid w:val="003F4342"/>
    <w:rsid w:val="003F437A"/>
    <w:rsid w:val="003F437F"/>
    <w:rsid w:val="003F43BB"/>
    <w:rsid w:val="003F446C"/>
    <w:rsid w:val="003F44B0"/>
    <w:rsid w:val="003F456A"/>
    <w:rsid w:val="003F4635"/>
    <w:rsid w:val="003F4687"/>
    <w:rsid w:val="003F469E"/>
    <w:rsid w:val="003F475F"/>
    <w:rsid w:val="003F4895"/>
    <w:rsid w:val="003F48D8"/>
    <w:rsid w:val="003F4953"/>
    <w:rsid w:val="003F49E6"/>
    <w:rsid w:val="003F49FD"/>
    <w:rsid w:val="003F4AB1"/>
    <w:rsid w:val="003F4C6D"/>
    <w:rsid w:val="003F4D44"/>
    <w:rsid w:val="003F4E79"/>
    <w:rsid w:val="003F4E89"/>
    <w:rsid w:val="003F4E8F"/>
    <w:rsid w:val="003F4E91"/>
    <w:rsid w:val="003F502F"/>
    <w:rsid w:val="003F5144"/>
    <w:rsid w:val="003F5171"/>
    <w:rsid w:val="003F5322"/>
    <w:rsid w:val="003F536A"/>
    <w:rsid w:val="003F5392"/>
    <w:rsid w:val="003F53FF"/>
    <w:rsid w:val="003F5457"/>
    <w:rsid w:val="003F561B"/>
    <w:rsid w:val="003F5761"/>
    <w:rsid w:val="003F57B7"/>
    <w:rsid w:val="003F5A54"/>
    <w:rsid w:val="003F5B84"/>
    <w:rsid w:val="003F5BC6"/>
    <w:rsid w:val="003F5CB9"/>
    <w:rsid w:val="003F5D0D"/>
    <w:rsid w:val="003F5D2E"/>
    <w:rsid w:val="003F5D80"/>
    <w:rsid w:val="003F5E04"/>
    <w:rsid w:val="003F5ED3"/>
    <w:rsid w:val="003F5EDE"/>
    <w:rsid w:val="003F5F1C"/>
    <w:rsid w:val="003F5F45"/>
    <w:rsid w:val="003F60B4"/>
    <w:rsid w:val="003F60B9"/>
    <w:rsid w:val="003F6154"/>
    <w:rsid w:val="003F61B1"/>
    <w:rsid w:val="003F6236"/>
    <w:rsid w:val="003F6283"/>
    <w:rsid w:val="003F646B"/>
    <w:rsid w:val="003F6649"/>
    <w:rsid w:val="003F664B"/>
    <w:rsid w:val="003F671B"/>
    <w:rsid w:val="003F6758"/>
    <w:rsid w:val="003F67B2"/>
    <w:rsid w:val="003F67B8"/>
    <w:rsid w:val="003F69BA"/>
    <w:rsid w:val="003F69E6"/>
    <w:rsid w:val="003F69EA"/>
    <w:rsid w:val="003F6A99"/>
    <w:rsid w:val="003F6B3E"/>
    <w:rsid w:val="003F6B52"/>
    <w:rsid w:val="003F6D04"/>
    <w:rsid w:val="003F6DFD"/>
    <w:rsid w:val="003F6EF3"/>
    <w:rsid w:val="003F6FAD"/>
    <w:rsid w:val="003F6FF0"/>
    <w:rsid w:val="003F7071"/>
    <w:rsid w:val="003F7170"/>
    <w:rsid w:val="003F71E1"/>
    <w:rsid w:val="003F7252"/>
    <w:rsid w:val="003F72BF"/>
    <w:rsid w:val="003F72E5"/>
    <w:rsid w:val="003F7332"/>
    <w:rsid w:val="003F73B1"/>
    <w:rsid w:val="003F741B"/>
    <w:rsid w:val="003F7483"/>
    <w:rsid w:val="003F7940"/>
    <w:rsid w:val="003F7977"/>
    <w:rsid w:val="003F798A"/>
    <w:rsid w:val="003F7AC0"/>
    <w:rsid w:val="003F7AEB"/>
    <w:rsid w:val="003F7BD4"/>
    <w:rsid w:val="003F7BF1"/>
    <w:rsid w:val="003F7C2C"/>
    <w:rsid w:val="003F7CF7"/>
    <w:rsid w:val="003F7D00"/>
    <w:rsid w:val="003F7D9C"/>
    <w:rsid w:val="003F7DD3"/>
    <w:rsid w:val="003F7E1D"/>
    <w:rsid w:val="003F7EDD"/>
    <w:rsid w:val="003F7F04"/>
    <w:rsid w:val="003F7FB2"/>
    <w:rsid w:val="003F7FED"/>
    <w:rsid w:val="00400041"/>
    <w:rsid w:val="00400085"/>
    <w:rsid w:val="0040018A"/>
    <w:rsid w:val="0040019B"/>
    <w:rsid w:val="00400228"/>
    <w:rsid w:val="0040025D"/>
    <w:rsid w:val="00400267"/>
    <w:rsid w:val="004002CE"/>
    <w:rsid w:val="004002F1"/>
    <w:rsid w:val="00400303"/>
    <w:rsid w:val="0040045A"/>
    <w:rsid w:val="004005F6"/>
    <w:rsid w:val="004006C2"/>
    <w:rsid w:val="0040072E"/>
    <w:rsid w:val="00400754"/>
    <w:rsid w:val="0040075E"/>
    <w:rsid w:val="0040076A"/>
    <w:rsid w:val="00400810"/>
    <w:rsid w:val="004008B3"/>
    <w:rsid w:val="004008C2"/>
    <w:rsid w:val="00400AFD"/>
    <w:rsid w:val="00400B12"/>
    <w:rsid w:val="00400BB5"/>
    <w:rsid w:val="00400C70"/>
    <w:rsid w:val="00400CA6"/>
    <w:rsid w:val="00400D20"/>
    <w:rsid w:val="00400D8B"/>
    <w:rsid w:val="00400E48"/>
    <w:rsid w:val="00401067"/>
    <w:rsid w:val="004010DE"/>
    <w:rsid w:val="0040119C"/>
    <w:rsid w:val="0040131A"/>
    <w:rsid w:val="00401356"/>
    <w:rsid w:val="004013A7"/>
    <w:rsid w:val="004019FB"/>
    <w:rsid w:val="00401B14"/>
    <w:rsid w:val="00401B5A"/>
    <w:rsid w:val="00401CF0"/>
    <w:rsid w:val="00401D85"/>
    <w:rsid w:val="00401E70"/>
    <w:rsid w:val="00401F39"/>
    <w:rsid w:val="00401F78"/>
    <w:rsid w:val="00401F8D"/>
    <w:rsid w:val="00401F91"/>
    <w:rsid w:val="00401F92"/>
    <w:rsid w:val="004020DC"/>
    <w:rsid w:val="00402150"/>
    <w:rsid w:val="004021E4"/>
    <w:rsid w:val="00402214"/>
    <w:rsid w:val="0040221F"/>
    <w:rsid w:val="004022B7"/>
    <w:rsid w:val="00402317"/>
    <w:rsid w:val="00402364"/>
    <w:rsid w:val="004023F0"/>
    <w:rsid w:val="004024B1"/>
    <w:rsid w:val="004024B8"/>
    <w:rsid w:val="004025AF"/>
    <w:rsid w:val="00402684"/>
    <w:rsid w:val="004026B4"/>
    <w:rsid w:val="00402862"/>
    <w:rsid w:val="00402903"/>
    <w:rsid w:val="00402923"/>
    <w:rsid w:val="0040295B"/>
    <w:rsid w:val="004029F0"/>
    <w:rsid w:val="00402A5C"/>
    <w:rsid w:val="00402A7C"/>
    <w:rsid w:val="00402B1B"/>
    <w:rsid w:val="00402B27"/>
    <w:rsid w:val="00402CDC"/>
    <w:rsid w:val="00402D35"/>
    <w:rsid w:val="00402D41"/>
    <w:rsid w:val="00402DF7"/>
    <w:rsid w:val="00402F21"/>
    <w:rsid w:val="00402FAF"/>
    <w:rsid w:val="004030DD"/>
    <w:rsid w:val="00403167"/>
    <w:rsid w:val="00403369"/>
    <w:rsid w:val="00403440"/>
    <w:rsid w:val="0040346B"/>
    <w:rsid w:val="004034F5"/>
    <w:rsid w:val="0040359D"/>
    <w:rsid w:val="004035CD"/>
    <w:rsid w:val="004035F6"/>
    <w:rsid w:val="00403833"/>
    <w:rsid w:val="00403863"/>
    <w:rsid w:val="00403924"/>
    <w:rsid w:val="004039A3"/>
    <w:rsid w:val="004039F0"/>
    <w:rsid w:val="00403A56"/>
    <w:rsid w:val="00403C74"/>
    <w:rsid w:val="00403CC7"/>
    <w:rsid w:val="00403D45"/>
    <w:rsid w:val="00403D71"/>
    <w:rsid w:val="00403DE1"/>
    <w:rsid w:val="00403E74"/>
    <w:rsid w:val="00403F20"/>
    <w:rsid w:val="00403F60"/>
    <w:rsid w:val="00403F84"/>
    <w:rsid w:val="00403FB0"/>
    <w:rsid w:val="00403FCD"/>
    <w:rsid w:val="00403FFD"/>
    <w:rsid w:val="00404297"/>
    <w:rsid w:val="0040439B"/>
    <w:rsid w:val="004043A1"/>
    <w:rsid w:val="004043AD"/>
    <w:rsid w:val="00404423"/>
    <w:rsid w:val="00404454"/>
    <w:rsid w:val="0040473F"/>
    <w:rsid w:val="00404752"/>
    <w:rsid w:val="00404777"/>
    <w:rsid w:val="00404873"/>
    <w:rsid w:val="0040488C"/>
    <w:rsid w:val="004049C7"/>
    <w:rsid w:val="004049F2"/>
    <w:rsid w:val="00404AFC"/>
    <w:rsid w:val="00404B3C"/>
    <w:rsid w:val="00404B8F"/>
    <w:rsid w:val="00404B95"/>
    <w:rsid w:val="00404C4D"/>
    <w:rsid w:val="00404C8A"/>
    <w:rsid w:val="00404D77"/>
    <w:rsid w:val="00404E21"/>
    <w:rsid w:val="00404EA4"/>
    <w:rsid w:val="00404ECB"/>
    <w:rsid w:val="00404EFC"/>
    <w:rsid w:val="00404F4F"/>
    <w:rsid w:val="00404FAC"/>
    <w:rsid w:val="004051B8"/>
    <w:rsid w:val="004051F1"/>
    <w:rsid w:val="00405202"/>
    <w:rsid w:val="00405252"/>
    <w:rsid w:val="004052BC"/>
    <w:rsid w:val="004052FA"/>
    <w:rsid w:val="00405329"/>
    <w:rsid w:val="00405350"/>
    <w:rsid w:val="0040542E"/>
    <w:rsid w:val="00405431"/>
    <w:rsid w:val="00405448"/>
    <w:rsid w:val="004054D0"/>
    <w:rsid w:val="004055C1"/>
    <w:rsid w:val="004055F9"/>
    <w:rsid w:val="004055FF"/>
    <w:rsid w:val="00405624"/>
    <w:rsid w:val="004056D2"/>
    <w:rsid w:val="00405799"/>
    <w:rsid w:val="004058B4"/>
    <w:rsid w:val="00405ADF"/>
    <w:rsid w:val="00405B53"/>
    <w:rsid w:val="00405B56"/>
    <w:rsid w:val="00405B7D"/>
    <w:rsid w:val="00405BCE"/>
    <w:rsid w:val="00405D64"/>
    <w:rsid w:val="00405D91"/>
    <w:rsid w:val="00405E97"/>
    <w:rsid w:val="00405F43"/>
    <w:rsid w:val="00405F46"/>
    <w:rsid w:val="00405F86"/>
    <w:rsid w:val="00405F8F"/>
    <w:rsid w:val="00405FAA"/>
    <w:rsid w:val="00406036"/>
    <w:rsid w:val="0040607E"/>
    <w:rsid w:val="00406239"/>
    <w:rsid w:val="00406294"/>
    <w:rsid w:val="0040657B"/>
    <w:rsid w:val="0040657F"/>
    <w:rsid w:val="004065D3"/>
    <w:rsid w:val="00406600"/>
    <w:rsid w:val="0040664A"/>
    <w:rsid w:val="004066C3"/>
    <w:rsid w:val="004066E8"/>
    <w:rsid w:val="004067C7"/>
    <w:rsid w:val="00406841"/>
    <w:rsid w:val="0040686C"/>
    <w:rsid w:val="004068F4"/>
    <w:rsid w:val="0040692E"/>
    <w:rsid w:val="004069C3"/>
    <w:rsid w:val="004069DD"/>
    <w:rsid w:val="00406B9D"/>
    <w:rsid w:val="00406BE5"/>
    <w:rsid w:val="00406E37"/>
    <w:rsid w:val="00406E3C"/>
    <w:rsid w:val="004071CB"/>
    <w:rsid w:val="0040720A"/>
    <w:rsid w:val="00407241"/>
    <w:rsid w:val="00407378"/>
    <w:rsid w:val="0040742D"/>
    <w:rsid w:val="00407489"/>
    <w:rsid w:val="0040751A"/>
    <w:rsid w:val="00407550"/>
    <w:rsid w:val="004075BA"/>
    <w:rsid w:val="00407731"/>
    <w:rsid w:val="004077C0"/>
    <w:rsid w:val="004077DB"/>
    <w:rsid w:val="00407819"/>
    <w:rsid w:val="00407837"/>
    <w:rsid w:val="00407A51"/>
    <w:rsid w:val="00407A7D"/>
    <w:rsid w:val="00407BA5"/>
    <w:rsid w:val="00407BA8"/>
    <w:rsid w:val="00407DBA"/>
    <w:rsid w:val="00407DBE"/>
    <w:rsid w:val="0041002D"/>
    <w:rsid w:val="00410079"/>
    <w:rsid w:val="004100DA"/>
    <w:rsid w:val="004101A5"/>
    <w:rsid w:val="00410246"/>
    <w:rsid w:val="00410283"/>
    <w:rsid w:val="00410284"/>
    <w:rsid w:val="00410502"/>
    <w:rsid w:val="0041052C"/>
    <w:rsid w:val="004105EA"/>
    <w:rsid w:val="00410613"/>
    <w:rsid w:val="0041062F"/>
    <w:rsid w:val="00410686"/>
    <w:rsid w:val="004106A5"/>
    <w:rsid w:val="004106A8"/>
    <w:rsid w:val="00410ABD"/>
    <w:rsid w:val="00410AED"/>
    <w:rsid w:val="00410B40"/>
    <w:rsid w:val="00410B91"/>
    <w:rsid w:val="00410BC7"/>
    <w:rsid w:val="00410BD5"/>
    <w:rsid w:val="00410C2B"/>
    <w:rsid w:val="00410D6E"/>
    <w:rsid w:val="00410DD7"/>
    <w:rsid w:val="00410DDF"/>
    <w:rsid w:val="00410E29"/>
    <w:rsid w:val="00410E6B"/>
    <w:rsid w:val="00410E90"/>
    <w:rsid w:val="00410F5D"/>
    <w:rsid w:val="00411050"/>
    <w:rsid w:val="004110CB"/>
    <w:rsid w:val="004111EA"/>
    <w:rsid w:val="0041124C"/>
    <w:rsid w:val="004112BF"/>
    <w:rsid w:val="0041155F"/>
    <w:rsid w:val="004115D7"/>
    <w:rsid w:val="0041184D"/>
    <w:rsid w:val="0041186D"/>
    <w:rsid w:val="00411884"/>
    <w:rsid w:val="004118D7"/>
    <w:rsid w:val="004118F8"/>
    <w:rsid w:val="00411940"/>
    <w:rsid w:val="004119AB"/>
    <w:rsid w:val="00411B32"/>
    <w:rsid w:val="00411B47"/>
    <w:rsid w:val="00411EBD"/>
    <w:rsid w:val="00411F81"/>
    <w:rsid w:val="00411F93"/>
    <w:rsid w:val="004120B1"/>
    <w:rsid w:val="00412212"/>
    <w:rsid w:val="00412310"/>
    <w:rsid w:val="00412391"/>
    <w:rsid w:val="00412396"/>
    <w:rsid w:val="004123B8"/>
    <w:rsid w:val="004123FA"/>
    <w:rsid w:val="0041243F"/>
    <w:rsid w:val="004124FF"/>
    <w:rsid w:val="00412595"/>
    <w:rsid w:val="004125B1"/>
    <w:rsid w:val="0041261A"/>
    <w:rsid w:val="0041269B"/>
    <w:rsid w:val="004127AA"/>
    <w:rsid w:val="00412871"/>
    <w:rsid w:val="00412933"/>
    <w:rsid w:val="00412A0C"/>
    <w:rsid w:val="00412A27"/>
    <w:rsid w:val="00412A59"/>
    <w:rsid w:val="00412AF3"/>
    <w:rsid w:val="00412B0C"/>
    <w:rsid w:val="00412B24"/>
    <w:rsid w:val="00412B46"/>
    <w:rsid w:val="00412B48"/>
    <w:rsid w:val="00412BD5"/>
    <w:rsid w:val="00412E94"/>
    <w:rsid w:val="00412EA0"/>
    <w:rsid w:val="00412F5A"/>
    <w:rsid w:val="00413010"/>
    <w:rsid w:val="004130E7"/>
    <w:rsid w:val="0041313F"/>
    <w:rsid w:val="0041320F"/>
    <w:rsid w:val="00413236"/>
    <w:rsid w:val="00413396"/>
    <w:rsid w:val="00413416"/>
    <w:rsid w:val="0041346C"/>
    <w:rsid w:val="0041362D"/>
    <w:rsid w:val="0041362E"/>
    <w:rsid w:val="0041373A"/>
    <w:rsid w:val="00413790"/>
    <w:rsid w:val="0041386F"/>
    <w:rsid w:val="00413960"/>
    <w:rsid w:val="00413ACA"/>
    <w:rsid w:val="00413BA5"/>
    <w:rsid w:val="00413C46"/>
    <w:rsid w:val="00413D10"/>
    <w:rsid w:val="00413D57"/>
    <w:rsid w:val="00413DB9"/>
    <w:rsid w:val="00413F0F"/>
    <w:rsid w:val="00413F99"/>
    <w:rsid w:val="00413FC4"/>
    <w:rsid w:val="0041400E"/>
    <w:rsid w:val="00414169"/>
    <w:rsid w:val="004141F9"/>
    <w:rsid w:val="00414370"/>
    <w:rsid w:val="00414383"/>
    <w:rsid w:val="004143A5"/>
    <w:rsid w:val="0041441B"/>
    <w:rsid w:val="00414439"/>
    <w:rsid w:val="004144DE"/>
    <w:rsid w:val="00414533"/>
    <w:rsid w:val="00414586"/>
    <w:rsid w:val="00414692"/>
    <w:rsid w:val="004146C7"/>
    <w:rsid w:val="0041484E"/>
    <w:rsid w:val="00414947"/>
    <w:rsid w:val="00414AA3"/>
    <w:rsid w:val="00414AAF"/>
    <w:rsid w:val="00414C32"/>
    <w:rsid w:val="00414C67"/>
    <w:rsid w:val="00414D4F"/>
    <w:rsid w:val="00414FA2"/>
    <w:rsid w:val="00415063"/>
    <w:rsid w:val="004150E0"/>
    <w:rsid w:val="0041539E"/>
    <w:rsid w:val="004153FB"/>
    <w:rsid w:val="004155FF"/>
    <w:rsid w:val="00415611"/>
    <w:rsid w:val="00415678"/>
    <w:rsid w:val="004156AC"/>
    <w:rsid w:val="0041570E"/>
    <w:rsid w:val="004158AC"/>
    <w:rsid w:val="00415A03"/>
    <w:rsid w:val="00415C4B"/>
    <w:rsid w:val="00415C71"/>
    <w:rsid w:val="00415C77"/>
    <w:rsid w:val="00415CCF"/>
    <w:rsid w:val="00415E33"/>
    <w:rsid w:val="00415F85"/>
    <w:rsid w:val="00416072"/>
    <w:rsid w:val="00416120"/>
    <w:rsid w:val="0041612F"/>
    <w:rsid w:val="0041616B"/>
    <w:rsid w:val="0041617C"/>
    <w:rsid w:val="004161AA"/>
    <w:rsid w:val="00416248"/>
    <w:rsid w:val="004163C4"/>
    <w:rsid w:val="00416650"/>
    <w:rsid w:val="00416673"/>
    <w:rsid w:val="0041667A"/>
    <w:rsid w:val="004166B4"/>
    <w:rsid w:val="004166E0"/>
    <w:rsid w:val="00416773"/>
    <w:rsid w:val="004167E6"/>
    <w:rsid w:val="00416834"/>
    <w:rsid w:val="004168C5"/>
    <w:rsid w:val="004168DA"/>
    <w:rsid w:val="0041692B"/>
    <w:rsid w:val="0041693F"/>
    <w:rsid w:val="00416A8A"/>
    <w:rsid w:val="00416A8B"/>
    <w:rsid w:val="00416AFA"/>
    <w:rsid w:val="00416B01"/>
    <w:rsid w:val="00416B5B"/>
    <w:rsid w:val="00416DCB"/>
    <w:rsid w:val="00416E10"/>
    <w:rsid w:val="00416F01"/>
    <w:rsid w:val="00416F2F"/>
    <w:rsid w:val="00416F38"/>
    <w:rsid w:val="004170F4"/>
    <w:rsid w:val="00417113"/>
    <w:rsid w:val="004171C7"/>
    <w:rsid w:val="0041720F"/>
    <w:rsid w:val="00417288"/>
    <w:rsid w:val="00417317"/>
    <w:rsid w:val="00417361"/>
    <w:rsid w:val="0041745F"/>
    <w:rsid w:val="00417589"/>
    <w:rsid w:val="004175EE"/>
    <w:rsid w:val="0041772E"/>
    <w:rsid w:val="0041777D"/>
    <w:rsid w:val="00417972"/>
    <w:rsid w:val="0041798A"/>
    <w:rsid w:val="004179B3"/>
    <w:rsid w:val="00417B76"/>
    <w:rsid w:val="00417B87"/>
    <w:rsid w:val="00417B89"/>
    <w:rsid w:val="00417B97"/>
    <w:rsid w:val="00417CDC"/>
    <w:rsid w:val="00417D85"/>
    <w:rsid w:val="00417DA3"/>
    <w:rsid w:val="00417DAD"/>
    <w:rsid w:val="00417DD3"/>
    <w:rsid w:val="00417DD5"/>
    <w:rsid w:val="00417DD8"/>
    <w:rsid w:val="00417E73"/>
    <w:rsid w:val="00417E95"/>
    <w:rsid w:val="00417F7A"/>
    <w:rsid w:val="00417F9E"/>
    <w:rsid w:val="00420079"/>
    <w:rsid w:val="004200E9"/>
    <w:rsid w:val="004200EB"/>
    <w:rsid w:val="0042010F"/>
    <w:rsid w:val="0042024D"/>
    <w:rsid w:val="0042025B"/>
    <w:rsid w:val="004205EA"/>
    <w:rsid w:val="00420657"/>
    <w:rsid w:val="00420718"/>
    <w:rsid w:val="00420789"/>
    <w:rsid w:val="004207C5"/>
    <w:rsid w:val="00420986"/>
    <w:rsid w:val="004209B6"/>
    <w:rsid w:val="00420A01"/>
    <w:rsid w:val="00420A6E"/>
    <w:rsid w:val="00420B21"/>
    <w:rsid w:val="00420B3F"/>
    <w:rsid w:val="00420CF9"/>
    <w:rsid w:val="00420D37"/>
    <w:rsid w:val="00420E07"/>
    <w:rsid w:val="00420E61"/>
    <w:rsid w:val="00420F65"/>
    <w:rsid w:val="00421016"/>
    <w:rsid w:val="0042124B"/>
    <w:rsid w:val="0042124C"/>
    <w:rsid w:val="0042135E"/>
    <w:rsid w:val="0042137E"/>
    <w:rsid w:val="004213EA"/>
    <w:rsid w:val="00421461"/>
    <w:rsid w:val="004214D1"/>
    <w:rsid w:val="0042152D"/>
    <w:rsid w:val="00421931"/>
    <w:rsid w:val="00421A63"/>
    <w:rsid w:val="00421A74"/>
    <w:rsid w:val="00421A8A"/>
    <w:rsid w:val="00421D40"/>
    <w:rsid w:val="00421D51"/>
    <w:rsid w:val="00421DB4"/>
    <w:rsid w:val="00421E6C"/>
    <w:rsid w:val="00421E9B"/>
    <w:rsid w:val="00421E9D"/>
    <w:rsid w:val="00421F8F"/>
    <w:rsid w:val="0042202E"/>
    <w:rsid w:val="00422115"/>
    <w:rsid w:val="00422139"/>
    <w:rsid w:val="0042227C"/>
    <w:rsid w:val="00422341"/>
    <w:rsid w:val="004223F3"/>
    <w:rsid w:val="00422435"/>
    <w:rsid w:val="00422451"/>
    <w:rsid w:val="00422484"/>
    <w:rsid w:val="0042250A"/>
    <w:rsid w:val="004225D3"/>
    <w:rsid w:val="004225F0"/>
    <w:rsid w:val="0042260C"/>
    <w:rsid w:val="00422618"/>
    <w:rsid w:val="00422725"/>
    <w:rsid w:val="004227F3"/>
    <w:rsid w:val="0042285D"/>
    <w:rsid w:val="0042290A"/>
    <w:rsid w:val="004229BD"/>
    <w:rsid w:val="00422C35"/>
    <w:rsid w:val="00422D20"/>
    <w:rsid w:val="00422EAF"/>
    <w:rsid w:val="00422F2F"/>
    <w:rsid w:val="00422F65"/>
    <w:rsid w:val="00422F90"/>
    <w:rsid w:val="0042302F"/>
    <w:rsid w:val="00423046"/>
    <w:rsid w:val="0042305F"/>
    <w:rsid w:val="004230A0"/>
    <w:rsid w:val="0042315E"/>
    <w:rsid w:val="004231CF"/>
    <w:rsid w:val="00423225"/>
    <w:rsid w:val="00423228"/>
    <w:rsid w:val="0042322C"/>
    <w:rsid w:val="004232EA"/>
    <w:rsid w:val="00423317"/>
    <w:rsid w:val="00423401"/>
    <w:rsid w:val="004235EF"/>
    <w:rsid w:val="00423759"/>
    <w:rsid w:val="00423789"/>
    <w:rsid w:val="004238B3"/>
    <w:rsid w:val="00423A37"/>
    <w:rsid w:val="00423A42"/>
    <w:rsid w:val="00423B09"/>
    <w:rsid w:val="00423BF0"/>
    <w:rsid w:val="00423C33"/>
    <w:rsid w:val="00423C6D"/>
    <w:rsid w:val="00423D58"/>
    <w:rsid w:val="00423E05"/>
    <w:rsid w:val="00423EFF"/>
    <w:rsid w:val="00424111"/>
    <w:rsid w:val="00424146"/>
    <w:rsid w:val="0042426F"/>
    <w:rsid w:val="00424316"/>
    <w:rsid w:val="004243CB"/>
    <w:rsid w:val="004245D8"/>
    <w:rsid w:val="004246BB"/>
    <w:rsid w:val="004246D5"/>
    <w:rsid w:val="00424747"/>
    <w:rsid w:val="00424795"/>
    <w:rsid w:val="004247C1"/>
    <w:rsid w:val="00424837"/>
    <w:rsid w:val="00424892"/>
    <w:rsid w:val="004248B0"/>
    <w:rsid w:val="00424955"/>
    <w:rsid w:val="00424974"/>
    <w:rsid w:val="004249CF"/>
    <w:rsid w:val="00424A38"/>
    <w:rsid w:val="00424A5B"/>
    <w:rsid w:val="00424B55"/>
    <w:rsid w:val="00424C92"/>
    <w:rsid w:val="00424D11"/>
    <w:rsid w:val="00424D15"/>
    <w:rsid w:val="00424DE6"/>
    <w:rsid w:val="00424E3F"/>
    <w:rsid w:val="00424E85"/>
    <w:rsid w:val="00424E9F"/>
    <w:rsid w:val="00424F69"/>
    <w:rsid w:val="00424F7D"/>
    <w:rsid w:val="0042516A"/>
    <w:rsid w:val="00425176"/>
    <w:rsid w:val="00425232"/>
    <w:rsid w:val="0042546B"/>
    <w:rsid w:val="004254F5"/>
    <w:rsid w:val="00425561"/>
    <w:rsid w:val="0042557A"/>
    <w:rsid w:val="00425594"/>
    <w:rsid w:val="00425673"/>
    <w:rsid w:val="0042577A"/>
    <w:rsid w:val="00425788"/>
    <w:rsid w:val="00425845"/>
    <w:rsid w:val="00425A52"/>
    <w:rsid w:val="00425AB7"/>
    <w:rsid w:val="00425CDD"/>
    <w:rsid w:val="00425DA0"/>
    <w:rsid w:val="00425DF8"/>
    <w:rsid w:val="00425E71"/>
    <w:rsid w:val="00425E9E"/>
    <w:rsid w:val="00425FD7"/>
    <w:rsid w:val="00426299"/>
    <w:rsid w:val="004262D1"/>
    <w:rsid w:val="0042630C"/>
    <w:rsid w:val="0042634D"/>
    <w:rsid w:val="00426414"/>
    <w:rsid w:val="0042656C"/>
    <w:rsid w:val="0042677A"/>
    <w:rsid w:val="004267E0"/>
    <w:rsid w:val="0042680B"/>
    <w:rsid w:val="00426826"/>
    <w:rsid w:val="0042687A"/>
    <w:rsid w:val="0042692C"/>
    <w:rsid w:val="004269BB"/>
    <w:rsid w:val="00426A0D"/>
    <w:rsid w:val="00426A23"/>
    <w:rsid w:val="00426A29"/>
    <w:rsid w:val="00426B5D"/>
    <w:rsid w:val="00426C2D"/>
    <w:rsid w:val="00426C70"/>
    <w:rsid w:val="00426C7E"/>
    <w:rsid w:val="00426CC6"/>
    <w:rsid w:val="00426D49"/>
    <w:rsid w:val="00426EB1"/>
    <w:rsid w:val="00427080"/>
    <w:rsid w:val="004270F0"/>
    <w:rsid w:val="00427129"/>
    <w:rsid w:val="0042713A"/>
    <w:rsid w:val="0042714D"/>
    <w:rsid w:val="004271E8"/>
    <w:rsid w:val="0042724E"/>
    <w:rsid w:val="004273EC"/>
    <w:rsid w:val="00427428"/>
    <w:rsid w:val="004274B9"/>
    <w:rsid w:val="004274BA"/>
    <w:rsid w:val="004274D5"/>
    <w:rsid w:val="004274EF"/>
    <w:rsid w:val="004275DC"/>
    <w:rsid w:val="004275ED"/>
    <w:rsid w:val="00427636"/>
    <w:rsid w:val="004276C3"/>
    <w:rsid w:val="0042774C"/>
    <w:rsid w:val="0042787A"/>
    <w:rsid w:val="00427A9F"/>
    <w:rsid w:val="00427AF7"/>
    <w:rsid w:val="00427BD9"/>
    <w:rsid w:val="00427CCE"/>
    <w:rsid w:val="00427D1D"/>
    <w:rsid w:val="00427D73"/>
    <w:rsid w:val="00427DB0"/>
    <w:rsid w:val="00427DF0"/>
    <w:rsid w:val="00427E5E"/>
    <w:rsid w:val="00427E91"/>
    <w:rsid w:val="00427EB7"/>
    <w:rsid w:val="0043019F"/>
    <w:rsid w:val="00430245"/>
    <w:rsid w:val="004302DA"/>
    <w:rsid w:val="00430360"/>
    <w:rsid w:val="004303CD"/>
    <w:rsid w:val="004304F6"/>
    <w:rsid w:val="004304FD"/>
    <w:rsid w:val="0043059A"/>
    <w:rsid w:val="004306F8"/>
    <w:rsid w:val="0043079F"/>
    <w:rsid w:val="004307CE"/>
    <w:rsid w:val="004307EC"/>
    <w:rsid w:val="004308A3"/>
    <w:rsid w:val="004308FA"/>
    <w:rsid w:val="004309A1"/>
    <w:rsid w:val="004309A4"/>
    <w:rsid w:val="004309B1"/>
    <w:rsid w:val="004309B5"/>
    <w:rsid w:val="004309BF"/>
    <w:rsid w:val="00430BA4"/>
    <w:rsid w:val="00430BE3"/>
    <w:rsid w:val="00430C44"/>
    <w:rsid w:val="00430DA0"/>
    <w:rsid w:val="00430EFD"/>
    <w:rsid w:val="00430F3A"/>
    <w:rsid w:val="00430FD5"/>
    <w:rsid w:val="00430FE4"/>
    <w:rsid w:val="00431117"/>
    <w:rsid w:val="00431138"/>
    <w:rsid w:val="00431259"/>
    <w:rsid w:val="004314E1"/>
    <w:rsid w:val="0043154B"/>
    <w:rsid w:val="00431618"/>
    <w:rsid w:val="0043167F"/>
    <w:rsid w:val="00431743"/>
    <w:rsid w:val="0043188D"/>
    <w:rsid w:val="004318E9"/>
    <w:rsid w:val="00431AC2"/>
    <w:rsid w:val="00431B7E"/>
    <w:rsid w:val="00431E6B"/>
    <w:rsid w:val="00431EBB"/>
    <w:rsid w:val="00431F95"/>
    <w:rsid w:val="00431FEA"/>
    <w:rsid w:val="00432002"/>
    <w:rsid w:val="00432016"/>
    <w:rsid w:val="004320E1"/>
    <w:rsid w:val="00432173"/>
    <w:rsid w:val="00432219"/>
    <w:rsid w:val="0043225E"/>
    <w:rsid w:val="004324B5"/>
    <w:rsid w:val="00432511"/>
    <w:rsid w:val="004325C1"/>
    <w:rsid w:val="0043270A"/>
    <w:rsid w:val="0043274E"/>
    <w:rsid w:val="00432773"/>
    <w:rsid w:val="00432841"/>
    <w:rsid w:val="00432910"/>
    <w:rsid w:val="004329C5"/>
    <w:rsid w:val="004329EF"/>
    <w:rsid w:val="00432B17"/>
    <w:rsid w:val="00432B22"/>
    <w:rsid w:val="00432B82"/>
    <w:rsid w:val="00432BB9"/>
    <w:rsid w:val="00432C9B"/>
    <w:rsid w:val="00432D39"/>
    <w:rsid w:val="00432DBD"/>
    <w:rsid w:val="00432DCF"/>
    <w:rsid w:val="00432EF7"/>
    <w:rsid w:val="00432F28"/>
    <w:rsid w:val="00432F70"/>
    <w:rsid w:val="0043306E"/>
    <w:rsid w:val="004331DB"/>
    <w:rsid w:val="004332AD"/>
    <w:rsid w:val="00433390"/>
    <w:rsid w:val="004333B1"/>
    <w:rsid w:val="004333C1"/>
    <w:rsid w:val="00433439"/>
    <w:rsid w:val="004334C5"/>
    <w:rsid w:val="00433503"/>
    <w:rsid w:val="004335C0"/>
    <w:rsid w:val="00433609"/>
    <w:rsid w:val="00433621"/>
    <w:rsid w:val="00433637"/>
    <w:rsid w:val="00433663"/>
    <w:rsid w:val="00433680"/>
    <w:rsid w:val="00433692"/>
    <w:rsid w:val="00433696"/>
    <w:rsid w:val="004336A9"/>
    <w:rsid w:val="004336D9"/>
    <w:rsid w:val="00433795"/>
    <w:rsid w:val="00433841"/>
    <w:rsid w:val="0043388C"/>
    <w:rsid w:val="004338C4"/>
    <w:rsid w:val="004338EC"/>
    <w:rsid w:val="00433935"/>
    <w:rsid w:val="004339CE"/>
    <w:rsid w:val="00433A04"/>
    <w:rsid w:val="00433B0D"/>
    <w:rsid w:val="00433B88"/>
    <w:rsid w:val="00433BBD"/>
    <w:rsid w:val="00433BDB"/>
    <w:rsid w:val="00433C1F"/>
    <w:rsid w:val="00433D52"/>
    <w:rsid w:val="00433FC7"/>
    <w:rsid w:val="00433FDD"/>
    <w:rsid w:val="00434113"/>
    <w:rsid w:val="004341FD"/>
    <w:rsid w:val="004344D6"/>
    <w:rsid w:val="00434510"/>
    <w:rsid w:val="00434529"/>
    <w:rsid w:val="0043455B"/>
    <w:rsid w:val="00434625"/>
    <w:rsid w:val="004346A2"/>
    <w:rsid w:val="00434849"/>
    <w:rsid w:val="0043487C"/>
    <w:rsid w:val="004349D0"/>
    <w:rsid w:val="004349E1"/>
    <w:rsid w:val="004349E8"/>
    <w:rsid w:val="00434A3E"/>
    <w:rsid w:val="00434B54"/>
    <w:rsid w:val="00434BA8"/>
    <w:rsid w:val="00434CA0"/>
    <w:rsid w:val="00434CC4"/>
    <w:rsid w:val="00434D54"/>
    <w:rsid w:val="00434D84"/>
    <w:rsid w:val="00434E54"/>
    <w:rsid w:val="00434E68"/>
    <w:rsid w:val="00434F2F"/>
    <w:rsid w:val="004350C0"/>
    <w:rsid w:val="004350C9"/>
    <w:rsid w:val="0043516B"/>
    <w:rsid w:val="004352AC"/>
    <w:rsid w:val="00435303"/>
    <w:rsid w:val="0043531D"/>
    <w:rsid w:val="0043533F"/>
    <w:rsid w:val="00435383"/>
    <w:rsid w:val="004353B9"/>
    <w:rsid w:val="0043544F"/>
    <w:rsid w:val="00435550"/>
    <w:rsid w:val="00435556"/>
    <w:rsid w:val="004355A3"/>
    <w:rsid w:val="00435635"/>
    <w:rsid w:val="00435677"/>
    <w:rsid w:val="004356B8"/>
    <w:rsid w:val="0043573F"/>
    <w:rsid w:val="00435937"/>
    <w:rsid w:val="004359B0"/>
    <w:rsid w:val="004359B7"/>
    <w:rsid w:val="00435A38"/>
    <w:rsid w:val="00435A3F"/>
    <w:rsid w:val="00435B25"/>
    <w:rsid w:val="00435B39"/>
    <w:rsid w:val="00435C8F"/>
    <w:rsid w:val="00435CAC"/>
    <w:rsid w:val="00435CE5"/>
    <w:rsid w:val="00435D93"/>
    <w:rsid w:val="00435DC7"/>
    <w:rsid w:val="00435E04"/>
    <w:rsid w:val="00435EB6"/>
    <w:rsid w:val="00436078"/>
    <w:rsid w:val="0043628A"/>
    <w:rsid w:val="00436383"/>
    <w:rsid w:val="004363C3"/>
    <w:rsid w:val="0043653B"/>
    <w:rsid w:val="004366E6"/>
    <w:rsid w:val="0043673E"/>
    <w:rsid w:val="00436834"/>
    <w:rsid w:val="00436A2D"/>
    <w:rsid w:val="00436A47"/>
    <w:rsid w:val="00436A88"/>
    <w:rsid w:val="00436A92"/>
    <w:rsid w:val="00436AFF"/>
    <w:rsid w:val="00436B75"/>
    <w:rsid w:val="00436BAA"/>
    <w:rsid w:val="00436C47"/>
    <w:rsid w:val="00436DDE"/>
    <w:rsid w:val="00436E4A"/>
    <w:rsid w:val="00437080"/>
    <w:rsid w:val="004370BA"/>
    <w:rsid w:val="0043710F"/>
    <w:rsid w:val="00437189"/>
    <w:rsid w:val="0043720A"/>
    <w:rsid w:val="00437219"/>
    <w:rsid w:val="004372CA"/>
    <w:rsid w:val="00437324"/>
    <w:rsid w:val="00437463"/>
    <w:rsid w:val="0043752B"/>
    <w:rsid w:val="00437586"/>
    <w:rsid w:val="004375C8"/>
    <w:rsid w:val="00437909"/>
    <w:rsid w:val="0043790D"/>
    <w:rsid w:val="00437944"/>
    <w:rsid w:val="00437997"/>
    <w:rsid w:val="00437A86"/>
    <w:rsid w:val="00437AA7"/>
    <w:rsid w:val="00437B0C"/>
    <w:rsid w:val="00437D15"/>
    <w:rsid w:val="00437DD9"/>
    <w:rsid w:val="00437F0F"/>
    <w:rsid w:val="00437F57"/>
    <w:rsid w:val="004400C9"/>
    <w:rsid w:val="00440245"/>
    <w:rsid w:val="00440258"/>
    <w:rsid w:val="00440380"/>
    <w:rsid w:val="004403D8"/>
    <w:rsid w:val="00440490"/>
    <w:rsid w:val="0044049B"/>
    <w:rsid w:val="004404B6"/>
    <w:rsid w:val="004404CC"/>
    <w:rsid w:val="004404F9"/>
    <w:rsid w:val="0044055C"/>
    <w:rsid w:val="00440582"/>
    <w:rsid w:val="004405BE"/>
    <w:rsid w:val="004406E6"/>
    <w:rsid w:val="00440776"/>
    <w:rsid w:val="004408CF"/>
    <w:rsid w:val="00440950"/>
    <w:rsid w:val="00440A24"/>
    <w:rsid w:val="00440B03"/>
    <w:rsid w:val="00440B2B"/>
    <w:rsid w:val="00440C36"/>
    <w:rsid w:val="00440C48"/>
    <w:rsid w:val="00440C4F"/>
    <w:rsid w:val="00440D74"/>
    <w:rsid w:val="00440D7B"/>
    <w:rsid w:val="00440E1B"/>
    <w:rsid w:val="00440E89"/>
    <w:rsid w:val="00440F96"/>
    <w:rsid w:val="0044102B"/>
    <w:rsid w:val="00441084"/>
    <w:rsid w:val="0044117C"/>
    <w:rsid w:val="00441335"/>
    <w:rsid w:val="004413CE"/>
    <w:rsid w:val="00441410"/>
    <w:rsid w:val="00441428"/>
    <w:rsid w:val="004414A8"/>
    <w:rsid w:val="004414FB"/>
    <w:rsid w:val="00441576"/>
    <w:rsid w:val="004415BE"/>
    <w:rsid w:val="00441665"/>
    <w:rsid w:val="004416D0"/>
    <w:rsid w:val="00441703"/>
    <w:rsid w:val="00441708"/>
    <w:rsid w:val="00441725"/>
    <w:rsid w:val="0044175E"/>
    <w:rsid w:val="00441777"/>
    <w:rsid w:val="00441791"/>
    <w:rsid w:val="004417C1"/>
    <w:rsid w:val="00441811"/>
    <w:rsid w:val="0044189E"/>
    <w:rsid w:val="0044199E"/>
    <w:rsid w:val="00441A2E"/>
    <w:rsid w:val="00441AE6"/>
    <w:rsid w:val="00441AF0"/>
    <w:rsid w:val="00441CC7"/>
    <w:rsid w:val="00441ED7"/>
    <w:rsid w:val="00441F40"/>
    <w:rsid w:val="00442005"/>
    <w:rsid w:val="004420B3"/>
    <w:rsid w:val="004420FD"/>
    <w:rsid w:val="00442121"/>
    <w:rsid w:val="00442197"/>
    <w:rsid w:val="0044223E"/>
    <w:rsid w:val="00442283"/>
    <w:rsid w:val="004422BA"/>
    <w:rsid w:val="004422FF"/>
    <w:rsid w:val="0044244F"/>
    <w:rsid w:val="0044247E"/>
    <w:rsid w:val="004424D8"/>
    <w:rsid w:val="004425DC"/>
    <w:rsid w:val="00442637"/>
    <w:rsid w:val="00442695"/>
    <w:rsid w:val="004427DE"/>
    <w:rsid w:val="00442850"/>
    <w:rsid w:val="0044286B"/>
    <w:rsid w:val="00442939"/>
    <w:rsid w:val="004429EA"/>
    <w:rsid w:val="00442AAF"/>
    <w:rsid w:val="00442ABF"/>
    <w:rsid w:val="00442AE2"/>
    <w:rsid w:val="00442B81"/>
    <w:rsid w:val="00442C4A"/>
    <w:rsid w:val="00442C56"/>
    <w:rsid w:val="00442FB7"/>
    <w:rsid w:val="0044304E"/>
    <w:rsid w:val="00443071"/>
    <w:rsid w:val="004431C5"/>
    <w:rsid w:val="004431FC"/>
    <w:rsid w:val="00443267"/>
    <w:rsid w:val="004432B7"/>
    <w:rsid w:val="004432D0"/>
    <w:rsid w:val="0044333E"/>
    <w:rsid w:val="004433B4"/>
    <w:rsid w:val="00443459"/>
    <w:rsid w:val="0044346D"/>
    <w:rsid w:val="00443559"/>
    <w:rsid w:val="00443676"/>
    <w:rsid w:val="004436A5"/>
    <w:rsid w:val="00443713"/>
    <w:rsid w:val="00443747"/>
    <w:rsid w:val="00443750"/>
    <w:rsid w:val="00443763"/>
    <w:rsid w:val="0044389C"/>
    <w:rsid w:val="004439B2"/>
    <w:rsid w:val="00443B6F"/>
    <w:rsid w:val="00443C16"/>
    <w:rsid w:val="00443D41"/>
    <w:rsid w:val="00443E3D"/>
    <w:rsid w:val="00443F60"/>
    <w:rsid w:val="00443FCF"/>
    <w:rsid w:val="00444135"/>
    <w:rsid w:val="0044422B"/>
    <w:rsid w:val="004442F5"/>
    <w:rsid w:val="004444AB"/>
    <w:rsid w:val="0044450A"/>
    <w:rsid w:val="00444548"/>
    <w:rsid w:val="0044460A"/>
    <w:rsid w:val="004446D4"/>
    <w:rsid w:val="004446E8"/>
    <w:rsid w:val="004446FF"/>
    <w:rsid w:val="0044472D"/>
    <w:rsid w:val="00444808"/>
    <w:rsid w:val="00444900"/>
    <w:rsid w:val="00444B72"/>
    <w:rsid w:val="00444BC5"/>
    <w:rsid w:val="00444C9E"/>
    <w:rsid w:val="00444D52"/>
    <w:rsid w:val="00444D57"/>
    <w:rsid w:val="00444DB6"/>
    <w:rsid w:val="00444EC3"/>
    <w:rsid w:val="00444EFA"/>
    <w:rsid w:val="00445110"/>
    <w:rsid w:val="004451E8"/>
    <w:rsid w:val="004451EC"/>
    <w:rsid w:val="0044522B"/>
    <w:rsid w:val="00445298"/>
    <w:rsid w:val="004453A7"/>
    <w:rsid w:val="004453E2"/>
    <w:rsid w:val="0044552F"/>
    <w:rsid w:val="0044558A"/>
    <w:rsid w:val="0044558B"/>
    <w:rsid w:val="004455B5"/>
    <w:rsid w:val="004458FB"/>
    <w:rsid w:val="00445963"/>
    <w:rsid w:val="00445A30"/>
    <w:rsid w:val="00445B1D"/>
    <w:rsid w:val="00445B4A"/>
    <w:rsid w:val="00445B77"/>
    <w:rsid w:val="00445BCF"/>
    <w:rsid w:val="00445E5D"/>
    <w:rsid w:val="00445EF6"/>
    <w:rsid w:val="00445FA9"/>
    <w:rsid w:val="0044605A"/>
    <w:rsid w:val="004460B1"/>
    <w:rsid w:val="0044610C"/>
    <w:rsid w:val="0044618A"/>
    <w:rsid w:val="004461B4"/>
    <w:rsid w:val="00446393"/>
    <w:rsid w:val="00446417"/>
    <w:rsid w:val="004465CD"/>
    <w:rsid w:val="004465E9"/>
    <w:rsid w:val="004465F5"/>
    <w:rsid w:val="00446735"/>
    <w:rsid w:val="0044678B"/>
    <w:rsid w:val="0044679C"/>
    <w:rsid w:val="00446919"/>
    <w:rsid w:val="00446925"/>
    <w:rsid w:val="004469EC"/>
    <w:rsid w:val="00446A83"/>
    <w:rsid w:val="00446B47"/>
    <w:rsid w:val="00446BAB"/>
    <w:rsid w:val="00446BB0"/>
    <w:rsid w:val="00446BEB"/>
    <w:rsid w:val="00446E11"/>
    <w:rsid w:val="00446E6E"/>
    <w:rsid w:val="00446F37"/>
    <w:rsid w:val="00447012"/>
    <w:rsid w:val="0044720E"/>
    <w:rsid w:val="00447299"/>
    <w:rsid w:val="004472E3"/>
    <w:rsid w:val="00447365"/>
    <w:rsid w:val="004473C3"/>
    <w:rsid w:val="004474CB"/>
    <w:rsid w:val="00447603"/>
    <w:rsid w:val="00447657"/>
    <w:rsid w:val="0044772C"/>
    <w:rsid w:val="004479CA"/>
    <w:rsid w:val="00447A5A"/>
    <w:rsid w:val="00447B27"/>
    <w:rsid w:val="00447E19"/>
    <w:rsid w:val="00447E28"/>
    <w:rsid w:val="00447E52"/>
    <w:rsid w:val="00447F00"/>
    <w:rsid w:val="00447F45"/>
    <w:rsid w:val="0045005B"/>
    <w:rsid w:val="0045006E"/>
    <w:rsid w:val="00450163"/>
    <w:rsid w:val="004501AD"/>
    <w:rsid w:val="004501DF"/>
    <w:rsid w:val="0045024F"/>
    <w:rsid w:val="00450300"/>
    <w:rsid w:val="0045030D"/>
    <w:rsid w:val="00450397"/>
    <w:rsid w:val="004504DA"/>
    <w:rsid w:val="00450714"/>
    <w:rsid w:val="004507CB"/>
    <w:rsid w:val="004507E6"/>
    <w:rsid w:val="00450990"/>
    <w:rsid w:val="004509C1"/>
    <w:rsid w:val="004509E3"/>
    <w:rsid w:val="00450A52"/>
    <w:rsid w:val="00450AEB"/>
    <w:rsid w:val="00450AF5"/>
    <w:rsid w:val="00450B7A"/>
    <w:rsid w:val="00450BEC"/>
    <w:rsid w:val="00450C4B"/>
    <w:rsid w:val="00450C6B"/>
    <w:rsid w:val="00450CB4"/>
    <w:rsid w:val="00450D5E"/>
    <w:rsid w:val="00450DAA"/>
    <w:rsid w:val="00450DE8"/>
    <w:rsid w:val="00450E5F"/>
    <w:rsid w:val="00450E65"/>
    <w:rsid w:val="00450EB4"/>
    <w:rsid w:val="00450F49"/>
    <w:rsid w:val="00450F72"/>
    <w:rsid w:val="00450F90"/>
    <w:rsid w:val="00450FD6"/>
    <w:rsid w:val="0045109D"/>
    <w:rsid w:val="00451151"/>
    <w:rsid w:val="004514AE"/>
    <w:rsid w:val="00451637"/>
    <w:rsid w:val="0045165A"/>
    <w:rsid w:val="0045173E"/>
    <w:rsid w:val="004517AA"/>
    <w:rsid w:val="0045184C"/>
    <w:rsid w:val="004518ED"/>
    <w:rsid w:val="00451926"/>
    <w:rsid w:val="0045199A"/>
    <w:rsid w:val="00451A70"/>
    <w:rsid w:val="00451AD4"/>
    <w:rsid w:val="00451AD9"/>
    <w:rsid w:val="00451C54"/>
    <w:rsid w:val="00451D53"/>
    <w:rsid w:val="00451D6F"/>
    <w:rsid w:val="00451F04"/>
    <w:rsid w:val="00451F4B"/>
    <w:rsid w:val="00451FAD"/>
    <w:rsid w:val="00452077"/>
    <w:rsid w:val="004520BE"/>
    <w:rsid w:val="00452114"/>
    <w:rsid w:val="00452142"/>
    <w:rsid w:val="0045228A"/>
    <w:rsid w:val="00452319"/>
    <w:rsid w:val="00452371"/>
    <w:rsid w:val="0045245F"/>
    <w:rsid w:val="00452515"/>
    <w:rsid w:val="0045267A"/>
    <w:rsid w:val="004528B7"/>
    <w:rsid w:val="0045296D"/>
    <w:rsid w:val="004529C2"/>
    <w:rsid w:val="00452A76"/>
    <w:rsid w:val="00452AF5"/>
    <w:rsid w:val="00452BA1"/>
    <w:rsid w:val="00452BBF"/>
    <w:rsid w:val="00452BCE"/>
    <w:rsid w:val="00452BD2"/>
    <w:rsid w:val="00452C5F"/>
    <w:rsid w:val="00452DDC"/>
    <w:rsid w:val="00452DFA"/>
    <w:rsid w:val="00452E11"/>
    <w:rsid w:val="00452ED1"/>
    <w:rsid w:val="00452F12"/>
    <w:rsid w:val="00452F69"/>
    <w:rsid w:val="00452FD2"/>
    <w:rsid w:val="0045301D"/>
    <w:rsid w:val="00453190"/>
    <w:rsid w:val="0045322F"/>
    <w:rsid w:val="0045331F"/>
    <w:rsid w:val="00453328"/>
    <w:rsid w:val="0045340A"/>
    <w:rsid w:val="00453697"/>
    <w:rsid w:val="00453707"/>
    <w:rsid w:val="00453751"/>
    <w:rsid w:val="004537A2"/>
    <w:rsid w:val="004537B4"/>
    <w:rsid w:val="004538C5"/>
    <w:rsid w:val="00453B6F"/>
    <w:rsid w:val="00453B95"/>
    <w:rsid w:val="00453C63"/>
    <w:rsid w:val="00453D0A"/>
    <w:rsid w:val="00453FF4"/>
    <w:rsid w:val="00454044"/>
    <w:rsid w:val="004540F6"/>
    <w:rsid w:val="00454142"/>
    <w:rsid w:val="0045420A"/>
    <w:rsid w:val="0045438A"/>
    <w:rsid w:val="00454395"/>
    <w:rsid w:val="004543AA"/>
    <w:rsid w:val="004545E8"/>
    <w:rsid w:val="004547AA"/>
    <w:rsid w:val="00454885"/>
    <w:rsid w:val="00454B2C"/>
    <w:rsid w:val="00454C5A"/>
    <w:rsid w:val="00454C64"/>
    <w:rsid w:val="00454C73"/>
    <w:rsid w:val="00454D34"/>
    <w:rsid w:val="00454E2C"/>
    <w:rsid w:val="00454E41"/>
    <w:rsid w:val="00454E97"/>
    <w:rsid w:val="0045504B"/>
    <w:rsid w:val="004550F9"/>
    <w:rsid w:val="0045516A"/>
    <w:rsid w:val="0045516E"/>
    <w:rsid w:val="0045517D"/>
    <w:rsid w:val="00455244"/>
    <w:rsid w:val="0045530C"/>
    <w:rsid w:val="00455516"/>
    <w:rsid w:val="00455519"/>
    <w:rsid w:val="004555BC"/>
    <w:rsid w:val="00455670"/>
    <w:rsid w:val="0045582B"/>
    <w:rsid w:val="00455857"/>
    <w:rsid w:val="004558A5"/>
    <w:rsid w:val="00455922"/>
    <w:rsid w:val="0045597C"/>
    <w:rsid w:val="00455A10"/>
    <w:rsid w:val="00455A4B"/>
    <w:rsid w:val="00455A74"/>
    <w:rsid w:val="00455B4F"/>
    <w:rsid w:val="00455C6D"/>
    <w:rsid w:val="00455CAB"/>
    <w:rsid w:val="00455CD7"/>
    <w:rsid w:val="00455DE2"/>
    <w:rsid w:val="00455E2D"/>
    <w:rsid w:val="00455E4D"/>
    <w:rsid w:val="00455E74"/>
    <w:rsid w:val="00455F11"/>
    <w:rsid w:val="00455F16"/>
    <w:rsid w:val="00455FBF"/>
    <w:rsid w:val="00455FC9"/>
    <w:rsid w:val="004560C4"/>
    <w:rsid w:val="004562D0"/>
    <w:rsid w:val="004562D4"/>
    <w:rsid w:val="0045644F"/>
    <w:rsid w:val="00456458"/>
    <w:rsid w:val="004565B5"/>
    <w:rsid w:val="004565C7"/>
    <w:rsid w:val="00456664"/>
    <w:rsid w:val="0045667D"/>
    <w:rsid w:val="004566C1"/>
    <w:rsid w:val="0045671F"/>
    <w:rsid w:val="0045679F"/>
    <w:rsid w:val="004568BE"/>
    <w:rsid w:val="004568DF"/>
    <w:rsid w:val="0045698C"/>
    <w:rsid w:val="004569A6"/>
    <w:rsid w:val="00456A15"/>
    <w:rsid w:val="00456A90"/>
    <w:rsid w:val="00456AF5"/>
    <w:rsid w:val="00456B8C"/>
    <w:rsid w:val="00456C01"/>
    <w:rsid w:val="00456C6B"/>
    <w:rsid w:val="00456DE7"/>
    <w:rsid w:val="00456E47"/>
    <w:rsid w:val="00456E85"/>
    <w:rsid w:val="00456EB4"/>
    <w:rsid w:val="00456F92"/>
    <w:rsid w:val="00456FA0"/>
    <w:rsid w:val="00457193"/>
    <w:rsid w:val="004571C7"/>
    <w:rsid w:val="00457213"/>
    <w:rsid w:val="00457241"/>
    <w:rsid w:val="00457289"/>
    <w:rsid w:val="004573E8"/>
    <w:rsid w:val="00457448"/>
    <w:rsid w:val="004574F6"/>
    <w:rsid w:val="00457594"/>
    <w:rsid w:val="004575C7"/>
    <w:rsid w:val="00457606"/>
    <w:rsid w:val="00457683"/>
    <w:rsid w:val="00457810"/>
    <w:rsid w:val="00457877"/>
    <w:rsid w:val="00457938"/>
    <w:rsid w:val="00457939"/>
    <w:rsid w:val="004579D5"/>
    <w:rsid w:val="00457A35"/>
    <w:rsid w:val="00457A49"/>
    <w:rsid w:val="00457A69"/>
    <w:rsid w:val="00457A73"/>
    <w:rsid w:val="00457BA1"/>
    <w:rsid w:val="00457BFA"/>
    <w:rsid w:val="00457D33"/>
    <w:rsid w:val="00457D80"/>
    <w:rsid w:val="00457E01"/>
    <w:rsid w:val="00457E37"/>
    <w:rsid w:val="00457E39"/>
    <w:rsid w:val="00457F9B"/>
    <w:rsid w:val="0046004F"/>
    <w:rsid w:val="00460051"/>
    <w:rsid w:val="004600A0"/>
    <w:rsid w:val="00460165"/>
    <w:rsid w:val="004601EC"/>
    <w:rsid w:val="00460231"/>
    <w:rsid w:val="004602A2"/>
    <w:rsid w:val="0046035A"/>
    <w:rsid w:val="0046037B"/>
    <w:rsid w:val="004603F6"/>
    <w:rsid w:val="0046056C"/>
    <w:rsid w:val="0046062B"/>
    <w:rsid w:val="00460779"/>
    <w:rsid w:val="0046090D"/>
    <w:rsid w:val="00460999"/>
    <w:rsid w:val="00460ABD"/>
    <w:rsid w:val="00460B84"/>
    <w:rsid w:val="00460BA0"/>
    <w:rsid w:val="00460CCA"/>
    <w:rsid w:val="00460CDA"/>
    <w:rsid w:val="00460D12"/>
    <w:rsid w:val="00460E21"/>
    <w:rsid w:val="00460E60"/>
    <w:rsid w:val="00460E68"/>
    <w:rsid w:val="00460E86"/>
    <w:rsid w:val="00461027"/>
    <w:rsid w:val="00461066"/>
    <w:rsid w:val="004610CA"/>
    <w:rsid w:val="00461105"/>
    <w:rsid w:val="00461133"/>
    <w:rsid w:val="00461155"/>
    <w:rsid w:val="004611C3"/>
    <w:rsid w:val="004612D8"/>
    <w:rsid w:val="00461314"/>
    <w:rsid w:val="00461322"/>
    <w:rsid w:val="00461358"/>
    <w:rsid w:val="00461422"/>
    <w:rsid w:val="00461509"/>
    <w:rsid w:val="0046152D"/>
    <w:rsid w:val="004615E1"/>
    <w:rsid w:val="0046169F"/>
    <w:rsid w:val="004617C4"/>
    <w:rsid w:val="004618FA"/>
    <w:rsid w:val="00461984"/>
    <w:rsid w:val="004619F4"/>
    <w:rsid w:val="00461AB9"/>
    <w:rsid w:val="00461B1D"/>
    <w:rsid w:val="00461B79"/>
    <w:rsid w:val="00461D6D"/>
    <w:rsid w:val="00461DEC"/>
    <w:rsid w:val="00461E5C"/>
    <w:rsid w:val="00461EC6"/>
    <w:rsid w:val="00461EE5"/>
    <w:rsid w:val="00462096"/>
    <w:rsid w:val="00462148"/>
    <w:rsid w:val="0046215D"/>
    <w:rsid w:val="0046226F"/>
    <w:rsid w:val="0046227A"/>
    <w:rsid w:val="004622B7"/>
    <w:rsid w:val="00462317"/>
    <w:rsid w:val="0046241F"/>
    <w:rsid w:val="0046244F"/>
    <w:rsid w:val="00462502"/>
    <w:rsid w:val="0046267C"/>
    <w:rsid w:val="004626D9"/>
    <w:rsid w:val="00462854"/>
    <w:rsid w:val="00462891"/>
    <w:rsid w:val="004628B3"/>
    <w:rsid w:val="00462A54"/>
    <w:rsid w:val="00462A7B"/>
    <w:rsid w:val="00462AAF"/>
    <w:rsid w:val="00462AE7"/>
    <w:rsid w:val="00462AFA"/>
    <w:rsid w:val="00462B27"/>
    <w:rsid w:val="00462B69"/>
    <w:rsid w:val="00462B77"/>
    <w:rsid w:val="00462B7B"/>
    <w:rsid w:val="00462B89"/>
    <w:rsid w:val="00462B9B"/>
    <w:rsid w:val="00462BBC"/>
    <w:rsid w:val="00462CFB"/>
    <w:rsid w:val="00462D50"/>
    <w:rsid w:val="00462D53"/>
    <w:rsid w:val="00462E71"/>
    <w:rsid w:val="00462EDE"/>
    <w:rsid w:val="00462EE9"/>
    <w:rsid w:val="00462F2B"/>
    <w:rsid w:val="00462F55"/>
    <w:rsid w:val="00462FAD"/>
    <w:rsid w:val="00463038"/>
    <w:rsid w:val="00463263"/>
    <w:rsid w:val="0046328A"/>
    <w:rsid w:val="0046333B"/>
    <w:rsid w:val="00463374"/>
    <w:rsid w:val="00463438"/>
    <w:rsid w:val="0046344A"/>
    <w:rsid w:val="0046350F"/>
    <w:rsid w:val="004636C7"/>
    <w:rsid w:val="00463816"/>
    <w:rsid w:val="00463860"/>
    <w:rsid w:val="0046389E"/>
    <w:rsid w:val="004638A9"/>
    <w:rsid w:val="004638B4"/>
    <w:rsid w:val="004638DF"/>
    <w:rsid w:val="004639AD"/>
    <w:rsid w:val="00463ACA"/>
    <w:rsid w:val="00463BBC"/>
    <w:rsid w:val="00463D04"/>
    <w:rsid w:val="00463DC0"/>
    <w:rsid w:val="00463E0C"/>
    <w:rsid w:val="00463E17"/>
    <w:rsid w:val="00463E64"/>
    <w:rsid w:val="00463E96"/>
    <w:rsid w:val="00464005"/>
    <w:rsid w:val="00464012"/>
    <w:rsid w:val="00464021"/>
    <w:rsid w:val="004640A6"/>
    <w:rsid w:val="004640AE"/>
    <w:rsid w:val="004641B4"/>
    <w:rsid w:val="004641B9"/>
    <w:rsid w:val="0046425F"/>
    <w:rsid w:val="00464389"/>
    <w:rsid w:val="00464503"/>
    <w:rsid w:val="00464558"/>
    <w:rsid w:val="004645E8"/>
    <w:rsid w:val="0046475C"/>
    <w:rsid w:val="0046481F"/>
    <w:rsid w:val="00464832"/>
    <w:rsid w:val="004648CA"/>
    <w:rsid w:val="00464B14"/>
    <w:rsid w:val="00464B35"/>
    <w:rsid w:val="00464B8B"/>
    <w:rsid w:val="00464BDB"/>
    <w:rsid w:val="00464BDD"/>
    <w:rsid w:val="00464C3E"/>
    <w:rsid w:val="00464D1C"/>
    <w:rsid w:val="00464D6D"/>
    <w:rsid w:val="00464DF1"/>
    <w:rsid w:val="00464E36"/>
    <w:rsid w:val="00464FD2"/>
    <w:rsid w:val="00465181"/>
    <w:rsid w:val="0046518D"/>
    <w:rsid w:val="0046518F"/>
    <w:rsid w:val="00465270"/>
    <w:rsid w:val="00465329"/>
    <w:rsid w:val="00465388"/>
    <w:rsid w:val="00465418"/>
    <w:rsid w:val="00465467"/>
    <w:rsid w:val="00465482"/>
    <w:rsid w:val="00465517"/>
    <w:rsid w:val="0046559E"/>
    <w:rsid w:val="00465627"/>
    <w:rsid w:val="00465683"/>
    <w:rsid w:val="004656C1"/>
    <w:rsid w:val="00465837"/>
    <w:rsid w:val="004658A6"/>
    <w:rsid w:val="00465B39"/>
    <w:rsid w:val="00465B78"/>
    <w:rsid w:val="00465BDE"/>
    <w:rsid w:val="00465BE6"/>
    <w:rsid w:val="00465CA6"/>
    <w:rsid w:val="00465CD6"/>
    <w:rsid w:val="00465D7E"/>
    <w:rsid w:val="00465D99"/>
    <w:rsid w:val="00465DCA"/>
    <w:rsid w:val="00465E47"/>
    <w:rsid w:val="00465F02"/>
    <w:rsid w:val="00465F5F"/>
    <w:rsid w:val="00465FB5"/>
    <w:rsid w:val="0046604B"/>
    <w:rsid w:val="00466095"/>
    <w:rsid w:val="004660E4"/>
    <w:rsid w:val="0046610D"/>
    <w:rsid w:val="004661DA"/>
    <w:rsid w:val="004661EF"/>
    <w:rsid w:val="00466313"/>
    <w:rsid w:val="00466379"/>
    <w:rsid w:val="0046644F"/>
    <w:rsid w:val="0046648A"/>
    <w:rsid w:val="004664B3"/>
    <w:rsid w:val="00466550"/>
    <w:rsid w:val="004666A0"/>
    <w:rsid w:val="004666AB"/>
    <w:rsid w:val="0046675F"/>
    <w:rsid w:val="004668A2"/>
    <w:rsid w:val="004668E7"/>
    <w:rsid w:val="004669D1"/>
    <w:rsid w:val="004669D2"/>
    <w:rsid w:val="00466BB8"/>
    <w:rsid w:val="00466BBF"/>
    <w:rsid w:val="00466C4D"/>
    <w:rsid w:val="00466D4D"/>
    <w:rsid w:val="00466DC5"/>
    <w:rsid w:val="00466DCC"/>
    <w:rsid w:val="00466DD8"/>
    <w:rsid w:val="00466DEA"/>
    <w:rsid w:val="00466E0B"/>
    <w:rsid w:val="00466E1A"/>
    <w:rsid w:val="00466F04"/>
    <w:rsid w:val="00466FA3"/>
    <w:rsid w:val="004670E0"/>
    <w:rsid w:val="004671C2"/>
    <w:rsid w:val="004671C9"/>
    <w:rsid w:val="00467242"/>
    <w:rsid w:val="004672BD"/>
    <w:rsid w:val="004672F2"/>
    <w:rsid w:val="004672F8"/>
    <w:rsid w:val="00467367"/>
    <w:rsid w:val="0046748A"/>
    <w:rsid w:val="004675E9"/>
    <w:rsid w:val="0046760C"/>
    <w:rsid w:val="0046763B"/>
    <w:rsid w:val="004677E7"/>
    <w:rsid w:val="0046784C"/>
    <w:rsid w:val="0046798D"/>
    <w:rsid w:val="004679A2"/>
    <w:rsid w:val="00467A2E"/>
    <w:rsid w:val="00467B4D"/>
    <w:rsid w:val="00467C2A"/>
    <w:rsid w:val="00467D29"/>
    <w:rsid w:val="00467DA8"/>
    <w:rsid w:val="00467EC0"/>
    <w:rsid w:val="00467EDA"/>
    <w:rsid w:val="00467EE9"/>
    <w:rsid w:val="00467FAE"/>
    <w:rsid w:val="00470033"/>
    <w:rsid w:val="004702B2"/>
    <w:rsid w:val="00470325"/>
    <w:rsid w:val="00470572"/>
    <w:rsid w:val="004706DE"/>
    <w:rsid w:val="0047084C"/>
    <w:rsid w:val="0047084E"/>
    <w:rsid w:val="004708FD"/>
    <w:rsid w:val="00470AFC"/>
    <w:rsid w:val="00470B5D"/>
    <w:rsid w:val="00470BB9"/>
    <w:rsid w:val="00470BE5"/>
    <w:rsid w:val="00470CB4"/>
    <w:rsid w:val="00470D0B"/>
    <w:rsid w:val="00470D50"/>
    <w:rsid w:val="00470EA0"/>
    <w:rsid w:val="00471016"/>
    <w:rsid w:val="0047107F"/>
    <w:rsid w:val="004710BC"/>
    <w:rsid w:val="00471100"/>
    <w:rsid w:val="00471137"/>
    <w:rsid w:val="004711F3"/>
    <w:rsid w:val="0047121A"/>
    <w:rsid w:val="0047147C"/>
    <w:rsid w:val="004714FD"/>
    <w:rsid w:val="004715DA"/>
    <w:rsid w:val="00471611"/>
    <w:rsid w:val="00471640"/>
    <w:rsid w:val="004716BC"/>
    <w:rsid w:val="004716C8"/>
    <w:rsid w:val="00471795"/>
    <w:rsid w:val="004717D4"/>
    <w:rsid w:val="00471845"/>
    <w:rsid w:val="004718FC"/>
    <w:rsid w:val="00471A3C"/>
    <w:rsid w:val="00471B04"/>
    <w:rsid w:val="00471B2C"/>
    <w:rsid w:val="00471B7D"/>
    <w:rsid w:val="00471BE0"/>
    <w:rsid w:val="00471CAB"/>
    <w:rsid w:val="00471D08"/>
    <w:rsid w:val="00471ED9"/>
    <w:rsid w:val="0047200E"/>
    <w:rsid w:val="00472066"/>
    <w:rsid w:val="004721D2"/>
    <w:rsid w:val="004722F7"/>
    <w:rsid w:val="00472375"/>
    <w:rsid w:val="0047240E"/>
    <w:rsid w:val="0047242E"/>
    <w:rsid w:val="00472520"/>
    <w:rsid w:val="00472535"/>
    <w:rsid w:val="0047254A"/>
    <w:rsid w:val="004726C7"/>
    <w:rsid w:val="00472798"/>
    <w:rsid w:val="004728C3"/>
    <w:rsid w:val="00472937"/>
    <w:rsid w:val="004729C1"/>
    <w:rsid w:val="00472A66"/>
    <w:rsid w:val="00472BA3"/>
    <w:rsid w:val="00472BE4"/>
    <w:rsid w:val="00472C00"/>
    <w:rsid w:val="00472C27"/>
    <w:rsid w:val="00472C60"/>
    <w:rsid w:val="00472CD5"/>
    <w:rsid w:val="00472D0C"/>
    <w:rsid w:val="00472DF8"/>
    <w:rsid w:val="00472DFB"/>
    <w:rsid w:val="00472E16"/>
    <w:rsid w:val="00472E96"/>
    <w:rsid w:val="00472EEC"/>
    <w:rsid w:val="00472F69"/>
    <w:rsid w:val="00473135"/>
    <w:rsid w:val="00473197"/>
    <w:rsid w:val="004731B6"/>
    <w:rsid w:val="004731F2"/>
    <w:rsid w:val="00473312"/>
    <w:rsid w:val="00473330"/>
    <w:rsid w:val="00473395"/>
    <w:rsid w:val="004733EB"/>
    <w:rsid w:val="00473434"/>
    <w:rsid w:val="004734A8"/>
    <w:rsid w:val="004734D2"/>
    <w:rsid w:val="00473558"/>
    <w:rsid w:val="004735B6"/>
    <w:rsid w:val="004735BA"/>
    <w:rsid w:val="004735D7"/>
    <w:rsid w:val="00473614"/>
    <w:rsid w:val="0047361E"/>
    <w:rsid w:val="0047366D"/>
    <w:rsid w:val="00473778"/>
    <w:rsid w:val="0047388C"/>
    <w:rsid w:val="00473951"/>
    <w:rsid w:val="004739D9"/>
    <w:rsid w:val="004739EE"/>
    <w:rsid w:val="00473A17"/>
    <w:rsid w:val="00473AAF"/>
    <w:rsid w:val="00473B43"/>
    <w:rsid w:val="00473B6A"/>
    <w:rsid w:val="00473B6F"/>
    <w:rsid w:val="00473BB9"/>
    <w:rsid w:val="00473CA6"/>
    <w:rsid w:val="00473D6D"/>
    <w:rsid w:val="00473DA2"/>
    <w:rsid w:val="00473F71"/>
    <w:rsid w:val="00474095"/>
    <w:rsid w:val="004740EE"/>
    <w:rsid w:val="00474191"/>
    <w:rsid w:val="004741CF"/>
    <w:rsid w:val="0047438C"/>
    <w:rsid w:val="00474443"/>
    <w:rsid w:val="00474446"/>
    <w:rsid w:val="00474643"/>
    <w:rsid w:val="00474676"/>
    <w:rsid w:val="0047475D"/>
    <w:rsid w:val="00474975"/>
    <w:rsid w:val="004749F2"/>
    <w:rsid w:val="00474B17"/>
    <w:rsid w:val="00474B84"/>
    <w:rsid w:val="00474D4C"/>
    <w:rsid w:val="00474DAA"/>
    <w:rsid w:val="00474E4F"/>
    <w:rsid w:val="00474ECA"/>
    <w:rsid w:val="00474F9C"/>
    <w:rsid w:val="00475038"/>
    <w:rsid w:val="004750A1"/>
    <w:rsid w:val="00475155"/>
    <w:rsid w:val="0047520E"/>
    <w:rsid w:val="004752A4"/>
    <w:rsid w:val="004752FC"/>
    <w:rsid w:val="004752FE"/>
    <w:rsid w:val="0047534C"/>
    <w:rsid w:val="004753BC"/>
    <w:rsid w:val="004753F2"/>
    <w:rsid w:val="00475416"/>
    <w:rsid w:val="0047544E"/>
    <w:rsid w:val="00475612"/>
    <w:rsid w:val="004756A3"/>
    <w:rsid w:val="00475756"/>
    <w:rsid w:val="00475790"/>
    <w:rsid w:val="0047588A"/>
    <w:rsid w:val="00475976"/>
    <w:rsid w:val="00475A3E"/>
    <w:rsid w:val="00475B4C"/>
    <w:rsid w:val="00475C61"/>
    <w:rsid w:val="00475E9A"/>
    <w:rsid w:val="00475F1C"/>
    <w:rsid w:val="00475FCC"/>
    <w:rsid w:val="0047604B"/>
    <w:rsid w:val="00476155"/>
    <w:rsid w:val="004761CC"/>
    <w:rsid w:val="004761D7"/>
    <w:rsid w:val="004762E3"/>
    <w:rsid w:val="00476338"/>
    <w:rsid w:val="00476477"/>
    <w:rsid w:val="00476536"/>
    <w:rsid w:val="00476555"/>
    <w:rsid w:val="00476610"/>
    <w:rsid w:val="0047661A"/>
    <w:rsid w:val="004766FD"/>
    <w:rsid w:val="0047686A"/>
    <w:rsid w:val="004768D6"/>
    <w:rsid w:val="004768FF"/>
    <w:rsid w:val="00476928"/>
    <w:rsid w:val="00476B5E"/>
    <w:rsid w:val="00476E3A"/>
    <w:rsid w:val="00476E40"/>
    <w:rsid w:val="00476F53"/>
    <w:rsid w:val="00476F6E"/>
    <w:rsid w:val="004771BC"/>
    <w:rsid w:val="004771C4"/>
    <w:rsid w:val="00477201"/>
    <w:rsid w:val="00477245"/>
    <w:rsid w:val="00477290"/>
    <w:rsid w:val="0047737A"/>
    <w:rsid w:val="0047750F"/>
    <w:rsid w:val="00477603"/>
    <w:rsid w:val="0047773B"/>
    <w:rsid w:val="004777BB"/>
    <w:rsid w:val="00477896"/>
    <w:rsid w:val="004778E0"/>
    <w:rsid w:val="00477900"/>
    <w:rsid w:val="00477924"/>
    <w:rsid w:val="00477954"/>
    <w:rsid w:val="00477955"/>
    <w:rsid w:val="004779B6"/>
    <w:rsid w:val="00477A0F"/>
    <w:rsid w:val="00477A76"/>
    <w:rsid w:val="00477AE1"/>
    <w:rsid w:val="00477B9B"/>
    <w:rsid w:val="00477BF7"/>
    <w:rsid w:val="00477C1D"/>
    <w:rsid w:val="00477C58"/>
    <w:rsid w:val="00477CBB"/>
    <w:rsid w:val="00477CE7"/>
    <w:rsid w:val="00477D14"/>
    <w:rsid w:val="00477DE3"/>
    <w:rsid w:val="00477E28"/>
    <w:rsid w:val="00477F5E"/>
    <w:rsid w:val="00480172"/>
    <w:rsid w:val="004801B7"/>
    <w:rsid w:val="004802AF"/>
    <w:rsid w:val="004802BD"/>
    <w:rsid w:val="004802D9"/>
    <w:rsid w:val="0048032D"/>
    <w:rsid w:val="00480343"/>
    <w:rsid w:val="00480428"/>
    <w:rsid w:val="00480463"/>
    <w:rsid w:val="004805AB"/>
    <w:rsid w:val="004807ED"/>
    <w:rsid w:val="00480806"/>
    <w:rsid w:val="0048099E"/>
    <w:rsid w:val="004809B3"/>
    <w:rsid w:val="00480A85"/>
    <w:rsid w:val="00480A90"/>
    <w:rsid w:val="00480AC5"/>
    <w:rsid w:val="00480AFF"/>
    <w:rsid w:val="00480B57"/>
    <w:rsid w:val="00480B9C"/>
    <w:rsid w:val="00480BB7"/>
    <w:rsid w:val="00480BDD"/>
    <w:rsid w:val="00480C3D"/>
    <w:rsid w:val="00480CB4"/>
    <w:rsid w:val="00480DA3"/>
    <w:rsid w:val="00480DE4"/>
    <w:rsid w:val="00480E81"/>
    <w:rsid w:val="00480EAA"/>
    <w:rsid w:val="00480F21"/>
    <w:rsid w:val="00480F71"/>
    <w:rsid w:val="00480F82"/>
    <w:rsid w:val="004810E4"/>
    <w:rsid w:val="004810F7"/>
    <w:rsid w:val="004811BC"/>
    <w:rsid w:val="004811C2"/>
    <w:rsid w:val="0048127A"/>
    <w:rsid w:val="004812A3"/>
    <w:rsid w:val="004813DE"/>
    <w:rsid w:val="0048146D"/>
    <w:rsid w:val="004815D9"/>
    <w:rsid w:val="00481696"/>
    <w:rsid w:val="004816A2"/>
    <w:rsid w:val="0048176A"/>
    <w:rsid w:val="0048180F"/>
    <w:rsid w:val="004819A9"/>
    <w:rsid w:val="00481A40"/>
    <w:rsid w:val="00481AD1"/>
    <w:rsid w:val="00481B1A"/>
    <w:rsid w:val="00481BEB"/>
    <w:rsid w:val="00481CA7"/>
    <w:rsid w:val="00481CD8"/>
    <w:rsid w:val="00481D6B"/>
    <w:rsid w:val="00481DD6"/>
    <w:rsid w:val="00481F2C"/>
    <w:rsid w:val="00481FA9"/>
    <w:rsid w:val="00481FE5"/>
    <w:rsid w:val="00482035"/>
    <w:rsid w:val="004820A0"/>
    <w:rsid w:val="00482102"/>
    <w:rsid w:val="00482182"/>
    <w:rsid w:val="00482188"/>
    <w:rsid w:val="004821D5"/>
    <w:rsid w:val="00482240"/>
    <w:rsid w:val="00482325"/>
    <w:rsid w:val="004823A3"/>
    <w:rsid w:val="00482428"/>
    <w:rsid w:val="0048243B"/>
    <w:rsid w:val="00482442"/>
    <w:rsid w:val="00482537"/>
    <w:rsid w:val="00482574"/>
    <w:rsid w:val="004825A3"/>
    <w:rsid w:val="00482679"/>
    <w:rsid w:val="00482749"/>
    <w:rsid w:val="0048279D"/>
    <w:rsid w:val="00482817"/>
    <w:rsid w:val="004828A6"/>
    <w:rsid w:val="004828C9"/>
    <w:rsid w:val="004828DA"/>
    <w:rsid w:val="0048296D"/>
    <w:rsid w:val="0048297F"/>
    <w:rsid w:val="00482B75"/>
    <w:rsid w:val="00482D5E"/>
    <w:rsid w:val="00482DF2"/>
    <w:rsid w:val="00482E49"/>
    <w:rsid w:val="00482E95"/>
    <w:rsid w:val="00482F34"/>
    <w:rsid w:val="0048306A"/>
    <w:rsid w:val="004831AE"/>
    <w:rsid w:val="004831D3"/>
    <w:rsid w:val="0048322C"/>
    <w:rsid w:val="0048341F"/>
    <w:rsid w:val="0048344A"/>
    <w:rsid w:val="0048354E"/>
    <w:rsid w:val="004835D1"/>
    <w:rsid w:val="00483608"/>
    <w:rsid w:val="00483656"/>
    <w:rsid w:val="00483686"/>
    <w:rsid w:val="004837A8"/>
    <w:rsid w:val="00483942"/>
    <w:rsid w:val="004839F3"/>
    <w:rsid w:val="00483DCB"/>
    <w:rsid w:val="00483E7D"/>
    <w:rsid w:val="00483EEC"/>
    <w:rsid w:val="00483EEF"/>
    <w:rsid w:val="00483F4E"/>
    <w:rsid w:val="00483F76"/>
    <w:rsid w:val="00483F7E"/>
    <w:rsid w:val="00484031"/>
    <w:rsid w:val="004841AC"/>
    <w:rsid w:val="0048426F"/>
    <w:rsid w:val="00484305"/>
    <w:rsid w:val="0048434B"/>
    <w:rsid w:val="00484367"/>
    <w:rsid w:val="004843D6"/>
    <w:rsid w:val="00484408"/>
    <w:rsid w:val="00484412"/>
    <w:rsid w:val="004844F2"/>
    <w:rsid w:val="00484569"/>
    <w:rsid w:val="00484574"/>
    <w:rsid w:val="0048458F"/>
    <w:rsid w:val="004845F2"/>
    <w:rsid w:val="00484654"/>
    <w:rsid w:val="0048470F"/>
    <w:rsid w:val="0048473A"/>
    <w:rsid w:val="00484759"/>
    <w:rsid w:val="0048479E"/>
    <w:rsid w:val="004848BD"/>
    <w:rsid w:val="004848D2"/>
    <w:rsid w:val="00484BD0"/>
    <w:rsid w:val="00484BE5"/>
    <w:rsid w:val="00484C39"/>
    <w:rsid w:val="00484D38"/>
    <w:rsid w:val="00484D5C"/>
    <w:rsid w:val="00484E22"/>
    <w:rsid w:val="00484E74"/>
    <w:rsid w:val="00485112"/>
    <w:rsid w:val="0048527A"/>
    <w:rsid w:val="0048529D"/>
    <w:rsid w:val="004852CC"/>
    <w:rsid w:val="004853D1"/>
    <w:rsid w:val="00485475"/>
    <w:rsid w:val="00485522"/>
    <w:rsid w:val="0048575E"/>
    <w:rsid w:val="00485796"/>
    <w:rsid w:val="00485958"/>
    <w:rsid w:val="00485A1A"/>
    <w:rsid w:val="00485A36"/>
    <w:rsid w:val="00485B10"/>
    <w:rsid w:val="00485B99"/>
    <w:rsid w:val="00485C27"/>
    <w:rsid w:val="00485C83"/>
    <w:rsid w:val="00485CA0"/>
    <w:rsid w:val="00485D89"/>
    <w:rsid w:val="00485E7A"/>
    <w:rsid w:val="00485EEB"/>
    <w:rsid w:val="00486046"/>
    <w:rsid w:val="004860A3"/>
    <w:rsid w:val="004860A9"/>
    <w:rsid w:val="0048613A"/>
    <w:rsid w:val="0048623D"/>
    <w:rsid w:val="00486264"/>
    <w:rsid w:val="0048630C"/>
    <w:rsid w:val="0048633C"/>
    <w:rsid w:val="0048636C"/>
    <w:rsid w:val="004863D2"/>
    <w:rsid w:val="0048653A"/>
    <w:rsid w:val="004866F2"/>
    <w:rsid w:val="00486720"/>
    <w:rsid w:val="00486736"/>
    <w:rsid w:val="00486756"/>
    <w:rsid w:val="00486825"/>
    <w:rsid w:val="004869DA"/>
    <w:rsid w:val="004869F9"/>
    <w:rsid w:val="00486A36"/>
    <w:rsid w:val="00486A5B"/>
    <w:rsid w:val="00486B4B"/>
    <w:rsid w:val="00486C7C"/>
    <w:rsid w:val="00486CE8"/>
    <w:rsid w:val="00486D98"/>
    <w:rsid w:val="00486DC2"/>
    <w:rsid w:val="00486E34"/>
    <w:rsid w:val="00486EC9"/>
    <w:rsid w:val="00486ECF"/>
    <w:rsid w:val="00486ED1"/>
    <w:rsid w:val="00486F52"/>
    <w:rsid w:val="00486FA3"/>
    <w:rsid w:val="00486FA5"/>
    <w:rsid w:val="00487013"/>
    <w:rsid w:val="00487045"/>
    <w:rsid w:val="004870B2"/>
    <w:rsid w:val="0048718F"/>
    <w:rsid w:val="004871EA"/>
    <w:rsid w:val="004871FD"/>
    <w:rsid w:val="004872BA"/>
    <w:rsid w:val="0048730B"/>
    <w:rsid w:val="004873B1"/>
    <w:rsid w:val="004873D8"/>
    <w:rsid w:val="00487552"/>
    <w:rsid w:val="004875D4"/>
    <w:rsid w:val="0048762A"/>
    <w:rsid w:val="0048789F"/>
    <w:rsid w:val="004878A2"/>
    <w:rsid w:val="0048790F"/>
    <w:rsid w:val="00487B8E"/>
    <w:rsid w:val="00487C28"/>
    <w:rsid w:val="00487D1F"/>
    <w:rsid w:val="00487E09"/>
    <w:rsid w:val="00487E8B"/>
    <w:rsid w:val="00487EBB"/>
    <w:rsid w:val="00487EFA"/>
    <w:rsid w:val="00487FD0"/>
    <w:rsid w:val="0049015E"/>
    <w:rsid w:val="004902E4"/>
    <w:rsid w:val="004902F7"/>
    <w:rsid w:val="00490393"/>
    <w:rsid w:val="004904DF"/>
    <w:rsid w:val="0049058A"/>
    <w:rsid w:val="004905D0"/>
    <w:rsid w:val="00490712"/>
    <w:rsid w:val="00490723"/>
    <w:rsid w:val="00490780"/>
    <w:rsid w:val="00490799"/>
    <w:rsid w:val="004907E5"/>
    <w:rsid w:val="00490813"/>
    <w:rsid w:val="00490877"/>
    <w:rsid w:val="00490909"/>
    <w:rsid w:val="00490969"/>
    <w:rsid w:val="004909B4"/>
    <w:rsid w:val="00490A0E"/>
    <w:rsid w:val="00490CE3"/>
    <w:rsid w:val="00490DA4"/>
    <w:rsid w:val="00490E84"/>
    <w:rsid w:val="00490F5B"/>
    <w:rsid w:val="00490FE3"/>
    <w:rsid w:val="00490FFB"/>
    <w:rsid w:val="00491046"/>
    <w:rsid w:val="0049111C"/>
    <w:rsid w:val="0049116F"/>
    <w:rsid w:val="00491186"/>
    <w:rsid w:val="004911E5"/>
    <w:rsid w:val="004912DE"/>
    <w:rsid w:val="004912EA"/>
    <w:rsid w:val="00491532"/>
    <w:rsid w:val="004915C8"/>
    <w:rsid w:val="00491663"/>
    <w:rsid w:val="00491687"/>
    <w:rsid w:val="004917C2"/>
    <w:rsid w:val="00491877"/>
    <w:rsid w:val="00491A1E"/>
    <w:rsid w:val="00491A37"/>
    <w:rsid w:val="00491AEF"/>
    <w:rsid w:val="00491BF3"/>
    <w:rsid w:val="00491C26"/>
    <w:rsid w:val="00491C2C"/>
    <w:rsid w:val="00491C72"/>
    <w:rsid w:val="00491CB1"/>
    <w:rsid w:val="00491D07"/>
    <w:rsid w:val="00491F4B"/>
    <w:rsid w:val="00492009"/>
    <w:rsid w:val="00492028"/>
    <w:rsid w:val="004920E7"/>
    <w:rsid w:val="0049214C"/>
    <w:rsid w:val="0049215F"/>
    <w:rsid w:val="0049218A"/>
    <w:rsid w:val="0049234A"/>
    <w:rsid w:val="0049236A"/>
    <w:rsid w:val="00492425"/>
    <w:rsid w:val="00492457"/>
    <w:rsid w:val="00492506"/>
    <w:rsid w:val="0049251F"/>
    <w:rsid w:val="004925DA"/>
    <w:rsid w:val="004926B0"/>
    <w:rsid w:val="0049277E"/>
    <w:rsid w:val="0049278E"/>
    <w:rsid w:val="00492968"/>
    <w:rsid w:val="004929ED"/>
    <w:rsid w:val="00492ACA"/>
    <w:rsid w:val="00492ADF"/>
    <w:rsid w:val="00492B90"/>
    <w:rsid w:val="00492C71"/>
    <w:rsid w:val="00492CC2"/>
    <w:rsid w:val="00492E24"/>
    <w:rsid w:val="00492E49"/>
    <w:rsid w:val="00492EBA"/>
    <w:rsid w:val="00492ECB"/>
    <w:rsid w:val="00492FAB"/>
    <w:rsid w:val="0049300B"/>
    <w:rsid w:val="00493016"/>
    <w:rsid w:val="0049311B"/>
    <w:rsid w:val="00493183"/>
    <w:rsid w:val="0049323E"/>
    <w:rsid w:val="00493244"/>
    <w:rsid w:val="0049327C"/>
    <w:rsid w:val="004932A4"/>
    <w:rsid w:val="00493415"/>
    <w:rsid w:val="004934AC"/>
    <w:rsid w:val="00493528"/>
    <w:rsid w:val="0049353A"/>
    <w:rsid w:val="004935CE"/>
    <w:rsid w:val="00493661"/>
    <w:rsid w:val="00493759"/>
    <w:rsid w:val="00493904"/>
    <w:rsid w:val="0049390E"/>
    <w:rsid w:val="00493ABD"/>
    <w:rsid w:val="00493AF9"/>
    <w:rsid w:val="00493AFF"/>
    <w:rsid w:val="00493B9A"/>
    <w:rsid w:val="00493C99"/>
    <w:rsid w:val="00493CE0"/>
    <w:rsid w:val="00493E00"/>
    <w:rsid w:val="00493E1E"/>
    <w:rsid w:val="00493F00"/>
    <w:rsid w:val="00493F80"/>
    <w:rsid w:val="00493FDB"/>
    <w:rsid w:val="00494038"/>
    <w:rsid w:val="00494060"/>
    <w:rsid w:val="00494158"/>
    <w:rsid w:val="004941EB"/>
    <w:rsid w:val="004942F9"/>
    <w:rsid w:val="00494392"/>
    <w:rsid w:val="0049453F"/>
    <w:rsid w:val="0049464E"/>
    <w:rsid w:val="004946A0"/>
    <w:rsid w:val="004946E4"/>
    <w:rsid w:val="004946FB"/>
    <w:rsid w:val="00494709"/>
    <w:rsid w:val="00494800"/>
    <w:rsid w:val="00494826"/>
    <w:rsid w:val="00494949"/>
    <w:rsid w:val="00494B1A"/>
    <w:rsid w:val="00494B9D"/>
    <w:rsid w:val="00494BDA"/>
    <w:rsid w:val="00494D2A"/>
    <w:rsid w:val="00494EC9"/>
    <w:rsid w:val="00494EFE"/>
    <w:rsid w:val="00494F98"/>
    <w:rsid w:val="00494FA9"/>
    <w:rsid w:val="0049505F"/>
    <w:rsid w:val="00495163"/>
    <w:rsid w:val="0049524C"/>
    <w:rsid w:val="0049529E"/>
    <w:rsid w:val="00495314"/>
    <w:rsid w:val="0049541E"/>
    <w:rsid w:val="0049547C"/>
    <w:rsid w:val="00495527"/>
    <w:rsid w:val="00495582"/>
    <w:rsid w:val="0049582F"/>
    <w:rsid w:val="004959DE"/>
    <w:rsid w:val="00495B22"/>
    <w:rsid w:val="00495C16"/>
    <w:rsid w:val="00495D7E"/>
    <w:rsid w:val="00495DA7"/>
    <w:rsid w:val="00495E11"/>
    <w:rsid w:val="00495E92"/>
    <w:rsid w:val="0049609A"/>
    <w:rsid w:val="004962B6"/>
    <w:rsid w:val="00496331"/>
    <w:rsid w:val="004963B5"/>
    <w:rsid w:val="00496462"/>
    <w:rsid w:val="004965A5"/>
    <w:rsid w:val="0049660A"/>
    <w:rsid w:val="004966A3"/>
    <w:rsid w:val="0049681B"/>
    <w:rsid w:val="00496831"/>
    <w:rsid w:val="00496863"/>
    <w:rsid w:val="00496939"/>
    <w:rsid w:val="004969B5"/>
    <w:rsid w:val="004969D8"/>
    <w:rsid w:val="00496C27"/>
    <w:rsid w:val="00496C5C"/>
    <w:rsid w:val="00496CFD"/>
    <w:rsid w:val="00496D6C"/>
    <w:rsid w:val="00496D80"/>
    <w:rsid w:val="00496E02"/>
    <w:rsid w:val="00496FD6"/>
    <w:rsid w:val="0049705A"/>
    <w:rsid w:val="00497156"/>
    <w:rsid w:val="00497215"/>
    <w:rsid w:val="004972F5"/>
    <w:rsid w:val="0049732B"/>
    <w:rsid w:val="00497386"/>
    <w:rsid w:val="004974CD"/>
    <w:rsid w:val="004975BC"/>
    <w:rsid w:val="00497629"/>
    <w:rsid w:val="0049768D"/>
    <w:rsid w:val="0049770E"/>
    <w:rsid w:val="00497778"/>
    <w:rsid w:val="004977BD"/>
    <w:rsid w:val="00497A41"/>
    <w:rsid w:val="00497AEE"/>
    <w:rsid w:val="00497B63"/>
    <w:rsid w:val="00497B77"/>
    <w:rsid w:val="00497CA7"/>
    <w:rsid w:val="00497CCD"/>
    <w:rsid w:val="00497D1B"/>
    <w:rsid w:val="00497DDD"/>
    <w:rsid w:val="00497E37"/>
    <w:rsid w:val="00497E4D"/>
    <w:rsid w:val="00497E7C"/>
    <w:rsid w:val="00497FD3"/>
    <w:rsid w:val="004A0008"/>
    <w:rsid w:val="004A00B7"/>
    <w:rsid w:val="004A0161"/>
    <w:rsid w:val="004A0184"/>
    <w:rsid w:val="004A0223"/>
    <w:rsid w:val="004A0246"/>
    <w:rsid w:val="004A029D"/>
    <w:rsid w:val="004A02A2"/>
    <w:rsid w:val="004A02DB"/>
    <w:rsid w:val="004A034D"/>
    <w:rsid w:val="004A0408"/>
    <w:rsid w:val="004A049C"/>
    <w:rsid w:val="004A05F8"/>
    <w:rsid w:val="004A0635"/>
    <w:rsid w:val="004A0669"/>
    <w:rsid w:val="004A06C9"/>
    <w:rsid w:val="004A0720"/>
    <w:rsid w:val="004A072F"/>
    <w:rsid w:val="004A0742"/>
    <w:rsid w:val="004A07AD"/>
    <w:rsid w:val="004A0825"/>
    <w:rsid w:val="004A0870"/>
    <w:rsid w:val="004A088C"/>
    <w:rsid w:val="004A08DA"/>
    <w:rsid w:val="004A0ACC"/>
    <w:rsid w:val="004A0AF9"/>
    <w:rsid w:val="004A0C08"/>
    <w:rsid w:val="004A0C25"/>
    <w:rsid w:val="004A0CE5"/>
    <w:rsid w:val="004A0D12"/>
    <w:rsid w:val="004A0D4E"/>
    <w:rsid w:val="004A0DCC"/>
    <w:rsid w:val="004A0E3E"/>
    <w:rsid w:val="004A115C"/>
    <w:rsid w:val="004A1438"/>
    <w:rsid w:val="004A147F"/>
    <w:rsid w:val="004A15B9"/>
    <w:rsid w:val="004A163E"/>
    <w:rsid w:val="004A1665"/>
    <w:rsid w:val="004A16DC"/>
    <w:rsid w:val="004A1716"/>
    <w:rsid w:val="004A1726"/>
    <w:rsid w:val="004A1737"/>
    <w:rsid w:val="004A173C"/>
    <w:rsid w:val="004A1791"/>
    <w:rsid w:val="004A17D6"/>
    <w:rsid w:val="004A17DA"/>
    <w:rsid w:val="004A17E8"/>
    <w:rsid w:val="004A184C"/>
    <w:rsid w:val="004A1856"/>
    <w:rsid w:val="004A18ED"/>
    <w:rsid w:val="004A193A"/>
    <w:rsid w:val="004A1AA8"/>
    <w:rsid w:val="004A1D6C"/>
    <w:rsid w:val="004A1D91"/>
    <w:rsid w:val="004A1DAD"/>
    <w:rsid w:val="004A1E82"/>
    <w:rsid w:val="004A1EA2"/>
    <w:rsid w:val="004A1F9E"/>
    <w:rsid w:val="004A2003"/>
    <w:rsid w:val="004A205B"/>
    <w:rsid w:val="004A20E9"/>
    <w:rsid w:val="004A21CD"/>
    <w:rsid w:val="004A21F0"/>
    <w:rsid w:val="004A2289"/>
    <w:rsid w:val="004A232E"/>
    <w:rsid w:val="004A23A3"/>
    <w:rsid w:val="004A23D4"/>
    <w:rsid w:val="004A249D"/>
    <w:rsid w:val="004A25CA"/>
    <w:rsid w:val="004A2793"/>
    <w:rsid w:val="004A27BD"/>
    <w:rsid w:val="004A2881"/>
    <w:rsid w:val="004A28DC"/>
    <w:rsid w:val="004A2905"/>
    <w:rsid w:val="004A29BD"/>
    <w:rsid w:val="004A2A3E"/>
    <w:rsid w:val="004A2B26"/>
    <w:rsid w:val="004A2CD0"/>
    <w:rsid w:val="004A2D83"/>
    <w:rsid w:val="004A2DE1"/>
    <w:rsid w:val="004A2DEA"/>
    <w:rsid w:val="004A2E98"/>
    <w:rsid w:val="004A2EE1"/>
    <w:rsid w:val="004A2EE4"/>
    <w:rsid w:val="004A2F11"/>
    <w:rsid w:val="004A2F47"/>
    <w:rsid w:val="004A2FBE"/>
    <w:rsid w:val="004A2FE2"/>
    <w:rsid w:val="004A309D"/>
    <w:rsid w:val="004A310E"/>
    <w:rsid w:val="004A3194"/>
    <w:rsid w:val="004A31FB"/>
    <w:rsid w:val="004A331B"/>
    <w:rsid w:val="004A33F7"/>
    <w:rsid w:val="004A34A4"/>
    <w:rsid w:val="004A364B"/>
    <w:rsid w:val="004A36DE"/>
    <w:rsid w:val="004A3821"/>
    <w:rsid w:val="004A383D"/>
    <w:rsid w:val="004A3CCE"/>
    <w:rsid w:val="004A3DDB"/>
    <w:rsid w:val="004A3E21"/>
    <w:rsid w:val="004A3E28"/>
    <w:rsid w:val="004A3F6E"/>
    <w:rsid w:val="004A3FA4"/>
    <w:rsid w:val="004A3FDD"/>
    <w:rsid w:val="004A40B1"/>
    <w:rsid w:val="004A412C"/>
    <w:rsid w:val="004A41BF"/>
    <w:rsid w:val="004A41E3"/>
    <w:rsid w:val="004A41FD"/>
    <w:rsid w:val="004A420D"/>
    <w:rsid w:val="004A4293"/>
    <w:rsid w:val="004A4474"/>
    <w:rsid w:val="004A44CA"/>
    <w:rsid w:val="004A45C0"/>
    <w:rsid w:val="004A463C"/>
    <w:rsid w:val="004A46F7"/>
    <w:rsid w:val="004A4948"/>
    <w:rsid w:val="004A4CBE"/>
    <w:rsid w:val="004A4CED"/>
    <w:rsid w:val="004A4D4D"/>
    <w:rsid w:val="004A4D6D"/>
    <w:rsid w:val="004A4DB0"/>
    <w:rsid w:val="004A4E48"/>
    <w:rsid w:val="004A5019"/>
    <w:rsid w:val="004A52D1"/>
    <w:rsid w:val="004A531E"/>
    <w:rsid w:val="004A5335"/>
    <w:rsid w:val="004A5419"/>
    <w:rsid w:val="004A5436"/>
    <w:rsid w:val="004A544A"/>
    <w:rsid w:val="004A548C"/>
    <w:rsid w:val="004A5492"/>
    <w:rsid w:val="004A556A"/>
    <w:rsid w:val="004A5571"/>
    <w:rsid w:val="004A5592"/>
    <w:rsid w:val="004A5783"/>
    <w:rsid w:val="004A57CF"/>
    <w:rsid w:val="004A57EF"/>
    <w:rsid w:val="004A5809"/>
    <w:rsid w:val="004A5830"/>
    <w:rsid w:val="004A585D"/>
    <w:rsid w:val="004A5865"/>
    <w:rsid w:val="004A599B"/>
    <w:rsid w:val="004A5A27"/>
    <w:rsid w:val="004A5A8E"/>
    <w:rsid w:val="004A5AA2"/>
    <w:rsid w:val="004A5AE4"/>
    <w:rsid w:val="004A5DEE"/>
    <w:rsid w:val="004A5F3E"/>
    <w:rsid w:val="004A5F54"/>
    <w:rsid w:val="004A6011"/>
    <w:rsid w:val="004A6065"/>
    <w:rsid w:val="004A6072"/>
    <w:rsid w:val="004A6114"/>
    <w:rsid w:val="004A619E"/>
    <w:rsid w:val="004A6263"/>
    <w:rsid w:val="004A62DD"/>
    <w:rsid w:val="004A6412"/>
    <w:rsid w:val="004A6494"/>
    <w:rsid w:val="004A65C5"/>
    <w:rsid w:val="004A65FE"/>
    <w:rsid w:val="004A6639"/>
    <w:rsid w:val="004A664E"/>
    <w:rsid w:val="004A6652"/>
    <w:rsid w:val="004A6B6B"/>
    <w:rsid w:val="004A6C49"/>
    <w:rsid w:val="004A6CBB"/>
    <w:rsid w:val="004A6CF9"/>
    <w:rsid w:val="004A6EA8"/>
    <w:rsid w:val="004A6F67"/>
    <w:rsid w:val="004A6FBD"/>
    <w:rsid w:val="004A6FE9"/>
    <w:rsid w:val="004A7081"/>
    <w:rsid w:val="004A70F3"/>
    <w:rsid w:val="004A713C"/>
    <w:rsid w:val="004A71D8"/>
    <w:rsid w:val="004A71EB"/>
    <w:rsid w:val="004A7262"/>
    <w:rsid w:val="004A739B"/>
    <w:rsid w:val="004A739F"/>
    <w:rsid w:val="004A73DC"/>
    <w:rsid w:val="004A7419"/>
    <w:rsid w:val="004A7441"/>
    <w:rsid w:val="004A748C"/>
    <w:rsid w:val="004A7500"/>
    <w:rsid w:val="004A756C"/>
    <w:rsid w:val="004A7594"/>
    <w:rsid w:val="004A7596"/>
    <w:rsid w:val="004A75B1"/>
    <w:rsid w:val="004A76D3"/>
    <w:rsid w:val="004A774B"/>
    <w:rsid w:val="004A774D"/>
    <w:rsid w:val="004A78BC"/>
    <w:rsid w:val="004A78C7"/>
    <w:rsid w:val="004A7947"/>
    <w:rsid w:val="004A7983"/>
    <w:rsid w:val="004A7989"/>
    <w:rsid w:val="004A7990"/>
    <w:rsid w:val="004A7A24"/>
    <w:rsid w:val="004A7A3D"/>
    <w:rsid w:val="004A7C23"/>
    <w:rsid w:val="004A7C89"/>
    <w:rsid w:val="004A7CC0"/>
    <w:rsid w:val="004A7D1A"/>
    <w:rsid w:val="004A7D9F"/>
    <w:rsid w:val="004A7DBD"/>
    <w:rsid w:val="004A7E12"/>
    <w:rsid w:val="004A7F98"/>
    <w:rsid w:val="004A7FC4"/>
    <w:rsid w:val="004A7FF1"/>
    <w:rsid w:val="004B00C8"/>
    <w:rsid w:val="004B012C"/>
    <w:rsid w:val="004B0185"/>
    <w:rsid w:val="004B026C"/>
    <w:rsid w:val="004B02A0"/>
    <w:rsid w:val="004B0353"/>
    <w:rsid w:val="004B04C8"/>
    <w:rsid w:val="004B0721"/>
    <w:rsid w:val="004B07CC"/>
    <w:rsid w:val="004B0852"/>
    <w:rsid w:val="004B0938"/>
    <w:rsid w:val="004B0A8D"/>
    <w:rsid w:val="004B0B17"/>
    <w:rsid w:val="004B0C4A"/>
    <w:rsid w:val="004B0C93"/>
    <w:rsid w:val="004B0CBE"/>
    <w:rsid w:val="004B0D58"/>
    <w:rsid w:val="004B0DD7"/>
    <w:rsid w:val="004B0E34"/>
    <w:rsid w:val="004B0F8C"/>
    <w:rsid w:val="004B0FCE"/>
    <w:rsid w:val="004B1075"/>
    <w:rsid w:val="004B10B1"/>
    <w:rsid w:val="004B10D8"/>
    <w:rsid w:val="004B1446"/>
    <w:rsid w:val="004B1474"/>
    <w:rsid w:val="004B1567"/>
    <w:rsid w:val="004B1693"/>
    <w:rsid w:val="004B16CD"/>
    <w:rsid w:val="004B17DD"/>
    <w:rsid w:val="004B1927"/>
    <w:rsid w:val="004B1CF5"/>
    <w:rsid w:val="004B1D69"/>
    <w:rsid w:val="004B1DDC"/>
    <w:rsid w:val="004B1EF5"/>
    <w:rsid w:val="004B1F20"/>
    <w:rsid w:val="004B1F26"/>
    <w:rsid w:val="004B2044"/>
    <w:rsid w:val="004B2071"/>
    <w:rsid w:val="004B218C"/>
    <w:rsid w:val="004B2348"/>
    <w:rsid w:val="004B2360"/>
    <w:rsid w:val="004B236E"/>
    <w:rsid w:val="004B23B7"/>
    <w:rsid w:val="004B2413"/>
    <w:rsid w:val="004B252B"/>
    <w:rsid w:val="004B25AE"/>
    <w:rsid w:val="004B270D"/>
    <w:rsid w:val="004B271A"/>
    <w:rsid w:val="004B2723"/>
    <w:rsid w:val="004B28CE"/>
    <w:rsid w:val="004B2918"/>
    <w:rsid w:val="004B2AC1"/>
    <w:rsid w:val="004B2B29"/>
    <w:rsid w:val="004B2B2A"/>
    <w:rsid w:val="004B2BCA"/>
    <w:rsid w:val="004B2BD2"/>
    <w:rsid w:val="004B2CA9"/>
    <w:rsid w:val="004B2D57"/>
    <w:rsid w:val="004B2E19"/>
    <w:rsid w:val="004B2E51"/>
    <w:rsid w:val="004B2F2F"/>
    <w:rsid w:val="004B2F8F"/>
    <w:rsid w:val="004B3125"/>
    <w:rsid w:val="004B3137"/>
    <w:rsid w:val="004B318C"/>
    <w:rsid w:val="004B3298"/>
    <w:rsid w:val="004B3320"/>
    <w:rsid w:val="004B3372"/>
    <w:rsid w:val="004B356F"/>
    <w:rsid w:val="004B3592"/>
    <w:rsid w:val="004B35EA"/>
    <w:rsid w:val="004B369A"/>
    <w:rsid w:val="004B3762"/>
    <w:rsid w:val="004B3866"/>
    <w:rsid w:val="004B38A7"/>
    <w:rsid w:val="004B3947"/>
    <w:rsid w:val="004B3971"/>
    <w:rsid w:val="004B39A3"/>
    <w:rsid w:val="004B3A6F"/>
    <w:rsid w:val="004B3B7F"/>
    <w:rsid w:val="004B3DEC"/>
    <w:rsid w:val="004B3F7C"/>
    <w:rsid w:val="004B3FBB"/>
    <w:rsid w:val="004B401B"/>
    <w:rsid w:val="004B4053"/>
    <w:rsid w:val="004B424C"/>
    <w:rsid w:val="004B4297"/>
    <w:rsid w:val="004B42CC"/>
    <w:rsid w:val="004B4391"/>
    <w:rsid w:val="004B442B"/>
    <w:rsid w:val="004B4573"/>
    <w:rsid w:val="004B4595"/>
    <w:rsid w:val="004B45A0"/>
    <w:rsid w:val="004B45FA"/>
    <w:rsid w:val="004B4639"/>
    <w:rsid w:val="004B4700"/>
    <w:rsid w:val="004B4720"/>
    <w:rsid w:val="004B4768"/>
    <w:rsid w:val="004B47FA"/>
    <w:rsid w:val="004B48D8"/>
    <w:rsid w:val="004B4977"/>
    <w:rsid w:val="004B4A93"/>
    <w:rsid w:val="004B4C68"/>
    <w:rsid w:val="004B4CC6"/>
    <w:rsid w:val="004B4D01"/>
    <w:rsid w:val="004B4D06"/>
    <w:rsid w:val="004B4DD6"/>
    <w:rsid w:val="004B4E46"/>
    <w:rsid w:val="004B4F2C"/>
    <w:rsid w:val="004B4F4D"/>
    <w:rsid w:val="004B4F53"/>
    <w:rsid w:val="004B51EB"/>
    <w:rsid w:val="004B5222"/>
    <w:rsid w:val="004B52A8"/>
    <w:rsid w:val="004B530E"/>
    <w:rsid w:val="004B5429"/>
    <w:rsid w:val="004B547A"/>
    <w:rsid w:val="004B555A"/>
    <w:rsid w:val="004B5575"/>
    <w:rsid w:val="004B55B1"/>
    <w:rsid w:val="004B56DB"/>
    <w:rsid w:val="004B5755"/>
    <w:rsid w:val="004B57D4"/>
    <w:rsid w:val="004B57DC"/>
    <w:rsid w:val="004B584B"/>
    <w:rsid w:val="004B586D"/>
    <w:rsid w:val="004B58B3"/>
    <w:rsid w:val="004B593C"/>
    <w:rsid w:val="004B59AC"/>
    <w:rsid w:val="004B5A36"/>
    <w:rsid w:val="004B5A5D"/>
    <w:rsid w:val="004B5AB7"/>
    <w:rsid w:val="004B5D1C"/>
    <w:rsid w:val="004B5E01"/>
    <w:rsid w:val="004B5EAB"/>
    <w:rsid w:val="004B5F58"/>
    <w:rsid w:val="004B5F6F"/>
    <w:rsid w:val="004B5F71"/>
    <w:rsid w:val="004B60F0"/>
    <w:rsid w:val="004B60FD"/>
    <w:rsid w:val="004B610F"/>
    <w:rsid w:val="004B6174"/>
    <w:rsid w:val="004B618F"/>
    <w:rsid w:val="004B61BE"/>
    <w:rsid w:val="004B624A"/>
    <w:rsid w:val="004B6258"/>
    <w:rsid w:val="004B62A3"/>
    <w:rsid w:val="004B63AE"/>
    <w:rsid w:val="004B656D"/>
    <w:rsid w:val="004B65EF"/>
    <w:rsid w:val="004B6677"/>
    <w:rsid w:val="004B681E"/>
    <w:rsid w:val="004B687C"/>
    <w:rsid w:val="004B68DF"/>
    <w:rsid w:val="004B69C1"/>
    <w:rsid w:val="004B6A9A"/>
    <w:rsid w:val="004B6B32"/>
    <w:rsid w:val="004B6C1D"/>
    <w:rsid w:val="004B6CA8"/>
    <w:rsid w:val="004B6CB0"/>
    <w:rsid w:val="004B6CBE"/>
    <w:rsid w:val="004B6E4A"/>
    <w:rsid w:val="004B6FAF"/>
    <w:rsid w:val="004B706A"/>
    <w:rsid w:val="004B707C"/>
    <w:rsid w:val="004B7169"/>
    <w:rsid w:val="004B7171"/>
    <w:rsid w:val="004B7177"/>
    <w:rsid w:val="004B73AD"/>
    <w:rsid w:val="004B73C4"/>
    <w:rsid w:val="004B749D"/>
    <w:rsid w:val="004B74D9"/>
    <w:rsid w:val="004B76BE"/>
    <w:rsid w:val="004B7767"/>
    <w:rsid w:val="004B77A6"/>
    <w:rsid w:val="004B782B"/>
    <w:rsid w:val="004B78C6"/>
    <w:rsid w:val="004B79B9"/>
    <w:rsid w:val="004B79CA"/>
    <w:rsid w:val="004B79D9"/>
    <w:rsid w:val="004B79DC"/>
    <w:rsid w:val="004B7A1E"/>
    <w:rsid w:val="004B7AD8"/>
    <w:rsid w:val="004B7B1D"/>
    <w:rsid w:val="004B7BDA"/>
    <w:rsid w:val="004B7C66"/>
    <w:rsid w:val="004B7D12"/>
    <w:rsid w:val="004B7DEB"/>
    <w:rsid w:val="004B7E24"/>
    <w:rsid w:val="004B7E5D"/>
    <w:rsid w:val="004B7F67"/>
    <w:rsid w:val="004B7F7A"/>
    <w:rsid w:val="004B7FED"/>
    <w:rsid w:val="004C0040"/>
    <w:rsid w:val="004C0127"/>
    <w:rsid w:val="004C0219"/>
    <w:rsid w:val="004C021A"/>
    <w:rsid w:val="004C02C5"/>
    <w:rsid w:val="004C0374"/>
    <w:rsid w:val="004C03FF"/>
    <w:rsid w:val="004C065D"/>
    <w:rsid w:val="004C0684"/>
    <w:rsid w:val="004C0847"/>
    <w:rsid w:val="004C0870"/>
    <w:rsid w:val="004C09A4"/>
    <w:rsid w:val="004C0A43"/>
    <w:rsid w:val="004C0A76"/>
    <w:rsid w:val="004C0BD7"/>
    <w:rsid w:val="004C0C05"/>
    <w:rsid w:val="004C0C3F"/>
    <w:rsid w:val="004C0DF8"/>
    <w:rsid w:val="004C10EF"/>
    <w:rsid w:val="004C1162"/>
    <w:rsid w:val="004C11C9"/>
    <w:rsid w:val="004C11EF"/>
    <w:rsid w:val="004C1293"/>
    <w:rsid w:val="004C132D"/>
    <w:rsid w:val="004C137E"/>
    <w:rsid w:val="004C1382"/>
    <w:rsid w:val="004C1401"/>
    <w:rsid w:val="004C1433"/>
    <w:rsid w:val="004C1520"/>
    <w:rsid w:val="004C175B"/>
    <w:rsid w:val="004C1788"/>
    <w:rsid w:val="004C18B6"/>
    <w:rsid w:val="004C1A66"/>
    <w:rsid w:val="004C1A69"/>
    <w:rsid w:val="004C1AA8"/>
    <w:rsid w:val="004C1AEF"/>
    <w:rsid w:val="004C1B3C"/>
    <w:rsid w:val="004C1B43"/>
    <w:rsid w:val="004C1C80"/>
    <w:rsid w:val="004C1D41"/>
    <w:rsid w:val="004C1D58"/>
    <w:rsid w:val="004C1E55"/>
    <w:rsid w:val="004C1ED9"/>
    <w:rsid w:val="004C1F07"/>
    <w:rsid w:val="004C1F5B"/>
    <w:rsid w:val="004C1FC0"/>
    <w:rsid w:val="004C210D"/>
    <w:rsid w:val="004C210E"/>
    <w:rsid w:val="004C218C"/>
    <w:rsid w:val="004C225E"/>
    <w:rsid w:val="004C2372"/>
    <w:rsid w:val="004C23EB"/>
    <w:rsid w:val="004C23EE"/>
    <w:rsid w:val="004C2451"/>
    <w:rsid w:val="004C2463"/>
    <w:rsid w:val="004C2517"/>
    <w:rsid w:val="004C2590"/>
    <w:rsid w:val="004C2616"/>
    <w:rsid w:val="004C2692"/>
    <w:rsid w:val="004C2783"/>
    <w:rsid w:val="004C2807"/>
    <w:rsid w:val="004C29CA"/>
    <w:rsid w:val="004C2A06"/>
    <w:rsid w:val="004C2AC4"/>
    <w:rsid w:val="004C2BE2"/>
    <w:rsid w:val="004C2C13"/>
    <w:rsid w:val="004C2C1D"/>
    <w:rsid w:val="004C2CFC"/>
    <w:rsid w:val="004C2D8F"/>
    <w:rsid w:val="004C2EA0"/>
    <w:rsid w:val="004C2F04"/>
    <w:rsid w:val="004C2FB0"/>
    <w:rsid w:val="004C2FDB"/>
    <w:rsid w:val="004C2FF5"/>
    <w:rsid w:val="004C30FB"/>
    <w:rsid w:val="004C3107"/>
    <w:rsid w:val="004C31EA"/>
    <w:rsid w:val="004C3214"/>
    <w:rsid w:val="004C3231"/>
    <w:rsid w:val="004C32AC"/>
    <w:rsid w:val="004C340C"/>
    <w:rsid w:val="004C340F"/>
    <w:rsid w:val="004C36F2"/>
    <w:rsid w:val="004C3716"/>
    <w:rsid w:val="004C37CE"/>
    <w:rsid w:val="004C395F"/>
    <w:rsid w:val="004C39A5"/>
    <w:rsid w:val="004C3AA3"/>
    <w:rsid w:val="004C3AB6"/>
    <w:rsid w:val="004C3BB1"/>
    <w:rsid w:val="004C3C23"/>
    <w:rsid w:val="004C3CB2"/>
    <w:rsid w:val="004C3D42"/>
    <w:rsid w:val="004C3DCC"/>
    <w:rsid w:val="004C3E11"/>
    <w:rsid w:val="004C3F83"/>
    <w:rsid w:val="004C40B3"/>
    <w:rsid w:val="004C40CD"/>
    <w:rsid w:val="004C4122"/>
    <w:rsid w:val="004C4167"/>
    <w:rsid w:val="004C42B2"/>
    <w:rsid w:val="004C4311"/>
    <w:rsid w:val="004C44C2"/>
    <w:rsid w:val="004C453C"/>
    <w:rsid w:val="004C4643"/>
    <w:rsid w:val="004C4658"/>
    <w:rsid w:val="004C4745"/>
    <w:rsid w:val="004C4845"/>
    <w:rsid w:val="004C495A"/>
    <w:rsid w:val="004C4961"/>
    <w:rsid w:val="004C4B13"/>
    <w:rsid w:val="004C4B55"/>
    <w:rsid w:val="004C4BA1"/>
    <w:rsid w:val="004C4BB8"/>
    <w:rsid w:val="004C4BC7"/>
    <w:rsid w:val="004C4C88"/>
    <w:rsid w:val="004C4D61"/>
    <w:rsid w:val="004C4E5A"/>
    <w:rsid w:val="004C4F37"/>
    <w:rsid w:val="004C4F91"/>
    <w:rsid w:val="004C501A"/>
    <w:rsid w:val="004C5022"/>
    <w:rsid w:val="004C5027"/>
    <w:rsid w:val="004C504A"/>
    <w:rsid w:val="004C5074"/>
    <w:rsid w:val="004C5079"/>
    <w:rsid w:val="004C5130"/>
    <w:rsid w:val="004C5212"/>
    <w:rsid w:val="004C5227"/>
    <w:rsid w:val="004C523E"/>
    <w:rsid w:val="004C5242"/>
    <w:rsid w:val="004C52C5"/>
    <w:rsid w:val="004C53EB"/>
    <w:rsid w:val="004C5475"/>
    <w:rsid w:val="004C5563"/>
    <w:rsid w:val="004C55EA"/>
    <w:rsid w:val="004C5696"/>
    <w:rsid w:val="004C5709"/>
    <w:rsid w:val="004C595D"/>
    <w:rsid w:val="004C5987"/>
    <w:rsid w:val="004C5A24"/>
    <w:rsid w:val="004C5A55"/>
    <w:rsid w:val="004C5B70"/>
    <w:rsid w:val="004C5B92"/>
    <w:rsid w:val="004C5B9F"/>
    <w:rsid w:val="004C5C7D"/>
    <w:rsid w:val="004C5D69"/>
    <w:rsid w:val="004C5DDF"/>
    <w:rsid w:val="004C5E45"/>
    <w:rsid w:val="004C5EC2"/>
    <w:rsid w:val="004C5FC9"/>
    <w:rsid w:val="004C5FF3"/>
    <w:rsid w:val="004C604D"/>
    <w:rsid w:val="004C60CC"/>
    <w:rsid w:val="004C62FF"/>
    <w:rsid w:val="004C6301"/>
    <w:rsid w:val="004C63E2"/>
    <w:rsid w:val="004C64B5"/>
    <w:rsid w:val="004C6563"/>
    <w:rsid w:val="004C65AC"/>
    <w:rsid w:val="004C65B4"/>
    <w:rsid w:val="004C66EA"/>
    <w:rsid w:val="004C66ED"/>
    <w:rsid w:val="004C67AE"/>
    <w:rsid w:val="004C6849"/>
    <w:rsid w:val="004C69AD"/>
    <w:rsid w:val="004C6A1D"/>
    <w:rsid w:val="004C6B74"/>
    <w:rsid w:val="004C6CA4"/>
    <w:rsid w:val="004C6CA5"/>
    <w:rsid w:val="004C6D8C"/>
    <w:rsid w:val="004C6E0D"/>
    <w:rsid w:val="004C6E74"/>
    <w:rsid w:val="004C6E9C"/>
    <w:rsid w:val="004C6F55"/>
    <w:rsid w:val="004C703C"/>
    <w:rsid w:val="004C7071"/>
    <w:rsid w:val="004C70E5"/>
    <w:rsid w:val="004C710E"/>
    <w:rsid w:val="004C7133"/>
    <w:rsid w:val="004C718B"/>
    <w:rsid w:val="004C7231"/>
    <w:rsid w:val="004C728F"/>
    <w:rsid w:val="004C7484"/>
    <w:rsid w:val="004C7651"/>
    <w:rsid w:val="004C774D"/>
    <w:rsid w:val="004C7793"/>
    <w:rsid w:val="004C7798"/>
    <w:rsid w:val="004C77A9"/>
    <w:rsid w:val="004C77B5"/>
    <w:rsid w:val="004C796E"/>
    <w:rsid w:val="004C7998"/>
    <w:rsid w:val="004C79A9"/>
    <w:rsid w:val="004C79CC"/>
    <w:rsid w:val="004C7A73"/>
    <w:rsid w:val="004C7BE5"/>
    <w:rsid w:val="004C7D0F"/>
    <w:rsid w:val="004C7DCC"/>
    <w:rsid w:val="004C7DDB"/>
    <w:rsid w:val="004C7E76"/>
    <w:rsid w:val="004C7EAC"/>
    <w:rsid w:val="004C7FDA"/>
    <w:rsid w:val="004D0146"/>
    <w:rsid w:val="004D02B4"/>
    <w:rsid w:val="004D02DA"/>
    <w:rsid w:val="004D0306"/>
    <w:rsid w:val="004D031A"/>
    <w:rsid w:val="004D0341"/>
    <w:rsid w:val="004D03B0"/>
    <w:rsid w:val="004D03F0"/>
    <w:rsid w:val="004D040D"/>
    <w:rsid w:val="004D04A3"/>
    <w:rsid w:val="004D04C7"/>
    <w:rsid w:val="004D04DB"/>
    <w:rsid w:val="004D0573"/>
    <w:rsid w:val="004D05E4"/>
    <w:rsid w:val="004D063B"/>
    <w:rsid w:val="004D0695"/>
    <w:rsid w:val="004D06B4"/>
    <w:rsid w:val="004D07B4"/>
    <w:rsid w:val="004D07D7"/>
    <w:rsid w:val="004D08CA"/>
    <w:rsid w:val="004D08CC"/>
    <w:rsid w:val="004D0A91"/>
    <w:rsid w:val="004D0C18"/>
    <w:rsid w:val="004D0C5D"/>
    <w:rsid w:val="004D0C60"/>
    <w:rsid w:val="004D0D4F"/>
    <w:rsid w:val="004D0D64"/>
    <w:rsid w:val="004D0DD7"/>
    <w:rsid w:val="004D0E57"/>
    <w:rsid w:val="004D0EC9"/>
    <w:rsid w:val="004D1114"/>
    <w:rsid w:val="004D11A6"/>
    <w:rsid w:val="004D1281"/>
    <w:rsid w:val="004D12DA"/>
    <w:rsid w:val="004D131A"/>
    <w:rsid w:val="004D1326"/>
    <w:rsid w:val="004D140A"/>
    <w:rsid w:val="004D1416"/>
    <w:rsid w:val="004D142A"/>
    <w:rsid w:val="004D159E"/>
    <w:rsid w:val="004D15D8"/>
    <w:rsid w:val="004D1787"/>
    <w:rsid w:val="004D17D7"/>
    <w:rsid w:val="004D18F1"/>
    <w:rsid w:val="004D19A0"/>
    <w:rsid w:val="004D1B77"/>
    <w:rsid w:val="004D1BB5"/>
    <w:rsid w:val="004D1D1A"/>
    <w:rsid w:val="004D1DA1"/>
    <w:rsid w:val="004D1F57"/>
    <w:rsid w:val="004D2067"/>
    <w:rsid w:val="004D20ED"/>
    <w:rsid w:val="004D2119"/>
    <w:rsid w:val="004D21C7"/>
    <w:rsid w:val="004D2325"/>
    <w:rsid w:val="004D2348"/>
    <w:rsid w:val="004D2353"/>
    <w:rsid w:val="004D2371"/>
    <w:rsid w:val="004D2387"/>
    <w:rsid w:val="004D23AF"/>
    <w:rsid w:val="004D2400"/>
    <w:rsid w:val="004D241C"/>
    <w:rsid w:val="004D2516"/>
    <w:rsid w:val="004D2623"/>
    <w:rsid w:val="004D2659"/>
    <w:rsid w:val="004D271B"/>
    <w:rsid w:val="004D278D"/>
    <w:rsid w:val="004D28B1"/>
    <w:rsid w:val="004D2901"/>
    <w:rsid w:val="004D2961"/>
    <w:rsid w:val="004D2A0D"/>
    <w:rsid w:val="004D2AE6"/>
    <w:rsid w:val="004D2AF9"/>
    <w:rsid w:val="004D2B47"/>
    <w:rsid w:val="004D2B59"/>
    <w:rsid w:val="004D2B74"/>
    <w:rsid w:val="004D2BD5"/>
    <w:rsid w:val="004D2CBB"/>
    <w:rsid w:val="004D2DF3"/>
    <w:rsid w:val="004D2E4E"/>
    <w:rsid w:val="004D2E81"/>
    <w:rsid w:val="004D2EDF"/>
    <w:rsid w:val="004D2F3A"/>
    <w:rsid w:val="004D2FB8"/>
    <w:rsid w:val="004D30FB"/>
    <w:rsid w:val="004D3250"/>
    <w:rsid w:val="004D3252"/>
    <w:rsid w:val="004D3295"/>
    <w:rsid w:val="004D32B7"/>
    <w:rsid w:val="004D32F0"/>
    <w:rsid w:val="004D33B2"/>
    <w:rsid w:val="004D33EA"/>
    <w:rsid w:val="004D3456"/>
    <w:rsid w:val="004D348F"/>
    <w:rsid w:val="004D34CC"/>
    <w:rsid w:val="004D34FF"/>
    <w:rsid w:val="004D351F"/>
    <w:rsid w:val="004D3578"/>
    <w:rsid w:val="004D3725"/>
    <w:rsid w:val="004D375C"/>
    <w:rsid w:val="004D3772"/>
    <w:rsid w:val="004D3799"/>
    <w:rsid w:val="004D3934"/>
    <w:rsid w:val="004D3B26"/>
    <w:rsid w:val="004D3E60"/>
    <w:rsid w:val="004D3EA5"/>
    <w:rsid w:val="004D3EC2"/>
    <w:rsid w:val="004D3F42"/>
    <w:rsid w:val="004D3F96"/>
    <w:rsid w:val="004D3FC8"/>
    <w:rsid w:val="004D410F"/>
    <w:rsid w:val="004D4141"/>
    <w:rsid w:val="004D41E2"/>
    <w:rsid w:val="004D4274"/>
    <w:rsid w:val="004D4390"/>
    <w:rsid w:val="004D4576"/>
    <w:rsid w:val="004D465D"/>
    <w:rsid w:val="004D4911"/>
    <w:rsid w:val="004D49E9"/>
    <w:rsid w:val="004D49FC"/>
    <w:rsid w:val="004D49FD"/>
    <w:rsid w:val="004D4A56"/>
    <w:rsid w:val="004D4A59"/>
    <w:rsid w:val="004D4B6B"/>
    <w:rsid w:val="004D4C0F"/>
    <w:rsid w:val="004D4CBC"/>
    <w:rsid w:val="004D4CCD"/>
    <w:rsid w:val="004D4CE0"/>
    <w:rsid w:val="004D4CEC"/>
    <w:rsid w:val="004D4CFE"/>
    <w:rsid w:val="004D4E19"/>
    <w:rsid w:val="004D4E4D"/>
    <w:rsid w:val="004D4EAF"/>
    <w:rsid w:val="004D4EBA"/>
    <w:rsid w:val="004D4F86"/>
    <w:rsid w:val="004D5048"/>
    <w:rsid w:val="004D5186"/>
    <w:rsid w:val="004D5273"/>
    <w:rsid w:val="004D52B8"/>
    <w:rsid w:val="004D561E"/>
    <w:rsid w:val="004D566B"/>
    <w:rsid w:val="004D5679"/>
    <w:rsid w:val="004D5807"/>
    <w:rsid w:val="004D584A"/>
    <w:rsid w:val="004D5882"/>
    <w:rsid w:val="004D58A6"/>
    <w:rsid w:val="004D5980"/>
    <w:rsid w:val="004D59D7"/>
    <w:rsid w:val="004D5A76"/>
    <w:rsid w:val="004D5DB7"/>
    <w:rsid w:val="004D5F1A"/>
    <w:rsid w:val="004D5F52"/>
    <w:rsid w:val="004D5F69"/>
    <w:rsid w:val="004D6138"/>
    <w:rsid w:val="004D6172"/>
    <w:rsid w:val="004D6183"/>
    <w:rsid w:val="004D62D2"/>
    <w:rsid w:val="004D63B7"/>
    <w:rsid w:val="004D64C4"/>
    <w:rsid w:val="004D6527"/>
    <w:rsid w:val="004D65E1"/>
    <w:rsid w:val="004D65EA"/>
    <w:rsid w:val="004D66D9"/>
    <w:rsid w:val="004D6712"/>
    <w:rsid w:val="004D684F"/>
    <w:rsid w:val="004D68A0"/>
    <w:rsid w:val="004D6938"/>
    <w:rsid w:val="004D6971"/>
    <w:rsid w:val="004D699C"/>
    <w:rsid w:val="004D69F0"/>
    <w:rsid w:val="004D6AA6"/>
    <w:rsid w:val="004D6D48"/>
    <w:rsid w:val="004D6D98"/>
    <w:rsid w:val="004D6DD7"/>
    <w:rsid w:val="004D6E06"/>
    <w:rsid w:val="004D6E09"/>
    <w:rsid w:val="004D6E9E"/>
    <w:rsid w:val="004D6ECE"/>
    <w:rsid w:val="004D6F36"/>
    <w:rsid w:val="004D6F48"/>
    <w:rsid w:val="004D6F7A"/>
    <w:rsid w:val="004D7034"/>
    <w:rsid w:val="004D713D"/>
    <w:rsid w:val="004D726A"/>
    <w:rsid w:val="004D7277"/>
    <w:rsid w:val="004D7341"/>
    <w:rsid w:val="004D747C"/>
    <w:rsid w:val="004D759C"/>
    <w:rsid w:val="004D763B"/>
    <w:rsid w:val="004D7658"/>
    <w:rsid w:val="004D7719"/>
    <w:rsid w:val="004D79FD"/>
    <w:rsid w:val="004D7A0A"/>
    <w:rsid w:val="004D7A0F"/>
    <w:rsid w:val="004D7A5B"/>
    <w:rsid w:val="004D7A68"/>
    <w:rsid w:val="004D7A7D"/>
    <w:rsid w:val="004D7A9D"/>
    <w:rsid w:val="004D7AA6"/>
    <w:rsid w:val="004D7BFB"/>
    <w:rsid w:val="004D7CC8"/>
    <w:rsid w:val="004D7CEE"/>
    <w:rsid w:val="004D7DF3"/>
    <w:rsid w:val="004D7DFA"/>
    <w:rsid w:val="004D7EA7"/>
    <w:rsid w:val="004D7F0C"/>
    <w:rsid w:val="004E001F"/>
    <w:rsid w:val="004E01CE"/>
    <w:rsid w:val="004E02C3"/>
    <w:rsid w:val="004E02C4"/>
    <w:rsid w:val="004E0386"/>
    <w:rsid w:val="004E03C6"/>
    <w:rsid w:val="004E0511"/>
    <w:rsid w:val="004E079F"/>
    <w:rsid w:val="004E091D"/>
    <w:rsid w:val="004E09E2"/>
    <w:rsid w:val="004E09FD"/>
    <w:rsid w:val="004E0AE5"/>
    <w:rsid w:val="004E0C30"/>
    <w:rsid w:val="004E0CE5"/>
    <w:rsid w:val="004E0E09"/>
    <w:rsid w:val="004E0FC1"/>
    <w:rsid w:val="004E0FC3"/>
    <w:rsid w:val="004E1001"/>
    <w:rsid w:val="004E1197"/>
    <w:rsid w:val="004E11CA"/>
    <w:rsid w:val="004E129D"/>
    <w:rsid w:val="004E1311"/>
    <w:rsid w:val="004E135C"/>
    <w:rsid w:val="004E1436"/>
    <w:rsid w:val="004E147E"/>
    <w:rsid w:val="004E161A"/>
    <w:rsid w:val="004E165A"/>
    <w:rsid w:val="004E16B3"/>
    <w:rsid w:val="004E16BC"/>
    <w:rsid w:val="004E1781"/>
    <w:rsid w:val="004E17EB"/>
    <w:rsid w:val="004E190B"/>
    <w:rsid w:val="004E193D"/>
    <w:rsid w:val="004E19B5"/>
    <w:rsid w:val="004E1AF2"/>
    <w:rsid w:val="004E1CF9"/>
    <w:rsid w:val="004E1D90"/>
    <w:rsid w:val="004E1DC1"/>
    <w:rsid w:val="004E1DCC"/>
    <w:rsid w:val="004E1E13"/>
    <w:rsid w:val="004E1E24"/>
    <w:rsid w:val="004E1ED0"/>
    <w:rsid w:val="004E2085"/>
    <w:rsid w:val="004E2131"/>
    <w:rsid w:val="004E2392"/>
    <w:rsid w:val="004E23CE"/>
    <w:rsid w:val="004E23E1"/>
    <w:rsid w:val="004E2461"/>
    <w:rsid w:val="004E24B4"/>
    <w:rsid w:val="004E258C"/>
    <w:rsid w:val="004E25A1"/>
    <w:rsid w:val="004E25A7"/>
    <w:rsid w:val="004E25BB"/>
    <w:rsid w:val="004E25DF"/>
    <w:rsid w:val="004E265E"/>
    <w:rsid w:val="004E2734"/>
    <w:rsid w:val="004E2738"/>
    <w:rsid w:val="004E293B"/>
    <w:rsid w:val="004E2971"/>
    <w:rsid w:val="004E2988"/>
    <w:rsid w:val="004E2BBF"/>
    <w:rsid w:val="004E2BC3"/>
    <w:rsid w:val="004E2D06"/>
    <w:rsid w:val="004E2D25"/>
    <w:rsid w:val="004E2E2B"/>
    <w:rsid w:val="004E2EC7"/>
    <w:rsid w:val="004E2EFB"/>
    <w:rsid w:val="004E2F1B"/>
    <w:rsid w:val="004E3050"/>
    <w:rsid w:val="004E32CC"/>
    <w:rsid w:val="004E3322"/>
    <w:rsid w:val="004E33D6"/>
    <w:rsid w:val="004E34E5"/>
    <w:rsid w:val="004E3534"/>
    <w:rsid w:val="004E3681"/>
    <w:rsid w:val="004E36DE"/>
    <w:rsid w:val="004E379B"/>
    <w:rsid w:val="004E392B"/>
    <w:rsid w:val="004E39D1"/>
    <w:rsid w:val="004E39E1"/>
    <w:rsid w:val="004E3A82"/>
    <w:rsid w:val="004E3AE6"/>
    <w:rsid w:val="004E3B20"/>
    <w:rsid w:val="004E3BF9"/>
    <w:rsid w:val="004E3C3B"/>
    <w:rsid w:val="004E3C48"/>
    <w:rsid w:val="004E3CB0"/>
    <w:rsid w:val="004E3D36"/>
    <w:rsid w:val="004E3D45"/>
    <w:rsid w:val="004E3E34"/>
    <w:rsid w:val="004E3FDE"/>
    <w:rsid w:val="004E4030"/>
    <w:rsid w:val="004E4082"/>
    <w:rsid w:val="004E4220"/>
    <w:rsid w:val="004E4223"/>
    <w:rsid w:val="004E4273"/>
    <w:rsid w:val="004E42E4"/>
    <w:rsid w:val="004E4354"/>
    <w:rsid w:val="004E437F"/>
    <w:rsid w:val="004E442E"/>
    <w:rsid w:val="004E457F"/>
    <w:rsid w:val="004E45B5"/>
    <w:rsid w:val="004E47B6"/>
    <w:rsid w:val="004E4903"/>
    <w:rsid w:val="004E4924"/>
    <w:rsid w:val="004E4A58"/>
    <w:rsid w:val="004E4B22"/>
    <w:rsid w:val="004E4C92"/>
    <w:rsid w:val="004E4CB8"/>
    <w:rsid w:val="004E4D2B"/>
    <w:rsid w:val="004E4DDB"/>
    <w:rsid w:val="004E4DF9"/>
    <w:rsid w:val="004E4F0A"/>
    <w:rsid w:val="004E4F1C"/>
    <w:rsid w:val="004E4F60"/>
    <w:rsid w:val="004E5059"/>
    <w:rsid w:val="004E5086"/>
    <w:rsid w:val="004E5155"/>
    <w:rsid w:val="004E52C8"/>
    <w:rsid w:val="004E543B"/>
    <w:rsid w:val="004E54A5"/>
    <w:rsid w:val="004E5525"/>
    <w:rsid w:val="004E55C6"/>
    <w:rsid w:val="004E56DF"/>
    <w:rsid w:val="004E5781"/>
    <w:rsid w:val="004E585C"/>
    <w:rsid w:val="004E5A55"/>
    <w:rsid w:val="004E5AA3"/>
    <w:rsid w:val="004E5AB6"/>
    <w:rsid w:val="004E5B39"/>
    <w:rsid w:val="004E5B3D"/>
    <w:rsid w:val="004E5B80"/>
    <w:rsid w:val="004E5C9A"/>
    <w:rsid w:val="004E5CB4"/>
    <w:rsid w:val="004E5D1E"/>
    <w:rsid w:val="004E5D2B"/>
    <w:rsid w:val="004E5E1E"/>
    <w:rsid w:val="004E5F9D"/>
    <w:rsid w:val="004E5FF7"/>
    <w:rsid w:val="004E6029"/>
    <w:rsid w:val="004E628B"/>
    <w:rsid w:val="004E6312"/>
    <w:rsid w:val="004E637E"/>
    <w:rsid w:val="004E644D"/>
    <w:rsid w:val="004E650C"/>
    <w:rsid w:val="004E6596"/>
    <w:rsid w:val="004E6664"/>
    <w:rsid w:val="004E693B"/>
    <w:rsid w:val="004E6A6E"/>
    <w:rsid w:val="004E6A93"/>
    <w:rsid w:val="004E6B29"/>
    <w:rsid w:val="004E6C3A"/>
    <w:rsid w:val="004E6C63"/>
    <w:rsid w:val="004E6C98"/>
    <w:rsid w:val="004E6CF6"/>
    <w:rsid w:val="004E6D08"/>
    <w:rsid w:val="004E6D85"/>
    <w:rsid w:val="004E6E97"/>
    <w:rsid w:val="004E6F04"/>
    <w:rsid w:val="004E6F19"/>
    <w:rsid w:val="004E70FD"/>
    <w:rsid w:val="004E71CD"/>
    <w:rsid w:val="004E71DC"/>
    <w:rsid w:val="004E720A"/>
    <w:rsid w:val="004E73AC"/>
    <w:rsid w:val="004E73AD"/>
    <w:rsid w:val="004E73E0"/>
    <w:rsid w:val="004E748F"/>
    <w:rsid w:val="004E7564"/>
    <w:rsid w:val="004E760A"/>
    <w:rsid w:val="004E76DC"/>
    <w:rsid w:val="004E776A"/>
    <w:rsid w:val="004E77B6"/>
    <w:rsid w:val="004E7857"/>
    <w:rsid w:val="004E78BE"/>
    <w:rsid w:val="004E7967"/>
    <w:rsid w:val="004E797E"/>
    <w:rsid w:val="004E79B9"/>
    <w:rsid w:val="004E7B57"/>
    <w:rsid w:val="004E7C1C"/>
    <w:rsid w:val="004E7C45"/>
    <w:rsid w:val="004E7D6F"/>
    <w:rsid w:val="004E7EA4"/>
    <w:rsid w:val="004E7F1F"/>
    <w:rsid w:val="004F00AE"/>
    <w:rsid w:val="004F014E"/>
    <w:rsid w:val="004F01A3"/>
    <w:rsid w:val="004F01A6"/>
    <w:rsid w:val="004F01B4"/>
    <w:rsid w:val="004F02EC"/>
    <w:rsid w:val="004F032A"/>
    <w:rsid w:val="004F036B"/>
    <w:rsid w:val="004F040F"/>
    <w:rsid w:val="004F046D"/>
    <w:rsid w:val="004F04A7"/>
    <w:rsid w:val="004F055F"/>
    <w:rsid w:val="004F05CB"/>
    <w:rsid w:val="004F073E"/>
    <w:rsid w:val="004F07E2"/>
    <w:rsid w:val="004F086F"/>
    <w:rsid w:val="004F0A34"/>
    <w:rsid w:val="004F0A64"/>
    <w:rsid w:val="004F0A7B"/>
    <w:rsid w:val="004F0A84"/>
    <w:rsid w:val="004F0B4A"/>
    <w:rsid w:val="004F0BC0"/>
    <w:rsid w:val="004F0C2F"/>
    <w:rsid w:val="004F0D29"/>
    <w:rsid w:val="004F0D46"/>
    <w:rsid w:val="004F0D72"/>
    <w:rsid w:val="004F0DD9"/>
    <w:rsid w:val="004F0EA6"/>
    <w:rsid w:val="004F0FF3"/>
    <w:rsid w:val="004F0FFC"/>
    <w:rsid w:val="004F102F"/>
    <w:rsid w:val="004F1047"/>
    <w:rsid w:val="004F1198"/>
    <w:rsid w:val="004F12B4"/>
    <w:rsid w:val="004F130A"/>
    <w:rsid w:val="004F1343"/>
    <w:rsid w:val="004F1348"/>
    <w:rsid w:val="004F13A6"/>
    <w:rsid w:val="004F1421"/>
    <w:rsid w:val="004F1481"/>
    <w:rsid w:val="004F1518"/>
    <w:rsid w:val="004F1650"/>
    <w:rsid w:val="004F16D0"/>
    <w:rsid w:val="004F16EF"/>
    <w:rsid w:val="004F18C2"/>
    <w:rsid w:val="004F192C"/>
    <w:rsid w:val="004F1ACE"/>
    <w:rsid w:val="004F1C9B"/>
    <w:rsid w:val="004F1CF8"/>
    <w:rsid w:val="004F1E13"/>
    <w:rsid w:val="004F1EFD"/>
    <w:rsid w:val="004F1F39"/>
    <w:rsid w:val="004F1F5B"/>
    <w:rsid w:val="004F1F66"/>
    <w:rsid w:val="004F1FDB"/>
    <w:rsid w:val="004F1FE7"/>
    <w:rsid w:val="004F1FF1"/>
    <w:rsid w:val="004F20DD"/>
    <w:rsid w:val="004F210D"/>
    <w:rsid w:val="004F21CC"/>
    <w:rsid w:val="004F2228"/>
    <w:rsid w:val="004F229A"/>
    <w:rsid w:val="004F22FC"/>
    <w:rsid w:val="004F2335"/>
    <w:rsid w:val="004F23F2"/>
    <w:rsid w:val="004F2559"/>
    <w:rsid w:val="004F25A2"/>
    <w:rsid w:val="004F2654"/>
    <w:rsid w:val="004F2671"/>
    <w:rsid w:val="004F269B"/>
    <w:rsid w:val="004F2723"/>
    <w:rsid w:val="004F277F"/>
    <w:rsid w:val="004F27BC"/>
    <w:rsid w:val="004F28E8"/>
    <w:rsid w:val="004F2958"/>
    <w:rsid w:val="004F2981"/>
    <w:rsid w:val="004F29F8"/>
    <w:rsid w:val="004F2C32"/>
    <w:rsid w:val="004F2CD5"/>
    <w:rsid w:val="004F2EA6"/>
    <w:rsid w:val="004F2EDA"/>
    <w:rsid w:val="004F2EEA"/>
    <w:rsid w:val="004F2F8B"/>
    <w:rsid w:val="004F306E"/>
    <w:rsid w:val="004F30C8"/>
    <w:rsid w:val="004F325E"/>
    <w:rsid w:val="004F325F"/>
    <w:rsid w:val="004F3398"/>
    <w:rsid w:val="004F350F"/>
    <w:rsid w:val="004F3706"/>
    <w:rsid w:val="004F375A"/>
    <w:rsid w:val="004F37BE"/>
    <w:rsid w:val="004F37FE"/>
    <w:rsid w:val="004F3834"/>
    <w:rsid w:val="004F387B"/>
    <w:rsid w:val="004F39E5"/>
    <w:rsid w:val="004F3AC4"/>
    <w:rsid w:val="004F3AD5"/>
    <w:rsid w:val="004F3B39"/>
    <w:rsid w:val="004F3BA5"/>
    <w:rsid w:val="004F3BF5"/>
    <w:rsid w:val="004F3CFA"/>
    <w:rsid w:val="004F3DA8"/>
    <w:rsid w:val="004F3DD3"/>
    <w:rsid w:val="004F3E7C"/>
    <w:rsid w:val="004F3F76"/>
    <w:rsid w:val="004F4087"/>
    <w:rsid w:val="004F41BE"/>
    <w:rsid w:val="004F42B0"/>
    <w:rsid w:val="004F43F9"/>
    <w:rsid w:val="004F44AF"/>
    <w:rsid w:val="004F44C5"/>
    <w:rsid w:val="004F454D"/>
    <w:rsid w:val="004F46AD"/>
    <w:rsid w:val="004F4713"/>
    <w:rsid w:val="004F47B4"/>
    <w:rsid w:val="004F47F9"/>
    <w:rsid w:val="004F4879"/>
    <w:rsid w:val="004F48B0"/>
    <w:rsid w:val="004F48D5"/>
    <w:rsid w:val="004F4981"/>
    <w:rsid w:val="004F49C0"/>
    <w:rsid w:val="004F4A05"/>
    <w:rsid w:val="004F4A4B"/>
    <w:rsid w:val="004F4B07"/>
    <w:rsid w:val="004F4BC7"/>
    <w:rsid w:val="004F4C03"/>
    <w:rsid w:val="004F4C3C"/>
    <w:rsid w:val="004F4D3D"/>
    <w:rsid w:val="004F4D4B"/>
    <w:rsid w:val="004F4D75"/>
    <w:rsid w:val="004F4E92"/>
    <w:rsid w:val="004F4EDA"/>
    <w:rsid w:val="004F4FC5"/>
    <w:rsid w:val="004F5046"/>
    <w:rsid w:val="004F5118"/>
    <w:rsid w:val="004F51ED"/>
    <w:rsid w:val="004F5223"/>
    <w:rsid w:val="004F526B"/>
    <w:rsid w:val="004F52AA"/>
    <w:rsid w:val="004F52C0"/>
    <w:rsid w:val="004F532E"/>
    <w:rsid w:val="004F5356"/>
    <w:rsid w:val="004F5371"/>
    <w:rsid w:val="004F53EE"/>
    <w:rsid w:val="004F5485"/>
    <w:rsid w:val="004F54CC"/>
    <w:rsid w:val="004F5509"/>
    <w:rsid w:val="004F571C"/>
    <w:rsid w:val="004F5A0D"/>
    <w:rsid w:val="004F5A1C"/>
    <w:rsid w:val="004F5B48"/>
    <w:rsid w:val="004F5B50"/>
    <w:rsid w:val="004F5BB0"/>
    <w:rsid w:val="004F5C26"/>
    <w:rsid w:val="004F5D69"/>
    <w:rsid w:val="004F5D70"/>
    <w:rsid w:val="004F5DEE"/>
    <w:rsid w:val="004F5F53"/>
    <w:rsid w:val="004F5F5A"/>
    <w:rsid w:val="004F5FA4"/>
    <w:rsid w:val="004F5FE3"/>
    <w:rsid w:val="004F6065"/>
    <w:rsid w:val="004F627E"/>
    <w:rsid w:val="004F6356"/>
    <w:rsid w:val="004F64B4"/>
    <w:rsid w:val="004F64CC"/>
    <w:rsid w:val="004F65E9"/>
    <w:rsid w:val="004F6680"/>
    <w:rsid w:val="004F6749"/>
    <w:rsid w:val="004F67CB"/>
    <w:rsid w:val="004F6803"/>
    <w:rsid w:val="004F6814"/>
    <w:rsid w:val="004F6833"/>
    <w:rsid w:val="004F68A3"/>
    <w:rsid w:val="004F6A95"/>
    <w:rsid w:val="004F6CEF"/>
    <w:rsid w:val="004F6CF8"/>
    <w:rsid w:val="004F6DD0"/>
    <w:rsid w:val="004F6E0B"/>
    <w:rsid w:val="004F6E59"/>
    <w:rsid w:val="004F6FE4"/>
    <w:rsid w:val="004F710C"/>
    <w:rsid w:val="004F7152"/>
    <w:rsid w:val="004F7179"/>
    <w:rsid w:val="004F71F5"/>
    <w:rsid w:val="004F72AB"/>
    <w:rsid w:val="004F7383"/>
    <w:rsid w:val="004F7441"/>
    <w:rsid w:val="004F7470"/>
    <w:rsid w:val="004F74EC"/>
    <w:rsid w:val="004F74FF"/>
    <w:rsid w:val="004F7605"/>
    <w:rsid w:val="004F7631"/>
    <w:rsid w:val="004F7660"/>
    <w:rsid w:val="004F7672"/>
    <w:rsid w:val="004F7674"/>
    <w:rsid w:val="004F776E"/>
    <w:rsid w:val="004F77B2"/>
    <w:rsid w:val="004F79D3"/>
    <w:rsid w:val="004F79F2"/>
    <w:rsid w:val="004F7ADB"/>
    <w:rsid w:val="004F7C35"/>
    <w:rsid w:val="004F7C57"/>
    <w:rsid w:val="004F7C5D"/>
    <w:rsid w:val="004F7D53"/>
    <w:rsid w:val="004F7E0F"/>
    <w:rsid w:val="004F7EA9"/>
    <w:rsid w:val="004F7FFB"/>
    <w:rsid w:val="00500046"/>
    <w:rsid w:val="0050027A"/>
    <w:rsid w:val="005002AE"/>
    <w:rsid w:val="0050030D"/>
    <w:rsid w:val="0050043B"/>
    <w:rsid w:val="0050046B"/>
    <w:rsid w:val="005004C0"/>
    <w:rsid w:val="00500514"/>
    <w:rsid w:val="0050051A"/>
    <w:rsid w:val="0050051B"/>
    <w:rsid w:val="0050071F"/>
    <w:rsid w:val="00500758"/>
    <w:rsid w:val="00500768"/>
    <w:rsid w:val="005007D6"/>
    <w:rsid w:val="005008BC"/>
    <w:rsid w:val="005008C2"/>
    <w:rsid w:val="00500A3D"/>
    <w:rsid w:val="00500AE0"/>
    <w:rsid w:val="00500B65"/>
    <w:rsid w:val="00500C3B"/>
    <w:rsid w:val="00500D97"/>
    <w:rsid w:val="00500F67"/>
    <w:rsid w:val="00501011"/>
    <w:rsid w:val="00501093"/>
    <w:rsid w:val="005010F7"/>
    <w:rsid w:val="00501201"/>
    <w:rsid w:val="0050127C"/>
    <w:rsid w:val="00501286"/>
    <w:rsid w:val="0050131C"/>
    <w:rsid w:val="00501336"/>
    <w:rsid w:val="00501352"/>
    <w:rsid w:val="00501359"/>
    <w:rsid w:val="005013FE"/>
    <w:rsid w:val="0050156F"/>
    <w:rsid w:val="00501582"/>
    <w:rsid w:val="00501785"/>
    <w:rsid w:val="00501858"/>
    <w:rsid w:val="005018BB"/>
    <w:rsid w:val="0050192C"/>
    <w:rsid w:val="005019F4"/>
    <w:rsid w:val="00501A69"/>
    <w:rsid w:val="00501A72"/>
    <w:rsid w:val="00501BF6"/>
    <w:rsid w:val="00501E93"/>
    <w:rsid w:val="00501EAA"/>
    <w:rsid w:val="00501EFF"/>
    <w:rsid w:val="00501F9B"/>
    <w:rsid w:val="00501FDC"/>
    <w:rsid w:val="00501FE1"/>
    <w:rsid w:val="005020C0"/>
    <w:rsid w:val="0050220E"/>
    <w:rsid w:val="00502344"/>
    <w:rsid w:val="0050247C"/>
    <w:rsid w:val="005024B0"/>
    <w:rsid w:val="00502554"/>
    <w:rsid w:val="0050256A"/>
    <w:rsid w:val="005025D6"/>
    <w:rsid w:val="00502609"/>
    <w:rsid w:val="00502624"/>
    <w:rsid w:val="00502691"/>
    <w:rsid w:val="005026BD"/>
    <w:rsid w:val="005027AF"/>
    <w:rsid w:val="005028AB"/>
    <w:rsid w:val="005028BA"/>
    <w:rsid w:val="00502952"/>
    <w:rsid w:val="005029C0"/>
    <w:rsid w:val="00502B6F"/>
    <w:rsid w:val="00502BAB"/>
    <w:rsid w:val="00502D35"/>
    <w:rsid w:val="00502E57"/>
    <w:rsid w:val="00502E79"/>
    <w:rsid w:val="00502FDA"/>
    <w:rsid w:val="00503081"/>
    <w:rsid w:val="0050315B"/>
    <w:rsid w:val="005031EC"/>
    <w:rsid w:val="005033B6"/>
    <w:rsid w:val="005033DA"/>
    <w:rsid w:val="005033FD"/>
    <w:rsid w:val="005034DE"/>
    <w:rsid w:val="005035BE"/>
    <w:rsid w:val="0050366E"/>
    <w:rsid w:val="0050368F"/>
    <w:rsid w:val="00503816"/>
    <w:rsid w:val="00503905"/>
    <w:rsid w:val="0050391F"/>
    <w:rsid w:val="005039B1"/>
    <w:rsid w:val="00503A75"/>
    <w:rsid w:val="00503AE7"/>
    <w:rsid w:val="00503AF3"/>
    <w:rsid w:val="00503B0B"/>
    <w:rsid w:val="00503B1F"/>
    <w:rsid w:val="00503BA2"/>
    <w:rsid w:val="00503CA3"/>
    <w:rsid w:val="00503D3C"/>
    <w:rsid w:val="00503D3E"/>
    <w:rsid w:val="00503E62"/>
    <w:rsid w:val="00503E94"/>
    <w:rsid w:val="00503EDD"/>
    <w:rsid w:val="00503F90"/>
    <w:rsid w:val="0050403D"/>
    <w:rsid w:val="005041DE"/>
    <w:rsid w:val="00504210"/>
    <w:rsid w:val="00504285"/>
    <w:rsid w:val="005042F4"/>
    <w:rsid w:val="0050439A"/>
    <w:rsid w:val="00504534"/>
    <w:rsid w:val="00504599"/>
    <w:rsid w:val="00504675"/>
    <w:rsid w:val="00504753"/>
    <w:rsid w:val="005047B7"/>
    <w:rsid w:val="00504958"/>
    <w:rsid w:val="005049D9"/>
    <w:rsid w:val="00504A82"/>
    <w:rsid w:val="00504AE5"/>
    <w:rsid w:val="00504B4C"/>
    <w:rsid w:val="00504B59"/>
    <w:rsid w:val="00504C0F"/>
    <w:rsid w:val="00504CC1"/>
    <w:rsid w:val="00504DFE"/>
    <w:rsid w:val="00504E11"/>
    <w:rsid w:val="00504E18"/>
    <w:rsid w:val="00504E9A"/>
    <w:rsid w:val="005051B5"/>
    <w:rsid w:val="005051CB"/>
    <w:rsid w:val="00505323"/>
    <w:rsid w:val="0050539E"/>
    <w:rsid w:val="00505506"/>
    <w:rsid w:val="00505539"/>
    <w:rsid w:val="0050586D"/>
    <w:rsid w:val="0050593A"/>
    <w:rsid w:val="005059D7"/>
    <w:rsid w:val="00505D67"/>
    <w:rsid w:val="00505E53"/>
    <w:rsid w:val="00505F5F"/>
    <w:rsid w:val="00505F63"/>
    <w:rsid w:val="00505FB5"/>
    <w:rsid w:val="00506243"/>
    <w:rsid w:val="0050625F"/>
    <w:rsid w:val="00506288"/>
    <w:rsid w:val="005062A8"/>
    <w:rsid w:val="00506448"/>
    <w:rsid w:val="005065DC"/>
    <w:rsid w:val="00506728"/>
    <w:rsid w:val="0050674A"/>
    <w:rsid w:val="0050685A"/>
    <w:rsid w:val="00506910"/>
    <w:rsid w:val="00506963"/>
    <w:rsid w:val="00506B2F"/>
    <w:rsid w:val="00506B32"/>
    <w:rsid w:val="00506BCC"/>
    <w:rsid w:val="00506BD0"/>
    <w:rsid w:val="00506E70"/>
    <w:rsid w:val="005070F2"/>
    <w:rsid w:val="00507159"/>
    <w:rsid w:val="005071F9"/>
    <w:rsid w:val="00507279"/>
    <w:rsid w:val="005072AC"/>
    <w:rsid w:val="005072D0"/>
    <w:rsid w:val="005072DB"/>
    <w:rsid w:val="00507314"/>
    <w:rsid w:val="005074ED"/>
    <w:rsid w:val="00507534"/>
    <w:rsid w:val="005075DB"/>
    <w:rsid w:val="005076CA"/>
    <w:rsid w:val="005076D7"/>
    <w:rsid w:val="005077F2"/>
    <w:rsid w:val="0050780C"/>
    <w:rsid w:val="00507B0B"/>
    <w:rsid w:val="00507DCF"/>
    <w:rsid w:val="00507F13"/>
    <w:rsid w:val="00507FCB"/>
    <w:rsid w:val="00507FE1"/>
    <w:rsid w:val="00510138"/>
    <w:rsid w:val="005101F5"/>
    <w:rsid w:val="005103F7"/>
    <w:rsid w:val="00510557"/>
    <w:rsid w:val="005106E6"/>
    <w:rsid w:val="0051072B"/>
    <w:rsid w:val="005107D8"/>
    <w:rsid w:val="0051085E"/>
    <w:rsid w:val="00510889"/>
    <w:rsid w:val="00510984"/>
    <w:rsid w:val="00510A3E"/>
    <w:rsid w:val="00510AAA"/>
    <w:rsid w:val="00510AB5"/>
    <w:rsid w:val="00510AB6"/>
    <w:rsid w:val="00510B49"/>
    <w:rsid w:val="00510D15"/>
    <w:rsid w:val="00510D21"/>
    <w:rsid w:val="00510D72"/>
    <w:rsid w:val="00510DAD"/>
    <w:rsid w:val="00510F07"/>
    <w:rsid w:val="00510FB2"/>
    <w:rsid w:val="00511004"/>
    <w:rsid w:val="00511026"/>
    <w:rsid w:val="0051116C"/>
    <w:rsid w:val="00511191"/>
    <w:rsid w:val="00511250"/>
    <w:rsid w:val="005112DD"/>
    <w:rsid w:val="00511360"/>
    <w:rsid w:val="0051137A"/>
    <w:rsid w:val="005114E5"/>
    <w:rsid w:val="0051151E"/>
    <w:rsid w:val="005115EE"/>
    <w:rsid w:val="005116F3"/>
    <w:rsid w:val="00511706"/>
    <w:rsid w:val="00511843"/>
    <w:rsid w:val="0051184E"/>
    <w:rsid w:val="005118DF"/>
    <w:rsid w:val="00511916"/>
    <w:rsid w:val="0051199E"/>
    <w:rsid w:val="00511A34"/>
    <w:rsid w:val="00511BB9"/>
    <w:rsid w:val="00511CAF"/>
    <w:rsid w:val="00511D76"/>
    <w:rsid w:val="00511E27"/>
    <w:rsid w:val="00511E52"/>
    <w:rsid w:val="00511E5E"/>
    <w:rsid w:val="00511E68"/>
    <w:rsid w:val="00511EC4"/>
    <w:rsid w:val="00511ED1"/>
    <w:rsid w:val="00511F18"/>
    <w:rsid w:val="00511FD9"/>
    <w:rsid w:val="00511FF5"/>
    <w:rsid w:val="00511FFD"/>
    <w:rsid w:val="00512235"/>
    <w:rsid w:val="005122F0"/>
    <w:rsid w:val="00512316"/>
    <w:rsid w:val="0051233E"/>
    <w:rsid w:val="005126C6"/>
    <w:rsid w:val="00512822"/>
    <w:rsid w:val="00512899"/>
    <w:rsid w:val="005128A2"/>
    <w:rsid w:val="005129E2"/>
    <w:rsid w:val="00512AF6"/>
    <w:rsid w:val="00512B28"/>
    <w:rsid w:val="00512B3D"/>
    <w:rsid w:val="00512C33"/>
    <w:rsid w:val="00512C5F"/>
    <w:rsid w:val="00512C91"/>
    <w:rsid w:val="00512CDE"/>
    <w:rsid w:val="00512D2D"/>
    <w:rsid w:val="00512D9B"/>
    <w:rsid w:val="00512E11"/>
    <w:rsid w:val="00512F70"/>
    <w:rsid w:val="00512F9C"/>
    <w:rsid w:val="0051304D"/>
    <w:rsid w:val="0051310F"/>
    <w:rsid w:val="00513129"/>
    <w:rsid w:val="00513263"/>
    <w:rsid w:val="005133AA"/>
    <w:rsid w:val="0051350F"/>
    <w:rsid w:val="0051358F"/>
    <w:rsid w:val="00513640"/>
    <w:rsid w:val="005136E8"/>
    <w:rsid w:val="0051372A"/>
    <w:rsid w:val="005137BD"/>
    <w:rsid w:val="0051384C"/>
    <w:rsid w:val="0051399E"/>
    <w:rsid w:val="00513A4A"/>
    <w:rsid w:val="00513B0E"/>
    <w:rsid w:val="00513BFF"/>
    <w:rsid w:val="00513C43"/>
    <w:rsid w:val="00513CAF"/>
    <w:rsid w:val="00513CD2"/>
    <w:rsid w:val="00513DD4"/>
    <w:rsid w:val="00513DD8"/>
    <w:rsid w:val="00513E2E"/>
    <w:rsid w:val="00513E89"/>
    <w:rsid w:val="00514098"/>
    <w:rsid w:val="005141ED"/>
    <w:rsid w:val="0051421B"/>
    <w:rsid w:val="0051428E"/>
    <w:rsid w:val="005142FB"/>
    <w:rsid w:val="00514415"/>
    <w:rsid w:val="00514477"/>
    <w:rsid w:val="00514498"/>
    <w:rsid w:val="005144D4"/>
    <w:rsid w:val="00514529"/>
    <w:rsid w:val="0051458B"/>
    <w:rsid w:val="005145BD"/>
    <w:rsid w:val="005145EC"/>
    <w:rsid w:val="00514699"/>
    <w:rsid w:val="00514755"/>
    <w:rsid w:val="00514764"/>
    <w:rsid w:val="00514864"/>
    <w:rsid w:val="0051495A"/>
    <w:rsid w:val="00514988"/>
    <w:rsid w:val="00514EB7"/>
    <w:rsid w:val="00514FAD"/>
    <w:rsid w:val="00514FB7"/>
    <w:rsid w:val="0051504D"/>
    <w:rsid w:val="00515101"/>
    <w:rsid w:val="0051513F"/>
    <w:rsid w:val="00515146"/>
    <w:rsid w:val="00515244"/>
    <w:rsid w:val="00515267"/>
    <w:rsid w:val="005152F0"/>
    <w:rsid w:val="0051531F"/>
    <w:rsid w:val="0051536E"/>
    <w:rsid w:val="005153B1"/>
    <w:rsid w:val="005153E1"/>
    <w:rsid w:val="005153F0"/>
    <w:rsid w:val="0051540C"/>
    <w:rsid w:val="005154B3"/>
    <w:rsid w:val="0051551D"/>
    <w:rsid w:val="0051568E"/>
    <w:rsid w:val="005156E0"/>
    <w:rsid w:val="005156F4"/>
    <w:rsid w:val="00515880"/>
    <w:rsid w:val="0051596B"/>
    <w:rsid w:val="00515A35"/>
    <w:rsid w:val="00515C64"/>
    <w:rsid w:val="00515DBC"/>
    <w:rsid w:val="00515E65"/>
    <w:rsid w:val="00515EEB"/>
    <w:rsid w:val="00515EF6"/>
    <w:rsid w:val="00515F59"/>
    <w:rsid w:val="00515FBB"/>
    <w:rsid w:val="00516068"/>
    <w:rsid w:val="0051608F"/>
    <w:rsid w:val="005160B7"/>
    <w:rsid w:val="005161DB"/>
    <w:rsid w:val="005161FD"/>
    <w:rsid w:val="0051627D"/>
    <w:rsid w:val="0051651C"/>
    <w:rsid w:val="00516619"/>
    <w:rsid w:val="0051663A"/>
    <w:rsid w:val="005166F7"/>
    <w:rsid w:val="00516700"/>
    <w:rsid w:val="00516715"/>
    <w:rsid w:val="00516730"/>
    <w:rsid w:val="00516799"/>
    <w:rsid w:val="005167D5"/>
    <w:rsid w:val="0051683E"/>
    <w:rsid w:val="00516886"/>
    <w:rsid w:val="0051688B"/>
    <w:rsid w:val="005169DE"/>
    <w:rsid w:val="00516A0B"/>
    <w:rsid w:val="00516A76"/>
    <w:rsid w:val="00516B4B"/>
    <w:rsid w:val="00516B62"/>
    <w:rsid w:val="00516BEB"/>
    <w:rsid w:val="00516DBB"/>
    <w:rsid w:val="00516E38"/>
    <w:rsid w:val="00516E87"/>
    <w:rsid w:val="00516F3A"/>
    <w:rsid w:val="00517057"/>
    <w:rsid w:val="0051716B"/>
    <w:rsid w:val="00517173"/>
    <w:rsid w:val="00517190"/>
    <w:rsid w:val="005171B1"/>
    <w:rsid w:val="005171D8"/>
    <w:rsid w:val="005172EB"/>
    <w:rsid w:val="00517326"/>
    <w:rsid w:val="005173AB"/>
    <w:rsid w:val="00517552"/>
    <w:rsid w:val="0051757C"/>
    <w:rsid w:val="005175FD"/>
    <w:rsid w:val="00517706"/>
    <w:rsid w:val="00517815"/>
    <w:rsid w:val="0051782D"/>
    <w:rsid w:val="00517851"/>
    <w:rsid w:val="0051785B"/>
    <w:rsid w:val="0051787B"/>
    <w:rsid w:val="0051791C"/>
    <w:rsid w:val="0051792A"/>
    <w:rsid w:val="00517998"/>
    <w:rsid w:val="005179DE"/>
    <w:rsid w:val="00517A59"/>
    <w:rsid w:val="00517A8F"/>
    <w:rsid w:val="00517B0E"/>
    <w:rsid w:val="00517C16"/>
    <w:rsid w:val="00517C2F"/>
    <w:rsid w:val="00517CEB"/>
    <w:rsid w:val="00517D58"/>
    <w:rsid w:val="00517D66"/>
    <w:rsid w:val="00517D8B"/>
    <w:rsid w:val="00517F75"/>
    <w:rsid w:val="00517F7C"/>
    <w:rsid w:val="00520026"/>
    <w:rsid w:val="0052008B"/>
    <w:rsid w:val="005200C1"/>
    <w:rsid w:val="005200D0"/>
    <w:rsid w:val="005200D7"/>
    <w:rsid w:val="0052011C"/>
    <w:rsid w:val="00520167"/>
    <w:rsid w:val="0052025A"/>
    <w:rsid w:val="005202AF"/>
    <w:rsid w:val="005202B2"/>
    <w:rsid w:val="005202EA"/>
    <w:rsid w:val="005202F2"/>
    <w:rsid w:val="005203AF"/>
    <w:rsid w:val="005203CC"/>
    <w:rsid w:val="005203D7"/>
    <w:rsid w:val="005203E5"/>
    <w:rsid w:val="005204AB"/>
    <w:rsid w:val="0052057C"/>
    <w:rsid w:val="005205AA"/>
    <w:rsid w:val="005205CB"/>
    <w:rsid w:val="00520624"/>
    <w:rsid w:val="0052072C"/>
    <w:rsid w:val="005207D5"/>
    <w:rsid w:val="00520808"/>
    <w:rsid w:val="005208C0"/>
    <w:rsid w:val="0052092F"/>
    <w:rsid w:val="005209D2"/>
    <w:rsid w:val="00520B59"/>
    <w:rsid w:val="00520C1D"/>
    <w:rsid w:val="00520E27"/>
    <w:rsid w:val="00520E48"/>
    <w:rsid w:val="00520F85"/>
    <w:rsid w:val="00520F8C"/>
    <w:rsid w:val="00521013"/>
    <w:rsid w:val="0052104F"/>
    <w:rsid w:val="0052105C"/>
    <w:rsid w:val="00521115"/>
    <w:rsid w:val="005211A6"/>
    <w:rsid w:val="005212A8"/>
    <w:rsid w:val="005212BD"/>
    <w:rsid w:val="005212D3"/>
    <w:rsid w:val="00521323"/>
    <w:rsid w:val="00521350"/>
    <w:rsid w:val="00521433"/>
    <w:rsid w:val="0052150D"/>
    <w:rsid w:val="00521526"/>
    <w:rsid w:val="0052172E"/>
    <w:rsid w:val="00521796"/>
    <w:rsid w:val="0052185B"/>
    <w:rsid w:val="00521877"/>
    <w:rsid w:val="00521879"/>
    <w:rsid w:val="0052190D"/>
    <w:rsid w:val="00521B75"/>
    <w:rsid w:val="00521C57"/>
    <w:rsid w:val="00521D0C"/>
    <w:rsid w:val="00521D10"/>
    <w:rsid w:val="00521E6B"/>
    <w:rsid w:val="00521E7A"/>
    <w:rsid w:val="00521E96"/>
    <w:rsid w:val="00521FD6"/>
    <w:rsid w:val="00521FDF"/>
    <w:rsid w:val="0052204B"/>
    <w:rsid w:val="00522133"/>
    <w:rsid w:val="005221BB"/>
    <w:rsid w:val="00522259"/>
    <w:rsid w:val="0052228F"/>
    <w:rsid w:val="00522366"/>
    <w:rsid w:val="0052278F"/>
    <w:rsid w:val="005227F1"/>
    <w:rsid w:val="0052286E"/>
    <w:rsid w:val="0052293E"/>
    <w:rsid w:val="00522A18"/>
    <w:rsid w:val="00522A19"/>
    <w:rsid w:val="00522A76"/>
    <w:rsid w:val="00522DF3"/>
    <w:rsid w:val="00522F70"/>
    <w:rsid w:val="00522FFA"/>
    <w:rsid w:val="005230F5"/>
    <w:rsid w:val="00523170"/>
    <w:rsid w:val="005231D7"/>
    <w:rsid w:val="005231E9"/>
    <w:rsid w:val="0052325A"/>
    <w:rsid w:val="00523410"/>
    <w:rsid w:val="00523534"/>
    <w:rsid w:val="0052355D"/>
    <w:rsid w:val="00523662"/>
    <w:rsid w:val="00523675"/>
    <w:rsid w:val="005236F2"/>
    <w:rsid w:val="005237B1"/>
    <w:rsid w:val="005238E3"/>
    <w:rsid w:val="005239DE"/>
    <w:rsid w:val="00523A36"/>
    <w:rsid w:val="00523B08"/>
    <w:rsid w:val="00523EE8"/>
    <w:rsid w:val="00523F13"/>
    <w:rsid w:val="00523F20"/>
    <w:rsid w:val="00523F40"/>
    <w:rsid w:val="00523FA9"/>
    <w:rsid w:val="00524134"/>
    <w:rsid w:val="005241F6"/>
    <w:rsid w:val="0052431D"/>
    <w:rsid w:val="00524321"/>
    <w:rsid w:val="005243DA"/>
    <w:rsid w:val="0052449A"/>
    <w:rsid w:val="0052453C"/>
    <w:rsid w:val="0052459F"/>
    <w:rsid w:val="005246E6"/>
    <w:rsid w:val="005247D9"/>
    <w:rsid w:val="005247E0"/>
    <w:rsid w:val="00524832"/>
    <w:rsid w:val="00524838"/>
    <w:rsid w:val="005248B7"/>
    <w:rsid w:val="005249C5"/>
    <w:rsid w:val="00524AA3"/>
    <w:rsid w:val="00524AD6"/>
    <w:rsid w:val="00524AEF"/>
    <w:rsid w:val="00524BC2"/>
    <w:rsid w:val="00524C5C"/>
    <w:rsid w:val="00524C70"/>
    <w:rsid w:val="00524D47"/>
    <w:rsid w:val="00524D98"/>
    <w:rsid w:val="00524DF9"/>
    <w:rsid w:val="00524F92"/>
    <w:rsid w:val="00524F9B"/>
    <w:rsid w:val="0052502C"/>
    <w:rsid w:val="00525046"/>
    <w:rsid w:val="005250E5"/>
    <w:rsid w:val="0052516C"/>
    <w:rsid w:val="00525189"/>
    <w:rsid w:val="005251A7"/>
    <w:rsid w:val="005253FC"/>
    <w:rsid w:val="00525507"/>
    <w:rsid w:val="00525608"/>
    <w:rsid w:val="0052560E"/>
    <w:rsid w:val="00525631"/>
    <w:rsid w:val="0052567B"/>
    <w:rsid w:val="005257CA"/>
    <w:rsid w:val="00525847"/>
    <w:rsid w:val="00525964"/>
    <w:rsid w:val="0052598E"/>
    <w:rsid w:val="00525A0E"/>
    <w:rsid w:val="00525B4D"/>
    <w:rsid w:val="00525B63"/>
    <w:rsid w:val="00525BFE"/>
    <w:rsid w:val="00525C57"/>
    <w:rsid w:val="00525D84"/>
    <w:rsid w:val="00525E06"/>
    <w:rsid w:val="00525F5D"/>
    <w:rsid w:val="00525FD2"/>
    <w:rsid w:val="00525FF9"/>
    <w:rsid w:val="0052603D"/>
    <w:rsid w:val="0052604C"/>
    <w:rsid w:val="00526159"/>
    <w:rsid w:val="00526161"/>
    <w:rsid w:val="0052617A"/>
    <w:rsid w:val="005261A0"/>
    <w:rsid w:val="00526316"/>
    <w:rsid w:val="00526501"/>
    <w:rsid w:val="0052651E"/>
    <w:rsid w:val="00526654"/>
    <w:rsid w:val="0052682B"/>
    <w:rsid w:val="00526863"/>
    <w:rsid w:val="005268A4"/>
    <w:rsid w:val="005268DE"/>
    <w:rsid w:val="0052697F"/>
    <w:rsid w:val="005269E7"/>
    <w:rsid w:val="00526A45"/>
    <w:rsid w:val="00526A5B"/>
    <w:rsid w:val="00526C2F"/>
    <w:rsid w:val="00526C47"/>
    <w:rsid w:val="00526C86"/>
    <w:rsid w:val="00526D31"/>
    <w:rsid w:val="00526D7C"/>
    <w:rsid w:val="00526ED3"/>
    <w:rsid w:val="00526EF9"/>
    <w:rsid w:val="00526F05"/>
    <w:rsid w:val="00526F53"/>
    <w:rsid w:val="00526F86"/>
    <w:rsid w:val="0052701F"/>
    <w:rsid w:val="0052707C"/>
    <w:rsid w:val="005270BF"/>
    <w:rsid w:val="005270F9"/>
    <w:rsid w:val="0052713F"/>
    <w:rsid w:val="00527178"/>
    <w:rsid w:val="005272F0"/>
    <w:rsid w:val="0052737A"/>
    <w:rsid w:val="00527420"/>
    <w:rsid w:val="00527448"/>
    <w:rsid w:val="005274A8"/>
    <w:rsid w:val="005274E7"/>
    <w:rsid w:val="00527526"/>
    <w:rsid w:val="00527546"/>
    <w:rsid w:val="005276DD"/>
    <w:rsid w:val="00527722"/>
    <w:rsid w:val="005277AA"/>
    <w:rsid w:val="005277C5"/>
    <w:rsid w:val="005277F0"/>
    <w:rsid w:val="00527A0D"/>
    <w:rsid w:val="00527AD1"/>
    <w:rsid w:val="00527AE2"/>
    <w:rsid w:val="00527C6D"/>
    <w:rsid w:val="00527CA2"/>
    <w:rsid w:val="00527CB1"/>
    <w:rsid w:val="00527D44"/>
    <w:rsid w:val="00527D46"/>
    <w:rsid w:val="00527F73"/>
    <w:rsid w:val="00527FE1"/>
    <w:rsid w:val="005300C8"/>
    <w:rsid w:val="005301D7"/>
    <w:rsid w:val="005301EC"/>
    <w:rsid w:val="00530228"/>
    <w:rsid w:val="00530265"/>
    <w:rsid w:val="00530277"/>
    <w:rsid w:val="005302F1"/>
    <w:rsid w:val="00530323"/>
    <w:rsid w:val="00530388"/>
    <w:rsid w:val="005303B7"/>
    <w:rsid w:val="00530574"/>
    <w:rsid w:val="00530656"/>
    <w:rsid w:val="00530849"/>
    <w:rsid w:val="0053084A"/>
    <w:rsid w:val="005308A8"/>
    <w:rsid w:val="005308D7"/>
    <w:rsid w:val="0053095C"/>
    <w:rsid w:val="0053097A"/>
    <w:rsid w:val="005309E6"/>
    <w:rsid w:val="00530AF8"/>
    <w:rsid w:val="00530B50"/>
    <w:rsid w:val="00530B73"/>
    <w:rsid w:val="00530CBB"/>
    <w:rsid w:val="00530D6F"/>
    <w:rsid w:val="005310BE"/>
    <w:rsid w:val="00531152"/>
    <w:rsid w:val="0053133C"/>
    <w:rsid w:val="0053147A"/>
    <w:rsid w:val="005314E8"/>
    <w:rsid w:val="00531698"/>
    <w:rsid w:val="00531736"/>
    <w:rsid w:val="005317AE"/>
    <w:rsid w:val="00531829"/>
    <w:rsid w:val="005318CF"/>
    <w:rsid w:val="00531934"/>
    <w:rsid w:val="00531AA1"/>
    <w:rsid w:val="00531B00"/>
    <w:rsid w:val="005320A0"/>
    <w:rsid w:val="0053210A"/>
    <w:rsid w:val="005321BA"/>
    <w:rsid w:val="005321BB"/>
    <w:rsid w:val="00532264"/>
    <w:rsid w:val="005322BA"/>
    <w:rsid w:val="005322FA"/>
    <w:rsid w:val="005322FD"/>
    <w:rsid w:val="005323BD"/>
    <w:rsid w:val="0053247F"/>
    <w:rsid w:val="00532612"/>
    <w:rsid w:val="00532717"/>
    <w:rsid w:val="00532835"/>
    <w:rsid w:val="0053285D"/>
    <w:rsid w:val="00532921"/>
    <w:rsid w:val="005329C6"/>
    <w:rsid w:val="00532ADF"/>
    <w:rsid w:val="00532B14"/>
    <w:rsid w:val="00532B38"/>
    <w:rsid w:val="00532BFE"/>
    <w:rsid w:val="00532C12"/>
    <w:rsid w:val="00532CCB"/>
    <w:rsid w:val="00532CFB"/>
    <w:rsid w:val="00532E2B"/>
    <w:rsid w:val="00532E50"/>
    <w:rsid w:val="00532EF3"/>
    <w:rsid w:val="00532F1A"/>
    <w:rsid w:val="0053300C"/>
    <w:rsid w:val="00533143"/>
    <w:rsid w:val="00533181"/>
    <w:rsid w:val="0053320F"/>
    <w:rsid w:val="00533247"/>
    <w:rsid w:val="00533441"/>
    <w:rsid w:val="005334F6"/>
    <w:rsid w:val="0053359B"/>
    <w:rsid w:val="005335D3"/>
    <w:rsid w:val="005335E3"/>
    <w:rsid w:val="0053367F"/>
    <w:rsid w:val="005336AD"/>
    <w:rsid w:val="005337EF"/>
    <w:rsid w:val="005337F5"/>
    <w:rsid w:val="00533888"/>
    <w:rsid w:val="005338AA"/>
    <w:rsid w:val="005338DE"/>
    <w:rsid w:val="00533AEB"/>
    <w:rsid w:val="00533B07"/>
    <w:rsid w:val="00533B6E"/>
    <w:rsid w:val="00533BD6"/>
    <w:rsid w:val="00533CF4"/>
    <w:rsid w:val="00533DAD"/>
    <w:rsid w:val="00533DDD"/>
    <w:rsid w:val="00533E09"/>
    <w:rsid w:val="00533E22"/>
    <w:rsid w:val="00533EDC"/>
    <w:rsid w:val="00533FFC"/>
    <w:rsid w:val="00534219"/>
    <w:rsid w:val="005342D2"/>
    <w:rsid w:val="0053456D"/>
    <w:rsid w:val="005345F8"/>
    <w:rsid w:val="005346D6"/>
    <w:rsid w:val="0053478A"/>
    <w:rsid w:val="005348AE"/>
    <w:rsid w:val="005348D5"/>
    <w:rsid w:val="005349AB"/>
    <w:rsid w:val="00534A11"/>
    <w:rsid w:val="00534A61"/>
    <w:rsid w:val="00534A89"/>
    <w:rsid w:val="00534AFD"/>
    <w:rsid w:val="00534B4A"/>
    <w:rsid w:val="00534BD2"/>
    <w:rsid w:val="00534BDE"/>
    <w:rsid w:val="00534BF0"/>
    <w:rsid w:val="00534C3C"/>
    <w:rsid w:val="00534D83"/>
    <w:rsid w:val="00534E3B"/>
    <w:rsid w:val="00534E75"/>
    <w:rsid w:val="00534F66"/>
    <w:rsid w:val="005350F9"/>
    <w:rsid w:val="0053519C"/>
    <w:rsid w:val="0053524D"/>
    <w:rsid w:val="00535260"/>
    <w:rsid w:val="0053552D"/>
    <w:rsid w:val="0053575A"/>
    <w:rsid w:val="00535799"/>
    <w:rsid w:val="00535830"/>
    <w:rsid w:val="00535867"/>
    <w:rsid w:val="005358C2"/>
    <w:rsid w:val="00535A15"/>
    <w:rsid w:val="00535A37"/>
    <w:rsid w:val="00535AF2"/>
    <w:rsid w:val="00535C7F"/>
    <w:rsid w:val="00535CAD"/>
    <w:rsid w:val="00535E0C"/>
    <w:rsid w:val="00535E74"/>
    <w:rsid w:val="00535EFC"/>
    <w:rsid w:val="00535F44"/>
    <w:rsid w:val="00535F8D"/>
    <w:rsid w:val="00535F91"/>
    <w:rsid w:val="0053605A"/>
    <w:rsid w:val="0053605C"/>
    <w:rsid w:val="0053606D"/>
    <w:rsid w:val="0053608A"/>
    <w:rsid w:val="005360A8"/>
    <w:rsid w:val="005360B1"/>
    <w:rsid w:val="005361B3"/>
    <w:rsid w:val="0053620C"/>
    <w:rsid w:val="0053625A"/>
    <w:rsid w:val="00536265"/>
    <w:rsid w:val="005362A0"/>
    <w:rsid w:val="00536328"/>
    <w:rsid w:val="0053632F"/>
    <w:rsid w:val="00536338"/>
    <w:rsid w:val="0053638B"/>
    <w:rsid w:val="00536412"/>
    <w:rsid w:val="00536558"/>
    <w:rsid w:val="005365C8"/>
    <w:rsid w:val="00536673"/>
    <w:rsid w:val="005367E3"/>
    <w:rsid w:val="0053684D"/>
    <w:rsid w:val="00536854"/>
    <w:rsid w:val="005369DA"/>
    <w:rsid w:val="00536A32"/>
    <w:rsid w:val="00536AB8"/>
    <w:rsid w:val="00536B7C"/>
    <w:rsid w:val="00536C0F"/>
    <w:rsid w:val="00536CD7"/>
    <w:rsid w:val="00536D50"/>
    <w:rsid w:val="00536DD7"/>
    <w:rsid w:val="00537035"/>
    <w:rsid w:val="0053705E"/>
    <w:rsid w:val="0053724A"/>
    <w:rsid w:val="0053724C"/>
    <w:rsid w:val="0053726C"/>
    <w:rsid w:val="005372BE"/>
    <w:rsid w:val="005373A6"/>
    <w:rsid w:val="00537426"/>
    <w:rsid w:val="0053744C"/>
    <w:rsid w:val="00537603"/>
    <w:rsid w:val="0053770C"/>
    <w:rsid w:val="00537795"/>
    <w:rsid w:val="00537797"/>
    <w:rsid w:val="00537866"/>
    <w:rsid w:val="005378A5"/>
    <w:rsid w:val="00537916"/>
    <w:rsid w:val="00537926"/>
    <w:rsid w:val="005379AE"/>
    <w:rsid w:val="00537A17"/>
    <w:rsid w:val="00537AA5"/>
    <w:rsid w:val="00537C69"/>
    <w:rsid w:val="00537D61"/>
    <w:rsid w:val="00537D7E"/>
    <w:rsid w:val="00537F7A"/>
    <w:rsid w:val="00537F84"/>
    <w:rsid w:val="00537FC2"/>
    <w:rsid w:val="00540005"/>
    <w:rsid w:val="0054000B"/>
    <w:rsid w:val="00540176"/>
    <w:rsid w:val="005402B1"/>
    <w:rsid w:val="005402C1"/>
    <w:rsid w:val="005403E8"/>
    <w:rsid w:val="005405CB"/>
    <w:rsid w:val="00540759"/>
    <w:rsid w:val="00540793"/>
    <w:rsid w:val="005408C5"/>
    <w:rsid w:val="005408F8"/>
    <w:rsid w:val="00540A0D"/>
    <w:rsid w:val="00540A82"/>
    <w:rsid w:val="00540AE3"/>
    <w:rsid w:val="00540AEB"/>
    <w:rsid w:val="00540B23"/>
    <w:rsid w:val="00540B3E"/>
    <w:rsid w:val="00540BBB"/>
    <w:rsid w:val="00540BCE"/>
    <w:rsid w:val="00540BDD"/>
    <w:rsid w:val="00540C44"/>
    <w:rsid w:val="00540C5E"/>
    <w:rsid w:val="00540DCF"/>
    <w:rsid w:val="00540F0B"/>
    <w:rsid w:val="005410B9"/>
    <w:rsid w:val="005410C7"/>
    <w:rsid w:val="00541183"/>
    <w:rsid w:val="005411D4"/>
    <w:rsid w:val="00541260"/>
    <w:rsid w:val="00541451"/>
    <w:rsid w:val="005414DD"/>
    <w:rsid w:val="005416C2"/>
    <w:rsid w:val="005416D6"/>
    <w:rsid w:val="0054173B"/>
    <w:rsid w:val="005417BA"/>
    <w:rsid w:val="005418BB"/>
    <w:rsid w:val="00541BC6"/>
    <w:rsid w:val="00541C01"/>
    <w:rsid w:val="00541E60"/>
    <w:rsid w:val="00541E77"/>
    <w:rsid w:val="00541E92"/>
    <w:rsid w:val="00541FB8"/>
    <w:rsid w:val="00542212"/>
    <w:rsid w:val="005423BD"/>
    <w:rsid w:val="005423E3"/>
    <w:rsid w:val="00542449"/>
    <w:rsid w:val="00542505"/>
    <w:rsid w:val="00542558"/>
    <w:rsid w:val="0054261D"/>
    <w:rsid w:val="00542638"/>
    <w:rsid w:val="00542677"/>
    <w:rsid w:val="00542715"/>
    <w:rsid w:val="00542727"/>
    <w:rsid w:val="0054273C"/>
    <w:rsid w:val="005427CA"/>
    <w:rsid w:val="00542881"/>
    <w:rsid w:val="005428B8"/>
    <w:rsid w:val="0054295A"/>
    <w:rsid w:val="005429F7"/>
    <w:rsid w:val="00542B61"/>
    <w:rsid w:val="00542B8C"/>
    <w:rsid w:val="00542BCF"/>
    <w:rsid w:val="00542C87"/>
    <w:rsid w:val="00542CAF"/>
    <w:rsid w:val="00542CF6"/>
    <w:rsid w:val="00542D30"/>
    <w:rsid w:val="00542DF8"/>
    <w:rsid w:val="00542ED4"/>
    <w:rsid w:val="00542FC8"/>
    <w:rsid w:val="0054304B"/>
    <w:rsid w:val="00543051"/>
    <w:rsid w:val="00543310"/>
    <w:rsid w:val="00543328"/>
    <w:rsid w:val="0054334F"/>
    <w:rsid w:val="0054346F"/>
    <w:rsid w:val="00543478"/>
    <w:rsid w:val="0054347B"/>
    <w:rsid w:val="00543597"/>
    <w:rsid w:val="005435A6"/>
    <w:rsid w:val="005435E6"/>
    <w:rsid w:val="005436BB"/>
    <w:rsid w:val="0054377C"/>
    <w:rsid w:val="00543803"/>
    <w:rsid w:val="005438B9"/>
    <w:rsid w:val="005438C5"/>
    <w:rsid w:val="005438FF"/>
    <w:rsid w:val="0054399C"/>
    <w:rsid w:val="00543A10"/>
    <w:rsid w:val="00543B2E"/>
    <w:rsid w:val="00543B95"/>
    <w:rsid w:val="00543BA8"/>
    <w:rsid w:val="00543BC1"/>
    <w:rsid w:val="00543BC9"/>
    <w:rsid w:val="00543C21"/>
    <w:rsid w:val="00543CD1"/>
    <w:rsid w:val="00543D39"/>
    <w:rsid w:val="00543D71"/>
    <w:rsid w:val="00543DE4"/>
    <w:rsid w:val="00543ED4"/>
    <w:rsid w:val="00543F52"/>
    <w:rsid w:val="00543FD7"/>
    <w:rsid w:val="00544023"/>
    <w:rsid w:val="005440E5"/>
    <w:rsid w:val="00544121"/>
    <w:rsid w:val="00544188"/>
    <w:rsid w:val="00544287"/>
    <w:rsid w:val="005442FA"/>
    <w:rsid w:val="005443C0"/>
    <w:rsid w:val="00544587"/>
    <w:rsid w:val="005445F2"/>
    <w:rsid w:val="0054462D"/>
    <w:rsid w:val="00544682"/>
    <w:rsid w:val="005446B0"/>
    <w:rsid w:val="005447DE"/>
    <w:rsid w:val="00544868"/>
    <w:rsid w:val="0054486C"/>
    <w:rsid w:val="005449EE"/>
    <w:rsid w:val="00544A39"/>
    <w:rsid w:val="00544A73"/>
    <w:rsid w:val="00544B0B"/>
    <w:rsid w:val="00544B38"/>
    <w:rsid w:val="00544B85"/>
    <w:rsid w:val="00544BD9"/>
    <w:rsid w:val="00544C45"/>
    <w:rsid w:val="00544C79"/>
    <w:rsid w:val="00544CD0"/>
    <w:rsid w:val="00544D7D"/>
    <w:rsid w:val="00544E66"/>
    <w:rsid w:val="00544FFF"/>
    <w:rsid w:val="00545002"/>
    <w:rsid w:val="0054520B"/>
    <w:rsid w:val="005452A8"/>
    <w:rsid w:val="005452C9"/>
    <w:rsid w:val="005452CE"/>
    <w:rsid w:val="00545363"/>
    <w:rsid w:val="005453A5"/>
    <w:rsid w:val="00545423"/>
    <w:rsid w:val="00545678"/>
    <w:rsid w:val="005456E7"/>
    <w:rsid w:val="0054574C"/>
    <w:rsid w:val="005457D4"/>
    <w:rsid w:val="00545872"/>
    <w:rsid w:val="00545B7E"/>
    <w:rsid w:val="00545BFF"/>
    <w:rsid w:val="00545C30"/>
    <w:rsid w:val="00545CC4"/>
    <w:rsid w:val="00545D9F"/>
    <w:rsid w:val="00545DD0"/>
    <w:rsid w:val="00545EE6"/>
    <w:rsid w:val="00545EF8"/>
    <w:rsid w:val="005460B9"/>
    <w:rsid w:val="005460D7"/>
    <w:rsid w:val="00546112"/>
    <w:rsid w:val="00546173"/>
    <w:rsid w:val="0054621A"/>
    <w:rsid w:val="00546280"/>
    <w:rsid w:val="0054628A"/>
    <w:rsid w:val="0054636E"/>
    <w:rsid w:val="00546388"/>
    <w:rsid w:val="0054647B"/>
    <w:rsid w:val="0054650B"/>
    <w:rsid w:val="0054658D"/>
    <w:rsid w:val="00546662"/>
    <w:rsid w:val="0054678D"/>
    <w:rsid w:val="005467A5"/>
    <w:rsid w:val="00546867"/>
    <w:rsid w:val="00546874"/>
    <w:rsid w:val="00546A15"/>
    <w:rsid w:val="00546B0D"/>
    <w:rsid w:val="00546B30"/>
    <w:rsid w:val="00546B44"/>
    <w:rsid w:val="00546C55"/>
    <w:rsid w:val="00546D5E"/>
    <w:rsid w:val="00546D7B"/>
    <w:rsid w:val="00546D7D"/>
    <w:rsid w:val="00546D85"/>
    <w:rsid w:val="00546DD2"/>
    <w:rsid w:val="00546E8E"/>
    <w:rsid w:val="00546F35"/>
    <w:rsid w:val="00546FC7"/>
    <w:rsid w:val="00546FDB"/>
    <w:rsid w:val="00546FFF"/>
    <w:rsid w:val="0054712C"/>
    <w:rsid w:val="00547192"/>
    <w:rsid w:val="005471ED"/>
    <w:rsid w:val="0054720B"/>
    <w:rsid w:val="0054735F"/>
    <w:rsid w:val="00547376"/>
    <w:rsid w:val="005473B9"/>
    <w:rsid w:val="00547761"/>
    <w:rsid w:val="00547794"/>
    <w:rsid w:val="005477D2"/>
    <w:rsid w:val="005478C1"/>
    <w:rsid w:val="00547B8D"/>
    <w:rsid w:val="00547C31"/>
    <w:rsid w:val="00547CDA"/>
    <w:rsid w:val="00547CF0"/>
    <w:rsid w:val="00547D7B"/>
    <w:rsid w:val="00547E2D"/>
    <w:rsid w:val="00547F02"/>
    <w:rsid w:val="00547F54"/>
    <w:rsid w:val="00550043"/>
    <w:rsid w:val="005500BE"/>
    <w:rsid w:val="00550181"/>
    <w:rsid w:val="00550183"/>
    <w:rsid w:val="0055018A"/>
    <w:rsid w:val="00550254"/>
    <w:rsid w:val="005502DD"/>
    <w:rsid w:val="0055036C"/>
    <w:rsid w:val="00550418"/>
    <w:rsid w:val="0055042B"/>
    <w:rsid w:val="005504D2"/>
    <w:rsid w:val="005504E9"/>
    <w:rsid w:val="00550590"/>
    <w:rsid w:val="00550699"/>
    <w:rsid w:val="00550792"/>
    <w:rsid w:val="0055087D"/>
    <w:rsid w:val="0055098D"/>
    <w:rsid w:val="00550997"/>
    <w:rsid w:val="005509C1"/>
    <w:rsid w:val="005509F0"/>
    <w:rsid w:val="005509FF"/>
    <w:rsid w:val="00550A52"/>
    <w:rsid w:val="00550AE4"/>
    <w:rsid w:val="00550B13"/>
    <w:rsid w:val="00550BA7"/>
    <w:rsid w:val="00550D9F"/>
    <w:rsid w:val="00550DA7"/>
    <w:rsid w:val="00550F1D"/>
    <w:rsid w:val="00550F76"/>
    <w:rsid w:val="00550F92"/>
    <w:rsid w:val="00550FAA"/>
    <w:rsid w:val="00550FC8"/>
    <w:rsid w:val="00551043"/>
    <w:rsid w:val="0055105A"/>
    <w:rsid w:val="0055109C"/>
    <w:rsid w:val="005510FE"/>
    <w:rsid w:val="00551118"/>
    <w:rsid w:val="00551149"/>
    <w:rsid w:val="005511C1"/>
    <w:rsid w:val="0055120E"/>
    <w:rsid w:val="00551255"/>
    <w:rsid w:val="0055145B"/>
    <w:rsid w:val="00551591"/>
    <w:rsid w:val="005515EE"/>
    <w:rsid w:val="005515F5"/>
    <w:rsid w:val="0055162A"/>
    <w:rsid w:val="00551668"/>
    <w:rsid w:val="0055171F"/>
    <w:rsid w:val="00551743"/>
    <w:rsid w:val="0055190A"/>
    <w:rsid w:val="0055191E"/>
    <w:rsid w:val="0055196D"/>
    <w:rsid w:val="00551B30"/>
    <w:rsid w:val="00551BEC"/>
    <w:rsid w:val="00551D29"/>
    <w:rsid w:val="00551D83"/>
    <w:rsid w:val="00551E46"/>
    <w:rsid w:val="00551F02"/>
    <w:rsid w:val="005520B6"/>
    <w:rsid w:val="005520D1"/>
    <w:rsid w:val="00552137"/>
    <w:rsid w:val="00552199"/>
    <w:rsid w:val="005521B5"/>
    <w:rsid w:val="005522AF"/>
    <w:rsid w:val="005523BF"/>
    <w:rsid w:val="005523F0"/>
    <w:rsid w:val="00552433"/>
    <w:rsid w:val="00552474"/>
    <w:rsid w:val="0055268B"/>
    <w:rsid w:val="005526D2"/>
    <w:rsid w:val="0055279A"/>
    <w:rsid w:val="005527B5"/>
    <w:rsid w:val="005527E5"/>
    <w:rsid w:val="00552969"/>
    <w:rsid w:val="005529BC"/>
    <w:rsid w:val="00552A36"/>
    <w:rsid w:val="00552B42"/>
    <w:rsid w:val="00552B5A"/>
    <w:rsid w:val="00552CC4"/>
    <w:rsid w:val="00552D51"/>
    <w:rsid w:val="00552DD2"/>
    <w:rsid w:val="00552E48"/>
    <w:rsid w:val="00552E86"/>
    <w:rsid w:val="00552F48"/>
    <w:rsid w:val="00552F56"/>
    <w:rsid w:val="00553033"/>
    <w:rsid w:val="00553249"/>
    <w:rsid w:val="00553262"/>
    <w:rsid w:val="005532DD"/>
    <w:rsid w:val="0055330C"/>
    <w:rsid w:val="00553361"/>
    <w:rsid w:val="0055342B"/>
    <w:rsid w:val="0055352B"/>
    <w:rsid w:val="0055352E"/>
    <w:rsid w:val="00553540"/>
    <w:rsid w:val="0055361A"/>
    <w:rsid w:val="0055365F"/>
    <w:rsid w:val="005537E7"/>
    <w:rsid w:val="00553911"/>
    <w:rsid w:val="00553924"/>
    <w:rsid w:val="0055392E"/>
    <w:rsid w:val="005539CA"/>
    <w:rsid w:val="00553AB0"/>
    <w:rsid w:val="00553C38"/>
    <w:rsid w:val="00553CBD"/>
    <w:rsid w:val="00553D21"/>
    <w:rsid w:val="00553DC6"/>
    <w:rsid w:val="00553DCD"/>
    <w:rsid w:val="00553E0F"/>
    <w:rsid w:val="00553E9E"/>
    <w:rsid w:val="00553EB2"/>
    <w:rsid w:val="00553F39"/>
    <w:rsid w:val="00553F42"/>
    <w:rsid w:val="00553FC2"/>
    <w:rsid w:val="00554019"/>
    <w:rsid w:val="00554089"/>
    <w:rsid w:val="0055412E"/>
    <w:rsid w:val="00554137"/>
    <w:rsid w:val="0055429B"/>
    <w:rsid w:val="005544DF"/>
    <w:rsid w:val="0055450D"/>
    <w:rsid w:val="0055459D"/>
    <w:rsid w:val="005545A4"/>
    <w:rsid w:val="005545BE"/>
    <w:rsid w:val="00554604"/>
    <w:rsid w:val="0055486E"/>
    <w:rsid w:val="00554A7C"/>
    <w:rsid w:val="00554AC1"/>
    <w:rsid w:val="00554B2A"/>
    <w:rsid w:val="00554B69"/>
    <w:rsid w:val="00554C07"/>
    <w:rsid w:val="00554D85"/>
    <w:rsid w:val="00554D95"/>
    <w:rsid w:val="00554E81"/>
    <w:rsid w:val="00554EB7"/>
    <w:rsid w:val="00554F56"/>
    <w:rsid w:val="00555051"/>
    <w:rsid w:val="005550C7"/>
    <w:rsid w:val="00555174"/>
    <w:rsid w:val="00555238"/>
    <w:rsid w:val="0055526E"/>
    <w:rsid w:val="00555331"/>
    <w:rsid w:val="00555341"/>
    <w:rsid w:val="005553E7"/>
    <w:rsid w:val="00555759"/>
    <w:rsid w:val="00555790"/>
    <w:rsid w:val="005557A9"/>
    <w:rsid w:val="00555937"/>
    <w:rsid w:val="005559A8"/>
    <w:rsid w:val="005559D9"/>
    <w:rsid w:val="00555CAD"/>
    <w:rsid w:val="00555CF0"/>
    <w:rsid w:val="00555DC3"/>
    <w:rsid w:val="00555E99"/>
    <w:rsid w:val="00555FE6"/>
    <w:rsid w:val="005560B9"/>
    <w:rsid w:val="00556223"/>
    <w:rsid w:val="0055631B"/>
    <w:rsid w:val="00556388"/>
    <w:rsid w:val="00556449"/>
    <w:rsid w:val="0055653C"/>
    <w:rsid w:val="00556762"/>
    <w:rsid w:val="00556800"/>
    <w:rsid w:val="0055687D"/>
    <w:rsid w:val="00556940"/>
    <w:rsid w:val="00556995"/>
    <w:rsid w:val="00556A2E"/>
    <w:rsid w:val="00556A7F"/>
    <w:rsid w:val="00556B08"/>
    <w:rsid w:val="00556BC9"/>
    <w:rsid w:val="00556C11"/>
    <w:rsid w:val="00556C72"/>
    <w:rsid w:val="00556CD9"/>
    <w:rsid w:val="00556D1E"/>
    <w:rsid w:val="00556D70"/>
    <w:rsid w:val="00556D91"/>
    <w:rsid w:val="00556E02"/>
    <w:rsid w:val="00556FCC"/>
    <w:rsid w:val="00556FEC"/>
    <w:rsid w:val="0055702B"/>
    <w:rsid w:val="005570EC"/>
    <w:rsid w:val="005570F9"/>
    <w:rsid w:val="00557286"/>
    <w:rsid w:val="00557322"/>
    <w:rsid w:val="005575DE"/>
    <w:rsid w:val="005578E2"/>
    <w:rsid w:val="005579F4"/>
    <w:rsid w:val="00557C63"/>
    <w:rsid w:val="00557D7C"/>
    <w:rsid w:val="00557D95"/>
    <w:rsid w:val="00557E19"/>
    <w:rsid w:val="00557EC6"/>
    <w:rsid w:val="00557F36"/>
    <w:rsid w:val="00557FE1"/>
    <w:rsid w:val="005600CF"/>
    <w:rsid w:val="00560102"/>
    <w:rsid w:val="005601D6"/>
    <w:rsid w:val="00560254"/>
    <w:rsid w:val="005605A0"/>
    <w:rsid w:val="005605C5"/>
    <w:rsid w:val="005605E6"/>
    <w:rsid w:val="00560666"/>
    <w:rsid w:val="00560814"/>
    <w:rsid w:val="0056082D"/>
    <w:rsid w:val="0056083D"/>
    <w:rsid w:val="0056084F"/>
    <w:rsid w:val="00560A11"/>
    <w:rsid w:val="00560B02"/>
    <w:rsid w:val="00560BA7"/>
    <w:rsid w:val="00560C43"/>
    <w:rsid w:val="00560D6D"/>
    <w:rsid w:val="00560DF5"/>
    <w:rsid w:val="00560FB7"/>
    <w:rsid w:val="00560FF9"/>
    <w:rsid w:val="005611D3"/>
    <w:rsid w:val="005611F5"/>
    <w:rsid w:val="0056127B"/>
    <w:rsid w:val="005612D5"/>
    <w:rsid w:val="00561403"/>
    <w:rsid w:val="00561416"/>
    <w:rsid w:val="00561426"/>
    <w:rsid w:val="005614EE"/>
    <w:rsid w:val="00561795"/>
    <w:rsid w:val="0056186A"/>
    <w:rsid w:val="005618E4"/>
    <w:rsid w:val="00561934"/>
    <w:rsid w:val="00561938"/>
    <w:rsid w:val="00561A80"/>
    <w:rsid w:val="00561B45"/>
    <w:rsid w:val="00561B4D"/>
    <w:rsid w:val="00561C1C"/>
    <w:rsid w:val="00561E17"/>
    <w:rsid w:val="00561E72"/>
    <w:rsid w:val="00561F3F"/>
    <w:rsid w:val="00562088"/>
    <w:rsid w:val="005622FF"/>
    <w:rsid w:val="00562372"/>
    <w:rsid w:val="0056247D"/>
    <w:rsid w:val="005625AF"/>
    <w:rsid w:val="00562644"/>
    <w:rsid w:val="005627E1"/>
    <w:rsid w:val="0056282F"/>
    <w:rsid w:val="005628B1"/>
    <w:rsid w:val="00562959"/>
    <w:rsid w:val="00562B5D"/>
    <w:rsid w:val="00562BF9"/>
    <w:rsid w:val="00562CDF"/>
    <w:rsid w:val="00562CFE"/>
    <w:rsid w:val="0056303A"/>
    <w:rsid w:val="0056306A"/>
    <w:rsid w:val="005630CF"/>
    <w:rsid w:val="005630F4"/>
    <w:rsid w:val="005631D9"/>
    <w:rsid w:val="00563255"/>
    <w:rsid w:val="005632BF"/>
    <w:rsid w:val="00563404"/>
    <w:rsid w:val="00563499"/>
    <w:rsid w:val="005634E1"/>
    <w:rsid w:val="005634EC"/>
    <w:rsid w:val="0056351A"/>
    <w:rsid w:val="00563694"/>
    <w:rsid w:val="00563892"/>
    <w:rsid w:val="005638D6"/>
    <w:rsid w:val="0056397E"/>
    <w:rsid w:val="005639AC"/>
    <w:rsid w:val="00563B65"/>
    <w:rsid w:val="00563B9F"/>
    <w:rsid w:val="00563C2A"/>
    <w:rsid w:val="00563C6F"/>
    <w:rsid w:val="00563CD1"/>
    <w:rsid w:val="00563DB7"/>
    <w:rsid w:val="00563DD4"/>
    <w:rsid w:val="00563DDF"/>
    <w:rsid w:val="00563DE7"/>
    <w:rsid w:val="00563F02"/>
    <w:rsid w:val="00563F66"/>
    <w:rsid w:val="0056402A"/>
    <w:rsid w:val="00564110"/>
    <w:rsid w:val="005641BB"/>
    <w:rsid w:val="005642A7"/>
    <w:rsid w:val="00564314"/>
    <w:rsid w:val="00564361"/>
    <w:rsid w:val="005643BF"/>
    <w:rsid w:val="00564477"/>
    <w:rsid w:val="005645D0"/>
    <w:rsid w:val="005646AE"/>
    <w:rsid w:val="0056471A"/>
    <w:rsid w:val="0056484E"/>
    <w:rsid w:val="00564856"/>
    <w:rsid w:val="0056495D"/>
    <w:rsid w:val="00564974"/>
    <w:rsid w:val="00564A18"/>
    <w:rsid w:val="00564A7F"/>
    <w:rsid w:val="00564C33"/>
    <w:rsid w:val="00564C35"/>
    <w:rsid w:val="00564C9D"/>
    <w:rsid w:val="00564CF3"/>
    <w:rsid w:val="00564D0D"/>
    <w:rsid w:val="00564D2A"/>
    <w:rsid w:val="00564D3C"/>
    <w:rsid w:val="00564D84"/>
    <w:rsid w:val="00564D92"/>
    <w:rsid w:val="00564E3E"/>
    <w:rsid w:val="00564F1D"/>
    <w:rsid w:val="00564F21"/>
    <w:rsid w:val="00564F96"/>
    <w:rsid w:val="0056502B"/>
    <w:rsid w:val="00565049"/>
    <w:rsid w:val="005650FC"/>
    <w:rsid w:val="005651F1"/>
    <w:rsid w:val="00565228"/>
    <w:rsid w:val="0056536B"/>
    <w:rsid w:val="00565529"/>
    <w:rsid w:val="00565604"/>
    <w:rsid w:val="00565631"/>
    <w:rsid w:val="0056580E"/>
    <w:rsid w:val="0056587D"/>
    <w:rsid w:val="005658BC"/>
    <w:rsid w:val="0056593C"/>
    <w:rsid w:val="00565962"/>
    <w:rsid w:val="00565980"/>
    <w:rsid w:val="005659EC"/>
    <w:rsid w:val="00565A0D"/>
    <w:rsid w:val="00565B24"/>
    <w:rsid w:val="00565B90"/>
    <w:rsid w:val="00565D7B"/>
    <w:rsid w:val="00565DA1"/>
    <w:rsid w:val="00565F4E"/>
    <w:rsid w:val="00565F69"/>
    <w:rsid w:val="00565FAD"/>
    <w:rsid w:val="00566266"/>
    <w:rsid w:val="00566355"/>
    <w:rsid w:val="00566360"/>
    <w:rsid w:val="00566522"/>
    <w:rsid w:val="0056654A"/>
    <w:rsid w:val="00566564"/>
    <w:rsid w:val="00566595"/>
    <w:rsid w:val="005665DA"/>
    <w:rsid w:val="00566608"/>
    <w:rsid w:val="005666AA"/>
    <w:rsid w:val="0056676C"/>
    <w:rsid w:val="0056677F"/>
    <w:rsid w:val="00566793"/>
    <w:rsid w:val="00566916"/>
    <w:rsid w:val="005669D2"/>
    <w:rsid w:val="00566A44"/>
    <w:rsid w:val="00566B73"/>
    <w:rsid w:val="00566E2C"/>
    <w:rsid w:val="00566EDF"/>
    <w:rsid w:val="00567021"/>
    <w:rsid w:val="005671ED"/>
    <w:rsid w:val="00567207"/>
    <w:rsid w:val="00567256"/>
    <w:rsid w:val="005672F9"/>
    <w:rsid w:val="00567309"/>
    <w:rsid w:val="0056730E"/>
    <w:rsid w:val="00567340"/>
    <w:rsid w:val="005674DA"/>
    <w:rsid w:val="00567680"/>
    <w:rsid w:val="0056768A"/>
    <w:rsid w:val="00567713"/>
    <w:rsid w:val="00567778"/>
    <w:rsid w:val="00567787"/>
    <w:rsid w:val="005677AD"/>
    <w:rsid w:val="00567975"/>
    <w:rsid w:val="00567980"/>
    <w:rsid w:val="00567999"/>
    <w:rsid w:val="00567A8A"/>
    <w:rsid w:val="00567B30"/>
    <w:rsid w:val="00567B54"/>
    <w:rsid w:val="00567BD3"/>
    <w:rsid w:val="00567C56"/>
    <w:rsid w:val="00567D9F"/>
    <w:rsid w:val="0057004C"/>
    <w:rsid w:val="00570139"/>
    <w:rsid w:val="0057018C"/>
    <w:rsid w:val="005703E8"/>
    <w:rsid w:val="00570485"/>
    <w:rsid w:val="005704A9"/>
    <w:rsid w:val="005704CF"/>
    <w:rsid w:val="005704DE"/>
    <w:rsid w:val="0057053D"/>
    <w:rsid w:val="00570566"/>
    <w:rsid w:val="00570567"/>
    <w:rsid w:val="0057057D"/>
    <w:rsid w:val="0057059C"/>
    <w:rsid w:val="00570612"/>
    <w:rsid w:val="0057072B"/>
    <w:rsid w:val="005707A3"/>
    <w:rsid w:val="0057094C"/>
    <w:rsid w:val="005709C3"/>
    <w:rsid w:val="00570A96"/>
    <w:rsid w:val="00570AA5"/>
    <w:rsid w:val="00570B64"/>
    <w:rsid w:val="00570CAA"/>
    <w:rsid w:val="00570DAD"/>
    <w:rsid w:val="00570DE6"/>
    <w:rsid w:val="00570E58"/>
    <w:rsid w:val="00570F34"/>
    <w:rsid w:val="00570F6C"/>
    <w:rsid w:val="00571105"/>
    <w:rsid w:val="0057114F"/>
    <w:rsid w:val="00571192"/>
    <w:rsid w:val="005711B1"/>
    <w:rsid w:val="005711F7"/>
    <w:rsid w:val="00571280"/>
    <w:rsid w:val="0057130B"/>
    <w:rsid w:val="00571401"/>
    <w:rsid w:val="0057141B"/>
    <w:rsid w:val="00571431"/>
    <w:rsid w:val="00571444"/>
    <w:rsid w:val="00571515"/>
    <w:rsid w:val="00571583"/>
    <w:rsid w:val="0057158D"/>
    <w:rsid w:val="005715C9"/>
    <w:rsid w:val="005716B5"/>
    <w:rsid w:val="005719D6"/>
    <w:rsid w:val="00571A25"/>
    <w:rsid w:val="00571B5A"/>
    <w:rsid w:val="00571C5D"/>
    <w:rsid w:val="00571CA6"/>
    <w:rsid w:val="00571D67"/>
    <w:rsid w:val="00571E8F"/>
    <w:rsid w:val="00572056"/>
    <w:rsid w:val="0057217D"/>
    <w:rsid w:val="00572186"/>
    <w:rsid w:val="0057219E"/>
    <w:rsid w:val="005721C8"/>
    <w:rsid w:val="00572218"/>
    <w:rsid w:val="0057222C"/>
    <w:rsid w:val="0057237C"/>
    <w:rsid w:val="005723A9"/>
    <w:rsid w:val="005723FF"/>
    <w:rsid w:val="00572490"/>
    <w:rsid w:val="005724AA"/>
    <w:rsid w:val="005724C8"/>
    <w:rsid w:val="005724FD"/>
    <w:rsid w:val="00572503"/>
    <w:rsid w:val="00572588"/>
    <w:rsid w:val="00572598"/>
    <w:rsid w:val="005725AD"/>
    <w:rsid w:val="005726E9"/>
    <w:rsid w:val="005727EA"/>
    <w:rsid w:val="005727EF"/>
    <w:rsid w:val="0057285A"/>
    <w:rsid w:val="005728B2"/>
    <w:rsid w:val="00572900"/>
    <w:rsid w:val="00572983"/>
    <w:rsid w:val="005729C0"/>
    <w:rsid w:val="00572A5A"/>
    <w:rsid w:val="00572A62"/>
    <w:rsid w:val="00572A9F"/>
    <w:rsid w:val="00572AB1"/>
    <w:rsid w:val="00572AFA"/>
    <w:rsid w:val="00572C07"/>
    <w:rsid w:val="00572D2B"/>
    <w:rsid w:val="00572D3E"/>
    <w:rsid w:val="00572D78"/>
    <w:rsid w:val="00572EFA"/>
    <w:rsid w:val="00572F22"/>
    <w:rsid w:val="0057300B"/>
    <w:rsid w:val="00573017"/>
    <w:rsid w:val="00573019"/>
    <w:rsid w:val="005732AD"/>
    <w:rsid w:val="005732FD"/>
    <w:rsid w:val="005733A3"/>
    <w:rsid w:val="0057345A"/>
    <w:rsid w:val="005734CD"/>
    <w:rsid w:val="00573556"/>
    <w:rsid w:val="0057363B"/>
    <w:rsid w:val="00573646"/>
    <w:rsid w:val="0057364E"/>
    <w:rsid w:val="0057376B"/>
    <w:rsid w:val="00573810"/>
    <w:rsid w:val="00573AFE"/>
    <w:rsid w:val="00573CFB"/>
    <w:rsid w:val="00573D2F"/>
    <w:rsid w:val="00573D43"/>
    <w:rsid w:val="00573D56"/>
    <w:rsid w:val="00573E4C"/>
    <w:rsid w:val="00573E99"/>
    <w:rsid w:val="00573EA8"/>
    <w:rsid w:val="00573EDB"/>
    <w:rsid w:val="00574031"/>
    <w:rsid w:val="005742DB"/>
    <w:rsid w:val="00574312"/>
    <w:rsid w:val="005743CB"/>
    <w:rsid w:val="005743D8"/>
    <w:rsid w:val="005743E7"/>
    <w:rsid w:val="0057441D"/>
    <w:rsid w:val="005744E0"/>
    <w:rsid w:val="0057450A"/>
    <w:rsid w:val="00574517"/>
    <w:rsid w:val="00574624"/>
    <w:rsid w:val="00574653"/>
    <w:rsid w:val="00574678"/>
    <w:rsid w:val="00574683"/>
    <w:rsid w:val="00574739"/>
    <w:rsid w:val="0057488D"/>
    <w:rsid w:val="005748A6"/>
    <w:rsid w:val="005748F8"/>
    <w:rsid w:val="00574931"/>
    <w:rsid w:val="00574975"/>
    <w:rsid w:val="005749C3"/>
    <w:rsid w:val="00574BBA"/>
    <w:rsid w:val="00574C38"/>
    <w:rsid w:val="00574D20"/>
    <w:rsid w:val="00574DB7"/>
    <w:rsid w:val="00574E73"/>
    <w:rsid w:val="00574E95"/>
    <w:rsid w:val="00574F70"/>
    <w:rsid w:val="00574F9F"/>
    <w:rsid w:val="00574FCF"/>
    <w:rsid w:val="00575120"/>
    <w:rsid w:val="00575244"/>
    <w:rsid w:val="0057524A"/>
    <w:rsid w:val="00575269"/>
    <w:rsid w:val="0057551E"/>
    <w:rsid w:val="005755D1"/>
    <w:rsid w:val="0057560D"/>
    <w:rsid w:val="00575632"/>
    <w:rsid w:val="00575636"/>
    <w:rsid w:val="00575639"/>
    <w:rsid w:val="005756D3"/>
    <w:rsid w:val="0057577E"/>
    <w:rsid w:val="005758A9"/>
    <w:rsid w:val="005758B9"/>
    <w:rsid w:val="0057596D"/>
    <w:rsid w:val="005759F7"/>
    <w:rsid w:val="00575AC7"/>
    <w:rsid w:val="00575D88"/>
    <w:rsid w:val="00575E8E"/>
    <w:rsid w:val="00575ED8"/>
    <w:rsid w:val="00575F1C"/>
    <w:rsid w:val="00575F5B"/>
    <w:rsid w:val="00575FAC"/>
    <w:rsid w:val="0057607A"/>
    <w:rsid w:val="0057607C"/>
    <w:rsid w:val="00576125"/>
    <w:rsid w:val="005761F1"/>
    <w:rsid w:val="0057628F"/>
    <w:rsid w:val="005762E6"/>
    <w:rsid w:val="005763CB"/>
    <w:rsid w:val="00576417"/>
    <w:rsid w:val="005764B1"/>
    <w:rsid w:val="00576578"/>
    <w:rsid w:val="005765AC"/>
    <w:rsid w:val="005765CB"/>
    <w:rsid w:val="0057684F"/>
    <w:rsid w:val="0057688A"/>
    <w:rsid w:val="00576954"/>
    <w:rsid w:val="005769B5"/>
    <w:rsid w:val="00576AF3"/>
    <w:rsid w:val="00576B4E"/>
    <w:rsid w:val="00576B90"/>
    <w:rsid w:val="00576C3C"/>
    <w:rsid w:val="00576CC8"/>
    <w:rsid w:val="00576CF2"/>
    <w:rsid w:val="00576F74"/>
    <w:rsid w:val="00576FC0"/>
    <w:rsid w:val="00576FFE"/>
    <w:rsid w:val="0057703A"/>
    <w:rsid w:val="00577093"/>
    <w:rsid w:val="005771DB"/>
    <w:rsid w:val="00577218"/>
    <w:rsid w:val="0057722A"/>
    <w:rsid w:val="0057726B"/>
    <w:rsid w:val="005772B3"/>
    <w:rsid w:val="005774DC"/>
    <w:rsid w:val="00577598"/>
    <w:rsid w:val="005775A9"/>
    <w:rsid w:val="00577617"/>
    <w:rsid w:val="0057765A"/>
    <w:rsid w:val="005776FA"/>
    <w:rsid w:val="00577740"/>
    <w:rsid w:val="0057776A"/>
    <w:rsid w:val="00577819"/>
    <w:rsid w:val="005778BE"/>
    <w:rsid w:val="0057792D"/>
    <w:rsid w:val="005779E6"/>
    <w:rsid w:val="00577A0A"/>
    <w:rsid w:val="00577A99"/>
    <w:rsid w:val="00577C26"/>
    <w:rsid w:val="00577C6B"/>
    <w:rsid w:val="00577CA2"/>
    <w:rsid w:val="00577CD3"/>
    <w:rsid w:val="00577D1A"/>
    <w:rsid w:val="00577D81"/>
    <w:rsid w:val="00577DAA"/>
    <w:rsid w:val="00577F15"/>
    <w:rsid w:val="005800B4"/>
    <w:rsid w:val="00580103"/>
    <w:rsid w:val="00580126"/>
    <w:rsid w:val="005802DC"/>
    <w:rsid w:val="00580327"/>
    <w:rsid w:val="00580368"/>
    <w:rsid w:val="005803BB"/>
    <w:rsid w:val="005803C6"/>
    <w:rsid w:val="005803F2"/>
    <w:rsid w:val="00580402"/>
    <w:rsid w:val="005805A0"/>
    <w:rsid w:val="00580685"/>
    <w:rsid w:val="005806E5"/>
    <w:rsid w:val="0058073D"/>
    <w:rsid w:val="0058076E"/>
    <w:rsid w:val="005808E4"/>
    <w:rsid w:val="0058096A"/>
    <w:rsid w:val="00580A40"/>
    <w:rsid w:val="00580A68"/>
    <w:rsid w:val="00580A93"/>
    <w:rsid w:val="00580C83"/>
    <w:rsid w:val="00580D74"/>
    <w:rsid w:val="00580DE7"/>
    <w:rsid w:val="00580E46"/>
    <w:rsid w:val="00580E82"/>
    <w:rsid w:val="00580E98"/>
    <w:rsid w:val="00580EA3"/>
    <w:rsid w:val="00580F72"/>
    <w:rsid w:val="00580FD8"/>
    <w:rsid w:val="005811DB"/>
    <w:rsid w:val="0058123A"/>
    <w:rsid w:val="0058123D"/>
    <w:rsid w:val="00581297"/>
    <w:rsid w:val="00581350"/>
    <w:rsid w:val="005813B4"/>
    <w:rsid w:val="00581492"/>
    <w:rsid w:val="005814A9"/>
    <w:rsid w:val="0058159E"/>
    <w:rsid w:val="00581716"/>
    <w:rsid w:val="00581860"/>
    <w:rsid w:val="005818C5"/>
    <w:rsid w:val="005819D8"/>
    <w:rsid w:val="00581B33"/>
    <w:rsid w:val="00581BC0"/>
    <w:rsid w:val="00581BEC"/>
    <w:rsid w:val="00581BF6"/>
    <w:rsid w:val="00581C4C"/>
    <w:rsid w:val="00581CE3"/>
    <w:rsid w:val="00581E01"/>
    <w:rsid w:val="00581E7E"/>
    <w:rsid w:val="00581E94"/>
    <w:rsid w:val="00581EFB"/>
    <w:rsid w:val="00581F18"/>
    <w:rsid w:val="00581F1A"/>
    <w:rsid w:val="00581F7B"/>
    <w:rsid w:val="005821B3"/>
    <w:rsid w:val="005821D5"/>
    <w:rsid w:val="0058222A"/>
    <w:rsid w:val="0058227D"/>
    <w:rsid w:val="00582337"/>
    <w:rsid w:val="00582444"/>
    <w:rsid w:val="00582550"/>
    <w:rsid w:val="00582569"/>
    <w:rsid w:val="005825A7"/>
    <w:rsid w:val="005826EF"/>
    <w:rsid w:val="005827D0"/>
    <w:rsid w:val="005827FA"/>
    <w:rsid w:val="0058286F"/>
    <w:rsid w:val="005828BF"/>
    <w:rsid w:val="005829CE"/>
    <w:rsid w:val="00582B9A"/>
    <w:rsid w:val="00582BA8"/>
    <w:rsid w:val="00582BD6"/>
    <w:rsid w:val="00582C43"/>
    <w:rsid w:val="00582CBC"/>
    <w:rsid w:val="00582D0E"/>
    <w:rsid w:val="00582F86"/>
    <w:rsid w:val="00582F9D"/>
    <w:rsid w:val="00582FB5"/>
    <w:rsid w:val="00582FC5"/>
    <w:rsid w:val="00583071"/>
    <w:rsid w:val="005830B3"/>
    <w:rsid w:val="005830EE"/>
    <w:rsid w:val="0058318C"/>
    <w:rsid w:val="005831A6"/>
    <w:rsid w:val="005831EC"/>
    <w:rsid w:val="00583242"/>
    <w:rsid w:val="0058355E"/>
    <w:rsid w:val="0058357F"/>
    <w:rsid w:val="00583661"/>
    <w:rsid w:val="005836F1"/>
    <w:rsid w:val="005837D1"/>
    <w:rsid w:val="0058387D"/>
    <w:rsid w:val="005838DE"/>
    <w:rsid w:val="005839E7"/>
    <w:rsid w:val="00583ABD"/>
    <w:rsid w:val="00583B68"/>
    <w:rsid w:val="00583BA7"/>
    <w:rsid w:val="00583C5C"/>
    <w:rsid w:val="00583E5F"/>
    <w:rsid w:val="005840A4"/>
    <w:rsid w:val="00584175"/>
    <w:rsid w:val="00584235"/>
    <w:rsid w:val="0058423A"/>
    <w:rsid w:val="00584320"/>
    <w:rsid w:val="005843DE"/>
    <w:rsid w:val="00584400"/>
    <w:rsid w:val="0058444F"/>
    <w:rsid w:val="005845F6"/>
    <w:rsid w:val="0058464B"/>
    <w:rsid w:val="005846AF"/>
    <w:rsid w:val="00584845"/>
    <w:rsid w:val="00584877"/>
    <w:rsid w:val="005848DF"/>
    <w:rsid w:val="0058499E"/>
    <w:rsid w:val="00584A4A"/>
    <w:rsid w:val="00584A73"/>
    <w:rsid w:val="00584A86"/>
    <w:rsid w:val="00584C73"/>
    <w:rsid w:val="00584D1D"/>
    <w:rsid w:val="00584D37"/>
    <w:rsid w:val="00584DF1"/>
    <w:rsid w:val="00584E50"/>
    <w:rsid w:val="00584F49"/>
    <w:rsid w:val="00585143"/>
    <w:rsid w:val="00585297"/>
    <w:rsid w:val="005852C6"/>
    <w:rsid w:val="005853A6"/>
    <w:rsid w:val="005853AF"/>
    <w:rsid w:val="00585415"/>
    <w:rsid w:val="005854BC"/>
    <w:rsid w:val="005854C5"/>
    <w:rsid w:val="005854E4"/>
    <w:rsid w:val="00585508"/>
    <w:rsid w:val="0058568B"/>
    <w:rsid w:val="00585825"/>
    <w:rsid w:val="0058584A"/>
    <w:rsid w:val="005858A0"/>
    <w:rsid w:val="00585943"/>
    <w:rsid w:val="005859E1"/>
    <w:rsid w:val="005859E5"/>
    <w:rsid w:val="00585A56"/>
    <w:rsid w:val="00585AFF"/>
    <w:rsid w:val="00585B3C"/>
    <w:rsid w:val="00585B3F"/>
    <w:rsid w:val="00585B90"/>
    <w:rsid w:val="00585C7F"/>
    <w:rsid w:val="00585D18"/>
    <w:rsid w:val="00585D9D"/>
    <w:rsid w:val="00585ECE"/>
    <w:rsid w:val="00585EDC"/>
    <w:rsid w:val="00585F24"/>
    <w:rsid w:val="00586011"/>
    <w:rsid w:val="005860A5"/>
    <w:rsid w:val="00586146"/>
    <w:rsid w:val="00586147"/>
    <w:rsid w:val="00586151"/>
    <w:rsid w:val="00586159"/>
    <w:rsid w:val="00586189"/>
    <w:rsid w:val="005861D9"/>
    <w:rsid w:val="005861FD"/>
    <w:rsid w:val="00586365"/>
    <w:rsid w:val="00586370"/>
    <w:rsid w:val="00586410"/>
    <w:rsid w:val="0058642F"/>
    <w:rsid w:val="00586548"/>
    <w:rsid w:val="00586568"/>
    <w:rsid w:val="00586896"/>
    <w:rsid w:val="005868B1"/>
    <w:rsid w:val="005868DA"/>
    <w:rsid w:val="005868DD"/>
    <w:rsid w:val="00586924"/>
    <w:rsid w:val="005869AB"/>
    <w:rsid w:val="00586A12"/>
    <w:rsid w:val="00586A58"/>
    <w:rsid w:val="00586A6A"/>
    <w:rsid w:val="00586B35"/>
    <w:rsid w:val="00586B7A"/>
    <w:rsid w:val="00586C01"/>
    <w:rsid w:val="00586D66"/>
    <w:rsid w:val="00586FE9"/>
    <w:rsid w:val="00586FF9"/>
    <w:rsid w:val="005870D4"/>
    <w:rsid w:val="005872C9"/>
    <w:rsid w:val="0058739E"/>
    <w:rsid w:val="0058756E"/>
    <w:rsid w:val="005876F0"/>
    <w:rsid w:val="00587750"/>
    <w:rsid w:val="005877E4"/>
    <w:rsid w:val="0058780B"/>
    <w:rsid w:val="005878A7"/>
    <w:rsid w:val="00587969"/>
    <w:rsid w:val="00587A8B"/>
    <w:rsid w:val="00587BA6"/>
    <w:rsid w:val="00587D5D"/>
    <w:rsid w:val="00587E7A"/>
    <w:rsid w:val="00587E88"/>
    <w:rsid w:val="00587E92"/>
    <w:rsid w:val="00587E94"/>
    <w:rsid w:val="00587ECA"/>
    <w:rsid w:val="00587EDA"/>
    <w:rsid w:val="00587F16"/>
    <w:rsid w:val="00587FB6"/>
    <w:rsid w:val="0059007F"/>
    <w:rsid w:val="00590097"/>
    <w:rsid w:val="005900BB"/>
    <w:rsid w:val="00590133"/>
    <w:rsid w:val="00590265"/>
    <w:rsid w:val="005902ED"/>
    <w:rsid w:val="0059036E"/>
    <w:rsid w:val="005905CA"/>
    <w:rsid w:val="005906BF"/>
    <w:rsid w:val="005906FE"/>
    <w:rsid w:val="00590756"/>
    <w:rsid w:val="005907FD"/>
    <w:rsid w:val="00590825"/>
    <w:rsid w:val="00590829"/>
    <w:rsid w:val="005908F7"/>
    <w:rsid w:val="00590987"/>
    <w:rsid w:val="00590AA8"/>
    <w:rsid w:val="00590BC4"/>
    <w:rsid w:val="00590BF8"/>
    <w:rsid w:val="00590C6E"/>
    <w:rsid w:val="00590CEB"/>
    <w:rsid w:val="00590DD9"/>
    <w:rsid w:val="00590DF3"/>
    <w:rsid w:val="00590EBA"/>
    <w:rsid w:val="00590EDD"/>
    <w:rsid w:val="00591048"/>
    <w:rsid w:val="00591079"/>
    <w:rsid w:val="00591206"/>
    <w:rsid w:val="0059121C"/>
    <w:rsid w:val="00591230"/>
    <w:rsid w:val="00591336"/>
    <w:rsid w:val="0059137E"/>
    <w:rsid w:val="0059139F"/>
    <w:rsid w:val="005913E3"/>
    <w:rsid w:val="00591446"/>
    <w:rsid w:val="005914B9"/>
    <w:rsid w:val="005914D9"/>
    <w:rsid w:val="0059153F"/>
    <w:rsid w:val="00591677"/>
    <w:rsid w:val="00591739"/>
    <w:rsid w:val="0059176F"/>
    <w:rsid w:val="00591828"/>
    <w:rsid w:val="005918AE"/>
    <w:rsid w:val="00591A0D"/>
    <w:rsid w:val="00591A97"/>
    <w:rsid w:val="00591AC6"/>
    <w:rsid w:val="00591B10"/>
    <w:rsid w:val="00591C13"/>
    <w:rsid w:val="00591E19"/>
    <w:rsid w:val="00591EDB"/>
    <w:rsid w:val="00591F2A"/>
    <w:rsid w:val="00591F57"/>
    <w:rsid w:val="00591F9E"/>
    <w:rsid w:val="00591FF4"/>
    <w:rsid w:val="005920A4"/>
    <w:rsid w:val="0059227F"/>
    <w:rsid w:val="005922D1"/>
    <w:rsid w:val="00592309"/>
    <w:rsid w:val="00592349"/>
    <w:rsid w:val="005923BA"/>
    <w:rsid w:val="0059244C"/>
    <w:rsid w:val="0059249B"/>
    <w:rsid w:val="005926CA"/>
    <w:rsid w:val="0059273A"/>
    <w:rsid w:val="00592744"/>
    <w:rsid w:val="005927A8"/>
    <w:rsid w:val="00592908"/>
    <w:rsid w:val="0059294A"/>
    <w:rsid w:val="00592B9C"/>
    <w:rsid w:val="00592BEA"/>
    <w:rsid w:val="00592C3D"/>
    <w:rsid w:val="00592C65"/>
    <w:rsid w:val="00592D84"/>
    <w:rsid w:val="00592DA1"/>
    <w:rsid w:val="00592DDC"/>
    <w:rsid w:val="00592E11"/>
    <w:rsid w:val="00592E6C"/>
    <w:rsid w:val="00592F4B"/>
    <w:rsid w:val="00592F58"/>
    <w:rsid w:val="0059315A"/>
    <w:rsid w:val="005931D5"/>
    <w:rsid w:val="00593355"/>
    <w:rsid w:val="005933FA"/>
    <w:rsid w:val="00593412"/>
    <w:rsid w:val="00593588"/>
    <w:rsid w:val="005935FD"/>
    <w:rsid w:val="00593627"/>
    <w:rsid w:val="0059364C"/>
    <w:rsid w:val="0059370A"/>
    <w:rsid w:val="005937A5"/>
    <w:rsid w:val="005937C3"/>
    <w:rsid w:val="005938FB"/>
    <w:rsid w:val="00593A60"/>
    <w:rsid w:val="00593B54"/>
    <w:rsid w:val="00593B7D"/>
    <w:rsid w:val="00593B98"/>
    <w:rsid w:val="00593BF7"/>
    <w:rsid w:val="00593D15"/>
    <w:rsid w:val="00593E39"/>
    <w:rsid w:val="00593F0B"/>
    <w:rsid w:val="00594135"/>
    <w:rsid w:val="005941E3"/>
    <w:rsid w:val="005941EE"/>
    <w:rsid w:val="00594294"/>
    <w:rsid w:val="0059435E"/>
    <w:rsid w:val="005943CF"/>
    <w:rsid w:val="005943F8"/>
    <w:rsid w:val="00594421"/>
    <w:rsid w:val="00594440"/>
    <w:rsid w:val="005945BB"/>
    <w:rsid w:val="005945CB"/>
    <w:rsid w:val="00594659"/>
    <w:rsid w:val="005946AF"/>
    <w:rsid w:val="005946C9"/>
    <w:rsid w:val="005948E9"/>
    <w:rsid w:val="00594966"/>
    <w:rsid w:val="005949D2"/>
    <w:rsid w:val="00594A19"/>
    <w:rsid w:val="00594A64"/>
    <w:rsid w:val="00594A89"/>
    <w:rsid w:val="00594B27"/>
    <w:rsid w:val="00594B93"/>
    <w:rsid w:val="00594B94"/>
    <w:rsid w:val="00594CB0"/>
    <w:rsid w:val="00594D98"/>
    <w:rsid w:val="00594FB1"/>
    <w:rsid w:val="005950E7"/>
    <w:rsid w:val="00595154"/>
    <w:rsid w:val="005951BE"/>
    <w:rsid w:val="005952D2"/>
    <w:rsid w:val="005952FA"/>
    <w:rsid w:val="0059530E"/>
    <w:rsid w:val="00595426"/>
    <w:rsid w:val="0059557B"/>
    <w:rsid w:val="005955FA"/>
    <w:rsid w:val="0059561F"/>
    <w:rsid w:val="00595649"/>
    <w:rsid w:val="005956B0"/>
    <w:rsid w:val="00595757"/>
    <w:rsid w:val="0059580B"/>
    <w:rsid w:val="0059583E"/>
    <w:rsid w:val="005959B9"/>
    <w:rsid w:val="005959CB"/>
    <w:rsid w:val="00595A19"/>
    <w:rsid w:val="00595A49"/>
    <w:rsid w:val="00595AD9"/>
    <w:rsid w:val="00595B29"/>
    <w:rsid w:val="00595C1B"/>
    <w:rsid w:val="00595C87"/>
    <w:rsid w:val="00595D5E"/>
    <w:rsid w:val="00595D60"/>
    <w:rsid w:val="00595E44"/>
    <w:rsid w:val="00595ECB"/>
    <w:rsid w:val="00595F48"/>
    <w:rsid w:val="005960B6"/>
    <w:rsid w:val="00596153"/>
    <w:rsid w:val="00596183"/>
    <w:rsid w:val="005962A1"/>
    <w:rsid w:val="005962C0"/>
    <w:rsid w:val="005962E0"/>
    <w:rsid w:val="00596555"/>
    <w:rsid w:val="005965C3"/>
    <w:rsid w:val="005966B8"/>
    <w:rsid w:val="00596783"/>
    <w:rsid w:val="005967D7"/>
    <w:rsid w:val="0059682F"/>
    <w:rsid w:val="00596873"/>
    <w:rsid w:val="005969FB"/>
    <w:rsid w:val="005969FE"/>
    <w:rsid w:val="00596AAF"/>
    <w:rsid w:val="00596AE3"/>
    <w:rsid w:val="00596AF3"/>
    <w:rsid w:val="00596B6F"/>
    <w:rsid w:val="00596C92"/>
    <w:rsid w:val="00596DC8"/>
    <w:rsid w:val="00596E16"/>
    <w:rsid w:val="00596E26"/>
    <w:rsid w:val="00596E30"/>
    <w:rsid w:val="00596F1A"/>
    <w:rsid w:val="00596FC9"/>
    <w:rsid w:val="00596FDC"/>
    <w:rsid w:val="00597016"/>
    <w:rsid w:val="005970A1"/>
    <w:rsid w:val="00597127"/>
    <w:rsid w:val="0059717D"/>
    <w:rsid w:val="005971CA"/>
    <w:rsid w:val="005972EB"/>
    <w:rsid w:val="0059739D"/>
    <w:rsid w:val="00597404"/>
    <w:rsid w:val="005974A4"/>
    <w:rsid w:val="005974A5"/>
    <w:rsid w:val="005974A9"/>
    <w:rsid w:val="005975A4"/>
    <w:rsid w:val="005975BA"/>
    <w:rsid w:val="00597634"/>
    <w:rsid w:val="00597693"/>
    <w:rsid w:val="005976FE"/>
    <w:rsid w:val="00597710"/>
    <w:rsid w:val="00597741"/>
    <w:rsid w:val="00597763"/>
    <w:rsid w:val="00597769"/>
    <w:rsid w:val="00597AC8"/>
    <w:rsid w:val="00597B00"/>
    <w:rsid w:val="00597B49"/>
    <w:rsid w:val="00597BED"/>
    <w:rsid w:val="00597C4B"/>
    <w:rsid w:val="00597CBA"/>
    <w:rsid w:val="00597CCE"/>
    <w:rsid w:val="00597CDF"/>
    <w:rsid w:val="00597D0C"/>
    <w:rsid w:val="00597D31"/>
    <w:rsid w:val="005A001B"/>
    <w:rsid w:val="005A00A8"/>
    <w:rsid w:val="005A01F8"/>
    <w:rsid w:val="005A025F"/>
    <w:rsid w:val="005A0274"/>
    <w:rsid w:val="005A031D"/>
    <w:rsid w:val="005A03DE"/>
    <w:rsid w:val="005A041A"/>
    <w:rsid w:val="005A04B2"/>
    <w:rsid w:val="005A055A"/>
    <w:rsid w:val="005A05B8"/>
    <w:rsid w:val="005A0672"/>
    <w:rsid w:val="005A06FC"/>
    <w:rsid w:val="005A074B"/>
    <w:rsid w:val="005A07D8"/>
    <w:rsid w:val="005A0846"/>
    <w:rsid w:val="005A08A7"/>
    <w:rsid w:val="005A08F9"/>
    <w:rsid w:val="005A096D"/>
    <w:rsid w:val="005A098B"/>
    <w:rsid w:val="005A0A51"/>
    <w:rsid w:val="005A0B1E"/>
    <w:rsid w:val="005A0B93"/>
    <w:rsid w:val="005A0BA5"/>
    <w:rsid w:val="005A0BED"/>
    <w:rsid w:val="005A0C21"/>
    <w:rsid w:val="005A0C25"/>
    <w:rsid w:val="005A0C96"/>
    <w:rsid w:val="005A0DE2"/>
    <w:rsid w:val="005A0E07"/>
    <w:rsid w:val="005A0E15"/>
    <w:rsid w:val="005A0E26"/>
    <w:rsid w:val="005A0EBF"/>
    <w:rsid w:val="005A0F05"/>
    <w:rsid w:val="005A0F55"/>
    <w:rsid w:val="005A1055"/>
    <w:rsid w:val="005A1102"/>
    <w:rsid w:val="005A148E"/>
    <w:rsid w:val="005A16AE"/>
    <w:rsid w:val="005A1730"/>
    <w:rsid w:val="005A173E"/>
    <w:rsid w:val="005A180D"/>
    <w:rsid w:val="005A1854"/>
    <w:rsid w:val="005A188B"/>
    <w:rsid w:val="005A190E"/>
    <w:rsid w:val="005A1911"/>
    <w:rsid w:val="005A1A3A"/>
    <w:rsid w:val="005A1A54"/>
    <w:rsid w:val="005A1AE9"/>
    <w:rsid w:val="005A1AF9"/>
    <w:rsid w:val="005A1B2B"/>
    <w:rsid w:val="005A1BBA"/>
    <w:rsid w:val="005A1BE9"/>
    <w:rsid w:val="005A1C0E"/>
    <w:rsid w:val="005A1C54"/>
    <w:rsid w:val="005A1C82"/>
    <w:rsid w:val="005A1D32"/>
    <w:rsid w:val="005A1DA1"/>
    <w:rsid w:val="005A1DFF"/>
    <w:rsid w:val="005A1E34"/>
    <w:rsid w:val="005A1E61"/>
    <w:rsid w:val="005A1E96"/>
    <w:rsid w:val="005A1EB3"/>
    <w:rsid w:val="005A1ECE"/>
    <w:rsid w:val="005A1FFC"/>
    <w:rsid w:val="005A2087"/>
    <w:rsid w:val="005A20AA"/>
    <w:rsid w:val="005A2138"/>
    <w:rsid w:val="005A2178"/>
    <w:rsid w:val="005A2256"/>
    <w:rsid w:val="005A22C8"/>
    <w:rsid w:val="005A2417"/>
    <w:rsid w:val="005A2610"/>
    <w:rsid w:val="005A2623"/>
    <w:rsid w:val="005A264B"/>
    <w:rsid w:val="005A26A3"/>
    <w:rsid w:val="005A26F1"/>
    <w:rsid w:val="005A270A"/>
    <w:rsid w:val="005A2736"/>
    <w:rsid w:val="005A2755"/>
    <w:rsid w:val="005A286C"/>
    <w:rsid w:val="005A294F"/>
    <w:rsid w:val="005A29F6"/>
    <w:rsid w:val="005A2A11"/>
    <w:rsid w:val="005A2B39"/>
    <w:rsid w:val="005A2BA4"/>
    <w:rsid w:val="005A2CF7"/>
    <w:rsid w:val="005A2D6C"/>
    <w:rsid w:val="005A2ED7"/>
    <w:rsid w:val="005A2EF4"/>
    <w:rsid w:val="005A3095"/>
    <w:rsid w:val="005A3173"/>
    <w:rsid w:val="005A31D5"/>
    <w:rsid w:val="005A3278"/>
    <w:rsid w:val="005A3506"/>
    <w:rsid w:val="005A35A9"/>
    <w:rsid w:val="005A35D5"/>
    <w:rsid w:val="005A38A0"/>
    <w:rsid w:val="005A3903"/>
    <w:rsid w:val="005A3980"/>
    <w:rsid w:val="005A3A72"/>
    <w:rsid w:val="005A3BC8"/>
    <w:rsid w:val="005A3C87"/>
    <w:rsid w:val="005A3CAC"/>
    <w:rsid w:val="005A3CC5"/>
    <w:rsid w:val="005A3DDC"/>
    <w:rsid w:val="005A3DF4"/>
    <w:rsid w:val="005A3E11"/>
    <w:rsid w:val="005A3E2F"/>
    <w:rsid w:val="005A3F0F"/>
    <w:rsid w:val="005A3FB7"/>
    <w:rsid w:val="005A4049"/>
    <w:rsid w:val="005A40D6"/>
    <w:rsid w:val="005A41D9"/>
    <w:rsid w:val="005A41E1"/>
    <w:rsid w:val="005A4201"/>
    <w:rsid w:val="005A423C"/>
    <w:rsid w:val="005A42C0"/>
    <w:rsid w:val="005A4302"/>
    <w:rsid w:val="005A4326"/>
    <w:rsid w:val="005A4491"/>
    <w:rsid w:val="005A457C"/>
    <w:rsid w:val="005A462C"/>
    <w:rsid w:val="005A4695"/>
    <w:rsid w:val="005A47F4"/>
    <w:rsid w:val="005A47FC"/>
    <w:rsid w:val="005A4832"/>
    <w:rsid w:val="005A4985"/>
    <w:rsid w:val="005A4B65"/>
    <w:rsid w:val="005A4BC8"/>
    <w:rsid w:val="005A4C21"/>
    <w:rsid w:val="005A4CFC"/>
    <w:rsid w:val="005A4D6B"/>
    <w:rsid w:val="005A4D9D"/>
    <w:rsid w:val="005A4DB3"/>
    <w:rsid w:val="005A4DC5"/>
    <w:rsid w:val="005A4F3F"/>
    <w:rsid w:val="005A4F65"/>
    <w:rsid w:val="005A4FB7"/>
    <w:rsid w:val="005A4FDE"/>
    <w:rsid w:val="005A50EE"/>
    <w:rsid w:val="005A513B"/>
    <w:rsid w:val="005A51AC"/>
    <w:rsid w:val="005A521C"/>
    <w:rsid w:val="005A523E"/>
    <w:rsid w:val="005A5327"/>
    <w:rsid w:val="005A5349"/>
    <w:rsid w:val="005A5418"/>
    <w:rsid w:val="005A55D1"/>
    <w:rsid w:val="005A5643"/>
    <w:rsid w:val="005A5667"/>
    <w:rsid w:val="005A569B"/>
    <w:rsid w:val="005A56FE"/>
    <w:rsid w:val="005A573E"/>
    <w:rsid w:val="005A579B"/>
    <w:rsid w:val="005A57B0"/>
    <w:rsid w:val="005A58C4"/>
    <w:rsid w:val="005A5B92"/>
    <w:rsid w:val="005A5BB9"/>
    <w:rsid w:val="005A5CE8"/>
    <w:rsid w:val="005A5D02"/>
    <w:rsid w:val="005A5F76"/>
    <w:rsid w:val="005A6064"/>
    <w:rsid w:val="005A6150"/>
    <w:rsid w:val="005A615F"/>
    <w:rsid w:val="005A63F8"/>
    <w:rsid w:val="005A64B9"/>
    <w:rsid w:val="005A653F"/>
    <w:rsid w:val="005A669D"/>
    <w:rsid w:val="005A66CF"/>
    <w:rsid w:val="005A675B"/>
    <w:rsid w:val="005A676D"/>
    <w:rsid w:val="005A67EA"/>
    <w:rsid w:val="005A68F3"/>
    <w:rsid w:val="005A6910"/>
    <w:rsid w:val="005A6913"/>
    <w:rsid w:val="005A69C4"/>
    <w:rsid w:val="005A6D1B"/>
    <w:rsid w:val="005A6D3D"/>
    <w:rsid w:val="005A6E56"/>
    <w:rsid w:val="005A6E58"/>
    <w:rsid w:val="005A6E68"/>
    <w:rsid w:val="005A6EC1"/>
    <w:rsid w:val="005A6F4B"/>
    <w:rsid w:val="005A6FDB"/>
    <w:rsid w:val="005A704B"/>
    <w:rsid w:val="005A70EA"/>
    <w:rsid w:val="005A75A1"/>
    <w:rsid w:val="005A75A6"/>
    <w:rsid w:val="005A7891"/>
    <w:rsid w:val="005A7941"/>
    <w:rsid w:val="005A79B7"/>
    <w:rsid w:val="005A7B75"/>
    <w:rsid w:val="005A7B8C"/>
    <w:rsid w:val="005A7BAA"/>
    <w:rsid w:val="005A7C29"/>
    <w:rsid w:val="005A7D2F"/>
    <w:rsid w:val="005A7D8D"/>
    <w:rsid w:val="005A7DE1"/>
    <w:rsid w:val="005A7F85"/>
    <w:rsid w:val="005A7F8B"/>
    <w:rsid w:val="005A7F98"/>
    <w:rsid w:val="005B00B8"/>
    <w:rsid w:val="005B00CC"/>
    <w:rsid w:val="005B0273"/>
    <w:rsid w:val="005B029F"/>
    <w:rsid w:val="005B037F"/>
    <w:rsid w:val="005B0433"/>
    <w:rsid w:val="005B04BB"/>
    <w:rsid w:val="005B0573"/>
    <w:rsid w:val="005B05F8"/>
    <w:rsid w:val="005B065A"/>
    <w:rsid w:val="005B0683"/>
    <w:rsid w:val="005B0754"/>
    <w:rsid w:val="005B077F"/>
    <w:rsid w:val="005B087D"/>
    <w:rsid w:val="005B089A"/>
    <w:rsid w:val="005B0AA6"/>
    <w:rsid w:val="005B0AAE"/>
    <w:rsid w:val="005B0AB3"/>
    <w:rsid w:val="005B0AEF"/>
    <w:rsid w:val="005B0B20"/>
    <w:rsid w:val="005B0B9F"/>
    <w:rsid w:val="005B0BAD"/>
    <w:rsid w:val="005B0BC7"/>
    <w:rsid w:val="005B0BD6"/>
    <w:rsid w:val="005B0BE7"/>
    <w:rsid w:val="005B0C4C"/>
    <w:rsid w:val="005B0DA8"/>
    <w:rsid w:val="005B0EE0"/>
    <w:rsid w:val="005B0EEA"/>
    <w:rsid w:val="005B0F5A"/>
    <w:rsid w:val="005B0F89"/>
    <w:rsid w:val="005B0F9C"/>
    <w:rsid w:val="005B0FE3"/>
    <w:rsid w:val="005B1143"/>
    <w:rsid w:val="005B11B6"/>
    <w:rsid w:val="005B11DE"/>
    <w:rsid w:val="005B1236"/>
    <w:rsid w:val="005B123E"/>
    <w:rsid w:val="005B12D4"/>
    <w:rsid w:val="005B1447"/>
    <w:rsid w:val="005B1506"/>
    <w:rsid w:val="005B157A"/>
    <w:rsid w:val="005B1585"/>
    <w:rsid w:val="005B15A4"/>
    <w:rsid w:val="005B15ED"/>
    <w:rsid w:val="005B1670"/>
    <w:rsid w:val="005B1703"/>
    <w:rsid w:val="005B18C5"/>
    <w:rsid w:val="005B1967"/>
    <w:rsid w:val="005B19C5"/>
    <w:rsid w:val="005B1A3F"/>
    <w:rsid w:val="005B1A5B"/>
    <w:rsid w:val="005B1B58"/>
    <w:rsid w:val="005B1BD6"/>
    <w:rsid w:val="005B1CDF"/>
    <w:rsid w:val="005B1D5A"/>
    <w:rsid w:val="005B1DC8"/>
    <w:rsid w:val="005B1EDA"/>
    <w:rsid w:val="005B1F39"/>
    <w:rsid w:val="005B1F64"/>
    <w:rsid w:val="005B1FCC"/>
    <w:rsid w:val="005B2120"/>
    <w:rsid w:val="005B2172"/>
    <w:rsid w:val="005B22E5"/>
    <w:rsid w:val="005B2499"/>
    <w:rsid w:val="005B255D"/>
    <w:rsid w:val="005B25DD"/>
    <w:rsid w:val="005B2631"/>
    <w:rsid w:val="005B271E"/>
    <w:rsid w:val="005B2785"/>
    <w:rsid w:val="005B2849"/>
    <w:rsid w:val="005B2B35"/>
    <w:rsid w:val="005B2BA0"/>
    <w:rsid w:val="005B2BA8"/>
    <w:rsid w:val="005B2CAF"/>
    <w:rsid w:val="005B303D"/>
    <w:rsid w:val="005B3062"/>
    <w:rsid w:val="005B30A1"/>
    <w:rsid w:val="005B3152"/>
    <w:rsid w:val="005B31C9"/>
    <w:rsid w:val="005B331F"/>
    <w:rsid w:val="005B3510"/>
    <w:rsid w:val="005B369D"/>
    <w:rsid w:val="005B378D"/>
    <w:rsid w:val="005B3798"/>
    <w:rsid w:val="005B383E"/>
    <w:rsid w:val="005B387B"/>
    <w:rsid w:val="005B38A7"/>
    <w:rsid w:val="005B38FE"/>
    <w:rsid w:val="005B3A30"/>
    <w:rsid w:val="005B3A8F"/>
    <w:rsid w:val="005B3AAC"/>
    <w:rsid w:val="005B3ADB"/>
    <w:rsid w:val="005B3B46"/>
    <w:rsid w:val="005B3BDB"/>
    <w:rsid w:val="005B3C45"/>
    <w:rsid w:val="005B3C6C"/>
    <w:rsid w:val="005B3CBA"/>
    <w:rsid w:val="005B3D6A"/>
    <w:rsid w:val="005B3E0C"/>
    <w:rsid w:val="005B3E72"/>
    <w:rsid w:val="005B3E92"/>
    <w:rsid w:val="005B3EC2"/>
    <w:rsid w:val="005B3F4D"/>
    <w:rsid w:val="005B3FD0"/>
    <w:rsid w:val="005B3FF0"/>
    <w:rsid w:val="005B404A"/>
    <w:rsid w:val="005B4060"/>
    <w:rsid w:val="005B4136"/>
    <w:rsid w:val="005B4138"/>
    <w:rsid w:val="005B4446"/>
    <w:rsid w:val="005B4452"/>
    <w:rsid w:val="005B446F"/>
    <w:rsid w:val="005B449D"/>
    <w:rsid w:val="005B44CE"/>
    <w:rsid w:val="005B4631"/>
    <w:rsid w:val="005B469F"/>
    <w:rsid w:val="005B46A7"/>
    <w:rsid w:val="005B4737"/>
    <w:rsid w:val="005B47C3"/>
    <w:rsid w:val="005B4A2C"/>
    <w:rsid w:val="005B4A48"/>
    <w:rsid w:val="005B4AE1"/>
    <w:rsid w:val="005B4B2A"/>
    <w:rsid w:val="005B4DB5"/>
    <w:rsid w:val="005B4DF3"/>
    <w:rsid w:val="005B4EF4"/>
    <w:rsid w:val="005B4F14"/>
    <w:rsid w:val="005B4F3C"/>
    <w:rsid w:val="005B4F54"/>
    <w:rsid w:val="005B5019"/>
    <w:rsid w:val="005B5077"/>
    <w:rsid w:val="005B50CC"/>
    <w:rsid w:val="005B50D7"/>
    <w:rsid w:val="005B50E2"/>
    <w:rsid w:val="005B50E8"/>
    <w:rsid w:val="005B5166"/>
    <w:rsid w:val="005B51C8"/>
    <w:rsid w:val="005B520F"/>
    <w:rsid w:val="005B5254"/>
    <w:rsid w:val="005B52AE"/>
    <w:rsid w:val="005B5329"/>
    <w:rsid w:val="005B5491"/>
    <w:rsid w:val="005B5531"/>
    <w:rsid w:val="005B5643"/>
    <w:rsid w:val="005B56CB"/>
    <w:rsid w:val="005B57AA"/>
    <w:rsid w:val="005B5949"/>
    <w:rsid w:val="005B59D3"/>
    <w:rsid w:val="005B5A81"/>
    <w:rsid w:val="005B5ABE"/>
    <w:rsid w:val="005B5C5F"/>
    <w:rsid w:val="005B5E09"/>
    <w:rsid w:val="005B5ECA"/>
    <w:rsid w:val="005B5EDD"/>
    <w:rsid w:val="005B5F38"/>
    <w:rsid w:val="005B600D"/>
    <w:rsid w:val="005B6085"/>
    <w:rsid w:val="005B62A2"/>
    <w:rsid w:val="005B62BD"/>
    <w:rsid w:val="005B6340"/>
    <w:rsid w:val="005B6343"/>
    <w:rsid w:val="005B647F"/>
    <w:rsid w:val="005B6843"/>
    <w:rsid w:val="005B684A"/>
    <w:rsid w:val="005B68AB"/>
    <w:rsid w:val="005B68DE"/>
    <w:rsid w:val="005B6924"/>
    <w:rsid w:val="005B6962"/>
    <w:rsid w:val="005B697E"/>
    <w:rsid w:val="005B69AF"/>
    <w:rsid w:val="005B6A94"/>
    <w:rsid w:val="005B6B53"/>
    <w:rsid w:val="005B6B55"/>
    <w:rsid w:val="005B6BAB"/>
    <w:rsid w:val="005B6CD9"/>
    <w:rsid w:val="005B6CE2"/>
    <w:rsid w:val="005B6FC4"/>
    <w:rsid w:val="005B6FE2"/>
    <w:rsid w:val="005B6FEA"/>
    <w:rsid w:val="005B7005"/>
    <w:rsid w:val="005B7043"/>
    <w:rsid w:val="005B7111"/>
    <w:rsid w:val="005B7126"/>
    <w:rsid w:val="005B71D3"/>
    <w:rsid w:val="005B7428"/>
    <w:rsid w:val="005B742C"/>
    <w:rsid w:val="005B742E"/>
    <w:rsid w:val="005B746F"/>
    <w:rsid w:val="005B7485"/>
    <w:rsid w:val="005B7489"/>
    <w:rsid w:val="005B78DA"/>
    <w:rsid w:val="005B7925"/>
    <w:rsid w:val="005B7B9B"/>
    <w:rsid w:val="005B7C46"/>
    <w:rsid w:val="005B7C78"/>
    <w:rsid w:val="005B7CCE"/>
    <w:rsid w:val="005C0009"/>
    <w:rsid w:val="005C0041"/>
    <w:rsid w:val="005C013B"/>
    <w:rsid w:val="005C0194"/>
    <w:rsid w:val="005C0258"/>
    <w:rsid w:val="005C02E2"/>
    <w:rsid w:val="005C0421"/>
    <w:rsid w:val="005C0435"/>
    <w:rsid w:val="005C0466"/>
    <w:rsid w:val="005C054C"/>
    <w:rsid w:val="005C057C"/>
    <w:rsid w:val="005C05CC"/>
    <w:rsid w:val="005C05F1"/>
    <w:rsid w:val="005C06BB"/>
    <w:rsid w:val="005C076C"/>
    <w:rsid w:val="005C07E2"/>
    <w:rsid w:val="005C083A"/>
    <w:rsid w:val="005C086B"/>
    <w:rsid w:val="005C08A0"/>
    <w:rsid w:val="005C09CB"/>
    <w:rsid w:val="005C0BEB"/>
    <w:rsid w:val="005C0CD6"/>
    <w:rsid w:val="005C0D00"/>
    <w:rsid w:val="005C0D61"/>
    <w:rsid w:val="005C0DD6"/>
    <w:rsid w:val="005C106E"/>
    <w:rsid w:val="005C1091"/>
    <w:rsid w:val="005C1097"/>
    <w:rsid w:val="005C1241"/>
    <w:rsid w:val="005C12C4"/>
    <w:rsid w:val="005C13D1"/>
    <w:rsid w:val="005C1459"/>
    <w:rsid w:val="005C14C4"/>
    <w:rsid w:val="005C1522"/>
    <w:rsid w:val="005C1531"/>
    <w:rsid w:val="005C154D"/>
    <w:rsid w:val="005C158F"/>
    <w:rsid w:val="005C1609"/>
    <w:rsid w:val="005C1628"/>
    <w:rsid w:val="005C168D"/>
    <w:rsid w:val="005C16A1"/>
    <w:rsid w:val="005C16A4"/>
    <w:rsid w:val="005C16BE"/>
    <w:rsid w:val="005C1862"/>
    <w:rsid w:val="005C1908"/>
    <w:rsid w:val="005C1955"/>
    <w:rsid w:val="005C1A45"/>
    <w:rsid w:val="005C1AA5"/>
    <w:rsid w:val="005C1C5F"/>
    <w:rsid w:val="005C1CD6"/>
    <w:rsid w:val="005C1D7E"/>
    <w:rsid w:val="005C1D9C"/>
    <w:rsid w:val="005C1DCD"/>
    <w:rsid w:val="005C1E8E"/>
    <w:rsid w:val="005C1F2C"/>
    <w:rsid w:val="005C1FF5"/>
    <w:rsid w:val="005C2059"/>
    <w:rsid w:val="005C209A"/>
    <w:rsid w:val="005C21F1"/>
    <w:rsid w:val="005C2338"/>
    <w:rsid w:val="005C24A5"/>
    <w:rsid w:val="005C2591"/>
    <w:rsid w:val="005C25CE"/>
    <w:rsid w:val="005C2630"/>
    <w:rsid w:val="005C263C"/>
    <w:rsid w:val="005C278A"/>
    <w:rsid w:val="005C27DB"/>
    <w:rsid w:val="005C27FD"/>
    <w:rsid w:val="005C285C"/>
    <w:rsid w:val="005C2874"/>
    <w:rsid w:val="005C288F"/>
    <w:rsid w:val="005C28A9"/>
    <w:rsid w:val="005C28DC"/>
    <w:rsid w:val="005C29D5"/>
    <w:rsid w:val="005C2AFB"/>
    <w:rsid w:val="005C2BAB"/>
    <w:rsid w:val="005C2BB8"/>
    <w:rsid w:val="005C2C2B"/>
    <w:rsid w:val="005C2C43"/>
    <w:rsid w:val="005C2D48"/>
    <w:rsid w:val="005C2DF2"/>
    <w:rsid w:val="005C2E67"/>
    <w:rsid w:val="005C2ECD"/>
    <w:rsid w:val="005C2EF8"/>
    <w:rsid w:val="005C2F25"/>
    <w:rsid w:val="005C3011"/>
    <w:rsid w:val="005C3165"/>
    <w:rsid w:val="005C321F"/>
    <w:rsid w:val="005C32B2"/>
    <w:rsid w:val="005C33A3"/>
    <w:rsid w:val="005C33AC"/>
    <w:rsid w:val="005C341E"/>
    <w:rsid w:val="005C3438"/>
    <w:rsid w:val="005C3496"/>
    <w:rsid w:val="005C350C"/>
    <w:rsid w:val="005C35C3"/>
    <w:rsid w:val="005C3675"/>
    <w:rsid w:val="005C368A"/>
    <w:rsid w:val="005C3691"/>
    <w:rsid w:val="005C3705"/>
    <w:rsid w:val="005C375C"/>
    <w:rsid w:val="005C37A2"/>
    <w:rsid w:val="005C38C3"/>
    <w:rsid w:val="005C3943"/>
    <w:rsid w:val="005C39D7"/>
    <w:rsid w:val="005C3A72"/>
    <w:rsid w:val="005C3B03"/>
    <w:rsid w:val="005C3B50"/>
    <w:rsid w:val="005C3C53"/>
    <w:rsid w:val="005C3DBD"/>
    <w:rsid w:val="005C3E10"/>
    <w:rsid w:val="005C3EB2"/>
    <w:rsid w:val="005C3F5C"/>
    <w:rsid w:val="005C3FF5"/>
    <w:rsid w:val="005C4005"/>
    <w:rsid w:val="005C4017"/>
    <w:rsid w:val="005C4141"/>
    <w:rsid w:val="005C4168"/>
    <w:rsid w:val="005C419D"/>
    <w:rsid w:val="005C41ED"/>
    <w:rsid w:val="005C4250"/>
    <w:rsid w:val="005C42BF"/>
    <w:rsid w:val="005C42E3"/>
    <w:rsid w:val="005C449B"/>
    <w:rsid w:val="005C4576"/>
    <w:rsid w:val="005C45E3"/>
    <w:rsid w:val="005C465F"/>
    <w:rsid w:val="005C46E2"/>
    <w:rsid w:val="005C4731"/>
    <w:rsid w:val="005C4775"/>
    <w:rsid w:val="005C4A6B"/>
    <w:rsid w:val="005C4AA4"/>
    <w:rsid w:val="005C4BFC"/>
    <w:rsid w:val="005C4CDD"/>
    <w:rsid w:val="005C4D2B"/>
    <w:rsid w:val="005C4DF9"/>
    <w:rsid w:val="005C4E87"/>
    <w:rsid w:val="005C4F4F"/>
    <w:rsid w:val="005C4FD7"/>
    <w:rsid w:val="005C5097"/>
    <w:rsid w:val="005C5099"/>
    <w:rsid w:val="005C50DD"/>
    <w:rsid w:val="005C5115"/>
    <w:rsid w:val="005C5199"/>
    <w:rsid w:val="005C51A8"/>
    <w:rsid w:val="005C51AA"/>
    <w:rsid w:val="005C51AC"/>
    <w:rsid w:val="005C52EC"/>
    <w:rsid w:val="005C5352"/>
    <w:rsid w:val="005C5362"/>
    <w:rsid w:val="005C5695"/>
    <w:rsid w:val="005C56B4"/>
    <w:rsid w:val="005C5731"/>
    <w:rsid w:val="005C57D3"/>
    <w:rsid w:val="005C581E"/>
    <w:rsid w:val="005C58F8"/>
    <w:rsid w:val="005C59EE"/>
    <w:rsid w:val="005C5A6B"/>
    <w:rsid w:val="005C5B5A"/>
    <w:rsid w:val="005C5B5C"/>
    <w:rsid w:val="005C5BDE"/>
    <w:rsid w:val="005C5C64"/>
    <w:rsid w:val="005C5C8C"/>
    <w:rsid w:val="005C5D20"/>
    <w:rsid w:val="005C5D4A"/>
    <w:rsid w:val="005C5D7F"/>
    <w:rsid w:val="005C5D87"/>
    <w:rsid w:val="005C5D8F"/>
    <w:rsid w:val="005C5DC2"/>
    <w:rsid w:val="005C5E0F"/>
    <w:rsid w:val="005C5E8F"/>
    <w:rsid w:val="005C5EB0"/>
    <w:rsid w:val="005C5ED6"/>
    <w:rsid w:val="005C5FCC"/>
    <w:rsid w:val="005C600F"/>
    <w:rsid w:val="005C6020"/>
    <w:rsid w:val="005C6123"/>
    <w:rsid w:val="005C61AB"/>
    <w:rsid w:val="005C6366"/>
    <w:rsid w:val="005C64A0"/>
    <w:rsid w:val="005C64A9"/>
    <w:rsid w:val="005C64CA"/>
    <w:rsid w:val="005C6650"/>
    <w:rsid w:val="005C6667"/>
    <w:rsid w:val="005C6669"/>
    <w:rsid w:val="005C6691"/>
    <w:rsid w:val="005C6799"/>
    <w:rsid w:val="005C6841"/>
    <w:rsid w:val="005C6895"/>
    <w:rsid w:val="005C68A1"/>
    <w:rsid w:val="005C6900"/>
    <w:rsid w:val="005C6937"/>
    <w:rsid w:val="005C6961"/>
    <w:rsid w:val="005C69A7"/>
    <w:rsid w:val="005C6A88"/>
    <w:rsid w:val="005C6B06"/>
    <w:rsid w:val="005C6B07"/>
    <w:rsid w:val="005C6BA1"/>
    <w:rsid w:val="005C6E8A"/>
    <w:rsid w:val="005C6EA2"/>
    <w:rsid w:val="005C6F31"/>
    <w:rsid w:val="005C6F52"/>
    <w:rsid w:val="005C7034"/>
    <w:rsid w:val="005C7072"/>
    <w:rsid w:val="005C708B"/>
    <w:rsid w:val="005C7104"/>
    <w:rsid w:val="005C7145"/>
    <w:rsid w:val="005C720E"/>
    <w:rsid w:val="005C736B"/>
    <w:rsid w:val="005C740F"/>
    <w:rsid w:val="005C7472"/>
    <w:rsid w:val="005C74D1"/>
    <w:rsid w:val="005C74FD"/>
    <w:rsid w:val="005C755F"/>
    <w:rsid w:val="005C7609"/>
    <w:rsid w:val="005C76A2"/>
    <w:rsid w:val="005C7752"/>
    <w:rsid w:val="005C7754"/>
    <w:rsid w:val="005C775C"/>
    <w:rsid w:val="005C77A5"/>
    <w:rsid w:val="005C781C"/>
    <w:rsid w:val="005C784E"/>
    <w:rsid w:val="005C78D2"/>
    <w:rsid w:val="005C7909"/>
    <w:rsid w:val="005C79F5"/>
    <w:rsid w:val="005C7B6D"/>
    <w:rsid w:val="005C7BAC"/>
    <w:rsid w:val="005C7C24"/>
    <w:rsid w:val="005C7C68"/>
    <w:rsid w:val="005C7CD8"/>
    <w:rsid w:val="005C7D99"/>
    <w:rsid w:val="005C7DFE"/>
    <w:rsid w:val="005C7E08"/>
    <w:rsid w:val="005C7E5B"/>
    <w:rsid w:val="005C7EEE"/>
    <w:rsid w:val="005C7F04"/>
    <w:rsid w:val="005C7F5D"/>
    <w:rsid w:val="005C7F6B"/>
    <w:rsid w:val="005C7F98"/>
    <w:rsid w:val="005C7FBB"/>
    <w:rsid w:val="005D00FE"/>
    <w:rsid w:val="005D010E"/>
    <w:rsid w:val="005D0168"/>
    <w:rsid w:val="005D01D1"/>
    <w:rsid w:val="005D021D"/>
    <w:rsid w:val="005D027B"/>
    <w:rsid w:val="005D034D"/>
    <w:rsid w:val="005D03C5"/>
    <w:rsid w:val="005D0419"/>
    <w:rsid w:val="005D047C"/>
    <w:rsid w:val="005D04D2"/>
    <w:rsid w:val="005D058E"/>
    <w:rsid w:val="005D0691"/>
    <w:rsid w:val="005D06F3"/>
    <w:rsid w:val="005D0783"/>
    <w:rsid w:val="005D07C7"/>
    <w:rsid w:val="005D0818"/>
    <w:rsid w:val="005D0819"/>
    <w:rsid w:val="005D0889"/>
    <w:rsid w:val="005D08A9"/>
    <w:rsid w:val="005D0950"/>
    <w:rsid w:val="005D0A1E"/>
    <w:rsid w:val="005D0AF2"/>
    <w:rsid w:val="005D0B69"/>
    <w:rsid w:val="005D0BD2"/>
    <w:rsid w:val="005D0CDF"/>
    <w:rsid w:val="005D0E17"/>
    <w:rsid w:val="005D0E21"/>
    <w:rsid w:val="005D1013"/>
    <w:rsid w:val="005D1027"/>
    <w:rsid w:val="005D1030"/>
    <w:rsid w:val="005D10B0"/>
    <w:rsid w:val="005D1120"/>
    <w:rsid w:val="005D119B"/>
    <w:rsid w:val="005D1267"/>
    <w:rsid w:val="005D1301"/>
    <w:rsid w:val="005D131A"/>
    <w:rsid w:val="005D132D"/>
    <w:rsid w:val="005D13B5"/>
    <w:rsid w:val="005D150C"/>
    <w:rsid w:val="005D15C4"/>
    <w:rsid w:val="005D161B"/>
    <w:rsid w:val="005D1627"/>
    <w:rsid w:val="005D180F"/>
    <w:rsid w:val="005D1835"/>
    <w:rsid w:val="005D1899"/>
    <w:rsid w:val="005D199F"/>
    <w:rsid w:val="005D19F9"/>
    <w:rsid w:val="005D1A0B"/>
    <w:rsid w:val="005D1A2B"/>
    <w:rsid w:val="005D1AA9"/>
    <w:rsid w:val="005D1B82"/>
    <w:rsid w:val="005D1E36"/>
    <w:rsid w:val="005D1ED9"/>
    <w:rsid w:val="005D2001"/>
    <w:rsid w:val="005D2045"/>
    <w:rsid w:val="005D2066"/>
    <w:rsid w:val="005D213E"/>
    <w:rsid w:val="005D216C"/>
    <w:rsid w:val="005D21E2"/>
    <w:rsid w:val="005D22A8"/>
    <w:rsid w:val="005D22CD"/>
    <w:rsid w:val="005D2359"/>
    <w:rsid w:val="005D2421"/>
    <w:rsid w:val="005D24A5"/>
    <w:rsid w:val="005D251E"/>
    <w:rsid w:val="005D2532"/>
    <w:rsid w:val="005D27A0"/>
    <w:rsid w:val="005D2850"/>
    <w:rsid w:val="005D2954"/>
    <w:rsid w:val="005D2A02"/>
    <w:rsid w:val="005D2A51"/>
    <w:rsid w:val="005D2A55"/>
    <w:rsid w:val="005D2AD8"/>
    <w:rsid w:val="005D2BF8"/>
    <w:rsid w:val="005D2C0D"/>
    <w:rsid w:val="005D2C16"/>
    <w:rsid w:val="005D2C32"/>
    <w:rsid w:val="005D2C67"/>
    <w:rsid w:val="005D2C90"/>
    <w:rsid w:val="005D2CCA"/>
    <w:rsid w:val="005D2D0F"/>
    <w:rsid w:val="005D2D6D"/>
    <w:rsid w:val="005D2DB5"/>
    <w:rsid w:val="005D3086"/>
    <w:rsid w:val="005D3176"/>
    <w:rsid w:val="005D3198"/>
    <w:rsid w:val="005D323E"/>
    <w:rsid w:val="005D348E"/>
    <w:rsid w:val="005D3585"/>
    <w:rsid w:val="005D35F7"/>
    <w:rsid w:val="005D3628"/>
    <w:rsid w:val="005D36AC"/>
    <w:rsid w:val="005D37BF"/>
    <w:rsid w:val="005D39A0"/>
    <w:rsid w:val="005D39A6"/>
    <w:rsid w:val="005D39BE"/>
    <w:rsid w:val="005D3A57"/>
    <w:rsid w:val="005D3A84"/>
    <w:rsid w:val="005D3AC7"/>
    <w:rsid w:val="005D3B36"/>
    <w:rsid w:val="005D3CA2"/>
    <w:rsid w:val="005D3CB3"/>
    <w:rsid w:val="005D3CDC"/>
    <w:rsid w:val="005D3CE1"/>
    <w:rsid w:val="005D3E67"/>
    <w:rsid w:val="005D3FD0"/>
    <w:rsid w:val="005D4097"/>
    <w:rsid w:val="005D4289"/>
    <w:rsid w:val="005D4299"/>
    <w:rsid w:val="005D4438"/>
    <w:rsid w:val="005D44A4"/>
    <w:rsid w:val="005D44D5"/>
    <w:rsid w:val="005D44E1"/>
    <w:rsid w:val="005D45B7"/>
    <w:rsid w:val="005D45E9"/>
    <w:rsid w:val="005D4608"/>
    <w:rsid w:val="005D47E5"/>
    <w:rsid w:val="005D4824"/>
    <w:rsid w:val="005D4827"/>
    <w:rsid w:val="005D48F8"/>
    <w:rsid w:val="005D4B01"/>
    <w:rsid w:val="005D4CB0"/>
    <w:rsid w:val="005D4D63"/>
    <w:rsid w:val="005D4D64"/>
    <w:rsid w:val="005D4E1C"/>
    <w:rsid w:val="005D4FE2"/>
    <w:rsid w:val="005D503D"/>
    <w:rsid w:val="005D5059"/>
    <w:rsid w:val="005D5089"/>
    <w:rsid w:val="005D50B5"/>
    <w:rsid w:val="005D5301"/>
    <w:rsid w:val="005D5411"/>
    <w:rsid w:val="005D5482"/>
    <w:rsid w:val="005D54F9"/>
    <w:rsid w:val="005D550E"/>
    <w:rsid w:val="005D5512"/>
    <w:rsid w:val="005D5592"/>
    <w:rsid w:val="005D575B"/>
    <w:rsid w:val="005D57B9"/>
    <w:rsid w:val="005D5845"/>
    <w:rsid w:val="005D58CF"/>
    <w:rsid w:val="005D590B"/>
    <w:rsid w:val="005D590C"/>
    <w:rsid w:val="005D5947"/>
    <w:rsid w:val="005D5B16"/>
    <w:rsid w:val="005D5BB9"/>
    <w:rsid w:val="005D5C07"/>
    <w:rsid w:val="005D5CB4"/>
    <w:rsid w:val="005D5CF0"/>
    <w:rsid w:val="005D5DCB"/>
    <w:rsid w:val="005D5E54"/>
    <w:rsid w:val="005D5EA4"/>
    <w:rsid w:val="005D5EDC"/>
    <w:rsid w:val="005D5F1F"/>
    <w:rsid w:val="005D5FFD"/>
    <w:rsid w:val="005D6114"/>
    <w:rsid w:val="005D63DD"/>
    <w:rsid w:val="005D649A"/>
    <w:rsid w:val="005D64E3"/>
    <w:rsid w:val="005D6648"/>
    <w:rsid w:val="005D6687"/>
    <w:rsid w:val="005D66B8"/>
    <w:rsid w:val="005D6718"/>
    <w:rsid w:val="005D6734"/>
    <w:rsid w:val="005D67CA"/>
    <w:rsid w:val="005D6857"/>
    <w:rsid w:val="005D68CD"/>
    <w:rsid w:val="005D68EE"/>
    <w:rsid w:val="005D6974"/>
    <w:rsid w:val="005D698E"/>
    <w:rsid w:val="005D6A33"/>
    <w:rsid w:val="005D6A41"/>
    <w:rsid w:val="005D6B8E"/>
    <w:rsid w:val="005D6BC4"/>
    <w:rsid w:val="005D6D45"/>
    <w:rsid w:val="005D6E10"/>
    <w:rsid w:val="005D6F3B"/>
    <w:rsid w:val="005D6F6B"/>
    <w:rsid w:val="005D6F7D"/>
    <w:rsid w:val="005D7061"/>
    <w:rsid w:val="005D70D2"/>
    <w:rsid w:val="005D713D"/>
    <w:rsid w:val="005D7199"/>
    <w:rsid w:val="005D7204"/>
    <w:rsid w:val="005D7270"/>
    <w:rsid w:val="005D736E"/>
    <w:rsid w:val="005D73AC"/>
    <w:rsid w:val="005D74C7"/>
    <w:rsid w:val="005D74E4"/>
    <w:rsid w:val="005D7567"/>
    <w:rsid w:val="005D7755"/>
    <w:rsid w:val="005D77A6"/>
    <w:rsid w:val="005D77B6"/>
    <w:rsid w:val="005D77DA"/>
    <w:rsid w:val="005D77F1"/>
    <w:rsid w:val="005D78B9"/>
    <w:rsid w:val="005D78DC"/>
    <w:rsid w:val="005D7A45"/>
    <w:rsid w:val="005D7C8D"/>
    <w:rsid w:val="005D7D40"/>
    <w:rsid w:val="005D7DC4"/>
    <w:rsid w:val="005D7F55"/>
    <w:rsid w:val="005E004D"/>
    <w:rsid w:val="005E020D"/>
    <w:rsid w:val="005E021F"/>
    <w:rsid w:val="005E0322"/>
    <w:rsid w:val="005E038B"/>
    <w:rsid w:val="005E03E2"/>
    <w:rsid w:val="005E0442"/>
    <w:rsid w:val="005E0623"/>
    <w:rsid w:val="005E0635"/>
    <w:rsid w:val="005E0711"/>
    <w:rsid w:val="005E0718"/>
    <w:rsid w:val="005E0794"/>
    <w:rsid w:val="005E07D9"/>
    <w:rsid w:val="005E099C"/>
    <w:rsid w:val="005E09CF"/>
    <w:rsid w:val="005E0A89"/>
    <w:rsid w:val="005E0BFA"/>
    <w:rsid w:val="005E0C76"/>
    <w:rsid w:val="005E0DEC"/>
    <w:rsid w:val="005E0E92"/>
    <w:rsid w:val="005E0EB9"/>
    <w:rsid w:val="005E12B3"/>
    <w:rsid w:val="005E12CC"/>
    <w:rsid w:val="005E1374"/>
    <w:rsid w:val="005E1450"/>
    <w:rsid w:val="005E152A"/>
    <w:rsid w:val="005E1551"/>
    <w:rsid w:val="005E15BF"/>
    <w:rsid w:val="005E16B3"/>
    <w:rsid w:val="005E16B6"/>
    <w:rsid w:val="005E16CD"/>
    <w:rsid w:val="005E1736"/>
    <w:rsid w:val="005E1782"/>
    <w:rsid w:val="005E190A"/>
    <w:rsid w:val="005E1AEB"/>
    <w:rsid w:val="005E1B8C"/>
    <w:rsid w:val="005E1C52"/>
    <w:rsid w:val="005E1D6E"/>
    <w:rsid w:val="005E1D9B"/>
    <w:rsid w:val="005E1DB5"/>
    <w:rsid w:val="005E1E3E"/>
    <w:rsid w:val="005E1F15"/>
    <w:rsid w:val="005E1FB6"/>
    <w:rsid w:val="005E1FFF"/>
    <w:rsid w:val="005E208C"/>
    <w:rsid w:val="005E20A2"/>
    <w:rsid w:val="005E20BE"/>
    <w:rsid w:val="005E2124"/>
    <w:rsid w:val="005E217A"/>
    <w:rsid w:val="005E218C"/>
    <w:rsid w:val="005E21C9"/>
    <w:rsid w:val="005E2347"/>
    <w:rsid w:val="005E243C"/>
    <w:rsid w:val="005E24AC"/>
    <w:rsid w:val="005E24F4"/>
    <w:rsid w:val="005E252B"/>
    <w:rsid w:val="005E2554"/>
    <w:rsid w:val="005E2564"/>
    <w:rsid w:val="005E2593"/>
    <w:rsid w:val="005E26CA"/>
    <w:rsid w:val="005E2922"/>
    <w:rsid w:val="005E292B"/>
    <w:rsid w:val="005E29CD"/>
    <w:rsid w:val="005E2A00"/>
    <w:rsid w:val="005E2A6D"/>
    <w:rsid w:val="005E2B20"/>
    <w:rsid w:val="005E2C0B"/>
    <w:rsid w:val="005E2C24"/>
    <w:rsid w:val="005E2D38"/>
    <w:rsid w:val="005E2FF4"/>
    <w:rsid w:val="005E3055"/>
    <w:rsid w:val="005E30EA"/>
    <w:rsid w:val="005E310D"/>
    <w:rsid w:val="005E3112"/>
    <w:rsid w:val="005E319F"/>
    <w:rsid w:val="005E31D1"/>
    <w:rsid w:val="005E32AB"/>
    <w:rsid w:val="005E332C"/>
    <w:rsid w:val="005E3432"/>
    <w:rsid w:val="005E34DE"/>
    <w:rsid w:val="005E34FE"/>
    <w:rsid w:val="005E3501"/>
    <w:rsid w:val="005E3703"/>
    <w:rsid w:val="005E3810"/>
    <w:rsid w:val="005E3958"/>
    <w:rsid w:val="005E3DCC"/>
    <w:rsid w:val="005E3EBE"/>
    <w:rsid w:val="005E4011"/>
    <w:rsid w:val="005E408B"/>
    <w:rsid w:val="005E4111"/>
    <w:rsid w:val="005E4146"/>
    <w:rsid w:val="005E43CF"/>
    <w:rsid w:val="005E4418"/>
    <w:rsid w:val="005E4467"/>
    <w:rsid w:val="005E4551"/>
    <w:rsid w:val="005E494E"/>
    <w:rsid w:val="005E4A27"/>
    <w:rsid w:val="005E4B9A"/>
    <w:rsid w:val="005E4BA8"/>
    <w:rsid w:val="005E4BD0"/>
    <w:rsid w:val="005E4D70"/>
    <w:rsid w:val="005E4DA9"/>
    <w:rsid w:val="005E4E78"/>
    <w:rsid w:val="005E4E93"/>
    <w:rsid w:val="005E4F08"/>
    <w:rsid w:val="005E4F56"/>
    <w:rsid w:val="005E4FBC"/>
    <w:rsid w:val="005E5001"/>
    <w:rsid w:val="005E500E"/>
    <w:rsid w:val="005E500F"/>
    <w:rsid w:val="005E503D"/>
    <w:rsid w:val="005E504B"/>
    <w:rsid w:val="005E5069"/>
    <w:rsid w:val="005E5089"/>
    <w:rsid w:val="005E517E"/>
    <w:rsid w:val="005E53C7"/>
    <w:rsid w:val="005E546D"/>
    <w:rsid w:val="005E5592"/>
    <w:rsid w:val="005E56EC"/>
    <w:rsid w:val="005E5744"/>
    <w:rsid w:val="005E57DF"/>
    <w:rsid w:val="005E582A"/>
    <w:rsid w:val="005E586F"/>
    <w:rsid w:val="005E58C3"/>
    <w:rsid w:val="005E58DC"/>
    <w:rsid w:val="005E5925"/>
    <w:rsid w:val="005E5B1D"/>
    <w:rsid w:val="005E5B98"/>
    <w:rsid w:val="005E5C71"/>
    <w:rsid w:val="005E5CA1"/>
    <w:rsid w:val="005E5D41"/>
    <w:rsid w:val="005E5D9D"/>
    <w:rsid w:val="005E5DB6"/>
    <w:rsid w:val="005E5E91"/>
    <w:rsid w:val="005E614C"/>
    <w:rsid w:val="005E6233"/>
    <w:rsid w:val="005E62B2"/>
    <w:rsid w:val="005E62C5"/>
    <w:rsid w:val="005E64BF"/>
    <w:rsid w:val="005E661B"/>
    <w:rsid w:val="005E66C0"/>
    <w:rsid w:val="005E6747"/>
    <w:rsid w:val="005E67CA"/>
    <w:rsid w:val="005E67DC"/>
    <w:rsid w:val="005E685E"/>
    <w:rsid w:val="005E689C"/>
    <w:rsid w:val="005E6945"/>
    <w:rsid w:val="005E6AE2"/>
    <w:rsid w:val="005E6B5E"/>
    <w:rsid w:val="005E6C78"/>
    <w:rsid w:val="005E6C80"/>
    <w:rsid w:val="005E6D7F"/>
    <w:rsid w:val="005E6F62"/>
    <w:rsid w:val="005E6FA7"/>
    <w:rsid w:val="005E6FD0"/>
    <w:rsid w:val="005E7031"/>
    <w:rsid w:val="005E704F"/>
    <w:rsid w:val="005E72A8"/>
    <w:rsid w:val="005E72DF"/>
    <w:rsid w:val="005E72F3"/>
    <w:rsid w:val="005E735A"/>
    <w:rsid w:val="005E74CB"/>
    <w:rsid w:val="005E7517"/>
    <w:rsid w:val="005E75B7"/>
    <w:rsid w:val="005E75FC"/>
    <w:rsid w:val="005E7736"/>
    <w:rsid w:val="005E7949"/>
    <w:rsid w:val="005E7B50"/>
    <w:rsid w:val="005E7BE7"/>
    <w:rsid w:val="005E7C87"/>
    <w:rsid w:val="005E7DD7"/>
    <w:rsid w:val="005E7E8A"/>
    <w:rsid w:val="005E7F2D"/>
    <w:rsid w:val="005E7FD5"/>
    <w:rsid w:val="005F00EB"/>
    <w:rsid w:val="005F014D"/>
    <w:rsid w:val="005F0169"/>
    <w:rsid w:val="005F0281"/>
    <w:rsid w:val="005F02FD"/>
    <w:rsid w:val="005F0363"/>
    <w:rsid w:val="005F043A"/>
    <w:rsid w:val="005F0445"/>
    <w:rsid w:val="005F04E7"/>
    <w:rsid w:val="005F05D0"/>
    <w:rsid w:val="005F065C"/>
    <w:rsid w:val="005F077C"/>
    <w:rsid w:val="005F07C8"/>
    <w:rsid w:val="005F07F5"/>
    <w:rsid w:val="005F0890"/>
    <w:rsid w:val="005F08D7"/>
    <w:rsid w:val="005F08E3"/>
    <w:rsid w:val="005F0A43"/>
    <w:rsid w:val="005F0A84"/>
    <w:rsid w:val="005F0C16"/>
    <w:rsid w:val="005F0C79"/>
    <w:rsid w:val="005F0CEA"/>
    <w:rsid w:val="005F0DE2"/>
    <w:rsid w:val="005F0E7C"/>
    <w:rsid w:val="005F0E80"/>
    <w:rsid w:val="005F0EB9"/>
    <w:rsid w:val="005F0F6E"/>
    <w:rsid w:val="005F1011"/>
    <w:rsid w:val="005F102A"/>
    <w:rsid w:val="005F105D"/>
    <w:rsid w:val="005F1063"/>
    <w:rsid w:val="005F11A7"/>
    <w:rsid w:val="005F11C7"/>
    <w:rsid w:val="005F1245"/>
    <w:rsid w:val="005F1327"/>
    <w:rsid w:val="005F13B1"/>
    <w:rsid w:val="005F14A9"/>
    <w:rsid w:val="005F15A2"/>
    <w:rsid w:val="005F1782"/>
    <w:rsid w:val="005F17BF"/>
    <w:rsid w:val="005F1807"/>
    <w:rsid w:val="005F197A"/>
    <w:rsid w:val="005F19A2"/>
    <w:rsid w:val="005F19B1"/>
    <w:rsid w:val="005F19B2"/>
    <w:rsid w:val="005F19C9"/>
    <w:rsid w:val="005F1B49"/>
    <w:rsid w:val="005F1C06"/>
    <w:rsid w:val="005F1C92"/>
    <w:rsid w:val="005F1CDC"/>
    <w:rsid w:val="005F1EE3"/>
    <w:rsid w:val="005F1F64"/>
    <w:rsid w:val="005F1F90"/>
    <w:rsid w:val="005F1FAA"/>
    <w:rsid w:val="005F227A"/>
    <w:rsid w:val="005F22E8"/>
    <w:rsid w:val="005F2362"/>
    <w:rsid w:val="005F238E"/>
    <w:rsid w:val="005F2421"/>
    <w:rsid w:val="005F247F"/>
    <w:rsid w:val="005F2496"/>
    <w:rsid w:val="005F2535"/>
    <w:rsid w:val="005F271B"/>
    <w:rsid w:val="005F289C"/>
    <w:rsid w:val="005F2996"/>
    <w:rsid w:val="005F2A23"/>
    <w:rsid w:val="005F2AEA"/>
    <w:rsid w:val="005F2BC8"/>
    <w:rsid w:val="005F2C49"/>
    <w:rsid w:val="005F2C88"/>
    <w:rsid w:val="005F2CCE"/>
    <w:rsid w:val="005F2EE3"/>
    <w:rsid w:val="005F2FB2"/>
    <w:rsid w:val="005F303F"/>
    <w:rsid w:val="005F3100"/>
    <w:rsid w:val="005F310A"/>
    <w:rsid w:val="005F315E"/>
    <w:rsid w:val="005F31A6"/>
    <w:rsid w:val="005F3202"/>
    <w:rsid w:val="005F35AF"/>
    <w:rsid w:val="005F3664"/>
    <w:rsid w:val="005F36D3"/>
    <w:rsid w:val="005F36D7"/>
    <w:rsid w:val="005F38E3"/>
    <w:rsid w:val="005F38ED"/>
    <w:rsid w:val="005F38F6"/>
    <w:rsid w:val="005F3AF8"/>
    <w:rsid w:val="005F3BDC"/>
    <w:rsid w:val="005F3BE5"/>
    <w:rsid w:val="005F3BE6"/>
    <w:rsid w:val="005F3CBD"/>
    <w:rsid w:val="005F3D5B"/>
    <w:rsid w:val="005F3D7B"/>
    <w:rsid w:val="005F3DF6"/>
    <w:rsid w:val="005F3E1A"/>
    <w:rsid w:val="005F3E3E"/>
    <w:rsid w:val="005F40E8"/>
    <w:rsid w:val="005F413D"/>
    <w:rsid w:val="005F41EC"/>
    <w:rsid w:val="005F4232"/>
    <w:rsid w:val="005F4370"/>
    <w:rsid w:val="005F4419"/>
    <w:rsid w:val="005F44CB"/>
    <w:rsid w:val="005F451F"/>
    <w:rsid w:val="005F4608"/>
    <w:rsid w:val="005F4673"/>
    <w:rsid w:val="005F4677"/>
    <w:rsid w:val="005F476F"/>
    <w:rsid w:val="005F47CC"/>
    <w:rsid w:val="005F489E"/>
    <w:rsid w:val="005F48A6"/>
    <w:rsid w:val="005F48DC"/>
    <w:rsid w:val="005F48E5"/>
    <w:rsid w:val="005F495F"/>
    <w:rsid w:val="005F497A"/>
    <w:rsid w:val="005F4A1B"/>
    <w:rsid w:val="005F4A7B"/>
    <w:rsid w:val="005F4B71"/>
    <w:rsid w:val="005F4BE2"/>
    <w:rsid w:val="005F4C21"/>
    <w:rsid w:val="005F4D53"/>
    <w:rsid w:val="005F4D8F"/>
    <w:rsid w:val="005F4DEB"/>
    <w:rsid w:val="005F4EE8"/>
    <w:rsid w:val="005F4F08"/>
    <w:rsid w:val="005F4F1E"/>
    <w:rsid w:val="005F4F86"/>
    <w:rsid w:val="005F4F97"/>
    <w:rsid w:val="005F4F9C"/>
    <w:rsid w:val="005F50BF"/>
    <w:rsid w:val="005F50D2"/>
    <w:rsid w:val="005F5192"/>
    <w:rsid w:val="005F519E"/>
    <w:rsid w:val="005F525A"/>
    <w:rsid w:val="005F5358"/>
    <w:rsid w:val="005F54F5"/>
    <w:rsid w:val="005F5652"/>
    <w:rsid w:val="005F5665"/>
    <w:rsid w:val="005F575B"/>
    <w:rsid w:val="005F57A0"/>
    <w:rsid w:val="005F5B1C"/>
    <w:rsid w:val="005F5C09"/>
    <w:rsid w:val="005F5CF2"/>
    <w:rsid w:val="005F5D87"/>
    <w:rsid w:val="005F5E5C"/>
    <w:rsid w:val="005F5E97"/>
    <w:rsid w:val="005F5F62"/>
    <w:rsid w:val="005F5FA0"/>
    <w:rsid w:val="005F5FFA"/>
    <w:rsid w:val="005F6026"/>
    <w:rsid w:val="005F6064"/>
    <w:rsid w:val="005F6072"/>
    <w:rsid w:val="005F61FD"/>
    <w:rsid w:val="005F622E"/>
    <w:rsid w:val="005F6289"/>
    <w:rsid w:val="005F63DA"/>
    <w:rsid w:val="005F6473"/>
    <w:rsid w:val="005F65EF"/>
    <w:rsid w:val="005F6657"/>
    <w:rsid w:val="005F67BC"/>
    <w:rsid w:val="005F67FB"/>
    <w:rsid w:val="005F68A7"/>
    <w:rsid w:val="005F68FD"/>
    <w:rsid w:val="005F6AD0"/>
    <w:rsid w:val="005F6AFB"/>
    <w:rsid w:val="005F6B08"/>
    <w:rsid w:val="005F6B0C"/>
    <w:rsid w:val="005F6CC0"/>
    <w:rsid w:val="005F6D16"/>
    <w:rsid w:val="005F6D6D"/>
    <w:rsid w:val="005F6DA0"/>
    <w:rsid w:val="005F6DBD"/>
    <w:rsid w:val="005F6E52"/>
    <w:rsid w:val="005F6F7B"/>
    <w:rsid w:val="005F6FA8"/>
    <w:rsid w:val="005F7057"/>
    <w:rsid w:val="005F7061"/>
    <w:rsid w:val="005F70A3"/>
    <w:rsid w:val="005F71A1"/>
    <w:rsid w:val="005F740E"/>
    <w:rsid w:val="005F74C0"/>
    <w:rsid w:val="005F74D6"/>
    <w:rsid w:val="005F750C"/>
    <w:rsid w:val="005F758D"/>
    <w:rsid w:val="005F7590"/>
    <w:rsid w:val="005F75D4"/>
    <w:rsid w:val="005F76A7"/>
    <w:rsid w:val="005F77C5"/>
    <w:rsid w:val="005F77E6"/>
    <w:rsid w:val="005F780B"/>
    <w:rsid w:val="005F7811"/>
    <w:rsid w:val="005F78E3"/>
    <w:rsid w:val="005F7915"/>
    <w:rsid w:val="005F799A"/>
    <w:rsid w:val="005F7A81"/>
    <w:rsid w:val="005F7AF1"/>
    <w:rsid w:val="005F7B9B"/>
    <w:rsid w:val="005F7CA1"/>
    <w:rsid w:val="005F7D06"/>
    <w:rsid w:val="005F7D9D"/>
    <w:rsid w:val="00600034"/>
    <w:rsid w:val="00600067"/>
    <w:rsid w:val="0060007B"/>
    <w:rsid w:val="006000FD"/>
    <w:rsid w:val="0060021D"/>
    <w:rsid w:val="006002EE"/>
    <w:rsid w:val="0060031C"/>
    <w:rsid w:val="006003E4"/>
    <w:rsid w:val="0060052C"/>
    <w:rsid w:val="00600547"/>
    <w:rsid w:val="00600610"/>
    <w:rsid w:val="006006A2"/>
    <w:rsid w:val="006006D0"/>
    <w:rsid w:val="00600742"/>
    <w:rsid w:val="00600875"/>
    <w:rsid w:val="006008FF"/>
    <w:rsid w:val="00600A01"/>
    <w:rsid w:val="00600B38"/>
    <w:rsid w:val="00600B90"/>
    <w:rsid w:val="00600B9A"/>
    <w:rsid w:val="00600BC8"/>
    <w:rsid w:val="00600C02"/>
    <w:rsid w:val="00600CEF"/>
    <w:rsid w:val="00600D1B"/>
    <w:rsid w:val="00600E00"/>
    <w:rsid w:val="00600EF4"/>
    <w:rsid w:val="00600F0F"/>
    <w:rsid w:val="00600F3B"/>
    <w:rsid w:val="006010B8"/>
    <w:rsid w:val="006010D3"/>
    <w:rsid w:val="006010DF"/>
    <w:rsid w:val="00601169"/>
    <w:rsid w:val="006011B9"/>
    <w:rsid w:val="006011DD"/>
    <w:rsid w:val="0060121C"/>
    <w:rsid w:val="006012CA"/>
    <w:rsid w:val="006013DA"/>
    <w:rsid w:val="0060156B"/>
    <w:rsid w:val="0060158A"/>
    <w:rsid w:val="00601693"/>
    <w:rsid w:val="00601792"/>
    <w:rsid w:val="006018D2"/>
    <w:rsid w:val="00601977"/>
    <w:rsid w:val="00601A20"/>
    <w:rsid w:val="00601A49"/>
    <w:rsid w:val="00601A9E"/>
    <w:rsid w:val="00601BCB"/>
    <w:rsid w:val="00601CDE"/>
    <w:rsid w:val="00601E3F"/>
    <w:rsid w:val="00601E4C"/>
    <w:rsid w:val="00601EBE"/>
    <w:rsid w:val="00601EF5"/>
    <w:rsid w:val="00601FA0"/>
    <w:rsid w:val="0060222E"/>
    <w:rsid w:val="0060224D"/>
    <w:rsid w:val="006022DD"/>
    <w:rsid w:val="0060242A"/>
    <w:rsid w:val="006024C0"/>
    <w:rsid w:val="0060252C"/>
    <w:rsid w:val="006025F3"/>
    <w:rsid w:val="006026DF"/>
    <w:rsid w:val="006029C3"/>
    <w:rsid w:val="00602B43"/>
    <w:rsid w:val="00602B71"/>
    <w:rsid w:val="00602B7C"/>
    <w:rsid w:val="00602BAC"/>
    <w:rsid w:val="00602CF3"/>
    <w:rsid w:val="00602CFB"/>
    <w:rsid w:val="00602E39"/>
    <w:rsid w:val="00602EE1"/>
    <w:rsid w:val="00602F0E"/>
    <w:rsid w:val="00603036"/>
    <w:rsid w:val="006030A3"/>
    <w:rsid w:val="00603179"/>
    <w:rsid w:val="006031B2"/>
    <w:rsid w:val="006031CB"/>
    <w:rsid w:val="0060320D"/>
    <w:rsid w:val="00603381"/>
    <w:rsid w:val="00603566"/>
    <w:rsid w:val="00603681"/>
    <w:rsid w:val="0060376E"/>
    <w:rsid w:val="006037AA"/>
    <w:rsid w:val="00603868"/>
    <w:rsid w:val="0060387A"/>
    <w:rsid w:val="00603987"/>
    <w:rsid w:val="006039B5"/>
    <w:rsid w:val="00603A3C"/>
    <w:rsid w:val="00603AF0"/>
    <w:rsid w:val="00603B26"/>
    <w:rsid w:val="00603C43"/>
    <w:rsid w:val="00603E61"/>
    <w:rsid w:val="00603F38"/>
    <w:rsid w:val="00603F85"/>
    <w:rsid w:val="00604061"/>
    <w:rsid w:val="006040F2"/>
    <w:rsid w:val="0060410E"/>
    <w:rsid w:val="00604297"/>
    <w:rsid w:val="006043ED"/>
    <w:rsid w:val="00604412"/>
    <w:rsid w:val="0060444F"/>
    <w:rsid w:val="0060461E"/>
    <w:rsid w:val="006046E5"/>
    <w:rsid w:val="0060474B"/>
    <w:rsid w:val="00604792"/>
    <w:rsid w:val="00604803"/>
    <w:rsid w:val="00604872"/>
    <w:rsid w:val="006048DB"/>
    <w:rsid w:val="006048DF"/>
    <w:rsid w:val="0060490D"/>
    <w:rsid w:val="00604B10"/>
    <w:rsid w:val="00604B6D"/>
    <w:rsid w:val="00604C11"/>
    <w:rsid w:val="00604C92"/>
    <w:rsid w:val="00604CED"/>
    <w:rsid w:val="00604D73"/>
    <w:rsid w:val="00604E8C"/>
    <w:rsid w:val="00604EB3"/>
    <w:rsid w:val="00604EF1"/>
    <w:rsid w:val="00604F7C"/>
    <w:rsid w:val="006050A8"/>
    <w:rsid w:val="006050D1"/>
    <w:rsid w:val="006050E4"/>
    <w:rsid w:val="0060513F"/>
    <w:rsid w:val="00605176"/>
    <w:rsid w:val="00605199"/>
    <w:rsid w:val="0060522D"/>
    <w:rsid w:val="0060528A"/>
    <w:rsid w:val="006054AA"/>
    <w:rsid w:val="006054F3"/>
    <w:rsid w:val="00605553"/>
    <w:rsid w:val="00605573"/>
    <w:rsid w:val="006055E9"/>
    <w:rsid w:val="00605744"/>
    <w:rsid w:val="00605878"/>
    <w:rsid w:val="00605980"/>
    <w:rsid w:val="006059B0"/>
    <w:rsid w:val="006059ED"/>
    <w:rsid w:val="00605A1A"/>
    <w:rsid w:val="00605A68"/>
    <w:rsid w:val="00605B0F"/>
    <w:rsid w:val="00605BD7"/>
    <w:rsid w:val="00605CF2"/>
    <w:rsid w:val="00605D22"/>
    <w:rsid w:val="00605DCB"/>
    <w:rsid w:val="00605E18"/>
    <w:rsid w:val="00605EA8"/>
    <w:rsid w:val="00606070"/>
    <w:rsid w:val="00606094"/>
    <w:rsid w:val="006060E9"/>
    <w:rsid w:val="00606197"/>
    <w:rsid w:val="006061A6"/>
    <w:rsid w:val="006061EC"/>
    <w:rsid w:val="0060633F"/>
    <w:rsid w:val="00606365"/>
    <w:rsid w:val="00606542"/>
    <w:rsid w:val="0060654C"/>
    <w:rsid w:val="0060654F"/>
    <w:rsid w:val="00606597"/>
    <w:rsid w:val="00606615"/>
    <w:rsid w:val="00606643"/>
    <w:rsid w:val="00606658"/>
    <w:rsid w:val="0060668B"/>
    <w:rsid w:val="0060687D"/>
    <w:rsid w:val="0060688C"/>
    <w:rsid w:val="006068AC"/>
    <w:rsid w:val="00606991"/>
    <w:rsid w:val="006069D0"/>
    <w:rsid w:val="00606A86"/>
    <w:rsid w:val="00606AC8"/>
    <w:rsid w:val="00606CCB"/>
    <w:rsid w:val="00606E94"/>
    <w:rsid w:val="00606F74"/>
    <w:rsid w:val="006070B4"/>
    <w:rsid w:val="00607166"/>
    <w:rsid w:val="006071EF"/>
    <w:rsid w:val="006072CD"/>
    <w:rsid w:val="006073B0"/>
    <w:rsid w:val="00607431"/>
    <w:rsid w:val="0060745A"/>
    <w:rsid w:val="006074A1"/>
    <w:rsid w:val="0060750D"/>
    <w:rsid w:val="00607655"/>
    <w:rsid w:val="006076C7"/>
    <w:rsid w:val="00607771"/>
    <w:rsid w:val="00607796"/>
    <w:rsid w:val="00607799"/>
    <w:rsid w:val="00607827"/>
    <w:rsid w:val="00607841"/>
    <w:rsid w:val="006078D8"/>
    <w:rsid w:val="006078F6"/>
    <w:rsid w:val="006079CE"/>
    <w:rsid w:val="006079D0"/>
    <w:rsid w:val="006079F5"/>
    <w:rsid w:val="00607B03"/>
    <w:rsid w:val="00607BC9"/>
    <w:rsid w:val="00607D31"/>
    <w:rsid w:val="00607D87"/>
    <w:rsid w:val="006100D6"/>
    <w:rsid w:val="006100FB"/>
    <w:rsid w:val="00610238"/>
    <w:rsid w:val="006102BA"/>
    <w:rsid w:val="0061035D"/>
    <w:rsid w:val="0061036E"/>
    <w:rsid w:val="0061043B"/>
    <w:rsid w:val="00610445"/>
    <w:rsid w:val="006104CC"/>
    <w:rsid w:val="006104F6"/>
    <w:rsid w:val="00610578"/>
    <w:rsid w:val="0061081D"/>
    <w:rsid w:val="0061097C"/>
    <w:rsid w:val="0061098C"/>
    <w:rsid w:val="00610A1F"/>
    <w:rsid w:val="00610ACD"/>
    <w:rsid w:val="00610ADB"/>
    <w:rsid w:val="00610B16"/>
    <w:rsid w:val="00610BCC"/>
    <w:rsid w:val="00610C27"/>
    <w:rsid w:val="00610C63"/>
    <w:rsid w:val="00610DAA"/>
    <w:rsid w:val="00610E2A"/>
    <w:rsid w:val="00610F12"/>
    <w:rsid w:val="00610FED"/>
    <w:rsid w:val="00611054"/>
    <w:rsid w:val="006110E3"/>
    <w:rsid w:val="006110FE"/>
    <w:rsid w:val="00611136"/>
    <w:rsid w:val="00611165"/>
    <w:rsid w:val="00611217"/>
    <w:rsid w:val="0061123F"/>
    <w:rsid w:val="00611276"/>
    <w:rsid w:val="00611332"/>
    <w:rsid w:val="00611429"/>
    <w:rsid w:val="00611495"/>
    <w:rsid w:val="00611503"/>
    <w:rsid w:val="0061150F"/>
    <w:rsid w:val="0061169B"/>
    <w:rsid w:val="00611788"/>
    <w:rsid w:val="006117AE"/>
    <w:rsid w:val="006117EC"/>
    <w:rsid w:val="00611899"/>
    <w:rsid w:val="0061191E"/>
    <w:rsid w:val="00611A3E"/>
    <w:rsid w:val="00611A43"/>
    <w:rsid w:val="00611A5A"/>
    <w:rsid w:val="00611B3D"/>
    <w:rsid w:val="00611B90"/>
    <w:rsid w:val="00611B9F"/>
    <w:rsid w:val="00611CC5"/>
    <w:rsid w:val="00611CD9"/>
    <w:rsid w:val="00611D30"/>
    <w:rsid w:val="00611DE1"/>
    <w:rsid w:val="00611E49"/>
    <w:rsid w:val="00611F18"/>
    <w:rsid w:val="00611FF1"/>
    <w:rsid w:val="00612095"/>
    <w:rsid w:val="00612177"/>
    <w:rsid w:val="00612259"/>
    <w:rsid w:val="00612291"/>
    <w:rsid w:val="006122BD"/>
    <w:rsid w:val="00612300"/>
    <w:rsid w:val="0061230F"/>
    <w:rsid w:val="0061233B"/>
    <w:rsid w:val="0061252E"/>
    <w:rsid w:val="0061263B"/>
    <w:rsid w:val="0061268F"/>
    <w:rsid w:val="006126B6"/>
    <w:rsid w:val="00612767"/>
    <w:rsid w:val="006128D4"/>
    <w:rsid w:val="00612A0F"/>
    <w:rsid w:val="00612A15"/>
    <w:rsid w:val="00612A87"/>
    <w:rsid w:val="00612B2C"/>
    <w:rsid w:val="00612BD2"/>
    <w:rsid w:val="00612C28"/>
    <w:rsid w:val="00612D46"/>
    <w:rsid w:val="00612D76"/>
    <w:rsid w:val="00612EBA"/>
    <w:rsid w:val="00612EE9"/>
    <w:rsid w:val="00612F5B"/>
    <w:rsid w:val="00612FB3"/>
    <w:rsid w:val="00613008"/>
    <w:rsid w:val="0061300A"/>
    <w:rsid w:val="00613184"/>
    <w:rsid w:val="00613357"/>
    <w:rsid w:val="006133B9"/>
    <w:rsid w:val="006134E4"/>
    <w:rsid w:val="0061366B"/>
    <w:rsid w:val="006136D4"/>
    <w:rsid w:val="006138BF"/>
    <w:rsid w:val="00613913"/>
    <w:rsid w:val="00613984"/>
    <w:rsid w:val="00613A64"/>
    <w:rsid w:val="00613C14"/>
    <w:rsid w:val="00613CEA"/>
    <w:rsid w:val="00613DC1"/>
    <w:rsid w:val="00613DE8"/>
    <w:rsid w:val="00613FD3"/>
    <w:rsid w:val="00614093"/>
    <w:rsid w:val="00614119"/>
    <w:rsid w:val="00614128"/>
    <w:rsid w:val="0061416A"/>
    <w:rsid w:val="00614191"/>
    <w:rsid w:val="00614210"/>
    <w:rsid w:val="00614360"/>
    <w:rsid w:val="0061438F"/>
    <w:rsid w:val="006143BD"/>
    <w:rsid w:val="0061456B"/>
    <w:rsid w:val="006145FE"/>
    <w:rsid w:val="00614686"/>
    <w:rsid w:val="0061468D"/>
    <w:rsid w:val="006146D1"/>
    <w:rsid w:val="00614839"/>
    <w:rsid w:val="006148BF"/>
    <w:rsid w:val="00614975"/>
    <w:rsid w:val="00614A59"/>
    <w:rsid w:val="00614AB5"/>
    <w:rsid w:val="00614B24"/>
    <w:rsid w:val="00614B7E"/>
    <w:rsid w:val="00614CE5"/>
    <w:rsid w:val="00614CFC"/>
    <w:rsid w:val="00614D76"/>
    <w:rsid w:val="00614E3C"/>
    <w:rsid w:val="00614EC1"/>
    <w:rsid w:val="00614F4A"/>
    <w:rsid w:val="00614F9B"/>
    <w:rsid w:val="00615030"/>
    <w:rsid w:val="00615075"/>
    <w:rsid w:val="006150A6"/>
    <w:rsid w:val="00615156"/>
    <w:rsid w:val="00615168"/>
    <w:rsid w:val="006151EF"/>
    <w:rsid w:val="00615283"/>
    <w:rsid w:val="006152A2"/>
    <w:rsid w:val="006152FC"/>
    <w:rsid w:val="0061538D"/>
    <w:rsid w:val="0061559F"/>
    <w:rsid w:val="0061579F"/>
    <w:rsid w:val="006157AD"/>
    <w:rsid w:val="006157BF"/>
    <w:rsid w:val="00615910"/>
    <w:rsid w:val="00615919"/>
    <w:rsid w:val="0061599B"/>
    <w:rsid w:val="006159AB"/>
    <w:rsid w:val="006159BC"/>
    <w:rsid w:val="006159F5"/>
    <w:rsid w:val="00615A06"/>
    <w:rsid w:val="00615BCF"/>
    <w:rsid w:val="00615C52"/>
    <w:rsid w:val="00615C70"/>
    <w:rsid w:val="00615D01"/>
    <w:rsid w:val="00615E13"/>
    <w:rsid w:val="00615E84"/>
    <w:rsid w:val="0061605F"/>
    <w:rsid w:val="00616088"/>
    <w:rsid w:val="00616220"/>
    <w:rsid w:val="00616252"/>
    <w:rsid w:val="0061626D"/>
    <w:rsid w:val="00616388"/>
    <w:rsid w:val="0061643A"/>
    <w:rsid w:val="006164FA"/>
    <w:rsid w:val="006165D5"/>
    <w:rsid w:val="00616689"/>
    <w:rsid w:val="00616863"/>
    <w:rsid w:val="006168E8"/>
    <w:rsid w:val="00616990"/>
    <w:rsid w:val="006169AE"/>
    <w:rsid w:val="006169E9"/>
    <w:rsid w:val="00616A08"/>
    <w:rsid w:val="00616A30"/>
    <w:rsid w:val="00616AB4"/>
    <w:rsid w:val="00616B01"/>
    <w:rsid w:val="00616C42"/>
    <w:rsid w:val="00616E43"/>
    <w:rsid w:val="00616F16"/>
    <w:rsid w:val="00617021"/>
    <w:rsid w:val="00617086"/>
    <w:rsid w:val="0061711D"/>
    <w:rsid w:val="006171AB"/>
    <w:rsid w:val="0061723B"/>
    <w:rsid w:val="006172EB"/>
    <w:rsid w:val="00617351"/>
    <w:rsid w:val="0061735D"/>
    <w:rsid w:val="006173FE"/>
    <w:rsid w:val="00617408"/>
    <w:rsid w:val="0061741E"/>
    <w:rsid w:val="00617423"/>
    <w:rsid w:val="0061758D"/>
    <w:rsid w:val="00617599"/>
    <w:rsid w:val="006175A9"/>
    <w:rsid w:val="00617675"/>
    <w:rsid w:val="0061786F"/>
    <w:rsid w:val="006179B6"/>
    <w:rsid w:val="006179CE"/>
    <w:rsid w:val="006179F9"/>
    <w:rsid w:val="00617B08"/>
    <w:rsid w:val="00617B1C"/>
    <w:rsid w:val="00617D43"/>
    <w:rsid w:val="00617DD9"/>
    <w:rsid w:val="00617E97"/>
    <w:rsid w:val="00617EB8"/>
    <w:rsid w:val="00617F01"/>
    <w:rsid w:val="00617F58"/>
    <w:rsid w:val="00617F6A"/>
    <w:rsid w:val="0062003B"/>
    <w:rsid w:val="00620061"/>
    <w:rsid w:val="00620098"/>
    <w:rsid w:val="006200A7"/>
    <w:rsid w:val="0062014B"/>
    <w:rsid w:val="00620271"/>
    <w:rsid w:val="00620335"/>
    <w:rsid w:val="006203A3"/>
    <w:rsid w:val="006203EA"/>
    <w:rsid w:val="0062054B"/>
    <w:rsid w:val="0062060F"/>
    <w:rsid w:val="00620780"/>
    <w:rsid w:val="00620793"/>
    <w:rsid w:val="006207B5"/>
    <w:rsid w:val="006207DC"/>
    <w:rsid w:val="0062086F"/>
    <w:rsid w:val="0062094D"/>
    <w:rsid w:val="00620969"/>
    <w:rsid w:val="006209D7"/>
    <w:rsid w:val="00620B17"/>
    <w:rsid w:val="00620BFA"/>
    <w:rsid w:val="00620D40"/>
    <w:rsid w:val="00620D99"/>
    <w:rsid w:val="00620E6C"/>
    <w:rsid w:val="00620EB6"/>
    <w:rsid w:val="00620FD6"/>
    <w:rsid w:val="00620FD8"/>
    <w:rsid w:val="00620FE2"/>
    <w:rsid w:val="00620FEF"/>
    <w:rsid w:val="00621090"/>
    <w:rsid w:val="00621201"/>
    <w:rsid w:val="0062134D"/>
    <w:rsid w:val="00621353"/>
    <w:rsid w:val="006213F6"/>
    <w:rsid w:val="00621493"/>
    <w:rsid w:val="006214B2"/>
    <w:rsid w:val="00621611"/>
    <w:rsid w:val="00621652"/>
    <w:rsid w:val="00621674"/>
    <w:rsid w:val="006216C8"/>
    <w:rsid w:val="0062173B"/>
    <w:rsid w:val="006217F5"/>
    <w:rsid w:val="00621894"/>
    <w:rsid w:val="006218D1"/>
    <w:rsid w:val="006218D2"/>
    <w:rsid w:val="00621B89"/>
    <w:rsid w:val="00621BC5"/>
    <w:rsid w:val="00621C01"/>
    <w:rsid w:val="00621C9A"/>
    <w:rsid w:val="00621D03"/>
    <w:rsid w:val="00621D66"/>
    <w:rsid w:val="00621D8F"/>
    <w:rsid w:val="00621D9E"/>
    <w:rsid w:val="00621EFC"/>
    <w:rsid w:val="006220F8"/>
    <w:rsid w:val="0062235B"/>
    <w:rsid w:val="006225BA"/>
    <w:rsid w:val="006226C1"/>
    <w:rsid w:val="006226E9"/>
    <w:rsid w:val="006229C6"/>
    <w:rsid w:val="00622A08"/>
    <w:rsid w:val="00622A9A"/>
    <w:rsid w:val="00622BBF"/>
    <w:rsid w:val="00622BF5"/>
    <w:rsid w:val="00622DC0"/>
    <w:rsid w:val="00622E26"/>
    <w:rsid w:val="00622EFB"/>
    <w:rsid w:val="00622FE8"/>
    <w:rsid w:val="0062305E"/>
    <w:rsid w:val="006230E8"/>
    <w:rsid w:val="0062310E"/>
    <w:rsid w:val="0062326F"/>
    <w:rsid w:val="00623517"/>
    <w:rsid w:val="00623639"/>
    <w:rsid w:val="006236EF"/>
    <w:rsid w:val="00623853"/>
    <w:rsid w:val="0062385A"/>
    <w:rsid w:val="006238E7"/>
    <w:rsid w:val="00623957"/>
    <w:rsid w:val="0062395F"/>
    <w:rsid w:val="006239E9"/>
    <w:rsid w:val="00623A74"/>
    <w:rsid w:val="00623AB5"/>
    <w:rsid w:val="00623BE7"/>
    <w:rsid w:val="00623C4B"/>
    <w:rsid w:val="00623C56"/>
    <w:rsid w:val="00623CED"/>
    <w:rsid w:val="00623D3B"/>
    <w:rsid w:val="006240F6"/>
    <w:rsid w:val="006240FD"/>
    <w:rsid w:val="006241F1"/>
    <w:rsid w:val="006241FE"/>
    <w:rsid w:val="00624281"/>
    <w:rsid w:val="006242BF"/>
    <w:rsid w:val="006242E4"/>
    <w:rsid w:val="006242FD"/>
    <w:rsid w:val="0062463A"/>
    <w:rsid w:val="006246C3"/>
    <w:rsid w:val="006247B7"/>
    <w:rsid w:val="006247EB"/>
    <w:rsid w:val="00624820"/>
    <w:rsid w:val="00624934"/>
    <w:rsid w:val="00624999"/>
    <w:rsid w:val="006249FD"/>
    <w:rsid w:val="00624AE2"/>
    <w:rsid w:val="00624AFA"/>
    <w:rsid w:val="00624BBB"/>
    <w:rsid w:val="00624C49"/>
    <w:rsid w:val="00624C5E"/>
    <w:rsid w:val="00624D1F"/>
    <w:rsid w:val="00624D24"/>
    <w:rsid w:val="00624D8E"/>
    <w:rsid w:val="00624EBE"/>
    <w:rsid w:val="00624FF5"/>
    <w:rsid w:val="0062504A"/>
    <w:rsid w:val="006250B1"/>
    <w:rsid w:val="006250E2"/>
    <w:rsid w:val="0062514C"/>
    <w:rsid w:val="0062523F"/>
    <w:rsid w:val="006252DE"/>
    <w:rsid w:val="006252EF"/>
    <w:rsid w:val="0062532D"/>
    <w:rsid w:val="006253AB"/>
    <w:rsid w:val="00625456"/>
    <w:rsid w:val="0062549D"/>
    <w:rsid w:val="0062550A"/>
    <w:rsid w:val="0062556B"/>
    <w:rsid w:val="006255CD"/>
    <w:rsid w:val="006255F9"/>
    <w:rsid w:val="006256A5"/>
    <w:rsid w:val="0062579E"/>
    <w:rsid w:val="006257C8"/>
    <w:rsid w:val="00625800"/>
    <w:rsid w:val="006258C3"/>
    <w:rsid w:val="006259C4"/>
    <w:rsid w:val="00625AAF"/>
    <w:rsid w:val="00625AEC"/>
    <w:rsid w:val="00625B01"/>
    <w:rsid w:val="00625B4B"/>
    <w:rsid w:val="00625BDB"/>
    <w:rsid w:val="00625BDF"/>
    <w:rsid w:val="00625ED6"/>
    <w:rsid w:val="00625F98"/>
    <w:rsid w:val="006261D0"/>
    <w:rsid w:val="006261D3"/>
    <w:rsid w:val="006262C2"/>
    <w:rsid w:val="00626331"/>
    <w:rsid w:val="00626381"/>
    <w:rsid w:val="006263AF"/>
    <w:rsid w:val="0062643C"/>
    <w:rsid w:val="00626446"/>
    <w:rsid w:val="00626466"/>
    <w:rsid w:val="0062650A"/>
    <w:rsid w:val="00626511"/>
    <w:rsid w:val="00626615"/>
    <w:rsid w:val="006266BC"/>
    <w:rsid w:val="006266DB"/>
    <w:rsid w:val="0062675F"/>
    <w:rsid w:val="006267EB"/>
    <w:rsid w:val="006267FD"/>
    <w:rsid w:val="00626811"/>
    <w:rsid w:val="0062685A"/>
    <w:rsid w:val="00626930"/>
    <w:rsid w:val="0062693F"/>
    <w:rsid w:val="00626979"/>
    <w:rsid w:val="00626981"/>
    <w:rsid w:val="00626996"/>
    <w:rsid w:val="00626AAD"/>
    <w:rsid w:val="00626B7F"/>
    <w:rsid w:val="00626B85"/>
    <w:rsid w:val="00626CB1"/>
    <w:rsid w:val="00626CD4"/>
    <w:rsid w:val="00626D37"/>
    <w:rsid w:val="00626DA0"/>
    <w:rsid w:val="00626E62"/>
    <w:rsid w:val="00626EC0"/>
    <w:rsid w:val="00626FC7"/>
    <w:rsid w:val="00626FD8"/>
    <w:rsid w:val="0062720B"/>
    <w:rsid w:val="006273B8"/>
    <w:rsid w:val="00627555"/>
    <w:rsid w:val="006276D3"/>
    <w:rsid w:val="00627707"/>
    <w:rsid w:val="006277A2"/>
    <w:rsid w:val="006277FC"/>
    <w:rsid w:val="006279C0"/>
    <w:rsid w:val="00627B70"/>
    <w:rsid w:val="00627C12"/>
    <w:rsid w:val="00627C5C"/>
    <w:rsid w:val="00627D14"/>
    <w:rsid w:val="00627DC8"/>
    <w:rsid w:val="00627E89"/>
    <w:rsid w:val="00627EC1"/>
    <w:rsid w:val="00627EC9"/>
    <w:rsid w:val="0063006B"/>
    <w:rsid w:val="00630138"/>
    <w:rsid w:val="006301C1"/>
    <w:rsid w:val="006302F2"/>
    <w:rsid w:val="0063031F"/>
    <w:rsid w:val="00630367"/>
    <w:rsid w:val="00630382"/>
    <w:rsid w:val="00630387"/>
    <w:rsid w:val="0063039B"/>
    <w:rsid w:val="006303CA"/>
    <w:rsid w:val="00630449"/>
    <w:rsid w:val="00630481"/>
    <w:rsid w:val="006304BE"/>
    <w:rsid w:val="006304EC"/>
    <w:rsid w:val="0063056A"/>
    <w:rsid w:val="006305C4"/>
    <w:rsid w:val="006307AE"/>
    <w:rsid w:val="00630956"/>
    <w:rsid w:val="00630B0C"/>
    <w:rsid w:val="00630B28"/>
    <w:rsid w:val="00630B90"/>
    <w:rsid w:val="00630BA8"/>
    <w:rsid w:val="00630BAF"/>
    <w:rsid w:val="00630CF8"/>
    <w:rsid w:val="00630D66"/>
    <w:rsid w:val="00630D6E"/>
    <w:rsid w:val="00630D71"/>
    <w:rsid w:val="00630D8A"/>
    <w:rsid w:val="00630DA5"/>
    <w:rsid w:val="00630F43"/>
    <w:rsid w:val="0063105D"/>
    <w:rsid w:val="00631079"/>
    <w:rsid w:val="00631224"/>
    <w:rsid w:val="0063136A"/>
    <w:rsid w:val="0063141E"/>
    <w:rsid w:val="00631451"/>
    <w:rsid w:val="0063147F"/>
    <w:rsid w:val="006314BE"/>
    <w:rsid w:val="006314E3"/>
    <w:rsid w:val="00631501"/>
    <w:rsid w:val="00631512"/>
    <w:rsid w:val="006315E9"/>
    <w:rsid w:val="0063163F"/>
    <w:rsid w:val="00631659"/>
    <w:rsid w:val="00631680"/>
    <w:rsid w:val="00631742"/>
    <w:rsid w:val="0063178A"/>
    <w:rsid w:val="00631818"/>
    <w:rsid w:val="006318A4"/>
    <w:rsid w:val="00631967"/>
    <w:rsid w:val="006319AD"/>
    <w:rsid w:val="00631A76"/>
    <w:rsid w:val="00631AED"/>
    <w:rsid w:val="00631BF6"/>
    <w:rsid w:val="00631C54"/>
    <w:rsid w:val="00631DEF"/>
    <w:rsid w:val="00631E0B"/>
    <w:rsid w:val="00631E16"/>
    <w:rsid w:val="00631F75"/>
    <w:rsid w:val="0063207A"/>
    <w:rsid w:val="006321F0"/>
    <w:rsid w:val="00632262"/>
    <w:rsid w:val="0063233D"/>
    <w:rsid w:val="006323F5"/>
    <w:rsid w:val="0063246E"/>
    <w:rsid w:val="00632505"/>
    <w:rsid w:val="006325B2"/>
    <w:rsid w:val="006325FD"/>
    <w:rsid w:val="0063275E"/>
    <w:rsid w:val="0063280A"/>
    <w:rsid w:val="00632871"/>
    <w:rsid w:val="00632933"/>
    <w:rsid w:val="006329CB"/>
    <w:rsid w:val="006329FC"/>
    <w:rsid w:val="00632AE6"/>
    <w:rsid w:val="00632B6C"/>
    <w:rsid w:val="00632FD7"/>
    <w:rsid w:val="00632FE8"/>
    <w:rsid w:val="006330AB"/>
    <w:rsid w:val="006330B8"/>
    <w:rsid w:val="00633153"/>
    <w:rsid w:val="00633198"/>
    <w:rsid w:val="006331AB"/>
    <w:rsid w:val="00633247"/>
    <w:rsid w:val="0063329A"/>
    <w:rsid w:val="006332FB"/>
    <w:rsid w:val="0063333E"/>
    <w:rsid w:val="00633342"/>
    <w:rsid w:val="00633378"/>
    <w:rsid w:val="006333B7"/>
    <w:rsid w:val="00633428"/>
    <w:rsid w:val="00633680"/>
    <w:rsid w:val="0063372F"/>
    <w:rsid w:val="00633788"/>
    <w:rsid w:val="006337FC"/>
    <w:rsid w:val="0063393F"/>
    <w:rsid w:val="00633ACF"/>
    <w:rsid w:val="00633AF9"/>
    <w:rsid w:val="00633B86"/>
    <w:rsid w:val="00633CAD"/>
    <w:rsid w:val="00633CC5"/>
    <w:rsid w:val="00633D28"/>
    <w:rsid w:val="00633D53"/>
    <w:rsid w:val="00633D8C"/>
    <w:rsid w:val="00633DC6"/>
    <w:rsid w:val="00633EFC"/>
    <w:rsid w:val="00634026"/>
    <w:rsid w:val="00634168"/>
    <w:rsid w:val="00634201"/>
    <w:rsid w:val="006342D1"/>
    <w:rsid w:val="006342FB"/>
    <w:rsid w:val="006343AD"/>
    <w:rsid w:val="00634429"/>
    <w:rsid w:val="00634431"/>
    <w:rsid w:val="00634434"/>
    <w:rsid w:val="00634484"/>
    <w:rsid w:val="006345E3"/>
    <w:rsid w:val="0063478B"/>
    <w:rsid w:val="0063491D"/>
    <w:rsid w:val="0063493A"/>
    <w:rsid w:val="006349E3"/>
    <w:rsid w:val="00634A30"/>
    <w:rsid w:val="00634B8A"/>
    <w:rsid w:val="00634BBF"/>
    <w:rsid w:val="00634BF6"/>
    <w:rsid w:val="00634C94"/>
    <w:rsid w:val="00634DF1"/>
    <w:rsid w:val="00634E30"/>
    <w:rsid w:val="00634E72"/>
    <w:rsid w:val="00634E9A"/>
    <w:rsid w:val="00634F43"/>
    <w:rsid w:val="0063517C"/>
    <w:rsid w:val="00635219"/>
    <w:rsid w:val="00635286"/>
    <w:rsid w:val="006352F9"/>
    <w:rsid w:val="006353B8"/>
    <w:rsid w:val="0063545A"/>
    <w:rsid w:val="006354A7"/>
    <w:rsid w:val="006354FD"/>
    <w:rsid w:val="00635562"/>
    <w:rsid w:val="0063557D"/>
    <w:rsid w:val="0063571E"/>
    <w:rsid w:val="00635820"/>
    <w:rsid w:val="0063583C"/>
    <w:rsid w:val="006358CF"/>
    <w:rsid w:val="006359E1"/>
    <w:rsid w:val="006359FB"/>
    <w:rsid w:val="00635A36"/>
    <w:rsid w:val="00635A46"/>
    <w:rsid w:val="00635A87"/>
    <w:rsid w:val="00635AB0"/>
    <w:rsid w:val="00635CD5"/>
    <w:rsid w:val="00635CF2"/>
    <w:rsid w:val="00635ED5"/>
    <w:rsid w:val="00635EEC"/>
    <w:rsid w:val="00635F72"/>
    <w:rsid w:val="00635F94"/>
    <w:rsid w:val="00635F9C"/>
    <w:rsid w:val="00636004"/>
    <w:rsid w:val="006360A4"/>
    <w:rsid w:val="00636152"/>
    <w:rsid w:val="006362F2"/>
    <w:rsid w:val="006363E6"/>
    <w:rsid w:val="0063646F"/>
    <w:rsid w:val="00636717"/>
    <w:rsid w:val="0063674A"/>
    <w:rsid w:val="006367D3"/>
    <w:rsid w:val="006367E4"/>
    <w:rsid w:val="0063687E"/>
    <w:rsid w:val="0063694C"/>
    <w:rsid w:val="00636A36"/>
    <w:rsid w:val="00636AAB"/>
    <w:rsid w:val="00636BBD"/>
    <w:rsid w:val="00636C23"/>
    <w:rsid w:val="00636DF7"/>
    <w:rsid w:val="00636E33"/>
    <w:rsid w:val="00636E78"/>
    <w:rsid w:val="00636F68"/>
    <w:rsid w:val="00636FD2"/>
    <w:rsid w:val="00636FDA"/>
    <w:rsid w:val="0063708D"/>
    <w:rsid w:val="006370C8"/>
    <w:rsid w:val="006370EB"/>
    <w:rsid w:val="00637157"/>
    <w:rsid w:val="00637192"/>
    <w:rsid w:val="006371E1"/>
    <w:rsid w:val="0063729B"/>
    <w:rsid w:val="006372A5"/>
    <w:rsid w:val="006372B9"/>
    <w:rsid w:val="00637313"/>
    <w:rsid w:val="0063735C"/>
    <w:rsid w:val="006374FE"/>
    <w:rsid w:val="0063752F"/>
    <w:rsid w:val="006375B0"/>
    <w:rsid w:val="006376A4"/>
    <w:rsid w:val="006376A6"/>
    <w:rsid w:val="0063775C"/>
    <w:rsid w:val="00637761"/>
    <w:rsid w:val="00637801"/>
    <w:rsid w:val="0063784C"/>
    <w:rsid w:val="00637897"/>
    <w:rsid w:val="006379FF"/>
    <w:rsid w:val="00637B92"/>
    <w:rsid w:val="00637D04"/>
    <w:rsid w:val="00637D41"/>
    <w:rsid w:val="00637D6F"/>
    <w:rsid w:val="0064015E"/>
    <w:rsid w:val="00640380"/>
    <w:rsid w:val="006404BA"/>
    <w:rsid w:val="00640548"/>
    <w:rsid w:val="00640562"/>
    <w:rsid w:val="00640585"/>
    <w:rsid w:val="00640624"/>
    <w:rsid w:val="00640637"/>
    <w:rsid w:val="0064066D"/>
    <w:rsid w:val="00640763"/>
    <w:rsid w:val="006409D9"/>
    <w:rsid w:val="006409ED"/>
    <w:rsid w:val="00640A2D"/>
    <w:rsid w:val="00640C94"/>
    <w:rsid w:val="00640CD6"/>
    <w:rsid w:val="00640D3A"/>
    <w:rsid w:val="00640D5F"/>
    <w:rsid w:val="00640DC0"/>
    <w:rsid w:val="00640DEA"/>
    <w:rsid w:val="00640E37"/>
    <w:rsid w:val="00640EB6"/>
    <w:rsid w:val="006410BA"/>
    <w:rsid w:val="006410E4"/>
    <w:rsid w:val="006410E7"/>
    <w:rsid w:val="006411C2"/>
    <w:rsid w:val="00641216"/>
    <w:rsid w:val="00641222"/>
    <w:rsid w:val="006412D0"/>
    <w:rsid w:val="0064140D"/>
    <w:rsid w:val="00641449"/>
    <w:rsid w:val="006414A4"/>
    <w:rsid w:val="00641536"/>
    <w:rsid w:val="006415A4"/>
    <w:rsid w:val="006415A5"/>
    <w:rsid w:val="0064160B"/>
    <w:rsid w:val="006416FD"/>
    <w:rsid w:val="00641760"/>
    <w:rsid w:val="006417A9"/>
    <w:rsid w:val="0064182D"/>
    <w:rsid w:val="00641844"/>
    <w:rsid w:val="006418A6"/>
    <w:rsid w:val="006418C9"/>
    <w:rsid w:val="00641912"/>
    <w:rsid w:val="00641A4A"/>
    <w:rsid w:val="00641A8A"/>
    <w:rsid w:val="00641B56"/>
    <w:rsid w:val="00641BC6"/>
    <w:rsid w:val="00641DAD"/>
    <w:rsid w:val="00641E4D"/>
    <w:rsid w:val="00641EBD"/>
    <w:rsid w:val="00641EC6"/>
    <w:rsid w:val="00641F11"/>
    <w:rsid w:val="00641F49"/>
    <w:rsid w:val="00641F96"/>
    <w:rsid w:val="00641FAB"/>
    <w:rsid w:val="00641FC4"/>
    <w:rsid w:val="00642043"/>
    <w:rsid w:val="006420C3"/>
    <w:rsid w:val="00642128"/>
    <w:rsid w:val="0064231B"/>
    <w:rsid w:val="006423F0"/>
    <w:rsid w:val="0064243F"/>
    <w:rsid w:val="0064256F"/>
    <w:rsid w:val="00642585"/>
    <w:rsid w:val="00642804"/>
    <w:rsid w:val="0064289F"/>
    <w:rsid w:val="006428F2"/>
    <w:rsid w:val="00642978"/>
    <w:rsid w:val="0064299D"/>
    <w:rsid w:val="00642C21"/>
    <w:rsid w:val="00642C9D"/>
    <w:rsid w:val="00642D3B"/>
    <w:rsid w:val="00642D43"/>
    <w:rsid w:val="00642DA1"/>
    <w:rsid w:val="00642EC1"/>
    <w:rsid w:val="00642EF4"/>
    <w:rsid w:val="00642EFD"/>
    <w:rsid w:val="0064329B"/>
    <w:rsid w:val="006432BE"/>
    <w:rsid w:val="006432DC"/>
    <w:rsid w:val="00643384"/>
    <w:rsid w:val="0064341A"/>
    <w:rsid w:val="00643448"/>
    <w:rsid w:val="0064357E"/>
    <w:rsid w:val="006435BC"/>
    <w:rsid w:val="00643790"/>
    <w:rsid w:val="006437E4"/>
    <w:rsid w:val="0064380E"/>
    <w:rsid w:val="0064384D"/>
    <w:rsid w:val="00643875"/>
    <w:rsid w:val="00643910"/>
    <w:rsid w:val="00643AA9"/>
    <w:rsid w:val="00643B5A"/>
    <w:rsid w:val="00643B9D"/>
    <w:rsid w:val="00643BC2"/>
    <w:rsid w:val="00643BEA"/>
    <w:rsid w:val="00643C84"/>
    <w:rsid w:val="00643E3C"/>
    <w:rsid w:val="00643EBB"/>
    <w:rsid w:val="00643F75"/>
    <w:rsid w:val="0064401A"/>
    <w:rsid w:val="006440DF"/>
    <w:rsid w:val="0064413C"/>
    <w:rsid w:val="006441CE"/>
    <w:rsid w:val="0064420D"/>
    <w:rsid w:val="00644283"/>
    <w:rsid w:val="00644288"/>
    <w:rsid w:val="006442B7"/>
    <w:rsid w:val="006442FF"/>
    <w:rsid w:val="006443A2"/>
    <w:rsid w:val="006443BC"/>
    <w:rsid w:val="00644506"/>
    <w:rsid w:val="00644532"/>
    <w:rsid w:val="00644535"/>
    <w:rsid w:val="00644640"/>
    <w:rsid w:val="00644647"/>
    <w:rsid w:val="006446C3"/>
    <w:rsid w:val="00644866"/>
    <w:rsid w:val="0064486B"/>
    <w:rsid w:val="00644AB5"/>
    <w:rsid w:val="00644BE3"/>
    <w:rsid w:val="00644D51"/>
    <w:rsid w:val="00644DB7"/>
    <w:rsid w:val="00644E39"/>
    <w:rsid w:val="00644F6B"/>
    <w:rsid w:val="00644F6C"/>
    <w:rsid w:val="00645029"/>
    <w:rsid w:val="00645057"/>
    <w:rsid w:val="006450F6"/>
    <w:rsid w:val="006451EA"/>
    <w:rsid w:val="00645284"/>
    <w:rsid w:val="006455BA"/>
    <w:rsid w:val="00645737"/>
    <w:rsid w:val="006458EA"/>
    <w:rsid w:val="00645955"/>
    <w:rsid w:val="00645A50"/>
    <w:rsid w:val="00645A9C"/>
    <w:rsid w:val="00645AEF"/>
    <w:rsid w:val="00645CAD"/>
    <w:rsid w:val="00645DCE"/>
    <w:rsid w:val="00645FBB"/>
    <w:rsid w:val="00646170"/>
    <w:rsid w:val="00646182"/>
    <w:rsid w:val="006462C2"/>
    <w:rsid w:val="006462E1"/>
    <w:rsid w:val="006463BD"/>
    <w:rsid w:val="0064640B"/>
    <w:rsid w:val="00646430"/>
    <w:rsid w:val="0064645F"/>
    <w:rsid w:val="006464CD"/>
    <w:rsid w:val="0064653C"/>
    <w:rsid w:val="006465EF"/>
    <w:rsid w:val="006466AD"/>
    <w:rsid w:val="006466EE"/>
    <w:rsid w:val="00646756"/>
    <w:rsid w:val="006467E1"/>
    <w:rsid w:val="006467FB"/>
    <w:rsid w:val="00646829"/>
    <w:rsid w:val="00646981"/>
    <w:rsid w:val="006469C2"/>
    <w:rsid w:val="006469E8"/>
    <w:rsid w:val="00646A66"/>
    <w:rsid w:val="00646A99"/>
    <w:rsid w:val="00646AD3"/>
    <w:rsid w:val="00646C43"/>
    <w:rsid w:val="00646C86"/>
    <w:rsid w:val="00646D8D"/>
    <w:rsid w:val="00646E6A"/>
    <w:rsid w:val="00646EF7"/>
    <w:rsid w:val="00646F4B"/>
    <w:rsid w:val="00647058"/>
    <w:rsid w:val="006470F5"/>
    <w:rsid w:val="00647287"/>
    <w:rsid w:val="0064760F"/>
    <w:rsid w:val="00647664"/>
    <w:rsid w:val="006476F2"/>
    <w:rsid w:val="006478AA"/>
    <w:rsid w:val="00647A13"/>
    <w:rsid w:val="00647D97"/>
    <w:rsid w:val="00647D9E"/>
    <w:rsid w:val="00647F56"/>
    <w:rsid w:val="00647FD5"/>
    <w:rsid w:val="00650010"/>
    <w:rsid w:val="00650200"/>
    <w:rsid w:val="00650214"/>
    <w:rsid w:val="0065021B"/>
    <w:rsid w:val="00650220"/>
    <w:rsid w:val="0065027A"/>
    <w:rsid w:val="006502AF"/>
    <w:rsid w:val="00650370"/>
    <w:rsid w:val="00650388"/>
    <w:rsid w:val="006503E6"/>
    <w:rsid w:val="0065042F"/>
    <w:rsid w:val="0065055F"/>
    <w:rsid w:val="00650670"/>
    <w:rsid w:val="006506B3"/>
    <w:rsid w:val="006506BC"/>
    <w:rsid w:val="006506C1"/>
    <w:rsid w:val="006506CA"/>
    <w:rsid w:val="00650989"/>
    <w:rsid w:val="00650A56"/>
    <w:rsid w:val="00650C60"/>
    <w:rsid w:val="00650C6C"/>
    <w:rsid w:val="00650D49"/>
    <w:rsid w:val="00650D6F"/>
    <w:rsid w:val="00650D85"/>
    <w:rsid w:val="00650DE9"/>
    <w:rsid w:val="00650F75"/>
    <w:rsid w:val="00650FB2"/>
    <w:rsid w:val="006510AA"/>
    <w:rsid w:val="0065129E"/>
    <w:rsid w:val="006512FF"/>
    <w:rsid w:val="00651355"/>
    <w:rsid w:val="00651632"/>
    <w:rsid w:val="00651682"/>
    <w:rsid w:val="00651694"/>
    <w:rsid w:val="006517EB"/>
    <w:rsid w:val="00651827"/>
    <w:rsid w:val="00651879"/>
    <w:rsid w:val="00651A22"/>
    <w:rsid w:val="00651A34"/>
    <w:rsid w:val="00651CBD"/>
    <w:rsid w:val="00651D1C"/>
    <w:rsid w:val="00651EE8"/>
    <w:rsid w:val="00651F32"/>
    <w:rsid w:val="00651F77"/>
    <w:rsid w:val="0065200D"/>
    <w:rsid w:val="006522B9"/>
    <w:rsid w:val="006522F8"/>
    <w:rsid w:val="006523EB"/>
    <w:rsid w:val="00652450"/>
    <w:rsid w:val="00652594"/>
    <w:rsid w:val="0065270A"/>
    <w:rsid w:val="006528C9"/>
    <w:rsid w:val="006528E4"/>
    <w:rsid w:val="00652955"/>
    <w:rsid w:val="00652ADB"/>
    <w:rsid w:val="00652B9C"/>
    <w:rsid w:val="00652D37"/>
    <w:rsid w:val="00652D62"/>
    <w:rsid w:val="00652F4A"/>
    <w:rsid w:val="00653112"/>
    <w:rsid w:val="00653155"/>
    <w:rsid w:val="00653222"/>
    <w:rsid w:val="006532B0"/>
    <w:rsid w:val="006532B6"/>
    <w:rsid w:val="006533C9"/>
    <w:rsid w:val="006533DD"/>
    <w:rsid w:val="0065346F"/>
    <w:rsid w:val="0065358F"/>
    <w:rsid w:val="006536E7"/>
    <w:rsid w:val="00653840"/>
    <w:rsid w:val="00653854"/>
    <w:rsid w:val="0065385A"/>
    <w:rsid w:val="006538A5"/>
    <w:rsid w:val="00653935"/>
    <w:rsid w:val="006539E2"/>
    <w:rsid w:val="00653A04"/>
    <w:rsid w:val="00653A34"/>
    <w:rsid w:val="00653A71"/>
    <w:rsid w:val="00653A8F"/>
    <w:rsid w:val="00653B8B"/>
    <w:rsid w:val="00653CE8"/>
    <w:rsid w:val="00653E1F"/>
    <w:rsid w:val="00653E20"/>
    <w:rsid w:val="00653F03"/>
    <w:rsid w:val="00653FD3"/>
    <w:rsid w:val="006541A7"/>
    <w:rsid w:val="006541B0"/>
    <w:rsid w:val="006541B7"/>
    <w:rsid w:val="006541DD"/>
    <w:rsid w:val="00654274"/>
    <w:rsid w:val="00654284"/>
    <w:rsid w:val="0065435A"/>
    <w:rsid w:val="00654402"/>
    <w:rsid w:val="006544FE"/>
    <w:rsid w:val="00654527"/>
    <w:rsid w:val="006545C1"/>
    <w:rsid w:val="006546B5"/>
    <w:rsid w:val="006547D7"/>
    <w:rsid w:val="00654800"/>
    <w:rsid w:val="00654827"/>
    <w:rsid w:val="006549B0"/>
    <w:rsid w:val="00654AA0"/>
    <w:rsid w:val="00654BA7"/>
    <w:rsid w:val="00654C1F"/>
    <w:rsid w:val="00654D9C"/>
    <w:rsid w:val="00654DFA"/>
    <w:rsid w:val="00654E2D"/>
    <w:rsid w:val="00654E38"/>
    <w:rsid w:val="0065504C"/>
    <w:rsid w:val="0065518E"/>
    <w:rsid w:val="0065527B"/>
    <w:rsid w:val="00655401"/>
    <w:rsid w:val="00655438"/>
    <w:rsid w:val="006554E7"/>
    <w:rsid w:val="0065555D"/>
    <w:rsid w:val="00655756"/>
    <w:rsid w:val="00655862"/>
    <w:rsid w:val="006558D8"/>
    <w:rsid w:val="00655A89"/>
    <w:rsid w:val="00655BCD"/>
    <w:rsid w:val="00655C21"/>
    <w:rsid w:val="00655C2D"/>
    <w:rsid w:val="00655C7F"/>
    <w:rsid w:val="00655DBB"/>
    <w:rsid w:val="00655DEA"/>
    <w:rsid w:val="00655F15"/>
    <w:rsid w:val="00655FFC"/>
    <w:rsid w:val="00656020"/>
    <w:rsid w:val="00656031"/>
    <w:rsid w:val="0065614D"/>
    <w:rsid w:val="00656170"/>
    <w:rsid w:val="0065618E"/>
    <w:rsid w:val="00656263"/>
    <w:rsid w:val="006563AB"/>
    <w:rsid w:val="00656453"/>
    <w:rsid w:val="00656454"/>
    <w:rsid w:val="006564AD"/>
    <w:rsid w:val="006565EE"/>
    <w:rsid w:val="006566A0"/>
    <w:rsid w:val="006566FB"/>
    <w:rsid w:val="0065671D"/>
    <w:rsid w:val="006567D5"/>
    <w:rsid w:val="006567D6"/>
    <w:rsid w:val="00656836"/>
    <w:rsid w:val="006568FC"/>
    <w:rsid w:val="006569DB"/>
    <w:rsid w:val="00656A15"/>
    <w:rsid w:val="00656A9E"/>
    <w:rsid w:val="00656AB3"/>
    <w:rsid w:val="00656ACD"/>
    <w:rsid w:val="00656C0F"/>
    <w:rsid w:val="00656C2A"/>
    <w:rsid w:val="00656DE9"/>
    <w:rsid w:val="00656E3E"/>
    <w:rsid w:val="00656EF5"/>
    <w:rsid w:val="00656F8A"/>
    <w:rsid w:val="00657033"/>
    <w:rsid w:val="0065717D"/>
    <w:rsid w:val="006572E5"/>
    <w:rsid w:val="0065739C"/>
    <w:rsid w:val="00657476"/>
    <w:rsid w:val="006574C1"/>
    <w:rsid w:val="006575E7"/>
    <w:rsid w:val="006576FD"/>
    <w:rsid w:val="00657703"/>
    <w:rsid w:val="00657707"/>
    <w:rsid w:val="0065793C"/>
    <w:rsid w:val="00657A3D"/>
    <w:rsid w:val="00657AB3"/>
    <w:rsid w:val="00657BB5"/>
    <w:rsid w:val="00657CF3"/>
    <w:rsid w:val="00657D65"/>
    <w:rsid w:val="00657E3A"/>
    <w:rsid w:val="0066003E"/>
    <w:rsid w:val="0066015E"/>
    <w:rsid w:val="00660241"/>
    <w:rsid w:val="00660269"/>
    <w:rsid w:val="0066027D"/>
    <w:rsid w:val="006602AD"/>
    <w:rsid w:val="0066043F"/>
    <w:rsid w:val="0066065E"/>
    <w:rsid w:val="006606F0"/>
    <w:rsid w:val="00660702"/>
    <w:rsid w:val="00660792"/>
    <w:rsid w:val="006608AC"/>
    <w:rsid w:val="00660A52"/>
    <w:rsid w:val="00660A68"/>
    <w:rsid w:val="00660B10"/>
    <w:rsid w:val="00660C0E"/>
    <w:rsid w:val="00660C16"/>
    <w:rsid w:val="00660CCA"/>
    <w:rsid w:val="00660E69"/>
    <w:rsid w:val="00660E6B"/>
    <w:rsid w:val="00660F97"/>
    <w:rsid w:val="00660FC0"/>
    <w:rsid w:val="00660FCA"/>
    <w:rsid w:val="00660FCB"/>
    <w:rsid w:val="0066102C"/>
    <w:rsid w:val="006610A1"/>
    <w:rsid w:val="006610E8"/>
    <w:rsid w:val="0066136F"/>
    <w:rsid w:val="00661419"/>
    <w:rsid w:val="00661461"/>
    <w:rsid w:val="006614AA"/>
    <w:rsid w:val="00661521"/>
    <w:rsid w:val="006615C3"/>
    <w:rsid w:val="0066176C"/>
    <w:rsid w:val="00661782"/>
    <w:rsid w:val="006617D1"/>
    <w:rsid w:val="006618A2"/>
    <w:rsid w:val="00661A1C"/>
    <w:rsid w:val="00661A25"/>
    <w:rsid w:val="00661AE3"/>
    <w:rsid w:val="00661BDF"/>
    <w:rsid w:val="00661DEA"/>
    <w:rsid w:val="00661E6B"/>
    <w:rsid w:val="00661E80"/>
    <w:rsid w:val="00661EA2"/>
    <w:rsid w:val="00661EF4"/>
    <w:rsid w:val="00661FCC"/>
    <w:rsid w:val="00661FF9"/>
    <w:rsid w:val="00662035"/>
    <w:rsid w:val="00662060"/>
    <w:rsid w:val="006620AD"/>
    <w:rsid w:val="00662140"/>
    <w:rsid w:val="006621E0"/>
    <w:rsid w:val="00662248"/>
    <w:rsid w:val="006622C2"/>
    <w:rsid w:val="00662423"/>
    <w:rsid w:val="0066242C"/>
    <w:rsid w:val="00662668"/>
    <w:rsid w:val="006627F0"/>
    <w:rsid w:val="0066283B"/>
    <w:rsid w:val="00662843"/>
    <w:rsid w:val="00662927"/>
    <w:rsid w:val="00662941"/>
    <w:rsid w:val="00662B10"/>
    <w:rsid w:val="00662B90"/>
    <w:rsid w:val="00662B93"/>
    <w:rsid w:val="00662B94"/>
    <w:rsid w:val="00662BB2"/>
    <w:rsid w:val="00662BD6"/>
    <w:rsid w:val="00662C38"/>
    <w:rsid w:val="00662C79"/>
    <w:rsid w:val="00662CFE"/>
    <w:rsid w:val="00662E3D"/>
    <w:rsid w:val="00662E6A"/>
    <w:rsid w:val="00662E81"/>
    <w:rsid w:val="00662FCC"/>
    <w:rsid w:val="00662FE6"/>
    <w:rsid w:val="00663002"/>
    <w:rsid w:val="0066308B"/>
    <w:rsid w:val="00663175"/>
    <w:rsid w:val="0066336F"/>
    <w:rsid w:val="006633A0"/>
    <w:rsid w:val="006633C5"/>
    <w:rsid w:val="0066347A"/>
    <w:rsid w:val="006634C1"/>
    <w:rsid w:val="006636A9"/>
    <w:rsid w:val="00663947"/>
    <w:rsid w:val="00663978"/>
    <w:rsid w:val="00663AEA"/>
    <w:rsid w:val="00663FA8"/>
    <w:rsid w:val="00663FD7"/>
    <w:rsid w:val="0066407A"/>
    <w:rsid w:val="00664093"/>
    <w:rsid w:val="00664113"/>
    <w:rsid w:val="0066413C"/>
    <w:rsid w:val="00664153"/>
    <w:rsid w:val="0066429F"/>
    <w:rsid w:val="006642C2"/>
    <w:rsid w:val="006642E0"/>
    <w:rsid w:val="0066438E"/>
    <w:rsid w:val="00664394"/>
    <w:rsid w:val="006643A1"/>
    <w:rsid w:val="006643B8"/>
    <w:rsid w:val="0066448A"/>
    <w:rsid w:val="00664596"/>
    <w:rsid w:val="006645ED"/>
    <w:rsid w:val="006646E4"/>
    <w:rsid w:val="0066474F"/>
    <w:rsid w:val="006647C0"/>
    <w:rsid w:val="0066483D"/>
    <w:rsid w:val="006648F5"/>
    <w:rsid w:val="0066492A"/>
    <w:rsid w:val="006649F7"/>
    <w:rsid w:val="00664A31"/>
    <w:rsid w:val="00664A5D"/>
    <w:rsid w:val="00664A66"/>
    <w:rsid w:val="00664A98"/>
    <w:rsid w:val="00664AE8"/>
    <w:rsid w:val="00664B5F"/>
    <w:rsid w:val="00664BF7"/>
    <w:rsid w:val="00664CFE"/>
    <w:rsid w:val="00664D81"/>
    <w:rsid w:val="00664E04"/>
    <w:rsid w:val="00664EF7"/>
    <w:rsid w:val="00664F93"/>
    <w:rsid w:val="006650BC"/>
    <w:rsid w:val="006651BD"/>
    <w:rsid w:val="0066520B"/>
    <w:rsid w:val="00665284"/>
    <w:rsid w:val="0066549D"/>
    <w:rsid w:val="0066556E"/>
    <w:rsid w:val="0066557C"/>
    <w:rsid w:val="00665585"/>
    <w:rsid w:val="00665598"/>
    <w:rsid w:val="006655EB"/>
    <w:rsid w:val="00665687"/>
    <w:rsid w:val="00665698"/>
    <w:rsid w:val="00665731"/>
    <w:rsid w:val="0066577E"/>
    <w:rsid w:val="0066578A"/>
    <w:rsid w:val="0066588A"/>
    <w:rsid w:val="0066594A"/>
    <w:rsid w:val="00665977"/>
    <w:rsid w:val="00665AB4"/>
    <w:rsid w:val="00665B15"/>
    <w:rsid w:val="00665B9E"/>
    <w:rsid w:val="00665C06"/>
    <w:rsid w:val="00665C14"/>
    <w:rsid w:val="00665C1A"/>
    <w:rsid w:val="00665C3C"/>
    <w:rsid w:val="00665C61"/>
    <w:rsid w:val="00665C8A"/>
    <w:rsid w:val="00665CCD"/>
    <w:rsid w:val="00665D35"/>
    <w:rsid w:val="00665D60"/>
    <w:rsid w:val="00665DF4"/>
    <w:rsid w:val="00665E0A"/>
    <w:rsid w:val="00666141"/>
    <w:rsid w:val="006661A0"/>
    <w:rsid w:val="0066629C"/>
    <w:rsid w:val="0066632B"/>
    <w:rsid w:val="006663C7"/>
    <w:rsid w:val="006663F9"/>
    <w:rsid w:val="006664CA"/>
    <w:rsid w:val="0066667B"/>
    <w:rsid w:val="00666697"/>
    <w:rsid w:val="0066675E"/>
    <w:rsid w:val="006667E9"/>
    <w:rsid w:val="00666833"/>
    <w:rsid w:val="0066683F"/>
    <w:rsid w:val="0066689E"/>
    <w:rsid w:val="006668B8"/>
    <w:rsid w:val="006668D3"/>
    <w:rsid w:val="00666911"/>
    <w:rsid w:val="0066693A"/>
    <w:rsid w:val="006669D4"/>
    <w:rsid w:val="006669D7"/>
    <w:rsid w:val="00666B56"/>
    <w:rsid w:val="00666B8E"/>
    <w:rsid w:val="00666B95"/>
    <w:rsid w:val="00666BA9"/>
    <w:rsid w:val="00666C49"/>
    <w:rsid w:val="00666CDC"/>
    <w:rsid w:val="00666F4E"/>
    <w:rsid w:val="00666F51"/>
    <w:rsid w:val="00667009"/>
    <w:rsid w:val="0066705B"/>
    <w:rsid w:val="00667078"/>
    <w:rsid w:val="006671A0"/>
    <w:rsid w:val="006671BD"/>
    <w:rsid w:val="0066728C"/>
    <w:rsid w:val="006672B4"/>
    <w:rsid w:val="006672C5"/>
    <w:rsid w:val="006672CE"/>
    <w:rsid w:val="006672E1"/>
    <w:rsid w:val="0066733F"/>
    <w:rsid w:val="006673E0"/>
    <w:rsid w:val="006673E8"/>
    <w:rsid w:val="0066743C"/>
    <w:rsid w:val="0066754D"/>
    <w:rsid w:val="006675C1"/>
    <w:rsid w:val="00667845"/>
    <w:rsid w:val="0066791A"/>
    <w:rsid w:val="0066791F"/>
    <w:rsid w:val="00667A90"/>
    <w:rsid w:val="00667AF8"/>
    <w:rsid w:val="00667C5B"/>
    <w:rsid w:val="00667CBC"/>
    <w:rsid w:val="00667CF3"/>
    <w:rsid w:val="00667D4D"/>
    <w:rsid w:val="00667E7C"/>
    <w:rsid w:val="00667EE7"/>
    <w:rsid w:val="00667FDD"/>
    <w:rsid w:val="00670026"/>
    <w:rsid w:val="00670151"/>
    <w:rsid w:val="00670240"/>
    <w:rsid w:val="0067032A"/>
    <w:rsid w:val="00670395"/>
    <w:rsid w:val="00670445"/>
    <w:rsid w:val="00670474"/>
    <w:rsid w:val="006704D4"/>
    <w:rsid w:val="00670581"/>
    <w:rsid w:val="006705C3"/>
    <w:rsid w:val="006705F4"/>
    <w:rsid w:val="00670679"/>
    <w:rsid w:val="006706B7"/>
    <w:rsid w:val="006706BF"/>
    <w:rsid w:val="006708CD"/>
    <w:rsid w:val="00670906"/>
    <w:rsid w:val="00670ADF"/>
    <w:rsid w:val="00670C79"/>
    <w:rsid w:val="00670D8E"/>
    <w:rsid w:val="00670DD3"/>
    <w:rsid w:val="00670E3F"/>
    <w:rsid w:val="00670E5D"/>
    <w:rsid w:val="00670EB9"/>
    <w:rsid w:val="00670EF3"/>
    <w:rsid w:val="00670F26"/>
    <w:rsid w:val="00670F67"/>
    <w:rsid w:val="00670F81"/>
    <w:rsid w:val="00670F92"/>
    <w:rsid w:val="00671081"/>
    <w:rsid w:val="006710F7"/>
    <w:rsid w:val="00671283"/>
    <w:rsid w:val="00671579"/>
    <w:rsid w:val="0067168E"/>
    <w:rsid w:val="00671927"/>
    <w:rsid w:val="00671A19"/>
    <w:rsid w:val="00671CF4"/>
    <w:rsid w:val="00671DEE"/>
    <w:rsid w:val="00671EC0"/>
    <w:rsid w:val="00672108"/>
    <w:rsid w:val="0067218C"/>
    <w:rsid w:val="006721B4"/>
    <w:rsid w:val="006721E9"/>
    <w:rsid w:val="00672275"/>
    <w:rsid w:val="006722D3"/>
    <w:rsid w:val="00672300"/>
    <w:rsid w:val="006723CC"/>
    <w:rsid w:val="0067255F"/>
    <w:rsid w:val="00672581"/>
    <w:rsid w:val="006725E5"/>
    <w:rsid w:val="00672693"/>
    <w:rsid w:val="006726E1"/>
    <w:rsid w:val="006727E9"/>
    <w:rsid w:val="00672950"/>
    <w:rsid w:val="00672986"/>
    <w:rsid w:val="00672A23"/>
    <w:rsid w:val="00672A4D"/>
    <w:rsid w:val="00672B07"/>
    <w:rsid w:val="00672B33"/>
    <w:rsid w:val="00672B4A"/>
    <w:rsid w:val="00672C51"/>
    <w:rsid w:val="00672C6F"/>
    <w:rsid w:val="00672D3A"/>
    <w:rsid w:val="00672D7D"/>
    <w:rsid w:val="00672D96"/>
    <w:rsid w:val="00672DCA"/>
    <w:rsid w:val="00672EE7"/>
    <w:rsid w:val="00672F8A"/>
    <w:rsid w:val="00672F92"/>
    <w:rsid w:val="00673251"/>
    <w:rsid w:val="00673299"/>
    <w:rsid w:val="006732AC"/>
    <w:rsid w:val="006732B1"/>
    <w:rsid w:val="006733A8"/>
    <w:rsid w:val="00673448"/>
    <w:rsid w:val="0067348E"/>
    <w:rsid w:val="006734F4"/>
    <w:rsid w:val="00673620"/>
    <w:rsid w:val="00673682"/>
    <w:rsid w:val="00673704"/>
    <w:rsid w:val="00673723"/>
    <w:rsid w:val="00673726"/>
    <w:rsid w:val="006737E1"/>
    <w:rsid w:val="006738F3"/>
    <w:rsid w:val="00673938"/>
    <w:rsid w:val="00673B68"/>
    <w:rsid w:val="00673C82"/>
    <w:rsid w:val="00674139"/>
    <w:rsid w:val="0067413C"/>
    <w:rsid w:val="00674299"/>
    <w:rsid w:val="006742AE"/>
    <w:rsid w:val="0067433B"/>
    <w:rsid w:val="0067459A"/>
    <w:rsid w:val="006745F0"/>
    <w:rsid w:val="00674640"/>
    <w:rsid w:val="00674814"/>
    <w:rsid w:val="00674A6E"/>
    <w:rsid w:val="00674AC8"/>
    <w:rsid w:val="00674B34"/>
    <w:rsid w:val="00674DE7"/>
    <w:rsid w:val="00674E53"/>
    <w:rsid w:val="00674E66"/>
    <w:rsid w:val="00674F46"/>
    <w:rsid w:val="0067502A"/>
    <w:rsid w:val="006750F4"/>
    <w:rsid w:val="00675260"/>
    <w:rsid w:val="006752F5"/>
    <w:rsid w:val="0067530A"/>
    <w:rsid w:val="0067538E"/>
    <w:rsid w:val="00675660"/>
    <w:rsid w:val="00675813"/>
    <w:rsid w:val="006758EF"/>
    <w:rsid w:val="00675935"/>
    <w:rsid w:val="00675977"/>
    <w:rsid w:val="006759C6"/>
    <w:rsid w:val="006759E3"/>
    <w:rsid w:val="00675A5B"/>
    <w:rsid w:val="00675A7E"/>
    <w:rsid w:val="00675A88"/>
    <w:rsid w:val="00675B08"/>
    <w:rsid w:val="00675BC1"/>
    <w:rsid w:val="00675C0E"/>
    <w:rsid w:val="00675C4A"/>
    <w:rsid w:val="00675C80"/>
    <w:rsid w:val="00675C8D"/>
    <w:rsid w:val="00675E16"/>
    <w:rsid w:val="00675E9A"/>
    <w:rsid w:val="00675EE0"/>
    <w:rsid w:val="00676094"/>
    <w:rsid w:val="00676123"/>
    <w:rsid w:val="00676317"/>
    <w:rsid w:val="00676367"/>
    <w:rsid w:val="00676474"/>
    <w:rsid w:val="006765B9"/>
    <w:rsid w:val="006766CE"/>
    <w:rsid w:val="00676898"/>
    <w:rsid w:val="00676951"/>
    <w:rsid w:val="00676A15"/>
    <w:rsid w:val="00676AA5"/>
    <w:rsid w:val="00676B01"/>
    <w:rsid w:val="00676B0E"/>
    <w:rsid w:val="00676BED"/>
    <w:rsid w:val="00676CE1"/>
    <w:rsid w:val="00676D52"/>
    <w:rsid w:val="00676E6E"/>
    <w:rsid w:val="00676EFA"/>
    <w:rsid w:val="00676F48"/>
    <w:rsid w:val="00677022"/>
    <w:rsid w:val="006770C6"/>
    <w:rsid w:val="00677124"/>
    <w:rsid w:val="00677132"/>
    <w:rsid w:val="006771E4"/>
    <w:rsid w:val="006771EE"/>
    <w:rsid w:val="006772AB"/>
    <w:rsid w:val="0067739D"/>
    <w:rsid w:val="006773B6"/>
    <w:rsid w:val="00677407"/>
    <w:rsid w:val="0067740C"/>
    <w:rsid w:val="00677427"/>
    <w:rsid w:val="0067749C"/>
    <w:rsid w:val="0067749D"/>
    <w:rsid w:val="0067756B"/>
    <w:rsid w:val="006776F9"/>
    <w:rsid w:val="0067770B"/>
    <w:rsid w:val="006777A5"/>
    <w:rsid w:val="006777E5"/>
    <w:rsid w:val="00677867"/>
    <w:rsid w:val="006778DB"/>
    <w:rsid w:val="00677930"/>
    <w:rsid w:val="0067796F"/>
    <w:rsid w:val="006779A1"/>
    <w:rsid w:val="00677A5C"/>
    <w:rsid w:val="00677B06"/>
    <w:rsid w:val="00677B7A"/>
    <w:rsid w:val="00677C16"/>
    <w:rsid w:val="00677CDF"/>
    <w:rsid w:val="00677E65"/>
    <w:rsid w:val="00677E66"/>
    <w:rsid w:val="00677EF1"/>
    <w:rsid w:val="00677EFA"/>
    <w:rsid w:val="00677F4D"/>
    <w:rsid w:val="006802A9"/>
    <w:rsid w:val="006802FA"/>
    <w:rsid w:val="00680444"/>
    <w:rsid w:val="0068050F"/>
    <w:rsid w:val="00680609"/>
    <w:rsid w:val="0068061C"/>
    <w:rsid w:val="006806B2"/>
    <w:rsid w:val="0068076D"/>
    <w:rsid w:val="00680790"/>
    <w:rsid w:val="006808F4"/>
    <w:rsid w:val="00680912"/>
    <w:rsid w:val="0068096D"/>
    <w:rsid w:val="006809A9"/>
    <w:rsid w:val="006809AE"/>
    <w:rsid w:val="00680A72"/>
    <w:rsid w:val="00680A9C"/>
    <w:rsid w:val="00680AD2"/>
    <w:rsid w:val="00680B57"/>
    <w:rsid w:val="00680CC2"/>
    <w:rsid w:val="00680CEC"/>
    <w:rsid w:val="00680CFA"/>
    <w:rsid w:val="00680D84"/>
    <w:rsid w:val="00680E29"/>
    <w:rsid w:val="00680F6B"/>
    <w:rsid w:val="00680FE3"/>
    <w:rsid w:val="00681053"/>
    <w:rsid w:val="0068105F"/>
    <w:rsid w:val="006810B9"/>
    <w:rsid w:val="0068113E"/>
    <w:rsid w:val="006812B9"/>
    <w:rsid w:val="006812BF"/>
    <w:rsid w:val="006812C2"/>
    <w:rsid w:val="00681387"/>
    <w:rsid w:val="0068141D"/>
    <w:rsid w:val="00681712"/>
    <w:rsid w:val="00681814"/>
    <w:rsid w:val="0068188E"/>
    <w:rsid w:val="006818E5"/>
    <w:rsid w:val="00681A8C"/>
    <w:rsid w:val="00681AC6"/>
    <w:rsid w:val="00681CA1"/>
    <w:rsid w:val="00681CE8"/>
    <w:rsid w:val="00681D3B"/>
    <w:rsid w:val="00681D4F"/>
    <w:rsid w:val="00681DCF"/>
    <w:rsid w:val="00681EC6"/>
    <w:rsid w:val="00681F2B"/>
    <w:rsid w:val="0068200C"/>
    <w:rsid w:val="00682012"/>
    <w:rsid w:val="0068209E"/>
    <w:rsid w:val="006820A4"/>
    <w:rsid w:val="006821C6"/>
    <w:rsid w:val="00682367"/>
    <w:rsid w:val="00682409"/>
    <w:rsid w:val="00682452"/>
    <w:rsid w:val="00682549"/>
    <w:rsid w:val="00682577"/>
    <w:rsid w:val="00682601"/>
    <w:rsid w:val="00682649"/>
    <w:rsid w:val="00682699"/>
    <w:rsid w:val="006826A9"/>
    <w:rsid w:val="006826F8"/>
    <w:rsid w:val="00682779"/>
    <w:rsid w:val="006827CA"/>
    <w:rsid w:val="00682831"/>
    <w:rsid w:val="00682940"/>
    <w:rsid w:val="0068295E"/>
    <w:rsid w:val="00682A45"/>
    <w:rsid w:val="00682AC3"/>
    <w:rsid w:val="00682AF8"/>
    <w:rsid w:val="00682BC8"/>
    <w:rsid w:val="00682C96"/>
    <w:rsid w:val="00682FE5"/>
    <w:rsid w:val="00683015"/>
    <w:rsid w:val="00683095"/>
    <w:rsid w:val="0068357B"/>
    <w:rsid w:val="00683596"/>
    <w:rsid w:val="006835B9"/>
    <w:rsid w:val="0068371D"/>
    <w:rsid w:val="00683749"/>
    <w:rsid w:val="006838E5"/>
    <w:rsid w:val="006839DC"/>
    <w:rsid w:val="00683A5A"/>
    <w:rsid w:val="00683B9C"/>
    <w:rsid w:val="00683C63"/>
    <w:rsid w:val="00683C6D"/>
    <w:rsid w:val="00683CEE"/>
    <w:rsid w:val="00683D1D"/>
    <w:rsid w:val="00683DD0"/>
    <w:rsid w:val="00683DDA"/>
    <w:rsid w:val="00683E87"/>
    <w:rsid w:val="00683EB4"/>
    <w:rsid w:val="00684076"/>
    <w:rsid w:val="00684089"/>
    <w:rsid w:val="006840E3"/>
    <w:rsid w:val="0068415E"/>
    <w:rsid w:val="006841D0"/>
    <w:rsid w:val="0068428C"/>
    <w:rsid w:val="00684387"/>
    <w:rsid w:val="006843C0"/>
    <w:rsid w:val="0068444C"/>
    <w:rsid w:val="006844AF"/>
    <w:rsid w:val="006844BB"/>
    <w:rsid w:val="006844F0"/>
    <w:rsid w:val="00684583"/>
    <w:rsid w:val="00684657"/>
    <w:rsid w:val="00684739"/>
    <w:rsid w:val="00684791"/>
    <w:rsid w:val="00684806"/>
    <w:rsid w:val="0068482E"/>
    <w:rsid w:val="00684885"/>
    <w:rsid w:val="006848C1"/>
    <w:rsid w:val="00684AE6"/>
    <w:rsid w:val="00684D18"/>
    <w:rsid w:val="00684E04"/>
    <w:rsid w:val="00684E10"/>
    <w:rsid w:val="00684F25"/>
    <w:rsid w:val="00684F2B"/>
    <w:rsid w:val="0068503F"/>
    <w:rsid w:val="006851A9"/>
    <w:rsid w:val="006851AD"/>
    <w:rsid w:val="0068521D"/>
    <w:rsid w:val="006852D2"/>
    <w:rsid w:val="00685375"/>
    <w:rsid w:val="006853D4"/>
    <w:rsid w:val="006853F1"/>
    <w:rsid w:val="006855C6"/>
    <w:rsid w:val="00685757"/>
    <w:rsid w:val="00685776"/>
    <w:rsid w:val="00685790"/>
    <w:rsid w:val="006857FF"/>
    <w:rsid w:val="00685AA2"/>
    <w:rsid w:val="00685B15"/>
    <w:rsid w:val="00685C04"/>
    <w:rsid w:val="00685C86"/>
    <w:rsid w:val="00685DA8"/>
    <w:rsid w:val="00685E5A"/>
    <w:rsid w:val="00685E82"/>
    <w:rsid w:val="00685F33"/>
    <w:rsid w:val="00686056"/>
    <w:rsid w:val="00686067"/>
    <w:rsid w:val="00686098"/>
    <w:rsid w:val="006860C9"/>
    <w:rsid w:val="0068610A"/>
    <w:rsid w:val="0068616C"/>
    <w:rsid w:val="00686211"/>
    <w:rsid w:val="0068627B"/>
    <w:rsid w:val="0068631A"/>
    <w:rsid w:val="0068632E"/>
    <w:rsid w:val="00686521"/>
    <w:rsid w:val="00686637"/>
    <w:rsid w:val="0068682A"/>
    <w:rsid w:val="0068684E"/>
    <w:rsid w:val="00686903"/>
    <w:rsid w:val="00686950"/>
    <w:rsid w:val="00686AC7"/>
    <w:rsid w:val="00686B66"/>
    <w:rsid w:val="00686C41"/>
    <w:rsid w:val="00686CA9"/>
    <w:rsid w:val="00686CC8"/>
    <w:rsid w:val="00686D58"/>
    <w:rsid w:val="00686E3D"/>
    <w:rsid w:val="00686F3C"/>
    <w:rsid w:val="00686F3E"/>
    <w:rsid w:val="00686FC0"/>
    <w:rsid w:val="00687033"/>
    <w:rsid w:val="006870B4"/>
    <w:rsid w:val="006870C3"/>
    <w:rsid w:val="00687283"/>
    <w:rsid w:val="006873B3"/>
    <w:rsid w:val="006873BD"/>
    <w:rsid w:val="006874BE"/>
    <w:rsid w:val="006876F7"/>
    <w:rsid w:val="006877C2"/>
    <w:rsid w:val="00687862"/>
    <w:rsid w:val="00687875"/>
    <w:rsid w:val="0068795C"/>
    <w:rsid w:val="006879D9"/>
    <w:rsid w:val="00687BBA"/>
    <w:rsid w:val="00687C76"/>
    <w:rsid w:val="00687CDE"/>
    <w:rsid w:val="00687E30"/>
    <w:rsid w:val="00687ED9"/>
    <w:rsid w:val="00687EE9"/>
    <w:rsid w:val="00687EEC"/>
    <w:rsid w:val="00687EF5"/>
    <w:rsid w:val="00687F9A"/>
    <w:rsid w:val="00687FC5"/>
    <w:rsid w:val="00687FE2"/>
    <w:rsid w:val="006900BF"/>
    <w:rsid w:val="0069013C"/>
    <w:rsid w:val="006902F2"/>
    <w:rsid w:val="00690311"/>
    <w:rsid w:val="00690322"/>
    <w:rsid w:val="006903A2"/>
    <w:rsid w:val="00690523"/>
    <w:rsid w:val="0069056A"/>
    <w:rsid w:val="00690823"/>
    <w:rsid w:val="00690828"/>
    <w:rsid w:val="006908FD"/>
    <w:rsid w:val="00690987"/>
    <w:rsid w:val="006909B2"/>
    <w:rsid w:val="00690A57"/>
    <w:rsid w:val="00690A9A"/>
    <w:rsid w:val="00690B13"/>
    <w:rsid w:val="00690BE4"/>
    <w:rsid w:val="00690C65"/>
    <w:rsid w:val="00690CB3"/>
    <w:rsid w:val="00690DB3"/>
    <w:rsid w:val="00690E27"/>
    <w:rsid w:val="00691099"/>
    <w:rsid w:val="006911DD"/>
    <w:rsid w:val="006914DA"/>
    <w:rsid w:val="00691513"/>
    <w:rsid w:val="0069153D"/>
    <w:rsid w:val="006916AC"/>
    <w:rsid w:val="00691825"/>
    <w:rsid w:val="0069185F"/>
    <w:rsid w:val="0069191B"/>
    <w:rsid w:val="00691956"/>
    <w:rsid w:val="006919B1"/>
    <w:rsid w:val="006919D1"/>
    <w:rsid w:val="00691A18"/>
    <w:rsid w:val="00691A96"/>
    <w:rsid w:val="00691BBF"/>
    <w:rsid w:val="00691BC4"/>
    <w:rsid w:val="00691BD8"/>
    <w:rsid w:val="00691C32"/>
    <w:rsid w:val="00691CA3"/>
    <w:rsid w:val="00691CE9"/>
    <w:rsid w:val="00691D23"/>
    <w:rsid w:val="00691E61"/>
    <w:rsid w:val="00691F8A"/>
    <w:rsid w:val="00691FC7"/>
    <w:rsid w:val="00692020"/>
    <w:rsid w:val="0069204B"/>
    <w:rsid w:val="0069213B"/>
    <w:rsid w:val="00692158"/>
    <w:rsid w:val="00692245"/>
    <w:rsid w:val="006922BE"/>
    <w:rsid w:val="00692326"/>
    <w:rsid w:val="006923B7"/>
    <w:rsid w:val="0069244D"/>
    <w:rsid w:val="0069249C"/>
    <w:rsid w:val="00692532"/>
    <w:rsid w:val="0069266B"/>
    <w:rsid w:val="006926E9"/>
    <w:rsid w:val="0069278E"/>
    <w:rsid w:val="0069288D"/>
    <w:rsid w:val="006928E7"/>
    <w:rsid w:val="00692901"/>
    <w:rsid w:val="006929F3"/>
    <w:rsid w:val="006929FA"/>
    <w:rsid w:val="00692AA8"/>
    <w:rsid w:val="00692AAD"/>
    <w:rsid w:val="00692C8F"/>
    <w:rsid w:val="00692CC0"/>
    <w:rsid w:val="00692D1C"/>
    <w:rsid w:val="00692DB1"/>
    <w:rsid w:val="00692DF6"/>
    <w:rsid w:val="00692F88"/>
    <w:rsid w:val="0069302B"/>
    <w:rsid w:val="00693049"/>
    <w:rsid w:val="0069319D"/>
    <w:rsid w:val="006931C4"/>
    <w:rsid w:val="00693200"/>
    <w:rsid w:val="006932A8"/>
    <w:rsid w:val="006932DD"/>
    <w:rsid w:val="00693332"/>
    <w:rsid w:val="00693454"/>
    <w:rsid w:val="0069354F"/>
    <w:rsid w:val="0069359F"/>
    <w:rsid w:val="0069365C"/>
    <w:rsid w:val="00693745"/>
    <w:rsid w:val="006937BE"/>
    <w:rsid w:val="006937CE"/>
    <w:rsid w:val="006937F8"/>
    <w:rsid w:val="0069397D"/>
    <w:rsid w:val="00693A18"/>
    <w:rsid w:val="00693A69"/>
    <w:rsid w:val="00693A8E"/>
    <w:rsid w:val="00693AEF"/>
    <w:rsid w:val="00693B28"/>
    <w:rsid w:val="00693C1B"/>
    <w:rsid w:val="00693CFD"/>
    <w:rsid w:val="00693D2F"/>
    <w:rsid w:val="00693DDD"/>
    <w:rsid w:val="00693EE3"/>
    <w:rsid w:val="00693F3B"/>
    <w:rsid w:val="00693FAD"/>
    <w:rsid w:val="00693FCD"/>
    <w:rsid w:val="0069404F"/>
    <w:rsid w:val="00694119"/>
    <w:rsid w:val="00694133"/>
    <w:rsid w:val="00694332"/>
    <w:rsid w:val="0069457A"/>
    <w:rsid w:val="00694746"/>
    <w:rsid w:val="00694787"/>
    <w:rsid w:val="0069485D"/>
    <w:rsid w:val="006948A7"/>
    <w:rsid w:val="0069496B"/>
    <w:rsid w:val="00694984"/>
    <w:rsid w:val="00694995"/>
    <w:rsid w:val="00694A24"/>
    <w:rsid w:val="00694A76"/>
    <w:rsid w:val="00694AB7"/>
    <w:rsid w:val="00694DA4"/>
    <w:rsid w:val="00694DEC"/>
    <w:rsid w:val="00694E04"/>
    <w:rsid w:val="00694EA5"/>
    <w:rsid w:val="006950CB"/>
    <w:rsid w:val="006950CD"/>
    <w:rsid w:val="00695147"/>
    <w:rsid w:val="00695156"/>
    <w:rsid w:val="006951C9"/>
    <w:rsid w:val="006952E0"/>
    <w:rsid w:val="0069534A"/>
    <w:rsid w:val="00695441"/>
    <w:rsid w:val="00695465"/>
    <w:rsid w:val="006954A0"/>
    <w:rsid w:val="00695628"/>
    <w:rsid w:val="00695749"/>
    <w:rsid w:val="0069577F"/>
    <w:rsid w:val="006957DD"/>
    <w:rsid w:val="006958A1"/>
    <w:rsid w:val="006958A4"/>
    <w:rsid w:val="006958A9"/>
    <w:rsid w:val="006958DF"/>
    <w:rsid w:val="0069592B"/>
    <w:rsid w:val="0069597D"/>
    <w:rsid w:val="00695A51"/>
    <w:rsid w:val="00695A74"/>
    <w:rsid w:val="00695A90"/>
    <w:rsid w:val="00695AE3"/>
    <w:rsid w:val="00695B6D"/>
    <w:rsid w:val="00695B8C"/>
    <w:rsid w:val="00695BFB"/>
    <w:rsid w:val="00695C0B"/>
    <w:rsid w:val="00695D0E"/>
    <w:rsid w:val="00695EC8"/>
    <w:rsid w:val="00695EFD"/>
    <w:rsid w:val="00695FAA"/>
    <w:rsid w:val="00695FEE"/>
    <w:rsid w:val="0069609F"/>
    <w:rsid w:val="00696110"/>
    <w:rsid w:val="00696113"/>
    <w:rsid w:val="0069616A"/>
    <w:rsid w:val="00696194"/>
    <w:rsid w:val="006961AE"/>
    <w:rsid w:val="0069627D"/>
    <w:rsid w:val="00696465"/>
    <w:rsid w:val="00696557"/>
    <w:rsid w:val="00696655"/>
    <w:rsid w:val="00696770"/>
    <w:rsid w:val="00696849"/>
    <w:rsid w:val="00696BCD"/>
    <w:rsid w:val="00696BD8"/>
    <w:rsid w:val="00696BF3"/>
    <w:rsid w:val="00696C37"/>
    <w:rsid w:val="00696C8D"/>
    <w:rsid w:val="00696F38"/>
    <w:rsid w:val="00696F4F"/>
    <w:rsid w:val="0069708B"/>
    <w:rsid w:val="006970EF"/>
    <w:rsid w:val="006971A8"/>
    <w:rsid w:val="00697356"/>
    <w:rsid w:val="0069736F"/>
    <w:rsid w:val="00697457"/>
    <w:rsid w:val="0069745E"/>
    <w:rsid w:val="00697488"/>
    <w:rsid w:val="00697662"/>
    <w:rsid w:val="006976CB"/>
    <w:rsid w:val="006976CC"/>
    <w:rsid w:val="006976D6"/>
    <w:rsid w:val="006976E8"/>
    <w:rsid w:val="0069774D"/>
    <w:rsid w:val="0069793C"/>
    <w:rsid w:val="0069799B"/>
    <w:rsid w:val="006979A2"/>
    <w:rsid w:val="00697B12"/>
    <w:rsid w:val="00697B45"/>
    <w:rsid w:val="00697CBD"/>
    <w:rsid w:val="00697CD0"/>
    <w:rsid w:val="00697D10"/>
    <w:rsid w:val="00697D65"/>
    <w:rsid w:val="00697DD2"/>
    <w:rsid w:val="006A00B5"/>
    <w:rsid w:val="006A00B8"/>
    <w:rsid w:val="006A012D"/>
    <w:rsid w:val="006A01B0"/>
    <w:rsid w:val="006A0204"/>
    <w:rsid w:val="006A0217"/>
    <w:rsid w:val="006A0244"/>
    <w:rsid w:val="006A02B8"/>
    <w:rsid w:val="006A02F8"/>
    <w:rsid w:val="006A0308"/>
    <w:rsid w:val="006A0441"/>
    <w:rsid w:val="006A0462"/>
    <w:rsid w:val="006A04F6"/>
    <w:rsid w:val="006A0570"/>
    <w:rsid w:val="006A0594"/>
    <w:rsid w:val="006A06D5"/>
    <w:rsid w:val="006A0707"/>
    <w:rsid w:val="006A071B"/>
    <w:rsid w:val="006A076F"/>
    <w:rsid w:val="006A08E4"/>
    <w:rsid w:val="006A0902"/>
    <w:rsid w:val="006A0AF4"/>
    <w:rsid w:val="006A0B50"/>
    <w:rsid w:val="006A0C04"/>
    <w:rsid w:val="006A0CB1"/>
    <w:rsid w:val="006A0EBB"/>
    <w:rsid w:val="006A0FC6"/>
    <w:rsid w:val="006A102C"/>
    <w:rsid w:val="006A10B6"/>
    <w:rsid w:val="006A10E1"/>
    <w:rsid w:val="006A1102"/>
    <w:rsid w:val="006A1103"/>
    <w:rsid w:val="006A11E3"/>
    <w:rsid w:val="006A11FE"/>
    <w:rsid w:val="006A12D0"/>
    <w:rsid w:val="006A1323"/>
    <w:rsid w:val="006A1330"/>
    <w:rsid w:val="006A138E"/>
    <w:rsid w:val="006A13A7"/>
    <w:rsid w:val="006A14F7"/>
    <w:rsid w:val="006A1524"/>
    <w:rsid w:val="006A1559"/>
    <w:rsid w:val="006A15BC"/>
    <w:rsid w:val="006A1635"/>
    <w:rsid w:val="006A164C"/>
    <w:rsid w:val="006A1773"/>
    <w:rsid w:val="006A1946"/>
    <w:rsid w:val="006A19D4"/>
    <w:rsid w:val="006A1BE9"/>
    <w:rsid w:val="006A1C35"/>
    <w:rsid w:val="006A1C79"/>
    <w:rsid w:val="006A1E17"/>
    <w:rsid w:val="006A1EFF"/>
    <w:rsid w:val="006A1F8B"/>
    <w:rsid w:val="006A2102"/>
    <w:rsid w:val="006A2179"/>
    <w:rsid w:val="006A22E9"/>
    <w:rsid w:val="006A23E8"/>
    <w:rsid w:val="006A247B"/>
    <w:rsid w:val="006A24A1"/>
    <w:rsid w:val="006A253D"/>
    <w:rsid w:val="006A262D"/>
    <w:rsid w:val="006A28A9"/>
    <w:rsid w:val="006A2971"/>
    <w:rsid w:val="006A29E3"/>
    <w:rsid w:val="006A2AC4"/>
    <w:rsid w:val="006A2C35"/>
    <w:rsid w:val="006A2C94"/>
    <w:rsid w:val="006A2DC6"/>
    <w:rsid w:val="006A2E9F"/>
    <w:rsid w:val="006A2F16"/>
    <w:rsid w:val="006A2F78"/>
    <w:rsid w:val="006A3049"/>
    <w:rsid w:val="006A3181"/>
    <w:rsid w:val="006A31D0"/>
    <w:rsid w:val="006A3257"/>
    <w:rsid w:val="006A3269"/>
    <w:rsid w:val="006A333B"/>
    <w:rsid w:val="006A3392"/>
    <w:rsid w:val="006A345F"/>
    <w:rsid w:val="006A34C9"/>
    <w:rsid w:val="006A3588"/>
    <w:rsid w:val="006A35B1"/>
    <w:rsid w:val="006A35CD"/>
    <w:rsid w:val="006A36B4"/>
    <w:rsid w:val="006A37B1"/>
    <w:rsid w:val="006A3840"/>
    <w:rsid w:val="006A3881"/>
    <w:rsid w:val="006A38F8"/>
    <w:rsid w:val="006A3A7F"/>
    <w:rsid w:val="006A3B33"/>
    <w:rsid w:val="006A3BBB"/>
    <w:rsid w:val="006A3C2D"/>
    <w:rsid w:val="006A3CB3"/>
    <w:rsid w:val="006A3CBE"/>
    <w:rsid w:val="006A3CD1"/>
    <w:rsid w:val="006A3D16"/>
    <w:rsid w:val="006A3DB5"/>
    <w:rsid w:val="006A3E1C"/>
    <w:rsid w:val="006A3EA8"/>
    <w:rsid w:val="006A3F81"/>
    <w:rsid w:val="006A3F98"/>
    <w:rsid w:val="006A4049"/>
    <w:rsid w:val="006A40A1"/>
    <w:rsid w:val="006A415B"/>
    <w:rsid w:val="006A415E"/>
    <w:rsid w:val="006A41CE"/>
    <w:rsid w:val="006A4421"/>
    <w:rsid w:val="006A445A"/>
    <w:rsid w:val="006A4597"/>
    <w:rsid w:val="006A45F3"/>
    <w:rsid w:val="006A4643"/>
    <w:rsid w:val="006A4713"/>
    <w:rsid w:val="006A473D"/>
    <w:rsid w:val="006A4843"/>
    <w:rsid w:val="006A48D0"/>
    <w:rsid w:val="006A4977"/>
    <w:rsid w:val="006A49BE"/>
    <w:rsid w:val="006A4A0A"/>
    <w:rsid w:val="006A4A20"/>
    <w:rsid w:val="006A4ABB"/>
    <w:rsid w:val="006A4B70"/>
    <w:rsid w:val="006A4B91"/>
    <w:rsid w:val="006A4BEF"/>
    <w:rsid w:val="006A4E15"/>
    <w:rsid w:val="006A4E35"/>
    <w:rsid w:val="006A4E7C"/>
    <w:rsid w:val="006A4F00"/>
    <w:rsid w:val="006A4F5A"/>
    <w:rsid w:val="006A4F60"/>
    <w:rsid w:val="006A501E"/>
    <w:rsid w:val="006A502D"/>
    <w:rsid w:val="006A509D"/>
    <w:rsid w:val="006A50A7"/>
    <w:rsid w:val="006A511A"/>
    <w:rsid w:val="006A5163"/>
    <w:rsid w:val="006A516A"/>
    <w:rsid w:val="006A5296"/>
    <w:rsid w:val="006A5310"/>
    <w:rsid w:val="006A5350"/>
    <w:rsid w:val="006A53CC"/>
    <w:rsid w:val="006A53E6"/>
    <w:rsid w:val="006A5579"/>
    <w:rsid w:val="006A5614"/>
    <w:rsid w:val="006A56DB"/>
    <w:rsid w:val="006A594F"/>
    <w:rsid w:val="006A595B"/>
    <w:rsid w:val="006A596B"/>
    <w:rsid w:val="006A5BFE"/>
    <w:rsid w:val="006A5D5B"/>
    <w:rsid w:val="006A5E74"/>
    <w:rsid w:val="006A5EB2"/>
    <w:rsid w:val="006A5EDD"/>
    <w:rsid w:val="006A5EDE"/>
    <w:rsid w:val="006A5F1D"/>
    <w:rsid w:val="006A5F47"/>
    <w:rsid w:val="006A600B"/>
    <w:rsid w:val="006A610B"/>
    <w:rsid w:val="006A614D"/>
    <w:rsid w:val="006A6199"/>
    <w:rsid w:val="006A623D"/>
    <w:rsid w:val="006A62DF"/>
    <w:rsid w:val="006A62E1"/>
    <w:rsid w:val="006A6380"/>
    <w:rsid w:val="006A63F2"/>
    <w:rsid w:val="006A648A"/>
    <w:rsid w:val="006A655C"/>
    <w:rsid w:val="006A656D"/>
    <w:rsid w:val="006A6685"/>
    <w:rsid w:val="006A66C5"/>
    <w:rsid w:val="006A67DE"/>
    <w:rsid w:val="006A6886"/>
    <w:rsid w:val="006A6965"/>
    <w:rsid w:val="006A6976"/>
    <w:rsid w:val="006A697A"/>
    <w:rsid w:val="006A6995"/>
    <w:rsid w:val="006A69BB"/>
    <w:rsid w:val="006A6B21"/>
    <w:rsid w:val="006A6C7E"/>
    <w:rsid w:val="006A6C9E"/>
    <w:rsid w:val="006A6CF6"/>
    <w:rsid w:val="006A6D74"/>
    <w:rsid w:val="006A6EC0"/>
    <w:rsid w:val="006A7043"/>
    <w:rsid w:val="006A7121"/>
    <w:rsid w:val="006A71D5"/>
    <w:rsid w:val="006A71FA"/>
    <w:rsid w:val="006A725F"/>
    <w:rsid w:val="006A72F2"/>
    <w:rsid w:val="006A732C"/>
    <w:rsid w:val="006A734B"/>
    <w:rsid w:val="006A73C6"/>
    <w:rsid w:val="006A7435"/>
    <w:rsid w:val="006A743B"/>
    <w:rsid w:val="006A74F8"/>
    <w:rsid w:val="006A75D5"/>
    <w:rsid w:val="006A760A"/>
    <w:rsid w:val="006A7647"/>
    <w:rsid w:val="006A78B1"/>
    <w:rsid w:val="006A7907"/>
    <w:rsid w:val="006A7918"/>
    <w:rsid w:val="006A7A80"/>
    <w:rsid w:val="006A7A8C"/>
    <w:rsid w:val="006A7A98"/>
    <w:rsid w:val="006A7AEC"/>
    <w:rsid w:val="006A7BFA"/>
    <w:rsid w:val="006A7E05"/>
    <w:rsid w:val="006A7E26"/>
    <w:rsid w:val="006A7E31"/>
    <w:rsid w:val="006A7E39"/>
    <w:rsid w:val="006A7E4A"/>
    <w:rsid w:val="006A7F2D"/>
    <w:rsid w:val="006B0043"/>
    <w:rsid w:val="006B00E6"/>
    <w:rsid w:val="006B015F"/>
    <w:rsid w:val="006B01CF"/>
    <w:rsid w:val="006B02B4"/>
    <w:rsid w:val="006B02DD"/>
    <w:rsid w:val="006B03A8"/>
    <w:rsid w:val="006B04D9"/>
    <w:rsid w:val="006B04F4"/>
    <w:rsid w:val="006B0513"/>
    <w:rsid w:val="006B0537"/>
    <w:rsid w:val="006B0544"/>
    <w:rsid w:val="006B054C"/>
    <w:rsid w:val="006B05AA"/>
    <w:rsid w:val="006B05BF"/>
    <w:rsid w:val="006B05D0"/>
    <w:rsid w:val="006B06F9"/>
    <w:rsid w:val="006B083C"/>
    <w:rsid w:val="006B08FA"/>
    <w:rsid w:val="006B0BA9"/>
    <w:rsid w:val="006B0CD3"/>
    <w:rsid w:val="006B0D71"/>
    <w:rsid w:val="006B0E7B"/>
    <w:rsid w:val="006B0EF9"/>
    <w:rsid w:val="006B0F36"/>
    <w:rsid w:val="006B0F88"/>
    <w:rsid w:val="006B0FC7"/>
    <w:rsid w:val="006B0FD4"/>
    <w:rsid w:val="006B0FD5"/>
    <w:rsid w:val="006B104D"/>
    <w:rsid w:val="006B10D1"/>
    <w:rsid w:val="006B1135"/>
    <w:rsid w:val="006B1166"/>
    <w:rsid w:val="006B11CF"/>
    <w:rsid w:val="006B137B"/>
    <w:rsid w:val="006B1393"/>
    <w:rsid w:val="006B14EC"/>
    <w:rsid w:val="006B150C"/>
    <w:rsid w:val="006B1567"/>
    <w:rsid w:val="006B157C"/>
    <w:rsid w:val="006B1634"/>
    <w:rsid w:val="006B16A9"/>
    <w:rsid w:val="006B16AC"/>
    <w:rsid w:val="006B16E0"/>
    <w:rsid w:val="006B1753"/>
    <w:rsid w:val="006B17B9"/>
    <w:rsid w:val="006B17F9"/>
    <w:rsid w:val="006B190B"/>
    <w:rsid w:val="006B198F"/>
    <w:rsid w:val="006B1A54"/>
    <w:rsid w:val="006B1A78"/>
    <w:rsid w:val="006B1ADF"/>
    <w:rsid w:val="006B1B46"/>
    <w:rsid w:val="006B1B9D"/>
    <w:rsid w:val="006B1C01"/>
    <w:rsid w:val="006B1DDB"/>
    <w:rsid w:val="006B1E75"/>
    <w:rsid w:val="006B1EEF"/>
    <w:rsid w:val="006B2010"/>
    <w:rsid w:val="006B21C6"/>
    <w:rsid w:val="006B2308"/>
    <w:rsid w:val="006B230E"/>
    <w:rsid w:val="006B2429"/>
    <w:rsid w:val="006B24BB"/>
    <w:rsid w:val="006B25B5"/>
    <w:rsid w:val="006B2763"/>
    <w:rsid w:val="006B2841"/>
    <w:rsid w:val="006B287E"/>
    <w:rsid w:val="006B2949"/>
    <w:rsid w:val="006B2CD0"/>
    <w:rsid w:val="006B2D13"/>
    <w:rsid w:val="006B2D61"/>
    <w:rsid w:val="006B2E3C"/>
    <w:rsid w:val="006B2E51"/>
    <w:rsid w:val="006B2E89"/>
    <w:rsid w:val="006B2ED0"/>
    <w:rsid w:val="006B2F12"/>
    <w:rsid w:val="006B309E"/>
    <w:rsid w:val="006B30D1"/>
    <w:rsid w:val="006B310B"/>
    <w:rsid w:val="006B3111"/>
    <w:rsid w:val="006B3116"/>
    <w:rsid w:val="006B3156"/>
    <w:rsid w:val="006B323A"/>
    <w:rsid w:val="006B3240"/>
    <w:rsid w:val="006B3282"/>
    <w:rsid w:val="006B3293"/>
    <w:rsid w:val="006B33EE"/>
    <w:rsid w:val="006B340B"/>
    <w:rsid w:val="006B3543"/>
    <w:rsid w:val="006B3734"/>
    <w:rsid w:val="006B3805"/>
    <w:rsid w:val="006B38B4"/>
    <w:rsid w:val="006B39D7"/>
    <w:rsid w:val="006B39DF"/>
    <w:rsid w:val="006B3BBF"/>
    <w:rsid w:val="006B3C18"/>
    <w:rsid w:val="006B3EAF"/>
    <w:rsid w:val="006B3F16"/>
    <w:rsid w:val="006B3F1A"/>
    <w:rsid w:val="006B3F46"/>
    <w:rsid w:val="006B40AA"/>
    <w:rsid w:val="006B40BB"/>
    <w:rsid w:val="006B4204"/>
    <w:rsid w:val="006B421D"/>
    <w:rsid w:val="006B43C6"/>
    <w:rsid w:val="006B4463"/>
    <w:rsid w:val="006B44CE"/>
    <w:rsid w:val="006B455C"/>
    <w:rsid w:val="006B4655"/>
    <w:rsid w:val="006B46A0"/>
    <w:rsid w:val="006B474A"/>
    <w:rsid w:val="006B4758"/>
    <w:rsid w:val="006B4816"/>
    <w:rsid w:val="006B48C1"/>
    <w:rsid w:val="006B496E"/>
    <w:rsid w:val="006B4A45"/>
    <w:rsid w:val="006B4A75"/>
    <w:rsid w:val="006B4B60"/>
    <w:rsid w:val="006B4BA7"/>
    <w:rsid w:val="006B4BE4"/>
    <w:rsid w:val="006B4BFF"/>
    <w:rsid w:val="006B4CDE"/>
    <w:rsid w:val="006B4CFF"/>
    <w:rsid w:val="006B4E19"/>
    <w:rsid w:val="006B4EB0"/>
    <w:rsid w:val="006B51E2"/>
    <w:rsid w:val="006B51F3"/>
    <w:rsid w:val="006B540F"/>
    <w:rsid w:val="006B555E"/>
    <w:rsid w:val="006B55A4"/>
    <w:rsid w:val="006B55EB"/>
    <w:rsid w:val="006B55F2"/>
    <w:rsid w:val="006B5819"/>
    <w:rsid w:val="006B5965"/>
    <w:rsid w:val="006B5998"/>
    <w:rsid w:val="006B5A57"/>
    <w:rsid w:val="006B5A98"/>
    <w:rsid w:val="006B5B0D"/>
    <w:rsid w:val="006B5B51"/>
    <w:rsid w:val="006B5BBB"/>
    <w:rsid w:val="006B5BE9"/>
    <w:rsid w:val="006B5C97"/>
    <w:rsid w:val="006B60AE"/>
    <w:rsid w:val="006B61FF"/>
    <w:rsid w:val="006B620D"/>
    <w:rsid w:val="006B6236"/>
    <w:rsid w:val="006B6272"/>
    <w:rsid w:val="006B62EB"/>
    <w:rsid w:val="006B6333"/>
    <w:rsid w:val="006B640A"/>
    <w:rsid w:val="006B645E"/>
    <w:rsid w:val="006B64D3"/>
    <w:rsid w:val="006B6526"/>
    <w:rsid w:val="006B65FA"/>
    <w:rsid w:val="006B66B3"/>
    <w:rsid w:val="006B66BD"/>
    <w:rsid w:val="006B6776"/>
    <w:rsid w:val="006B67AD"/>
    <w:rsid w:val="006B6838"/>
    <w:rsid w:val="006B68F0"/>
    <w:rsid w:val="006B6AC8"/>
    <w:rsid w:val="006B6C75"/>
    <w:rsid w:val="006B6CBB"/>
    <w:rsid w:val="006B6CCB"/>
    <w:rsid w:val="006B6CFC"/>
    <w:rsid w:val="006B7157"/>
    <w:rsid w:val="006B7217"/>
    <w:rsid w:val="006B739A"/>
    <w:rsid w:val="006B7479"/>
    <w:rsid w:val="006B74E7"/>
    <w:rsid w:val="006B74FE"/>
    <w:rsid w:val="006B7577"/>
    <w:rsid w:val="006B75C6"/>
    <w:rsid w:val="006B75D3"/>
    <w:rsid w:val="006B77B0"/>
    <w:rsid w:val="006B77F4"/>
    <w:rsid w:val="006B7936"/>
    <w:rsid w:val="006B7951"/>
    <w:rsid w:val="006B7B26"/>
    <w:rsid w:val="006B7B3B"/>
    <w:rsid w:val="006B7D5C"/>
    <w:rsid w:val="006B7DA2"/>
    <w:rsid w:val="006B7E06"/>
    <w:rsid w:val="006B7EB5"/>
    <w:rsid w:val="006B7EE5"/>
    <w:rsid w:val="006B7FBA"/>
    <w:rsid w:val="006B7FC9"/>
    <w:rsid w:val="006B7FEE"/>
    <w:rsid w:val="006C009A"/>
    <w:rsid w:val="006C02A5"/>
    <w:rsid w:val="006C02D0"/>
    <w:rsid w:val="006C02E4"/>
    <w:rsid w:val="006C02F2"/>
    <w:rsid w:val="006C044D"/>
    <w:rsid w:val="006C0485"/>
    <w:rsid w:val="006C0504"/>
    <w:rsid w:val="006C0516"/>
    <w:rsid w:val="006C064F"/>
    <w:rsid w:val="006C0671"/>
    <w:rsid w:val="006C0706"/>
    <w:rsid w:val="006C073B"/>
    <w:rsid w:val="006C077D"/>
    <w:rsid w:val="006C07EB"/>
    <w:rsid w:val="006C080D"/>
    <w:rsid w:val="006C0859"/>
    <w:rsid w:val="006C0861"/>
    <w:rsid w:val="006C0995"/>
    <w:rsid w:val="006C09B7"/>
    <w:rsid w:val="006C0AAA"/>
    <w:rsid w:val="006C0AEE"/>
    <w:rsid w:val="006C0BA3"/>
    <w:rsid w:val="006C0C59"/>
    <w:rsid w:val="006C0CA3"/>
    <w:rsid w:val="006C0CC3"/>
    <w:rsid w:val="006C0CF5"/>
    <w:rsid w:val="006C0E8A"/>
    <w:rsid w:val="006C0E8D"/>
    <w:rsid w:val="006C0EEB"/>
    <w:rsid w:val="006C0F45"/>
    <w:rsid w:val="006C0FD7"/>
    <w:rsid w:val="006C10CC"/>
    <w:rsid w:val="006C1118"/>
    <w:rsid w:val="006C1143"/>
    <w:rsid w:val="006C11EF"/>
    <w:rsid w:val="006C127D"/>
    <w:rsid w:val="006C13F3"/>
    <w:rsid w:val="006C1428"/>
    <w:rsid w:val="006C14AE"/>
    <w:rsid w:val="006C14B4"/>
    <w:rsid w:val="006C1549"/>
    <w:rsid w:val="006C159A"/>
    <w:rsid w:val="006C1633"/>
    <w:rsid w:val="006C164F"/>
    <w:rsid w:val="006C16B0"/>
    <w:rsid w:val="006C16E2"/>
    <w:rsid w:val="006C175C"/>
    <w:rsid w:val="006C178B"/>
    <w:rsid w:val="006C1808"/>
    <w:rsid w:val="006C1921"/>
    <w:rsid w:val="006C1A14"/>
    <w:rsid w:val="006C1AF7"/>
    <w:rsid w:val="006C1B91"/>
    <w:rsid w:val="006C1BBC"/>
    <w:rsid w:val="006C1BD3"/>
    <w:rsid w:val="006C1CC4"/>
    <w:rsid w:val="006C1D22"/>
    <w:rsid w:val="006C1DAE"/>
    <w:rsid w:val="006C1DDC"/>
    <w:rsid w:val="006C1E1C"/>
    <w:rsid w:val="006C1F33"/>
    <w:rsid w:val="006C1FF2"/>
    <w:rsid w:val="006C2130"/>
    <w:rsid w:val="006C21AF"/>
    <w:rsid w:val="006C21F6"/>
    <w:rsid w:val="006C227A"/>
    <w:rsid w:val="006C2431"/>
    <w:rsid w:val="006C24CF"/>
    <w:rsid w:val="006C257A"/>
    <w:rsid w:val="006C2584"/>
    <w:rsid w:val="006C2683"/>
    <w:rsid w:val="006C2697"/>
    <w:rsid w:val="006C2854"/>
    <w:rsid w:val="006C286D"/>
    <w:rsid w:val="006C28EC"/>
    <w:rsid w:val="006C2934"/>
    <w:rsid w:val="006C295D"/>
    <w:rsid w:val="006C29C6"/>
    <w:rsid w:val="006C2A09"/>
    <w:rsid w:val="006C2A69"/>
    <w:rsid w:val="006C2B3D"/>
    <w:rsid w:val="006C2C1E"/>
    <w:rsid w:val="006C2C46"/>
    <w:rsid w:val="006C2D3D"/>
    <w:rsid w:val="006C2D56"/>
    <w:rsid w:val="006C2ECA"/>
    <w:rsid w:val="006C2ED6"/>
    <w:rsid w:val="006C30AB"/>
    <w:rsid w:val="006C314B"/>
    <w:rsid w:val="006C31EC"/>
    <w:rsid w:val="006C324A"/>
    <w:rsid w:val="006C3275"/>
    <w:rsid w:val="006C32B9"/>
    <w:rsid w:val="006C3310"/>
    <w:rsid w:val="006C337B"/>
    <w:rsid w:val="006C343E"/>
    <w:rsid w:val="006C348D"/>
    <w:rsid w:val="006C3812"/>
    <w:rsid w:val="006C3879"/>
    <w:rsid w:val="006C39D4"/>
    <w:rsid w:val="006C3A0F"/>
    <w:rsid w:val="006C3A84"/>
    <w:rsid w:val="006C3AD1"/>
    <w:rsid w:val="006C3ADF"/>
    <w:rsid w:val="006C3B5B"/>
    <w:rsid w:val="006C3BBA"/>
    <w:rsid w:val="006C3C37"/>
    <w:rsid w:val="006C3CE5"/>
    <w:rsid w:val="006C3E4C"/>
    <w:rsid w:val="006C3E73"/>
    <w:rsid w:val="006C3FAA"/>
    <w:rsid w:val="006C3FBF"/>
    <w:rsid w:val="006C4188"/>
    <w:rsid w:val="006C419D"/>
    <w:rsid w:val="006C41D6"/>
    <w:rsid w:val="006C421B"/>
    <w:rsid w:val="006C4246"/>
    <w:rsid w:val="006C42B0"/>
    <w:rsid w:val="006C4325"/>
    <w:rsid w:val="006C433A"/>
    <w:rsid w:val="006C43DE"/>
    <w:rsid w:val="006C448B"/>
    <w:rsid w:val="006C44B8"/>
    <w:rsid w:val="006C451D"/>
    <w:rsid w:val="006C453F"/>
    <w:rsid w:val="006C458E"/>
    <w:rsid w:val="006C459B"/>
    <w:rsid w:val="006C46CD"/>
    <w:rsid w:val="006C48F6"/>
    <w:rsid w:val="006C490B"/>
    <w:rsid w:val="006C4974"/>
    <w:rsid w:val="006C4B48"/>
    <w:rsid w:val="006C4B97"/>
    <w:rsid w:val="006C4BB5"/>
    <w:rsid w:val="006C4C6F"/>
    <w:rsid w:val="006C4CD1"/>
    <w:rsid w:val="006C4D2E"/>
    <w:rsid w:val="006C4D64"/>
    <w:rsid w:val="006C4DE1"/>
    <w:rsid w:val="006C4F42"/>
    <w:rsid w:val="006C4FB3"/>
    <w:rsid w:val="006C5035"/>
    <w:rsid w:val="006C5167"/>
    <w:rsid w:val="006C51F9"/>
    <w:rsid w:val="006C5226"/>
    <w:rsid w:val="006C53D5"/>
    <w:rsid w:val="006C5544"/>
    <w:rsid w:val="006C5567"/>
    <w:rsid w:val="006C55CD"/>
    <w:rsid w:val="006C55D7"/>
    <w:rsid w:val="006C5628"/>
    <w:rsid w:val="006C5692"/>
    <w:rsid w:val="006C5740"/>
    <w:rsid w:val="006C582B"/>
    <w:rsid w:val="006C5830"/>
    <w:rsid w:val="006C597A"/>
    <w:rsid w:val="006C5A1C"/>
    <w:rsid w:val="006C5A45"/>
    <w:rsid w:val="006C5A4B"/>
    <w:rsid w:val="006C5A51"/>
    <w:rsid w:val="006C5A5E"/>
    <w:rsid w:val="006C5A9B"/>
    <w:rsid w:val="006C5ACC"/>
    <w:rsid w:val="006C5AD3"/>
    <w:rsid w:val="006C5AF3"/>
    <w:rsid w:val="006C5B4F"/>
    <w:rsid w:val="006C5B91"/>
    <w:rsid w:val="006C5BA4"/>
    <w:rsid w:val="006C5D8C"/>
    <w:rsid w:val="006C5DAE"/>
    <w:rsid w:val="006C5E5B"/>
    <w:rsid w:val="006C617F"/>
    <w:rsid w:val="006C61C0"/>
    <w:rsid w:val="006C632A"/>
    <w:rsid w:val="006C66EC"/>
    <w:rsid w:val="006C6720"/>
    <w:rsid w:val="006C672B"/>
    <w:rsid w:val="006C68BC"/>
    <w:rsid w:val="006C6A55"/>
    <w:rsid w:val="006C6A8F"/>
    <w:rsid w:val="006C6B05"/>
    <w:rsid w:val="006C6B44"/>
    <w:rsid w:val="006C6BD6"/>
    <w:rsid w:val="006C6E35"/>
    <w:rsid w:val="006C6E48"/>
    <w:rsid w:val="006C6E76"/>
    <w:rsid w:val="006C6F50"/>
    <w:rsid w:val="006C702A"/>
    <w:rsid w:val="006C708E"/>
    <w:rsid w:val="006C7091"/>
    <w:rsid w:val="006C7372"/>
    <w:rsid w:val="006C7379"/>
    <w:rsid w:val="006C73E9"/>
    <w:rsid w:val="006C74B3"/>
    <w:rsid w:val="006C74B8"/>
    <w:rsid w:val="006C74CC"/>
    <w:rsid w:val="006C7576"/>
    <w:rsid w:val="006C759C"/>
    <w:rsid w:val="006C75FF"/>
    <w:rsid w:val="006C77C9"/>
    <w:rsid w:val="006C7897"/>
    <w:rsid w:val="006C7982"/>
    <w:rsid w:val="006C7AC7"/>
    <w:rsid w:val="006C7AE3"/>
    <w:rsid w:val="006C7BC2"/>
    <w:rsid w:val="006C7D6D"/>
    <w:rsid w:val="006C7DBB"/>
    <w:rsid w:val="006C7E92"/>
    <w:rsid w:val="006D0093"/>
    <w:rsid w:val="006D0104"/>
    <w:rsid w:val="006D0115"/>
    <w:rsid w:val="006D0145"/>
    <w:rsid w:val="006D01FC"/>
    <w:rsid w:val="006D020D"/>
    <w:rsid w:val="006D0220"/>
    <w:rsid w:val="006D024C"/>
    <w:rsid w:val="006D02D0"/>
    <w:rsid w:val="006D0383"/>
    <w:rsid w:val="006D0397"/>
    <w:rsid w:val="006D03DF"/>
    <w:rsid w:val="006D04F7"/>
    <w:rsid w:val="006D0624"/>
    <w:rsid w:val="006D0658"/>
    <w:rsid w:val="006D07B1"/>
    <w:rsid w:val="006D07F1"/>
    <w:rsid w:val="006D08C5"/>
    <w:rsid w:val="006D09B4"/>
    <w:rsid w:val="006D0A1B"/>
    <w:rsid w:val="006D0A54"/>
    <w:rsid w:val="006D0B2E"/>
    <w:rsid w:val="006D0C56"/>
    <w:rsid w:val="006D0C70"/>
    <w:rsid w:val="006D0ED0"/>
    <w:rsid w:val="006D0EE5"/>
    <w:rsid w:val="006D1070"/>
    <w:rsid w:val="006D1077"/>
    <w:rsid w:val="006D1220"/>
    <w:rsid w:val="006D1252"/>
    <w:rsid w:val="006D126C"/>
    <w:rsid w:val="006D1270"/>
    <w:rsid w:val="006D141C"/>
    <w:rsid w:val="006D143B"/>
    <w:rsid w:val="006D14E6"/>
    <w:rsid w:val="006D14E7"/>
    <w:rsid w:val="006D15B1"/>
    <w:rsid w:val="006D167B"/>
    <w:rsid w:val="006D17A7"/>
    <w:rsid w:val="006D17DF"/>
    <w:rsid w:val="006D17E7"/>
    <w:rsid w:val="006D17F0"/>
    <w:rsid w:val="006D183A"/>
    <w:rsid w:val="006D1875"/>
    <w:rsid w:val="006D1887"/>
    <w:rsid w:val="006D1925"/>
    <w:rsid w:val="006D19AB"/>
    <w:rsid w:val="006D19E6"/>
    <w:rsid w:val="006D1A4A"/>
    <w:rsid w:val="006D1A5C"/>
    <w:rsid w:val="006D1AD2"/>
    <w:rsid w:val="006D1B33"/>
    <w:rsid w:val="006D1BE0"/>
    <w:rsid w:val="006D1CC1"/>
    <w:rsid w:val="006D1CCA"/>
    <w:rsid w:val="006D1DA0"/>
    <w:rsid w:val="006D1DAE"/>
    <w:rsid w:val="006D1E76"/>
    <w:rsid w:val="006D1EBC"/>
    <w:rsid w:val="006D1F37"/>
    <w:rsid w:val="006D1F62"/>
    <w:rsid w:val="006D1FAB"/>
    <w:rsid w:val="006D1FB3"/>
    <w:rsid w:val="006D1FBC"/>
    <w:rsid w:val="006D2151"/>
    <w:rsid w:val="006D216E"/>
    <w:rsid w:val="006D21C7"/>
    <w:rsid w:val="006D21F0"/>
    <w:rsid w:val="006D224E"/>
    <w:rsid w:val="006D226D"/>
    <w:rsid w:val="006D22F0"/>
    <w:rsid w:val="006D2326"/>
    <w:rsid w:val="006D2464"/>
    <w:rsid w:val="006D2536"/>
    <w:rsid w:val="006D2666"/>
    <w:rsid w:val="006D276B"/>
    <w:rsid w:val="006D2795"/>
    <w:rsid w:val="006D2811"/>
    <w:rsid w:val="006D2B3A"/>
    <w:rsid w:val="006D2BC4"/>
    <w:rsid w:val="006D2C23"/>
    <w:rsid w:val="006D2CB1"/>
    <w:rsid w:val="006D2D26"/>
    <w:rsid w:val="006D2D2C"/>
    <w:rsid w:val="006D2EEB"/>
    <w:rsid w:val="006D2F54"/>
    <w:rsid w:val="006D2FFB"/>
    <w:rsid w:val="006D30E2"/>
    <w:rsid w:val="006D3281"/>
    <w:rsid w:val="006D32A6"/>
    <w:rsid w:val="006D32FF"/>
    <w:rsid w:val="006D334D"/>
    <w:rsid w:val="006D33EA"/>
    <w:rsid w:val="006D33EF"/>
    <w:rsid w:val="006D3536"/>
    <w:rsid w:val="006D353A"/>
    <w:rsid w:val="006D35E8"/>
    <w:rsid w:val="006D3676"/>
    <w:rsid w:val="006D36F1"/>
    <w:rsid w:val="006D3807"/>
    <w:rsid w:val="006D3845"/>
    <w:rsid w:val="006D38C8"/>
    <w:rsid w:val="006D391B"/>
    <w:rsid w:val="006D39E5"/>
    <w:rsid w:val="006D39E8"/>
    <w:rsid w:val="006D3A45"/>
    <w:rsid w:val="006D3B5C"/>
    <w:rsid w:val="006D3BA6"/>
    <w:rsid w:val="006D3C20"/>
    <w:rsid w:val="006D3CE3"/>
    <w:rsid w:val="006D4085"/>
    <w:rsid w:val="006D411B"/>
    <w:rsid w:val="006D412C"/>
    <w:rsid w:val="006D413B"/>
    <w:rsid w:val="006D4144"/>
    <w:rsid w:val="006D41D0"/>
    <w:rsid w:val="006D4261"/>
    <w:rsid w:val="006D4473"/>
    <w:rsid w:val="006D4499"/>
    <w:rsid w:val="006D450A"/>
    <w:rsid w:val="006D4517"/>
    <w:rsid w:val="006D453E"/>
    <w:rsid w:val="006D459B"/>
    <w:rsid w:val="006D45FB"/>
    <w:rsid w:val="006D468A"/>
    <w:rsid w:val="006D4742"/>
    <w:rsid w:val="006D4866"/>
    <w:rsid w:val="006D4888"/>
    <w:rsid w:val="006D4925"/>
    <w:rsid w:val="006D4932"/>
    <w:rsid w:val="006D4A40"/>
    <w:rsid w:val="006D4B0D"/>
    <w:rsid w:val="006D4B4A"/>
    <w:rsid w:val="006D4B85"/>
    <w:rsid w:val="006D4BDB"/>
    <w:rsid w:val="006D4C96"/>
    <w:rsid w:val="006D4D23"/>
    <w:rsid w:val="006D4E62"/>
    <w:rsid w:val="006D4EAB"/>
    <w:rsid w:val="006D4EB3"/>
    <w:rsid w:val="006D4EEB"/>
    <w:rsid w:val="006D4FC8"/>
    <w:rsid w:val="006D50E5"/>
    <w:rsid w:val="006D5147"/>
    <w:rsid w:val="006D5231"/>
    <w:rsid w:val="006D533B"/>
    <w:rsid w:val="006D533F"/>
    <w:rsid w:val="006D5454"/>
    <w:rsid w:val="006D565B"/>
    <w:rsid w:val="006D5699"/>
    <w:rsid w:val="006D572F"/>
    <w:rsid w:val="006D5ACF"/>
    <w:rsid w:val="006D5AE5"/>
    <w:rsid w:val="006D5B7E"/>
    <w:rsid w:val="006D5C76"/>
    <w:rsid w:val="006D5D03"/>
    <w:rsid w:val="006D5DD5"/>
    <w:rsid w:val="006D5E73"/>
    <w:rsid w:val="006D5F47"/>
    <w:rsid w:val="006D5F4C"/>
    <w:rsid w:val="006D5F57"/>
    <w:rsid w:val="006D609A"/>
    <w:rsid w:val="006D6276"/>
    <w:rsid w:val="006D62F0"/>
    <w:rsid w:val="006D637D"/>
    <w:rsid w:val="006D639A"/>
    <w:rsid w:val="006D6559"/>
    <w:rsid w:val="006D674C"/>
    <w:rsid w:val="006D6813"/>
    <w:rsid w:val="006D681C"/>
    <w:rsid w:val="006D6862"/>
    <w:rsid w:val="006D68ED"/>
    <w:rsid w:val="006D6A17"/>
    <w:rsid w:val="006D6A23"/>
    <w:rsid w:val="006D6C8F"/>
    <w:rsid w:val="006D6C93"/>
    <w:rsid w:val="006D6FD5"/>
    <w:rsid w:val="006D7019"/>
    <w:rsid w:val="006D70CD"/>
    <w:rsid w:val="006D7258"/>
    <w:rsid w:val="006D7366"/>
    <w:rsid w:val="006D74A1"/>
    <w:rsid w:val="006D75F2"/>
    <w:rsid w:val="006D76EB"/>
    <w:rsid w:val="006D76ED"/>
    <w:rsid w:val="006D771D"/>
    <w:rsid w:val="006D7757"/>
    <w:rsid w:val="006D78F8"/>
    <w:rsid w:val="006D78FF"/>
    <w:rsid w:val="006D7A46"/>
    <w:rsid w:val="006D7CE4"/>
    <w:rsid w:val="006D7CEF"/>
    <w:rsid w:val="006D7D03"/>
    <w:rsid w:val="006D7E66"/>
    <w:rsid w:val="006D7EBE"/>
    <w:rsid w:val="006D7EE1"/>
    <w:rsid w:val="006E0077"/>
    <w:rsid w:val="006E00D7"/>
    <w:rsid w:val="006E00F7"/>
    <w:rsid w:val="006E01FD"/>
    <w:rsid w:val="006E020A"/>
    <w:rsid w:val="006E0261"/>
    <w:rsid w:val="006E02D8"/>
    <w:rsid w:val="006E0307"/>
    <w:rsid w:val="006E0338"/>
    <w:rsid w:val="006E048E"/>
    <w:rsid w:val="006E0534"/>
    <w:rsid w:val="006E05DC"/>
    <w:rsid w:val="006E0620"/>
    <w:rsid w:val="006E063B"/>
    <w:rsid w:val="006E08EB"/>
    <w:rsid w:val="006E0989"/>
    <w:rsid w:val="006E0AB0"/>
    <w:rsid w:val="006E0B00"/>
    <w:rsid w:val="006E0B62"/>
    <w:rsid w:val="006E0BE5"/>
    <w:rsid w:val="006E0C90"/>
    <w:rsid w:val="006E0F2D"/>
    <w:rsid w:val="006E0F6A"/>
    <w:rsid w:val="006E0FED"/>
    <w:rsid w:val="006E108A"/>
    <w:rsid w:val="006E10B2"/>
    <w:rsid w:val="006E1386"/>
    <w:rsid w:val="006E1398"/>
    <w:rsid w:val="006E13F5"/>
    <w:rsid w:val="006E1407"/>
    <w:rsid w:val="006E144C"/>
    <w:rsid w:val="006E1622"/>
    <w:rsid w:val="006E1650"/>
    <w:rsid w:val="006E1665"/>
    <w:rsid w:val="006E16F6"/>
    <w:rsid w:val="006E171A"/>
    <w:rsid w:val="006E1739"/>
    <w:rsid w:val="006E1781"/>
    <w:rsid w:val="006E1867"/>
    <w:rsid w:val="006E1874"/>
    <w:rsid w:val="006E18BF"/>
    <w:rsid w:val="006E19C0"/>
    <w:rsid w:val="006E1BD7"/>
    <w:rsid w:val="006E1BDD"/>
    <w:rsid w:val="006E1BF9"/>
    <w:rsid w:val="006E1C12"/>
    <w:rsid w:val="006E1C6F"/>
    <w:rsid w:val="006E1CC1"/>
    <w:rsid w:val="006E1DAF"/>
    <w:rsid w:val="006E1E81"/>
    <w:rsid w:val="006E1EE1"/>
    <w:rsid w:val="006E1EEC"/>
    <w:rsid w:val="006E2012"/>
    <w:rsid w:val="006E20C1"/>
    <w:rsid w:val="006E20F3"/>
    <w:rsid w:val="006E2110"/>
    <w:rsid w:val="006E213D"/>
    <w:rsid w:val="006E220F"/>
    <w:rsid w:val="006E225B"/>
    <w:rsid w:val="006E2662"/>
    <w:rsid w:val="006E2706"/>
    <w:rsid w:val="006E274B"/>
    <w:rsid w:val="006E2753"/>
    <w:rsid w:val="006E28B5"/>
    <w:rsid w:val="006E2974"/>
    <w:rsid w:val="006E2BD5"/>
    <w:rsid w:val="006E2BF4"/>
    <w:rsid w:val="006E2C04"/>
    <w:rsid w:val="006E2C3A"/>
    <w:rsid w:val="006E2C6E"/>
    <w:rsid w:val="006E2D8D"/>
    <w:rsid w:val="006E2F30"/>
    <w:rsid w:val="006E2FB4"/>
    <w:rsid w:val="006E31C0"/>
    <w:rsid w:val="006E31C7"/>
    <w:rsid w:val="006E31E5"/>
    <w:rsid w:val="006E337F"/>
    <w:rsid w:val="006E3395"/>
    <w:rsid w:val="006E3433"/>
    <w:rsid w:val="006E350A"/>
    <w:rsid w:val="006E3622"/>
    <w:rsid w:val="006E364E"/>
    <w:rsid w:val="006E3656"/>
    <w:rsid w:val="006E365E"/>
    <w:rsid w:val="006E3712"/>
    <w:rsid w:val="006E37D9"/>
    <w:rsid w:val="006E38EB"/>
    <w:rsid w:val="006E39C0"/>
    <w:rsid w:val="006E3A31"/>
    <w:rsid w:val="006E3A81"/>
    <w:rsid w:val="006E3CF3"/>
    <w:rsid w:val="006E3D06"/>
    <w:rsid w:val="006E3D1F"/>
    <w:rsid w:val="006E3D4E"/>
    <w:rsid w:val="006E3DED"/>
    <w:rsid w:val="006E3E08"/>
    <w:rsid w:val="006E3F58"/>
    <w:rsid w:val="006E3FCC"/>
    <w:rsid w:val="006E3FF0"/>
    <w:rsid w:val="006E40B2"/>
    <w:rsid w:val="006E414D"/>
    <w:rsid w:val="006E418A"/>
    <w:rsid w:val="006E41B8"/>
    <w:rsid w:val="006E4304"/>
    <w:rsid w:val="006E4463"/>
    <w:rsid w:val="006E44A2"/>
    <w:rsid w:val="006E454B"/>
    <w:rsid w:val="006E46E8"/>
    <w:rsid w:val="006E4877"/>
    <w:rsid w:val="006E48BB"/>
    <w:rsid w:val="006E48FA"/>
    <w:rsid w:val="006E4916"/>
    <w:rsid w:val="006E4955"/>
    <w:rsid w:val="006E4A64"/>
    <w:rsid w:val="006E4A66"/>
    <w:rsid w:val="006E4A6B"/>
    <w:rsid w:val="006E4AA2"/>
    <w:rsid w:val="006E4AA9"/>
    <w:rsid w:val="006E4B45"/>
    <w:rsid w:val="006E4B80"/>
    <w:rsid w:val="006E4C3E"/>
    <w:rsid w:val="006E4C44"/>
    <w:rsid w:val="006E4C8F"/>
    <w:rsid w:val="006E4CDF"/>
    <w:rsid w:val="006E4D28"/>
    <w:rsid w:val="006E4EE9"/>
    <w:rsid w:val="006E4F7C"/>
    <w:rsid w:val="006E4FFA"/>
    <w:rsid w:val="006E5069"/>
    <w:rsid w:val="006E5137"/>
    <w:rsid w:val="006E517C"/>
    <w:rsid w:val="006E5305"/>
    <w:rsid w:val="006E54E7"/>
    <w:rsid w:val="006E54EA"/>
    <w:rsid w:val="006E5554"/>
    <w:rsid w:val="006E5562"/>
    <w:rsid w:val="006E56CF"/>
    <w:rsid w:val="006E577E"/>
    <w:rsid w:val="006E578E"/>
    <w:rsid w:val="006E5838"/>
    <w:rsid w:val="006E58A0"/>
    <w:rsid w:val="006E5B13"/>
    <w:rsid w:val="006E5B3B"/>
    <w:rsid w:val="006E5B81"/>
    <w:rsid w:val="006E5C00"/>
    <w:rsid w:val="006E5CB8"/>
    <w:rsid w:val="006E5CE1"/>
    <w:rsid w:val="006E5D3E"/>
    <w:rsid w:val="006E5F04"/>
    <w:rsid w:val="006E5F17"/>
    <w:rsid w:val="006E5F2D"/>
    <w:rsid w:val="006E5F96"/>
    <w:rsid w:val="006E6049"/>
    <w:rsid w:val="006E60F2"/>
    <w:rsid w:val="006E6235"/>
    <w:rsid w:val="006E626B"/>
    <w:rsid w:val="006E6399"/>
    <w:rsid w:val="006E63C8"/>
    <w:rsid w:val="006E64A9"/>
    <w:rsid w:val="006E64D1"/>
    <w:rsid w:val="006E6543"/>
    <w:rsid w:val="006E65EE"/>
    <w:rsid w:val="006E67F8"/>
    <w:rsid w:val="006E6A82"/>
    <w:rsid w:val="006E6ACB"/>
    <w:rsid w:val="006E6B12"/>
    <w:rsid w:val="006E6CFF"/>
    <w:rsid w:val="006E6D6E"/>
    <w:rsid w:val="006E6DCA"/>
    <w:rsid w:val="006E7049"/>
    <w:rsid w:val="006E71FB"/>
    <w:rsid w:val="006E7455"/>
    <w:rsid w:val="006E746F"/>
    <w:rsid w:val="006E7482"/>
    <w:rsid w:val="006E7507"/>
    <w:rsid w:val="006E752B"/>
    <w:rsid w:val="006E75BD"/>
    <w:rsid w:val="006E761D"/>
    <w:rsid w:val="006E7752"/>
    <w:rsid w:val="006E7785"/>
    <w:rsid w:val="006E77A7"/>
    <w:rsid w:val="006E78D0"/>
    <w:rsid w:val="006E7BC8"/>
    <w:rsid w:val="006E7C8A"/>
    <w:rsid w:val="006E7CEB"/>
    <w:rsid w:val="006E7DCC"/>
    <w:rsid w:val="006E7E18"/>
    <w:rsid w:val="006E7E72"/>
    <w:rsid w:val="006E7ED3"/>
    <w:rsid w:val="006E7FB1"/>
    <w:rsid w:val="006F0009"/>
    <w:rsid w:val="006F00E5"/>
    <w:rsid w:val="006F017F"/>
    <w:rsid w:val="006F0413"/>
    <w:rsid w:val="006F0439"/>
    <w:rsid w:val="006F06E3"/>
    <w:rsid w:val="006F08DA"/>
    <w:rsid w:val="006F0969"/>
    <w:rsid w:val="006F0A30"/>
    <w:rsid w:val="006F0A8F"/>
    <w:rsid w:val="006F0A91"/>
    <w:rsid w:val="006F0B0A"/>
    <w:rsid w:val="006F0D36"/>
    <w:rsid w:val="006F0DAE"/>
    <w:rsid w:val="006F100A"/>
    <w:rsid w:val="006F1011"/>
    <w:rsid w:val="006F106D"/>
    <w:rsid w:val="006F11F3"/>
    <w:rsid w:val="006F1203"/>
    <w:rsid w:val="006F1240"/>
    <w:rsid w:val="006F124F"/>
    <w:rsid w:val="006F12A2"/>
    <w:rsid w:val="006F12BA"/>
    <w:rsid w:val="006F1399"/>
    <w:rsid w:val="006F13C0"/>
    <w:rsid w:val="006F14AD"/>
    <w:rsid w:val="006F1598"/>
    <w:rsid w:val="006F1614"/>
    <w:rsid w:val="006F19C8"/>
    <w:rsid w:val="006F1A14"/>
    <w:rsid w:val="006F1B6E"/>
    <w:rsid w:val="006F1BA8"/>
    <w:rsid w:val="006F1D3E"/>
    <w:rsid w:val="006F1E8D"/>
    <w:rsid w:val="006F1F32"/>
    <w:rsid w:val="006F1F5C"/>
    <w:rsid w:val="006F21B1"/>
    <w:rsid w:val="006F23C1"/>
    <w:rsid w:val="006F2427"/>
    <w:rsid w:val="006F2430"/>
    <w:rsid w:val="006F24D9"/>
    <w:rsid w:val="006F250E"/>
    <w:rsid w:val="006F2521"/>
    <w:rsid w:val="006F25E4"/>
    <w:rsid w:val="006F25F9"/>
    <w:rsid w:val="006F2658"/>
    <w:rsid w:val="006F2682"/>
    <w:rsid w:val="006F269C"/>
    <w:rsid w:val="006F2760"/>
    <w:rsid w:val="006F28CD"/>
    <w:rsid w:val="006F295A"/>
    <w:rsid w:val="006F2B8A"/>
    <w:rsid w:val="006F2BC2"/>
    <w:rsid w:val="006F2C10"/>
    <w:rsid w:val="006F2DAB"/>
    <w:rsid w:val="006F2DB1"/>
    <w:rsid w:val="006F2FEA"/>
    <w:rsid w:val="006F3093"/>
    <w:rsid w:val="006F30D9"/>
    <w:rsid w:val="006F3107"/>
    <w:rsid w:val="006F32DE"/>
    <w:rsid w:val="006F331C"/>
    <w:rsid w:val="006F348B"/>
    <w:rsid w:val="006F349B"/>
    <w:rsid w:val="006F34EB"/>
    <w:rsid w:val="006F3517"/>
    <w:rsid w:val="006F3521"/>
    <w:rsid w:val="006F352B"/>
    <w:rsid w:val="006F352D"/>
    <w:rsid w:val="006F35F5"/>
    <w:rsid w:val="006F36FE"/>
    <w:rsid w:val="006F3706"/>
    <w:rsid w:val="006F38E9"/>
    <w:rsid w:val="006F39AC"/>
    <w:rsid w:val="006F3AE5"/>
    <w:rsid w:val="006F3BCD"/>
    <w:rsid w:val="006F3C1F"/>
    <w:rsid w:val="006F3DDE"/>
    <w:rsid w:val="006F3DF2"/>
    <w:rsid w:val="006F3E05"/>
    <w:rsid w:val="006F3F7F"/>
    <w:rsid w:val="006F4017"/>
    <w:rsid w:val="006F413B"/>
    <w:rsid w:val="006F4171"/>
    <w:rsid w:val="006F4173"/>
    <w:rsid w:val="006F428C"/>
    <w:rsid w:val="006F42B8"/>
    <w:rsid w:val="006F4322"/>
    <w:rsid w:val="006F4397"/>
    <w:rsid w:val="006F43A8"/>
    <w:rsid w:val="006F447D"/>
    <w:rsid w:val="006F467D"/>
    <w:rsid w:val="006F4741"/>
    <w:rsid w:val="006F4789"/>
    <w:rsid w:val="006F48CD"/>
    <w:rsid w:val="006F48EB"/>
    <w:rsid w:val="006F49E6"/>
    <w:rsid w:val="006F4ABB"/>
    <w:rsid w:val="006F4B87"/>
    <w:rsid w:val="006F4C1F"/>
    <w:rsid w:val="006F4C92"/>
    <w:rsid w:val="006F4C9B"/>
    <w:rsid w:val="006F4E33"/>
    <w:rsid w:val="006F4E4A"/>
    <w:rsid w:val="006F4F99"/>
    <w:rsid w:val="006F4FBE"/>
    <w:rsid w:val="006F4FCC"/>
    <w:rsid w:val="006F5064"/>
    <w:rsid w:val="006F50EA"/>
    <w:rsid w:val="006F5119"/>
    <w:rsid w:val="006F5137"/>
    <w:rsid w:val="006F51D4"/>
    <w:rsid w:val="006F5236"/>
    <w:rsid w:val="006F523E"/>
    <w:rsid w:val="006F5249"/>
    <w:rsid w:val="006F52DA"/>
    <w:rsid w:val="006F565D"/>
    <w:rsid w:val="006F57A7"/>
    <w:rsid w:val="006F57CE"/>
    <w:rsid w:val="006F5B39"/>
    <w:rsid w:val="006F5C38"/>
    <w:rsid w:val="006F5CC7"/>
    <w:rsid w:val="006F5E1F"/>
    <w:rsid w:val="006F5F41"/>
    <w:rsid w:val="006F5F7E"/>
    <w:rsid w:val="006F602A"/>
    <w:rsid w:val="006F6168"/>
    <w:rsid w:val="006F6252"/>
    <w:rsid w:val="006F63D1"/>
    <w:rsid w:val="006F644B"/>
    <w:rsid w:val="006F64D4"/>
    <w:rsid w:val="006F6582"/>
    <w:rsid w:val="006F65DB"/>
    <w:rsid w:val="006F663A"/>
    <w:rsid w:val="006F6646"/>
    <w:rsid w:val="006F668E"/>
    <w:rsid w:val="006F66BE"/>
    <w:rsid w:val="006F6762"/>
    <w:rsid w:val="006F6896"/>
    <w:rsid w:val="006F6908"/>
    <w:rsid w:val="006F6914"/>
    <w:rsid w:val="006F694F"/>
    <w:rsid w:val="006F6AAE"/>
    <w:rsid w:val="006F6B21"/>
    <w:rsid w:val="006F6C67"/>
    <w:rsid w:val="006F6C85"/>
    <w:rsid w:val="006F6CF7"/>
    <w:rsid w:val="006F6D5D"/>
    <w:rsid w:val="006F6D70"/>
    <w:rsid w:val="006F6DE3"/>
    <w:rsid w:val="006F6E90"/>
    <w:rsid w:val="006F6E93"/>
    <w:rsid w:val="006F6E97"/>
    <w:rsid w:val="006F6F68"/>
    <w:rsid w:val="006F7007"/>
    <w:rsid w:val="006F7018"/>
    <w:rsid w:val="006F7066"/>
    <w:rsid w:val="006F709C"/>
    <w:rsid w:val="006F7121"/>
    <w:rsid w:val="006F7240"/>
    <w:rsid w:val="006F724B"/>
    <w:rsid w:val="006F7289"/>
    <w:rsid w:val="006F7384"/>
    <w:rsid w:val="006F74E0"/>
    <w:rsid w:val="006F7503"/>
    <w:rsid w:val="006F756C"/>
    <w:rsid w:val="006F7590"/>
    <w:rsid w:val="006F75C7"/>
    <w:rsid w:val="006F76BE"/>
    <w:rsid w:val="006F7779"/>
    <w:rsid w:val="006F7833"/>
    <w:rsid w:val="006F7985"/>
    <w:rsid w:val="006F7A09"/>
    <w:rsid w:val="006F7B10"/>
    <w:rsid w:val="006F7C1A"/>
    <w:rsid w:val="006F7C2F"/>
    <w:rsid w:val="006F7C86"/>
    <w:rsid w:val="006F7CE2"/>
    <w:rsid w:val="006F7CE4"/>
    <w:rsid w:val="006F7D2B"/>
    <w:rsid w:val="006F7EBA"/>
    <w:rsid w:val="006F7FFA"/>
    <w:rsid w:val="00700035"/>
    <w:rsid w:val="0070016B"/>
    <w:rsid w:val="0070025A"/>
    <w:rsid w:val="00700267"/>
    <w:rsid w:val="007003EF"/>
    <w:rsid w:val="00700465"/>
    <w:rsid w:val="00700495"/>
    <w:rsid w:val="007004C7"/>
    <w:rsid w:val="007004E9"/>
    <w:rsid w:val="0070050B"/>
    <w:rsid w:val="007005B8"/>
    <w:rsid w:val="00700789"/>
    <w:rsid w:val="007007C6"/>
    <w:rsid w:val="007008F9"/>
    <w:rsid w:val="007009AB"/>
    <w:rsid w:val="00700A31"/>
    <w:rsid w:val="00700B0C"/>
    <w:rsid w:val="00700CCB"/>
    <w:rsid w:val="00700D7F"/>
    <w:rsid w:val="00700E73"/>
    <w:rsid w:val="00700F31"/>
    <w:rsid w:val="00701019"/>
    <w:rsid w:val="007010D4"/>
    <w:rsid w:val="007010E6"/>
    <w:rsid w:val="007011D8"/>
    <w:rsid w:val="007012A8"/>
    <w:rsid w:val="007013D3"/>
    <w:rsid w:val="00701419"/>
    <w:rsid w:val="0070141F"/>
    <w:rsid w:val="00701499"/>
    <w:rsid w:val="00701527"/>
    <w:rsid w:val="0070168C"/>
    <w:rsid w:val="00701769"/>
    <w:rsid w:val="0070197B"/>
    <w:rsid w:val="007019EC"/>
    <w:rsid w:val="00701ABC"/>
    <w:rsid w:val="00701B0B"/>
    <w:rsid w:val="00701B94"/>
    <w:rsid w:val="00701B9A"/>
    <w:rsid w:val="00701D8F"/>
    <w:rsid w:val="00701E17"/>
    <w:rsid w:val="00701E6A"/>
    <w:rsid w:val="00701EF8"/>
    <w:rsid w:val="00701FC8"/>
    <w:rsid w:val="007021BA"/>
    <w:rsid w:val="007021C2"/>
    <w:rsid w:val="007022F1"/>
    <w:rsid w:val="0070233B"/>
    <w:rsid w:val="00702340"/>
    <w:rsid w:val="007024F0"/>
    <w:rsid w:val="007025B7"/>
    <w:rsid w:val="007025D9"/>
    <w:rsid w:val="007025E0"/>
    <w:rsid w:val="0070263D"/>
    <w:rsid w:val="0070265A"/>
    <w:rsid w:val="0070268A"/>
    <w:rsid w:val="007026D1"/>
    <w:rsid w:val="0070274D"/>
    <w:rsid w:val="007029C2"/>
    <w:rsid w:val="00702AB0"/>
    <w:rsid w:val="00702C91"/>
    <w:rsid w:val="00702EE9"/>
    <w:rsid w:val="00702F35"/>
    <w:rsid w:val="00702F43"/>
    <w:rsid w:val="00702F6B"/>
    <w:rsid w:val="00703063"/>
    <w:rsid w:val="007030A4"/>
    <w:rsid w:val="007031C1"/>
    <w:rsid w:val="00703456"/>
    <w:rsid w:val="007035B7"/>
    <w:rsid w:val="007035B9"/>
    <w:rsid w:val="00703657"/>
    <w:rsid w:val="0070377E"/>
    <w:rsid w:val="007037A9"/>
    <w:rsid w:val="007037D7"/>
    <w:rsid w:val="007037DA"/>
    <w:rsid w:val="0070385C"/>
    <w:rsid w:val="00703924"/>
    <w:rsid w:val="007039AB"/>
    <w:rsid w:val="007039C3"/>
    <w:rsid w:val="007039E3"/>
    <w:rsid w:val="00703A91"/>
    <w:rsid w:val="00703B00"/>
    <w:rsid w:val="00703B0F"/>
    <w:rsid w:val="00703B20"/>
    <w:rsid w:val="00703B76"/>
    <w:rsid w:val="00703B80"/>
    <w:rsid w:val="00703BF9"/>
    <w:rsid w:val="00703C0C"/>
    <w:rsid w:val="00703CA6"/>
    <w:rsid w:val="00703D61"/>
    <w:rsid w:val="00703DD6"/>
    <w:rsid w:val="00703EB9"/>
    <w:rsid w:val="00703F3F"/>
    <w:rsid w:val="00703FE2"/>
    <w:rsid w:val="00704027"/>
    <w:rsid w:val="00704050"/>
    <w:rsid w:val="0070410F"/>
    <w:rsid w:val="0070420D"/>
    <w:rsid w:val="00704243"/>
    <w:rsid w:val="007042C1"/>
    <w:rsid w:val="007042C7"/>
    <w:rsid w:val="00704381"/>
    <w:rsid w:val="007043CA"/>
    <w:rsid w:val="007043CF"/>
    <w:rsid w:val="0070443E"/>
    <w:rsid w:val="00704493"/>
    <w:rsid w:val="007044CF"/>
    <w:rsid w:val="007044FE"/>
    <w:rsid w:val="007045B5"/>
    <w:rsid w:val="007045C4"/>
    <w:rsid w:val="007046CA"/>
    <w:rsid w:val="007046E5"/>
    <w:rsid w:val="00704744"/>
    <w:rsid w:val="007048F2"/>
    <w:rsid w:val="00704A39"/>
    <w:rsid w:val="00704AC9"/>
    <w:rsid w:val="00704BE9"/>
    <w:rsid w:val="00704BEB"/>
    <w:rsid w:val="00704C5C"/>
    <w:rsid w:val="00704E7A"/>
    <w:rsid w:val="00704EF4"/>
    <w:rsid w:val="00704FE8"/>
    <w:rsid w:val="0070509B"/>
    <w:rsid w:val="00705131"/>
    <w:rsid w:val="00705176"/>
    <w:rsid w:val="007051EF"/>
    <w:rsid w:val="00705226"/>
    <w:rsid w:val="00705245"/>
    <w:rsid w:val="00705298"/>
    <w:rsid w:val="007052BE"/>
    <w:rsid w:val="00705309"/>
    <w:rsid w:val="007053A8"/>
    <w:rsid w:val="00705445"/>
    <w:rsid w:val="007054B8"/>
    <w:rsid w:val="007056B2"/>
    <w:rsid w:val="007056E8"/>
    <w:rsid w:val="007056ED"/>
    <w:rsid w:val="00705766"/>
    <w:rsid w:val="0070585F"/>
    <w:rsid w:val="0070592A"/>
    <w:rsid w:val="007059B5"/>
    <w:rsid w:val="007059BC"/>
    <w:rsid w:val="007059F5"/>
    <w:rsid w:val="007059F9"/>
    <w:rsid w:val="00705A4D"/>
    <w:rsid w:val="00705ACB"/>
    <w:rsid w:val="00705B37"/>
    <w:rsid w:val="00705C05"/>
    <w:rsid w:val="00705D05"/>
    <w:rsid w:val="00705D94"/>
    <w:rsid w:val="00705E2D"/>
    <w:rsid w:val="00705E72"/>
    <w:rsid w:val="00705ECC"/>
    <w:rsid w:val="00705F2A"/>
    <w:rsid w:val="00705F65"/>
    <w:rsid w:val="007060E3"/>
    <w:rsid w:val="00706103"/>
    <w:rsid w:val="007062AE"/>
    <w:rsid w:val="00706304"/>
    <w:rsid w:val="0070642C"/>
    <w:rsid w:val="00706436"/>
    <w:rsid w:val="007064FC"/>
    <w:rsid w:val="0070650E"/>
    <w:rsid w:val="00706578"/>
    <w:rsid w:val="007066B9"/>
    <w:rsid w:val="007066E4"/>
    <w:rsid w:val="00706705"/>
    <w:rsid w:val="0070672B"/>
    <w:rsid w:val="00706766"/>
    <w:rsid w:val="00706779"/>
    <w:rsid w:val="0070677C"/>
    <w:rsid w:val="00706969"/>
    <w:rsid w:val="007069BD"/>
    <w:rsid w:val="00706A59"/>
    <w:rsid w:val="00706AA4"/>
    <w:rsid w:val="00706B7A"/>
    <w:rsid w:val="00706C6F"/>
    <w:rsid w:val="00706CEB"/>
    <w:rsid w:val="00706D10"/>
    <w:rsid w:val="00706D94"/>
    <w:rsid w:val="00706E14"/>
    <w:rsid w:val="00706E4B"/>
    <w:rsid w:val="00706FEB"/>
    <w:rsid w:val="00706FF0"/>
    <w:rsid w:val="00707142"/>
    <w:rsid w:val="007071B4"/>
    <w:rsid w:val="0070725F"/>
    <w:rsid w:val="00707288"/>
    <w:rsid w:val="00707347"/>
    <w:rsid w:val="00707357"/>
    <w:rsid w:val="0070735C"/>
    <w:rsid w:val="0070737E"/>
    <w:rsid w:val="007073A3"/>
    <w:rsid w:val="007073B3"/>
    <w:rsid w:val="0070741B"/>
    <w:rsid w:val="00707442"/>
    <w:rsid w:val="00707484"/>
    <w:rsid w:val="007074B5"/>
    <w:rsid w:val="00707601"/>
    <w:rsid w:val="0070786D"/>
    <w:rsid w:val="0070786F"/>
    <w:rsid w:val="007078E4"/>
    <w:rsid w:val="007078F0"/>
    <w:rsid w:val="00707955"/>
    <w:rsid w:val="0070797B"/>
    <w:rsid w:val="00707A42"/>
    <w:rsid w:val="00707B08"/>
    <w:rsid w:val="00707B26"/>
    <w:rsid w:val="00707B4C"/>
    <w:rsid w:val="00707B85"/>
    <w:rsid w:val="00707BB6"/>
    <w:rsid w:val="00707C27"/>
    <w:rsid w:val="00707D48"/>
    <w:rsid w:val="00707F5A"/>
    <w:rsid w:val="0071004E"/>
    <w:rsid w:val="007101D0"/>
    <w:rsid w:val="007102C4"/>
    <w:rsid w:val="007103BD"/>
    <w:rsid w:val="0071047D"/>
    <w:rsid w:val="0071047F"/>
    <w:rsid w:val="00710524"/>
    <w:rsid w:val="007105A3"/>
    <w:rsid w:val="007105A8"/>
    <w:rsid w:val="0071065E"/>
    <w:rsid w:val="0071070B"/>
    <w:rsid w:val="0071083F"/>
    <w:rsid w:val="0071084D"/>
    <w:rsid w:val="0071092D"/>
    <w:rsid w:val="00710A7C"/>
    <w:rsid w:val="00710A92"/>
    <w:rsid w:val="00710AC2"/>
    <w:rsid w:val="00710B04"/>
    <w:rsid w:val="00710B0E"/>
    <w:rsid w:val="00710B59"/>
    <w:rsid w:val="00710BA7"/>
    <w:rsid w:val="00710C20"/>
    <w:rsid w:val="00710C32"/>
    <w:rsid w:val="00710C3E"/>
    <w:rsid w:val="00710E55"/>
    <w:rsid w:val="00710FF4"/>
    <w:rsid w:val="007110AB"/>
    <w:rsid w:val="00711209"/>
    <w:rsid w:val="00711252"/>
    <w:rsid w:val="007112E9"/>
    <w:rsid w:val="00711360"/>
    <w:rsid w:val="007113C1"/>
    <w:rsid w:val="007113E3"/>
    <w:rsid w:val="0071144B"/>
    <w:rsid w:val="00711477"/>
    <w:rsid w:val="00711491"/>
    <w:rsid w:val="007114A5"/>
    <w:rsid w:val="0071161A"/>
    <w:rsid w:val="0071161D"/>
    <w:rsid w:val="00711636"/>
    <w:rsid w:val="007116E5"/>
    <w:rsid w:val="0071172B"/>
    <w:rsid w:val="007118F8"/>
    <w:rsid w:val="00711916"/>
    <w:rsid w:val="00711A59"/>
    <w:rsid w:val="00711A7F"/>
    <w:rsid w:val="00711AE7"/>
    <w:rsid w:val="00711B83"/>
    <w:rsid w:val="00711BD6"/>
    <w:rsid w:val="00711C2F"/>
    <w:rsid w:val="00711C54"/>
    <w:rsid w:val="00711D20"/>
    <w:rsid w:val="00711D6D"/>
    <w:rsid w:val="00711DD6"/>
    <w:rsid w:val="00711E36"/>
    <w:rsid w:val="00711E44"/>
    <w:rsid w:val="00711E85"/>
    <w:rsid w:val="00711F66"/>
    <w:rsid w:val="00711F90"/>
    <w:rsid w:val="00711FE6"/>
    <w:rsid w:val="00712019"/>
    <w:rsid w:val="00712023"/>
    <w:rsid w:val="00712076"/>
    <w:rsid w:val="0071228F"/>
    <w:rsid w:val="007122CA"/>
    <w:rsid w:val="0071234F"/>
    <w:rsid w:val="0071239A"/>
    <w:rsid w:val="00712543"/>
    <w:rsid w:val="00712578"/>
    <w:rsid w:val="0071261B"/>
    <w:rsid w:val="007126DE"/>
    <w:rsid w:val="007126F6"/>
    <w:rsid w:val="007127F9"/>
    <w:rsid w:val="007128A2"/>
    <w:rsid w:val="007128AC"/>
    <w:rsid w:val="00712930"/>
    <w:rsid w:val="00712B34"/>
    <w:rsid w:val="00712C2E"/>
    <w:rsid w:val="00712C93"/>
    <w:rsid w:val="00712D57"/>
    <w:rsid w:val="00712E0A"/>
    <w:rsid w:val="00712E43"/>
    <w:rsid w:val="0071304B"/>
    <w:rsid w:val="00713121"/>
    <w:rsid w:val="00713142"/>
    <w:rsid w:val="00713358"/>
    <w:rsid w:val="0071339F"/>
    <w:rsid w:val="00713412"/>
    <w:rsid w:val="00713493"/>
    <w:rsid w:val="0071350B"/>
    <w:rsid w:val="007135D9"/>
    <w:rsid w:val="0071369B"/>
    <w:rsid w:val="007136D4"/>
    <w:rsid w:val="007136F0"/>
    <w:rsid w:val="007137FC"/>
    <w:rsid w:val="00713854"/>
    <w:rsid w:val="007138AE"/>
    <w:rsid w:val="007138CF"/>
    <w:rsid w:val="007138E2"/>
    <w:rsid w:val="00713948"/>
    <w:rsid w:val="00713952"/>
    <w:rsid w:val="00713A5D"/>
    <w:rsid w:val="00713B42"/>
    <w:rsid w:val="00713B74"/>
    <w:rsid w:val="00713BA3"/>
    <w:rsid w:val="00713CA2"/>
    <w:rsid w:val="00713CA6"/>
    <w:rsid w:val="00713D52"/>
    <w:rsid w:val="00713D68"/>
    <w:rsid w:val="00713DA3"/>
    <w:rsid w:val="00713DB9"/>
    <w:rsid w:val="00713DE5"/>
    <w:rsid w:val="00713E13"/>
    <w:rsid w:val="00713E2F"/>
    <w:rsid w:val="00713F5E"/>
    <w:rsid w:val="00714054"/>
    <w:rsid w:val="00714090"/>
    <w:rsid w:val="007140A9"/>
    <w:rsid w:val="00714117"/>
    <w:rsid w:val="00714155"/>
    <w:rsid w:val="0071415E"/>
    <w:rsid w:val="00714370"/>
    <w:rsid w:val="0071439A"/>
    <w:rsid w:val="0071445E"/>
    <w:rsid w:val="00714554"/>
    <w:rsid w:val="00714648"/>
    <w:rsid w:val="0071468B"/>
    <w:rsid w:val="00714778"/>
    <w:rsid w:val="00714849"/>
    <w:rsid w:val="0071495B"/>
    <w:rsid w:val="0071498E"/>
    <w:rsid w:val="007149F5"/>
    <w:rsid w:val="00714B40"/>
    <w:rsid w:val="00714C91"/>
    <w:rsid w:val="00714D24"/>
    <w:rsid w:val="00714E40"/>
    <w:rsid w:val="00714EDA"/>
    <w:rsid w:val="00714F2E"/>
    <w:rsid w:val="00714F4A"/>
    <w:rsid w:val="00714F55"/>
    <w:rsid w:val="00715081"/>
    <w:rsid w:val="007150D4"/>
    <w:rsid w:val="00715135"/>
    <w:rsid w:val="007151A0"/>
    <w:rsid w:val="007151A5"/>
    <w:rsid w:val="007151CD"/>
    <w:rsid w:val="00715236"/>
    <w:rsid w:val="007152E9"/>
    <w:rsid w:val="007152F4"/>
    <w:rsid w:val="00715302"/>
    <w:rsid w:val="00715309"/>
    <w:rsid w:val="00715384"/>
    <w:rsid w:val="007153F7"/>
    <w:rsid w:val="007154E4"/>
    <w:rsid w:val="00715535"/>
    <w:rsid w:val="00715537"/>
    <w:rsid w:val="00715840"/>
    <w:rsid w:val="00715851"/>
    <w:rsid w:val="007158D1"/>
    <w:rsid w:val="007159D4"/>
    <w:rsid w:val="007159E8"/>
    <w:rsid w:val="00715A06"/>
    <w:rsid w:val="00715A1B"/>
    <w:rsid w:val="00715B7F"/>
    <w:rsid w:val="00715C29"/>
    <w:rsid w:val="00715C3D"/>
    <w:rsid w:val="00715C57"/>
    <w:rsid w:val="00715C58"/>
    <w:rsid w:val="00715CA0"/>
    <w:rsid w:val="00715ECC"/>
    <w:rsid w:val="00715F19"/>
    <w:rsid w:val="00715F64"/>
    <w:rsid w:val="00715F70"/>
    <w:rsid w:val="00715FFE"/>
    <w:rsid w:val="00716140"/>
    <w:rsid w:val="007162C7"/>
    <w:rsid w:val="00716302"/>
    <w:rsid w:val="00716385"/>
    <w:rsid w:val="00716441"/>
    <w:rsid w:val="0071649C"/>
    <w:rsid w:val="007164A1"/>
    <w:rsid w:val="007164F5"/>
    <w:rsid w:val="00716597"/>
    <w:rsid w:val="007165BE"/>
    <w:rsid w:val="007165E5"/>
    <w:rsid w:val="007166BD"/>
    <w:rsid w:val="007166FD"/>
    <w:rsid w:val="00716727"/>
    <w:rsid w:val="00716771"/>
    <w:rsid w:val="007167C5"/>
    <w:rsid w:val="007167E5"/>
    <w:rsid w:val="0071689A"/>
    <w:rsid w:val="007168B3"/>
    <w:rsid w:val="00716903"/>
    <w:rsid w:val="007169CC"/>
    <w:rsid w:val="007169E7"/>
    <w:rsid w:val="00716C66"/>
    <w:rsid w:val="00716CB3"/>
    <w:rsid w:val="00716D2C"/>
    <w:rsid w:val="00716D32"/>
    <w:rsid w:val="00716D4A"/>
    <w:rsid w:val="00716D51"/>
    <w:rsid w:val="00716D88"/>
    <w:rsid w:val="00716F97"/>
    <w:rsid w:val="007170A2"/>
    <w:rsid w:val="007170C9"/>
    <w:rsid w:val="007171C5"/>
    <w:rsid w:val="0071720E"/>
    <w:rsid w:val="00717262"/>
    <w:rsid w:val="00717279"/>
    <w:rsid w:val="007172D9"/>
    <w:rsid w:val="0071736C"/>
    <w:rsid w:val="00717382"/>
    <w:rsid w:val="00717399"/>
    <w:rsid w:val="007173DB"/>
    <w:rsid w:val="007174F4"/>
    <w:rsid w:val="007175A4"/>
    <w:rsid w:val="0071762C"/>
    <w:rsid w:val="007176A3"/>
    <w:rsid w:val="007176C7"/>
    <w:rsid w:val="0071775C"/>
    <w:rsid w:val="0071777C"/>
    <w:rsid w:val="00717797"/>
    <w:rsid w:val="00717823"/>
    <w:rsid w:val="00717840"/>
    <w:rsid w:val="007178DC"/>
    <w:rsid w:val="0071790F"/>
    <w:rsid w:val="00717988"/>
    <w:rsid w:val="007179B6"/>
    <w:rsid w:val="00717A26"/>
    <w:rsid w:val="00717ADC"/>
    <w:rsid w:val="00717DBE"/>
    <w:rsid w:val="00717E29"/>
    <w:rsid w:val="00717E48"/>
    <w:rsid w:val="00717E94"/>
    <w:rsid w:val="00717FC6"/>
    <w:rsid w:val="00720051"/>
    <w:rsid w:val="007200E8"/>
    <w:rsid w:val="0072016D"/>
    <w:rsid w:val="00720261"/>
    <w:rsid w:val="00720262"/>
    <w:rsid w:val="007202E3"/>
    <w:rsid w:val="0072044B"/>
    <w:rsid w:val="0072049F"/>
    <w:rsid w:val="007204A6"/>
    <w:rsid w:val="007204AB"/>
    <w:rsid w:val="00720522"/>
    <w:rsid w:val="007205C9"/>
    <w:rsid w:val="0072061D"/>
    <w:rsid w:val="00720638"/>
    <w:rsid w:val="0072070E"/>
    <w:rsid w:val="007207AF"/>
    <w:rsid w:val="007207F2"/>
    <w:rsid w:val="00720888"/>
    <w:rsid w:val="007208F9"/>
    <w:rsid w:val="007209CC"/>
    <w:rsid w:val="007209E4"/>
    <w:rsid w:val="00720C79"/>
    <w:rsid w:val="00720C93"/>
    <w:rsid w:val="00720E7D"/>
    <w:rsid w:val="00720EA3"/>
    <w:rsid w:val="00720F8A"/>
    <w:rsid w:val="0072104A"/>
    <w:rsid w:val="007210DA"/>
    <w:rsid w:val="007211D3"/>
    <w:rsid w:val="00721258"/>
    <w:rsid w:val="007212BC"/>
    <w:rsid w:val="00721377"/>
    <w:rsid w:val="0072138D"/>
    <w:rsid w:val="0072149C"/>
    <w:rsid w:val="007214B7"/>
    <w:rsid w:val="007214D7"/>
    <w:rsid w:val="00721516"/>
    <w:rsid w:val="00721528"/>
    <w:rsid w:val="00721773"/>
    <w:rsid w:val="007217F9"/>
    <w:rsid w:val="0072180A"/>
    <w:rsid w:val="007219AF"/>
    <w:rsid w:val="00721AB6"/>
    <w:rsid w:val="00721B23"/>
    <w:rsid w:val="00721B74"/>
    <w:rsid w:val="00721BFA"/>
    <w:rsid w:val="00721C40"/>
    <w:rsid w:val="00721C80"/>
    <w:rsid w:val="00721CB3"/>
    <w:rsid w:val="00721E0E"/>
    <w:rsid w:val="00721E77"/>
    <w:rsid w:val="00721EAD"/>
    <w:rsid w:val="00721EB4"/>
    <w:rsid w:val="00721EC1"/>
    <w:rsid w:val="00722077"/>
    <w:rsid w:val="007222E9"/>
    <w:rsid w:val="00722426"/>
    <w:rsid w:val="00722438"/>
    <w:rsid w:val="0072252F"/>
    <w:rsid w:val="007225CA"/>
    <w:rsid w:val="007226DA"/>
    <w:rsid w:val="0072271F"/>
    <w:rsid w:val="00722721"/>
    <w:rsid w:val="0072277A"/>
    <w:rsid w:val="007227BC"/>
    <w:rsid w:val="00722A1F"/>
    <w:rsid w:val="00722A89"/>
    <w:rsid w:val="00722AB4"/>
    <w:rsid w:val="00722B83"/>
    <w:rsid w:val="00722BC0"/>
    <w:rsid w:val="00722C35"/>
    <w:rsid w:val="00722C6F"/>
    <w:rsid w:val="00722CC7"/>
    <w:rsid w:val="00722D06"/>
    <w:rsid w:val="00722EA7"/>
    <w:rsid w:val="00722FB9"/>
    <w:rsid w:val="0072310D"/>
    <w:rsid w:val="007231C5"/>
    <w:rsid w:val="00723261"/>
    <w:rsid w:val="0072326D"/>
    <w:rsid w:val="007232BF"/>
    <w:rsid w:val="00723458"/>
    <w:rsid w:val="007235C0"/>
    <w:rsid w:val="0072374D"/>
    <w:rsid w:val="007237A1"/>
    <w:rsid w:val="007237DA"/>
    <w:rsid w:val="007237EC"/>
    <w:rsid w:val="00723848"/>
    <w:rsid w:val="007238C5"/>
    <w:rsid w:val="007239FC"/>
    <w:rsid w:val="00723A6B"/>
    <w:rsid w:val="00723BEB"/>
    <w:rsid w:val="00723D07"/>
    <w:rsid w:val="00723D58"/>
    <w:rsid w:val="00723DA4"/>
    <w:rsid w:val="00723EAE"/>
    <w:rsid w:val="00723EF9"/>
    <w:rsid w:val="007240A4"/>
    <w:rsid w:val="007241C5"/>
    <w:rsid w:val="00724204"/>
    <w:rsid w:val="0072422B"/>
    <w:rsid w:val="007242A1"/>
    <w:rsid w:val="007242B9"/>
    <w:rsid w:val="007243EB"/>
    <w:rsid w:val="007244C0"/>
    <w:rsid w:val="0072453E"/>
    <w:rsid w:val="007245C9"/>
    <w:rsid w:val="007245D5"/>
    <w:rsid w:val="007246F5"/>
    <w:rsid w:val="00724791"/>
    <w:rsid w:val="00724868"/>
    <w:rsid w:val="007248C8"/>
    <w:rsid w:val="00724901"/>
    <w:rsid w:val="007249BC"/>
    <w:rsid w:val="00724A71"/>
    <w:rsid w:val="00724AB1"/>
    <w:rsid w:val="00724B43"/>
    <w:rsid w:val="00724C00"/>
    <w:rsid w:val="00724C27"/>
    <w:rsid w:val="00724CE6"/>
    <w:rsid w:val="00724CED"/>
    <w:rsid w:val="00724CF6"/>
    <w:rsid w:val="00724EF5"/>
    <w:rsid w:val="00724F66"/>
    <w:rsid w:val="0072506B"/>
    <w:rsid w:val="007250E4"/>
    <w:rsid w:val="007252BF"/>
    <w:rsid w:val="00725339"/>
    <w:rsid w:val="007253EE"/>
    <w:rsid w:val="007253FE"/>
    <w:rsid w:val="0072545B"/>
    <w:rsid w:val="00725489"/>
    <w:rsid w:val="00725524"/>
    <w:rsid w:val="007255E2"/>
    <w:rsid w:val="007256FA"/>
    <w:rsid w:val="007257AE"/>
    <w:rsid w:val="007258B8"/>
    <w:rsid w:val="007258C5"/>
    <w:rsid w:val="00725995"/>
    <w:rsid w:val="00725A99"/>
    <w:rsid w:val="00725ABB"/>
    <w:rsid w:val="00725B21"/>
    <w:rsid w:val="00725B98"/>
    <w:rsid w:val="00725C2A"/>
    <w:rsid w:val="00725C2D"/>
    <w:rsid w:val="00725CAA"/>
    <w:rsid w:val="00725E77"/>
    <w:rsid w:val="00725FBB"/>
    <w:rsid w:val="0072606E"/>
    <w:rsid w:val="00726089"/>
    <w:rsid w:val="007260BB"/>
    <w:rsid w:val="007260FA"/>
    <w:rsid w:val="0072613F"/>
    <w:rsid w:val="00726465"/>
    <w:rsid w:val="0072646C"/>
    <w:rsid w:val="007264E0"/>
    <w:rsid w:val="007265E6"/>
    <w:rsid w:val="0072675E"/>
    <w:rsid w:val="00726769"/>
    <w:rsid w:val="007267D3"/>
    <w:rsid w:val="00726809"/>
    <w:rsid w:val="0072684A"/>
    <w:rsid w:val="00726998"/>
    <w:rsid w:val="00726A4A"/>
    <w:rsid w:val="00726A58"/>
    <w:rsid w:val="00726B34"/>
    <w:rsid w:val="00726B73"/>
    <w:rsid w:val="00726CBD"/>
    <w:rsid w:val="00726D2C"/>
    <w:rsid w:val="00726DC7"/>
    <w:rsid w:val="00726DEE"/>
    <w:rsid w:val="00726EBC"/>
    <w:rsid w:val="00726F15"/>
    <w:rsid w:val="00726F1E"/>
    <w:rsid w:val="00726F61"/>
    <w:rsid w:val="00726FFE"/>
    <w:rsid w:val="00727031"/>
    <w:rsid w:val="007270FD"/>
    <w:rsid w:val="00727133"/>
    <w:rsid w:val="007271DE"/>
    <w:rsid w:val="00727201"/>
    <w:rsid w:val="007272CB"/>
    <w:rsid w:val="0072732C"/>
    <w:rsid w:val="0072746D"/>
    <w:rsid w:val="0072751E"/>
    <w:rsid w:val="007276DE"/>
    <w:rsid w:val="007276F7"/>
    <w:rsid w:val="00727748"/>
    <w:rsid w:val="00727776"/>
    <w:rsid w:val="007277F9"/>
    <w:rsid w:val="0072784C"/>
    <w:rsid w:val="00727A93"/>
    <w:rsid w:val="00727C15"/>
    <w:rsid w:val="00727C1E"/>
    <w:rsid w:val="00727C69"/>
    <w:rsid w:val="00727C8F"/>
    <w:rsid w:val="00727DB3"/>
    <w:rsid w:val="00727E32"/>
    <w:rsid w:val="00727E7E"/>
    <w:rsid w:val="00730071"/>
    <w:rsid w:val="00730140"/>
    <w:rsid w:val="007302D2"/>
    <w:rsid w:val="00730323"/>
    <w:rsid w:val="00730383"/>
    <w:rsid w:val="0073038D"/>
    <w:rsid w:val="00730396"/>
    <w:rsid w:val="007305B1"/>
    <w:rsid w:val="0073061C"/>
    <w:rsid w:val="007306E4"/>
    <w:rsid w:val="007307D9"/>
    <w:rsid w:val="007307F5"/>
    <w:rsid w:val="00730927"/>
    <w:rsid w:val="0073093D"/>
    <w:rsid w:val="00730958"/>
    <w:rsid w:val="00730AAD"/>
    <w:rsid w:val="00730B06"/>
    <w:rsid w:val="00730C98"/>
    <w:rsid w:val="00730CEB"/>
    <w:rsid w:val="00730D0C"/>
    <w:rsid w:val="00730DBD"/>
    <w:rsid w:val="00730DEF"/>
    <w:rsid w:val="0073117D"/>
    <w:rsid w:val="007312AA"/>
    <w:rsid w:val="0073132D"/>
    <w:rsid w:val="007313B6"/>
    <w:rsid w:val="007313CB"/>
    <w:rsid w:val="007314A3"/>
    <w:rsid w:val="00731514"/>
    <w:rsid w:val="00731587"/>
    <w:rsid w:val="00731642"/>
    <w:rsid w:val="00731651"/>
    <w:rsid w:val="007317A4"/>
    <w:rsid w:val="0073183D"/>
    <w:rsid w:val="0073189D"/>
    <w:rsid w:val="00731974"/>
    <w:rsid w:val="007319B8"/>
    <w:rsid w:val="00731A1F"/>
    <w:rsid w:val="00731A23"/>
    <w:rsid w:val="00731A52"/>
    <w:rsid w:val="00731B21"/>
    <w:rsid w:val="00731B96"/>
    <w:rsid w:val="00731D10"/>
    <w:rsid w:val="00731E58"/>
    <w:rsid w:val="00731EC6"/>
    <w:rsid w:val="00731FD4"/>
    <w:rsid w:val="007320A3"/>
    <w:rsid w:val="0073217D"/>
    <w:rsid w:val="007322A2"/>
    <w:rsid w:val="007322BF"/>
    <w:rsid w:val="00732365"/>
    <w:rsid w:val="00732427"/>
    <w:rsid w:val="007325A0"/>
    <w:rsid w:val="007325AA"/>
    <w:rsid w:val="00732615"/>
    <w:rsid w:val="0073265B"/>
    <w:rsid w:val="00732801"/>
    <w:rsid w:val="0073281D"/>
    <w:rsid w:val="0073284E"/>
    <w:rsid w:val="00732879"/>
    <w:rsid w:val="00732889"/>
    <w:rsid w:val="00732A4C"/>
    <w:rsid w:val="00732C51"/>
    <w:rsid w:val="00732C85"/>
    <w:rsid w:val="00732CB4"/>
    <w:rsid w:val="00732D38"/>
    <w:rsid w:val="00732D4C"/>
    <w:rsid w:val="00732D95"/>
    <w:rsid w:val="00732DB7"/>
    <w:rsid w:val="00732DDE"/>
    <w:rsid w:val="00732E11"/>
    <w:rsid w:val="00732E2B"/>
    <w:rsid w:val="00732E2C"/>
    <w:rsid w:val="00732F06"/>
    <w:rsid w:val="0073318C"/>
    <w:rsid w:val="007331D1"/>
    <w:rsid w:val="007331DD"/>
    <w:rsid w:val="0073329F"/>
    <w:rsid w:val="0073335D"/>
    <w:rsid w:val="00733404"/>
    <w:rsid w:val="00733476"/>
    <w:rsid w:val="007334B6"/>
    <w:rsid w:val="00733557"/>
    <w:rsid w:val="00733631"/>
    <w:rsid w:val="0073363C"/>
    <w:rsid w:val="007336C1"/>
    <w:rsid w:val="007336D1"/>
    <w:rsid w:val="00733779"/>
    <w:rsid w:val="007337C2"/>
    <w:rsid w:val="00733930"/>
    <w:rsid w:val="007339EB"/>
    <w:rsid w:val="00733AF5"/>
    <w:rsid w:val="00733B04"/>
    <w:rsid w:val="00733C07"/>
    <w:rsid w:val="00733C7C"/>
    <w:rsid w:val="00733C87"/>
    <w:rsid w:val="00733D8F"/>
    <w:rsid w:val="00733E65"/>
    <w:rsid w:val="0073416D"/>
    <w:rsid w:val="00734215"/>
    <w:rsid w:val="00734239"/>
    <w:rsid w:val="0073424E"/>
    <w:rsid w:val="00734279"/>
    <w:rsid w:val="007342A3"/>
    <w:rsid w:val="00734493"/>
    <w:rsid w:val="007344AE"/>
    <w:rsid w:val="007344DE"/>
    <w:rsid w:val="0073454F"/>
    <w:rsid w:val="00734581"/>
    <w:rsid w:val="00734584"/>
    <w:rsid w:val="007345D6"/>
    <w:rsid w:val="00734710"/>
    <w:rsid w:val="00734979"/>
    <w:rsid w:val="007349B5"/>
    <w:rsid w:val="007349BC"/>
    <w:rsid w:val="00734A86"/>
    <w:rsid w:val="00734AAE"/>
    <w:rsid w:val="00734AE8"/>
    <w:rsid w:val="00734AFD"/>
    <w:rsid w:val="00734B53"/>
    <w:rsid w:val="00734B76"/>
    <w:rsid w:val="00734C1B"/>
    <w:rsid w:val="00734C4C"/>
    <w:rsid w:val="00734CB7"/>
    <w:rsid w:val="00734DCF"/>
    <w:rsid w:val="00734F19"/>
    <w:rsid w:val="00734FBB"/>
    <w:rsid w:val="0073505E"/>
    <w:rsid w:val="007350A1"/>
    <w:rsid w:val="00735199"/>
    <w:rsid w:val="007351F0"/>
    <w:rsid w:val="00735200"/>
    <w:rsid w:val="007352EE"/>
    <w:rsid w:val="00735332"/>
    <w:rsid w:val="00735347"/>
    <w:rsid w:val="007353D7"/>
    <w:rsid w:val="0073550A"/>
    <w:rsid w:val="00735534"/>
    <w:rsid w:val="0073560F"/>
    <w:rsid w:val="007356B9"/>
    <w:rsid w:val="007356BC"/>
    <w:rsid w:val="007356D4"/>
    <w:rsid w:val="007356DD"/>
    <w:rsid w:val="00735858"/>
    <w:rsid w:val="007358BF"/>
    <w:rsid w:val="00735A75"/>
    <w:rsid w:val="00735A8C"/>
    <w:rsid w:val="00735B0A"/>
    <w:rsid w:val="00735B57"/>
    <w:rsid w:val="00735BBE"/>
    <w:rsid w:val="00735C94"/>
    <w:rsid w:val="00735E0B"/>
    <w:rsid w:val="00735FA5"/>
    <w:rsid w:val="0073609C"/>
    <w:rsid w:val="007360C0"/>
    <w:rsid w:val="00736157"/>
    <w:rsid w:val="0073615A"/>
    <w:rsid w:val="007361C4"/>
    <w:rsid w:val="0073627A"/>
    <w:rsid w:val="007362A1"/>
    <w:rsid w:val="00736315"/>
    <w:rsid w:val="0073637B"/>
    <w:rsid w:val="00736488"/>
    <w:rsid w:val="007364DA"/>
    <w:rsid w:val="00736527"/>
    <w:rsid w:val="00736677"/>
    <w:rsid w:val="00736750"/>
    <w:rsid w:val="0073676A"/>
    <w:rsid w:val="00736A10"/>
    <w:rsid w:val="00736A4B"/>
    <w:rsid w:val="00736B40"/>
    <w:rsid w:val="00736C43"/>
    <w:rsid w:val="00736D2F"/>
    <w:rsid w:val="00736DF4"/>
    <w:rsid w:val="00736EFA"/>
    <w:rsid w:val="00736F64"/>
    <w:rsid w:val="0073700C"/>
    <w:rsid w:val="0073702C"/>
    <w:rsid w:val="007370FE"/>
    <w:rsid w:val="007372D8"/>
    <w:rsid w:val="007374B7"/>
    <w:rsid w:val="00737575"/>
    <w:rsid w:val="007375B9"/>
    <w:rsid w:val="0073760F"/>
    <w:rsid w:val="00737637"/>
    <w:rsid w:val="0073763D"/>
    <w:rsid w:val="0073763F"/>
    <w:rsid w:val="00737670"/>
    <w:rsid w:val="007376E3"/>
    <w:rsid w:val="00737740"/>
    <w:rsid w:val="00737898"/>
    <w:rsid w:val="007378DE"/>
    <w:rsid w:val="00737952"/>
    <w:rsid w:val="007379A1"/>
    <w:rsid w:val="007379F0"/>
    <w:rsid w:val="00737B29"/>
    <w:rsid w:val="00737BC1"/>
    <w:rsid w:val="00737C2F"/>
    <w:rsid w:val="00737CB4"/>
    <w:rsid w:val="00737DFB"/>
    <w:rsid w:val="00737E3C"/>
    <w:rsid w:val="00737E52"/>
    <w:rsid w:val="00737E5A"/>
    <w:rsid w:val="00737E92"/>
    <w:rsid w:val="00737EE6"/>
    <w:rsid w:val="00737F33"/>
    <w:rsid w:val="00737F70"/>
    <w:rsid w:val="00737FC1"/>
    <w:rsid w:val="0074010A"/>
    <w:rsid w:val="0074017E"/>
    <w:rsid w:val="0074018B"/>
    <w:rsid w:val="007402C1"/>
    <w:rsid w:val="007402D1"/>
    <w:rsid w:val="00740332"/>
    <w:rsid w:val="007404B5"/>
    <w:rsid w:val="0074064B"/>
    <w:rsid w:val="0074065F"/>
    <w:rsid w:val="00740745"/>
    <w:rsid w:val="0074079D"/>
    <w:rsid w:val="00740802"/>
    <w:rsid w:val="00740879"/>
    <w:rsid w:val="007408B7"/>
    <w:rsid w:val="007408B9"/>
    <w:rsid w:val="007408C9"/>
    <w:rsid w:val="007408D9"/>
    <w:rsid w:val="007408F4"/>
    <w:rsid w:val="0074097D"/>
    <w:rsid w:val="007409CA"/>
    <w:rsid w:val="007409D8"/>
    <w:rsid w:val="00740A04"/>
    <w:rsid w:val="00740A40"/>
    <w:rsid w:val="00740A67"/>
    <w:rsid w:val="00740C29"/>
    <w:rsid w:val="00740C7F"/>
    <w:rsid w:val="00740CB0"/>
    <w:rsid w:val="00740CF6"/>
    <w:rsid w:val="00740D39"/>
    <w:rsid w:val="00740DA0"/>
    <w:rsid w:val="00740F47"/>
    <w:rsid w:val="00741060"/>
    <w:rsid w:val="0074108B"/>
    <w:rsid w:val="007410CB"/>
    <w:rsid w:val="00741170"/>
    <w:rsid w:val="00741205"/>
    <w:rsid w:val="00741270"/>
    <w:rsid w:val="00741280"/>
    <w:rsid w:val="007413C0"/>
    <w:rsid w:val="007413FC"/>
    <w:rsid w:val="00741415"/>
    <w:rsid w:val="0074144B"/>
    <w:rsid w:val="0074149A"/>
    <w:rsid w:val="00741631"/>
    <w:rsid w:val="007416D5"/>
    <w:rsid w:val="007417D9"/>
    <w:rsid w:val="0074193F"/>
    <w:rsid w:val="00741957"/>
    <w:rsid w:val="00741987"/>
    <w:rsid w:val="00741A84"/>
    <w:rsid w:val="00741BA2"/>
    <w:rsid w:val="00741C4B"/>
    <w:rsid w:val="00741D7F"/>
    <w:rsid w:val="00741DAA"/>
    <w:rsid w:val="00741DEA"/>
    <w:rsid w:val="00741E3D"/>
    <w:rsid w:val="00741F9D"/>
    <w:rsid w:val="00741FDC"/>
    <w:rsid w:val="00741FF8"/>
    <w:rsid w:val="007420A2"/>
    <w:rsid w:val="0074218A"/>
    <w:rsid w:val="0074228F"/>
    <w:rsid w:val="00742326"/>
    <w:rsid w:val="007423BF"/>
    <w:rsid w:val="007423FC"/>
    <w:rsid w:val="00742417"/>
    <w:rsid w:val="00742431"/>
    <w:rsid w:val="0074256D"/>
    <w:rsid w:val="00742576"/>
    <w:rsid w:val="0074263D"/>
    <w:rsid w:val="00742791"/>
    <w:rsid w:val="00742846"/>
    <w:rsid w:val="007428B5"/>
    <w:rsid w:val="00742A93"/>
    <w:rsid w:val="00742B6A"/>
    <w:rsid w:val="00742C6B"/>
    <w:rsid w:val="00742CB3"/>
    <w:rsid w:val="00742EAF"/>
    <w:rsid w:val="0074301B"/>
    <w:rsid w:val="0074307C"/>
    <w:rsid w:val="00743146"/>
    <w:rsid w:val="00743149"/>
    <w:rsid w:val="007431E7"/>
    <w:rsid w:val="0074330E"/>
    <w:rsid w:val="007433AF"/>
    <w:rsid w:val="00743483"/>
    <w:rsid w:val="0074348D"/>
    <w:rsid w:val="0074349D"/>
    <w:rsid w:val="007435CC"/>
    <w:rsid w:val="00743632"/>
    <w:rsid w:val="007436B9"/>
    <w:rsid w:val="0074372E"/>
    <w:rsid w:val="0074374F"/>
    <w:rsid w:val="0074395E"/>
    <w:rsid w:val="00743FB1"/>
    <w:rsid w:val="00743FBE"/>
    <w:rsid w:val="00743FDA"/>
    <w:rsid w:val="00743FDC"/>
    <w:rsid w:val="0074401E"/>
    <w:rsid w:val="00744031"/>
    <w:rsid w:val="007440FD"/>
    <w:rsid w:val="00744122"/>
    <w:rsid w:val="007441C6"/>
    <w:rsid w:val="0074430A"/>
    <w:rsid w:val="00744415"/>
    <w:rsid w:val="0074451B"/>
    <w:rsid w:val="00744524"/>
    <w:rsid w:val="0074464F"/>
    <w:rsid w:val="007446BA"/>
    <w:rsid w:val="00744787"/>
    <w:rsid w:val="007449A5"/>
    <w:rsid w:val="00744A59"/>
    <w:rsid w:val="00744AF8"/>
    <w:rsid w:val="00744AFE"/>
    <w:rsid w:val="00744CAB"/>
    <w:rsid w:val="00744DEA"/>
    <w:rsid w:val="00744E25"/>
    <w:rsid w:val="00744E3C"/>
    <w:rsid w:val="00744EA0"/>
    <w:rsid w:val="00744F72"/>
    <w:rsid w:val="00745201"/>
    <w:rsid w:val="00745332"/>
    <w:rsid w:val="007453D3"/>
    <w:rsid w:val="007453E1"/>
    <w:rsid w:val="007453FD"/>
    <w:rsid w:val="0074546F"/>
    <w:rsid w:val="0074555A"/>
    <w:rsid w:val="00745803"/>
    <w:rsid w:val="0074582A"/>
    <w:rsid w:val="00745872"/>
    <w:rsid w:val="0074587F"/>
    <w:rsid w:val="007459D9"/>
    <w:rsid w:val="007459EA"/>
    <w:rsid w:val="00745A18"/>
    <w:rsid w:val="00745AA8"/>
    <w:rsid w:val="00745ABB"/>
    <w:rsid w:val="00745C42"/>
    <w:rsid w:val="00745CB2"/>
    <w:rsid w:val="00745CEB"/>
    <w:rsid w:val="00745E9C"/>
    <w:rsid w:val="00745F5A"/>
    <w:rsid w:val="00745F87"/>
    <w:rsid w:val="00745FC7"/>
    <w:rsid w:val="007460A4"/>
    <w:rsid w:val="007461B8"/>
    <w:rsid w:val="007461C7"/>
    <w:rsid w:val="007462AA"/>
    <w:rsid w:val="0074632B"/>
    <w:rsid w:val="007463A8"/>
    <w:rsid w:val="00746479"/>
    <w:rsid w:val="007465C1"/>
    <w:rsid w:val="007465DE"/>
    <w:rsid w:val="007465E5"/>
    <w:rsid w:val="007465F3"/>
    <w:rsid w:val="00746657"/>
    <w:rsid w:val="007466A4"/>
    <w:rsid w:val="007466F4"/>
    <w:rsid w:val="0074673D"/>
    <w:rsid w:val="007467B0"/>
    <w:rsid w:val="007468F6"/>
    <w:rsid w:val="00746A1C"/>
    <w:rsid w:val="00746BE9"/>
    <w:rsid w:val="00746C5D"/>
    <w:rsid w:val="00746C99"/>
    <w:rsid w:val="00746CCD"/>
    <w:rsid w:val="00746DE8"/>
    <w:rsid w:val="00746E29"/>
    <w:rsid w:val="00746E3D"/>
    <w:rsid w:val="00746ED0"/>
    <w:rsid w:val="00746F1C"/>
    <w:rsid w:val="00746F6B"/>
    <w:rsid w:val="00747465"/>
    <w:rsid w:val="00747666"/>
    <w:rsid w:val="00747733"/>
    <w:rsid w:val="00747814"/>
    <w:rsid w:val="00747920"/>
    <w:rsid w:val="00747AD9"/>
    <w:rsid w:val="00747B87"/>
    <w:rsid w:val="00747B95"/>
    <w:rsid w:val="00747BB9"/>
    <w:rsid w:val="00747D94"/>
    <w:rsid w:val="00747DAC"/>
    <w:rsid w:val="00747DFC"/>
    <w:rsid w:val="00747EA1"/>
    <w:rsid w:val="00747F1D"/>
    <w:rsid w:val="00747FD8"/>
    <w:rsid w:val="00750018"/>
    <w:rsid w:val="0075016C"/>
    <w:rsid w:val="00750278"/>
    <w:rsid w:val="00750442"/>
    <w:rsid w:val="007505FD"/>
    <w:rsid w:val="00750685"/>
    <w:rsid w:val="0075099D"/>
    <w:rsid w:val="00750B57"/>
    <w:rsid w:val="00750B9E"/>
    <w:rsid w:val="00750BED"/>
    <w:rsid w:val="00750C0C"/>
    <w:rsid w:val="00750CA9"/>
    <w:rsid w:val="00750D3B"/>
    <w:rsid w:val="00750DC3"/>
    <w:rsid w:val="00750EF0"/>
    <w:rsid w:val="00750F6B"/>
    <w:rsid w:val="0075100B"/>
    <w:rsid w:val="007510C1"/>
    <w:rsid w:val="007510C5"/>
    <w:rsid w:val="00751156"/>
    <w:rsid w:val="007512A0"/>
    <w:rsid w:val="0075132A"/>
    <w:rsid w:val="00751488"/>
    <w:rsid w:val="00751497"/>
    <w:rsid w:val="007514C1"/>
    <w:rsid w:val="007514DF"/>
    <w:rsid w:val="00751583"/>
    <w:rsid w:val="0075166F"/>
    <w:rsid w:val="007516D6"/>
    <w:rsid w:val="007516F0"/>
    <w:rsid w:val="00751835"/>
    <w:rsid w:val="00751843"/>
    <w:rsid w:val="0075199C"/>
    <w:rsid w:val="00751A27"/>
    <w:rsid w:val="00751A34"/>
    <w:rsid w:val="00751B3B"/>
    <w:rsid w:val="00751B84"/>
    <w:rsid w:val="00751CCC"/>
    <w:rsid w:val="00751D99"/>
    <w:rsid w:val="00751DD1"/>
    <w:rsid w:val="0075206D"/>
    <w:rsid w:val="00752160"/>
    <w:rsid w:val="007522C2"/>
    <w:rsid w:val="0075230C"/>
    <w:rsid w:val="00752314"/>
    <w:rsid w:val="007523F4"/>
    <w:rsid w:val="007523FE"/>
    <w:rsid w:val="0075248A"/>
    <w:rsid w:val="0075254A"/>
    <w:rsid w:val="00752573"/>
    <w:rsid w:val="00752607"/>
    <w:rsid w:val="00752673"/>
    <w:rsid w:val="007526BA"/>
    <w:rsid w:val="0075273C"/>
    <w:rsid w:val="0075282E"/>
    <w:rsid w:val="00752895"/>
    <w:rsid w:val="00752921"/>
    <w:rsid w:val="007529C4"/>
    <w:rsid w:val="00752A41"/>
    <w:rsid w:val="00752A6C"/>
    <w:rsid w:val="00752AA1"/>
    <w:rsid w:val="00752AF3"/>
    <w:rsid w:val="00752D1A"/>
    <w:rsid w:val="00752DF4"/>
    <w:rsid w:val="00752F3E"/>
    <w:rsid w:val="00752F5A"/>
    <w:rsid w:val="00752F79"/>
    <w:rsid w:val="00753100"/>
    <w:rsid w:val="007531E2"/>
    <w:rsid w:val="00753230"/>
    <w:rsid w:val="00753294"/>
    <w:rsid w:val="007532A3"/>
    <w:rsid w:val="0075339B"/>
    <w:rsid w:val="007533B5"/>
    <w:rsid w:val="00753420"/>
    <w:rsid w:val="00753456"/>
    <w:rsid w:val="0075354A"/>
    <w:rsid w:val="007535EB"/>
    <w:rsid w:val="0075378B"/>
    <w:rsid w:val="00753792"/>
    <w:rsid w:val="00753795"/>
    <w:rsid w:val="00753821"/>
    <w:rsid w:val="00753842"/>
    <w:rsid w:val="007538C1"/>
    <w:rsid w:val="00753A80"/>
    <w:rsid w:val="00753A99"/>
    <w:rsid w:val="00753B63"/>
    <w:rsid w:val="00753B91"/>
    <w:rsid w:val="00753BB7"/>
    <w:rsid w:val="00753BE7"/>
    <w:rsid w:val="00753C07"/>
    <w:rsid w:val="00753C90"/>
    <w:rsid w:val="00753F18"/>
    <w:rsid w:val="0075401E"/>
    <w:rsid w:val="0075409C"/>
    <w:rsid w:val="0075425E"/>
    <w:rsid w:val="00754418"/>
    <w:rsid w:val="007544CD"/>
    <w:rsid w:val="007544F2"/>
    <w:rsid w:val="00754583"/>
    <w:rsid w:val="00754589"/>
    <w:rsid w:val="00754799"/>
    <w:rsid w:val="007547E0"/>
    <w:rsid w:val="007547FD"/>
    <w:rsid w:val="00754857"/>
    <w:rsid w:val="0075490D"/>
    <w:rsid w:val="0075492C"/>
    <w:rsid w:val="00754996"/>
    <w:rsid w:val="00754BE1"/>
    <w:rsid w:val="00754C38"/>
    <w:rsid w:val="00754CE4"/>
    <w:rsid w:val="00754D0C"/>
    <w:rsid w:val="00754D6A"/>
    <w:rsid w:val="00754D8F"/>
    <w:rsid w:val="00754FBC"/>
    <w:rsid w:val="007550AB"/>
    <w:rsid w:val="00755147"/>
    <w:rsid w:val="007551A1"/>
    <w:rsid w:val="00755251"/>
    <w:rsid w:val="0075531D"/>
    <w:rsid w:val="00755500"/>
    <w:rsid w:val="007555A0"/>
    <w:rsid w:val="007555B4"/>
    <w:rsid w:val="00755654"/>
    <w:rsid w:val="007556CF"/>
    <w:rsid w:val="007557F3"/>
    <w:rsid w:val="007558A1"/>
    <w:rsid w:val="007558C2"/>
    <w:rsid w:val="00755B56"/>
    <w:rsid w:val="00755C79"/>
    <w:rsid w:val="00755CC0"/>
    <w:rsid w:val="00755E71"/>
    <w:rsid w:val="00755F8C"/>
    <w:rsid w:val="00755FA4"/>
    <w:rsid w:val="00755FEF"/>
    <w:rsid w:val="007560B8"/>
    <w:rsid w:val="0075611B"/>
    <w:rsid w:val="007561E5"/>
    <w:rsid w:val="00756356"/>
    <w:rsid w:val="007564B5"/>
    <w:rsid w:val="007564C5"/>
    <w:rsid w:val="00756509"/>
    <w:rsid w:val="00756545"/>
    <w:rsid w:val="007565A7"/>
    <w:rsid w:val="00756614"/>
    <w:rsid w:val="007566E7"/>
    <w:rsid w:val="00756777"/>
    <w:rsid w:val="00756819"/>
    <w:rsid w:val="007568EA"/>
    <w:rsid w:val="00756986"/>
    <w:rsid w:val="00756C65"/>
    <w:rsid w:val="00756C93"/>
    <w:rsid w:val="00756CDA"/>
    <w:rsid w:val="00756E43"/>
    <w:rsid w:val="00756EAB"/>
    <w:rsid w:val="00756EE7"/>
    <w:rsid w:val="00756F3D"/>
    <w:rsid w:val="00756FB4"/>
    <w:rsid w:val="00756FC9"/>
    <w:rsid w:val="0075701B"/>
    <w:rsid w:val="007570B9"/>
    <w:rsid w:val="007570D3"/>
    <w:rsid w:val="007570F1"/>
    <w:rsid w:val="0075717C"/>
    <w:rsid w:val="00757210"/>
    <w:rsid w:val="007572DE"/>
    <w:rsid w:val="007574D9"/>
    <w:rsid w:val="00757593"/>
    <w:rsid w:val="00757598"/>
    <w:rsid w:val="007578A7"/>
    <w:rsid w:val="00757904"/>
    <w:rsid w:val="00757909"/>
    <w:rsid w:val="00757965"/>
    <w:rsid w:val="007579E3"/>
    <w:rsid w:val="007579F7"/>
    <w:rsid w:val="00757A58"/>
    <w:rsid w:val="00757AD7"/>
    <w:rsid w:val="00757BE2"/>
    <w:rsid w:val="00757D1F"/>
    <w:rsid w:val="00757D30"/>
    <w:rsid w:val="00757D76"/>
    <w:rsid w:val="00757DCC"/>
    <w:rsid w:val="00757DCE"/>
    <w:rsid w:val="00757E2A"/>
    <w:rsid w:val="00757FB1"/>
    <w:rsid w:val="00757FD3"/>
    <w:rsid w:val="007600BB"/>
    <w:rsid w:val="007601EA"/>
    <w:rsid w:val="007604BA"/>
    <w:rsid w:val="007605E1"/>
    <w:rsid w:val="00760635"/>
    <w:rsid w:val="00760642"/>
    <w:rsid w:val="0076065F"/>
    <w:rsid w:val="0076068C"/>
    <w:rsid w:val="007606EE"/>
    <w:rsid w:val="00760849"/>
    <w:rsid w:val="00760951"/>
    <w:rsid w:val="00760C06"/>
    <w:rsid w:val="00760EC1"/>
    <w:rsid w:val="00760FD5"/>
    <w:rsid w:val="0076105D"/>
    <w:rsid w:val="00761074"/>
    <w:rsid w:val="007610B1"/>
    <w:rsid w:val="0076131D"/>
    <w:rsid w:val="007613EE"/>
    <w:rsid w:val="007613FB"/>
    <w:rsid w:val="00761422"/>
    <w:rsid w:val="007614E5"/>
    <w:rsid w:val="00761526"/>
    <w:rsid w:val="00761547"/>
    <w:rsid w:val="0076156E"/>
    <w:rsid w:val="007616C8"/>
    <w:rsid w:val="007616E7"/>
    <w:rsid w:val="0076177F"/>
    <w:rsid w:val="007617F0"/>
    <w:rsid w:val="00761819"/>
    <w:rsid w:val="007618A7"/>
    <w:rsid w:val="007618B9"/>
    <w:rsid w:val="0076197D"/>
    <w:rsid w:val="00761A0F"/>
    <w:rsid w:val="00761AA5"/>
    <w:rsid w:val="00761B5E"/>
    <w:rsid w:val="00761B67"/>
    <w:rsid w:val="00761BE2"/>
    <w:rsid w:val="00761BE9"/>
    <w:rsid w:val="00761C0F"/>
    <w:rsid w:val="00761C1A"/>
    <w:rsid w:val="00761C30"/>
    <w:rsid w:val="00761C71"/>
    <w:rsid w:val="00761CB0"/>
    <w:rsid w:val="00761D50"/>
    <w:rsid w:val="00761D83"/>
    <w:rsid w:val="00761DC5"/>
    <w:rsid w:val="00761DCE"/>
    <w:rsid w:val="00761E23"/>
    <w:rsid w:val="00761E57"/>
    <w:rsid w:val="00761ED9"/>
    <w:rsid w:val="0076205F"/>
    <w:rsid w:val="00762138"/>
    <w:rsid w:val="00762144"/>
    <w:rsid w:val="007622A7"/>
    <w:rsid w:val="00762500"/>
    <w:rsid w:val="007625B2"/>
    <w:rsid w:val="0076260C"/>
    <w:rsid w:val="00762618"/>
    <w:rsid w:val="00762629"/>
    <w:rsid w:val="007626CB"/>
    <w:rsid w:val="00762801"/>
    <w:rsid w:val="0076283B"/>
    <w:rsid w:val="007629C6"/>
    <w:rsid w:val="00762A70"/>
    <w:rsid w:val="00762A71"/>
    <w:rsid w:val="00762AAD"/>
    <w:rsid w:val="00762ADF"/>
    <w:rsid w:val="00762B1B"/>
    <w:rsid w:val="00762B63"/>
    <w:rsid w:val="00762BC2"/>
    <w:rsid w:val="00762BCE"/>
    <w:rsid w:val="00762D13"/>
    <w:rsid w:val="00762D8C"/>
    <w:rsid w:val="00762D9F"/>
    <w:rsid w:val="00762DEE"/>
    <w:rsid w:val="00762E0A"/>
    <w:rsid w:val="00762E2B"/>
    <w:rsid w:val="00762EC7"/>
    <w:rsid w:val="00762F0C"/>
    <w:rsid w:val="00762F61"/>
    <w:rsid w:val="00762F7C"/>
    <w:rsid w:val="00762F80"/>
    <w:rsid w:val="00762F85"/>
    <w:rsid w:val="00762FA6"/>
    <w:rsid w:val="00762FF6"/>
    <w:rsid w:val="00763066"/>
    <w:rsid w:val="00763088"/>
    <w:rsid w:val="00763248"/>
    <w:rsid w:val="0076326B"/>
    <w:rsid w:val="007632F0"/>
    <w:rsid w:val="007634BA"/>
    <w:rsid w:val="00763503"/>
    <w:rsid w:val="0076357A"/>
    <w:rsid w:val="007635A8"/>
    <w:rsid w:val="00763668"/>
    <w:rsid w:val="007636A9"/>
    <w:rsid w:val="007636BB"/>
    <w:rsid w:val="00763811"/>
    <w:rsid w:val="00763900"/>
    <w:rsid w:val="00763931"/>
    <w:rsid w:val="00763A49"/>
    <w:rsid w:val="00763B2D"/>
    <w:rsid w:val="00763DE9"/>
    <w:rsid w:val="00763E39"/>
    <w:rsid w:val="00763E5D"/>
    <w:rsid w:val="00763EAA"/>
    <w:rsid w:val="00763F1A"/>
    <w:rsid w:val="007641DB"/>
    <w:rsid w:val="00764220"/>
    <w:rsid w:val="00764307"/>
    <w:rsid w:val="007643C4"/>
    <w:rsid w:val="0076458E"/>
    <w:rsid w:val="0076476A"/>
    <w:rsid w:val="007647D2"/>
    <w:rsid w:val="007648C3"/>
    <w:rsid w:val="00764B09"/>
    <w:rsid w:val="00764B14"/>
    <w:rsid w:val="00764B60"/>
    <w:rsid w:val="00764BE7"/>
    <w:rsid w:val="00764BE8"/>
    <w:rsid w:val="00764C30"/>
    <w:rsid w:val="00764C96"/>
    <w:rsid w:val="00764D39"/>
    <w:rsid w:val="00764E37"/>
    <w:rsid w:val="00764E64"/>
    <w:rsid w:val="00765109"/>
    <w:rsid w:val="00765151"/>
    <w:rsid w:val="0076522D"/>
    <w:rsid w:val="00765287"/>
    <w:rsid w:val="007653DA"/>
    <w:rsid w:val="00765408"/>
    <w:rsid w:val="00765462"/>
    <w:rsid w:val="007654D9"/>
    <w:rsid w:val="00765569"/>
    <w:rsid w:val="007656D6"/>
    <w:rsid w:val="0076574B"/>
    <w:rsid w:val="00765753"/>
    <w:rsid w:val="007657B3"/>
    <w:rsid w:val="00765855"/>
    <w:rsid w:val="007658BC"/>
    <w:rsid w:val="0076593B"/>
    <w:rsid w:val="00765AC2"/>
    <w:rsid w:val="00765BBD"/>
    <w:rsid w:val="00765C16"/>
    <w:rsid w:val="00765C7D"/>
    <w:rsid w:val="00765C9B"/>
    <w:rsid w:val="00765DC5"/>
    <w:rsid w:val="00765E67"/>
    <w:rsid w:val="0076614E"/>
    <w:rsid w:val="007661A9"/>
    <w:rsid w:val="0076623A"/>
    <w:rsid w:val="007662A7"/>
    <w:rsid w:val="0076630A"/>
    <w:rsid w:val="00766451"/>
    <w:rsid w:val="0076648F"/>
    <w:rsid w:val="00766573"/>
    <w:rsid w:val="0076658A"/>
    <w:rsid w:val="007665BE"/>
    <w:rsid w:val="0076663B"/>
    <w:rsid w:val="007667C1"/>
    <w:rsid w:val="007667C9"/>
    <w:rsid w:val="007667FF"/>
    <w:rsid w:val="00766880"/>
    <w:rsid w:val="00766889"/>
    <w:rsid w:val="00766962"/>
    <w:rsid w:val="007669A1"/>
    <w:rsid w:val="00766B6B"/>
    <w:rsid w:val="00766C93"/>
    <w:rsid w:val="00766CBF"/>
    <w:rsid w:val="00766D19"/>
    <w:rsid w:val="00766E95"/>
    <w:rsid w:val="00766FFA"/>
    <w:rsid w:val="00767025"/>
    <w:rsid w:val="00767077"/>
    <w:rsid w:val="007670FB"/>
    <w:rsid w:val="0076724C"/>
    <w:rsid w:val="007672B6"/>
    <w:rsid w:val="00767304"/>
    <w:rsid w:val="007673C7"/>
    <w:rsid w:val="00767426"/>
    <w:rsid w:val="00767434"/>
    <w:rsid w:val="007675C3"/>
    <w:rsid w:val="007675DA"/>
    <w:rsid w:val="007676A8"/>
    <w:rsid w:val="00767708"/>
    <w:rsid w:val="00767784"/>
    <w:rsid w:val="007679D4"/>
    <w:rsid w:val="00767BE2"/>
    <w:rsid w:val="00767C63"/>
    <w:rsid w:val="00767D0A"/>
    <w:rsid w:val="00767DC6"/>
    <w:rsid w:val="00767E15"/>
    <w:rsid w:val="00767F16"/>
    <w:rsid w:val="00767F4B"/>
    <w:rsid w:val="00767FD5"/>
    <w:rsid w:val="007700CC"/>
    <w:rsid w:val="00770134"/>
    <w:rsid w:val="007701DD"/>
    <w:rsid w:val="00770206"/>
    <w:rsid w:val="00770212"/>
    <w:rsid w:val="0077023C"/>
    <w:rsid w:val="0077024D"/>
    <w:rsid w:val="00770273"/>
    <w:rsid w:val="0077027B"/>
    <w:rsid w:val="007703CD"/>
    <w:rsid w:val="007703E8"/>
    <w:rsid w:val="00770623"/>
    <w:rsid w:val="007706D0"/>
    <w:rsid w:val="00770702"/>
    <w:rsid w:val="007707A1"/>
    <w:rsid w:val="00770A0E"/>
    <w:rsid w:val="00770A89"/>
    <w:rsid w:val="00770B56"/>
    <w:rsid w:val="00770B68"/>
    <w:rsid w:val="00770B6B"/>
    <w:rsid w:val="00770C01"/>
    <w:rsid w:val="00770CF8"/>
    <w:rsid w:val="00770DB4"/>
    <w:rsid w:val="00770E3A"/>
    <w:rsid w:val="00770ED9"/>
    <w:rsid w:val="00770F44"/>
    <w:rsid w:val="00770FE1"/>
    <w:rsid w:val="00771096"/>
    <w:rsid w:val="00771188"/>
    <w:rsid w:val="00771224"/>
    <w:rsid w:val="00771301"/>
    <w:rsid w:val="00771379"/>
    <w:rsid w:val="007713FA"/>
    <w:rsid w:val="007714A7"/>
    <w:rsid w:val="00771525"/>
    <w:rsid w:val="0077154D"/>
    <w:rsid w:val="00771567"/>
    <w:rsid w:val="007715D1"/>
    <w:rsid w:val="00771639"/>
    <w:rsid w:val="007717AA"/>
    <w:rsid w:val="007717AB"/>
    <w:rsid w:val="007717CD"/>
    <w:rsid w:val="00771992"/>
    <w:rsid w:val="00771A32"/>
    <w:rsid w:val="00771A82"/>
    <w:rsid w:val="00771AF3"/>
    <w:rsid w:val="00771C34"/>
    <w:rsid w:val="00771CC2"/>
    <w:rsid w:val="00771D81"/>
    <w:rsid w:val="00771D88"/>
    <w:rsid w:val="00771E13"/>
    <w:rsid w:val="00771ED2"/>
    <w:rsid w:val="00771F6A"/>
    <w:rsid w:val="00771F78"/>
    <w:rsid w:val="00771FA4"/>
    <w:rsid w:val="00771FE6"/>
    <w:rsid w:val="00771FE9"/>
    <w:rsid w:val="007720CF"/>
    <w:rsid w:val="00772221"/>
    <w:rsid w:val="0077229D"/>
    <w:rsid w:val="0077245D"/>
    <w:rsid w:val="00772480"/>
    <w:rsid w:val="0077269B"/>
    <w:rsid w:val="00772743"/>
    <w:rsid w:val="00772825"/>
    <w:rsid w:val="00772853"/>
    <w:rsid w:val="007728A4"/>
    <w:rsid w:val="007729B3"/>
    <w:rsid w:val="00772A95"/>
    <w:rsid w:val="00772ABE"/>
    <w:rsid w:val="00772B34"/>
    <w:rsid w:val="00772B48"/>
    <w:rsid w:val="00772C68"/>
    <w:rsid w:val="00772D4E"/>
    <w:rsid w:val="00772E71"/>
    <w:rsid w:val="00772F2F"/>
    <w:rsid w:val="00773089"/>
    <w:rsid w:val="0077318D"/>
    <w:rsid w:val="00773355"/>
    <w:rsid w:val="007733D3"/>
    <w:rsid w:val="0077347A"/>
    <w:rsid w:val="007734ED"/>
    <w:rsid w:val="00773508"/>
    <w:rsid w:val="0077353A"/>
    <w:rsid w:val="007735FF"/>
    <w:rsid w:val="00773615"/>
    <w:rsid w:val="0077365E"/>
    <w:rsid w:val="007736B6"/>
    <w:rsid w:val="007736C7"/>
    <w:rsid w:val="00773725"/>
    <w:rsid w:val="00773761"/>
    <w:rsid w:val="00773795"/>
    <w:rsid w:val="007737DE"/>
    <w:rsid w:val="00773891"/>
    <w:rsid w:val="007738EE"/>
    <w:rsid w:val="00773A02"/>
    <w:rsid w:val="00773AF6"/>
    <w:rsid w:val="00773B29"/>
    <w:rsid w:val="00773B2A"/>
    <w:rsid w:val="00773B60"/>
    <w:rsid w:val="00773C70"/>
    <w:rsid w:val="00773D94"/>
    <w:rsid w:val="00773DAB"/>
    <w:rsid w:val="00773DC7"/>
    <w:rsid w:val="00773E2F"/>
    <w:rsid w:val="00773E84"/>
    <w:rsid w:val="00773EAE"/>
    <w:rsid w:val="00773F0C"/>
    <w:rsid w:val="00773F26"/>
    <w:rsid w:val="0077410F"/>
    <w:rsid w:val="007741D8"/>
    <w:rsid w:val="00774263"/>
    <w:rsid w:val="007743AE"/>
    <w:rsid w:val="007743B2"/>
    <w:rsid w:val="007743F9"/>
    <w:rsid w:val="0077446D"/>
    <w:rsid w:val="007744C1"/>
    <w:rsid w:val="0077450A"/>
    <w:rsid w:val="0077451B"/>
    <w:rsid w:val="007746B3"/>
    <w:rsid w:val="00774746"/>
    <w:rsid w:val="0077474F"/>
    <w:rsid w:val="00774960"/>
    <w:rsid w:val="0077496B"/>
    <w:rsid w:val="007749A3"/>
    <w:rsid w:val="00774A58"/>
    <w:rsid w:val="00774AC7"/>
    <w:rsid w:val="00774AFB"/>
    <w:rsid w:val="00774B69"/>
    <w:rsid w:val="00774B86"/>
    <w:rsid w:val="00774B9F"/>
    <w:rsid w:val="00774BA5"/>
    <w:rsid w:val="00774BDC"/>
    <w:rsid w:val="00774C79"/>
    <w:rsid w:val="00774CA2"/>
    <w:rsid w:val="00774E2F"/>
    <w:rsid w:val="00774F11"/>
    <w:rsid w:val="00774F38"/>
    <w:rsid w:val="00774FAF"/>
    <w:rsid w:val="007750E4"/>
    <w:rsid w:val="007750FD"/>
    <w:rsid w:val="00775137"/>
    <w:rsid w:val="007752C3"/>
    <w:rsid w:val="00775309"/>
    <w:rsid w:val="0077530B"/>
    <w:rsid w:val="00775311"/>
    <w:rsid w:val="0077546C"/>
    <w:rsid w:val="007754CC"/>
    <w:rsid w:val="007754FB"/>
    <w:rsid w:val="007756BC"/>
    <w:rsid w:val="0077570B"/>
    <w:rsid w:val="00775755"/>
    <w:rsid w:val="0077578E"/>
    <w:rsid w:val="00775848"/>
    <w:rsid w:val="0077594B"/>
    <w:rsid w:val="00775A34"/>
    <w:rsid w:val="00775AA3"/>
    <w:rsid w:val="00775B6E"/>
    <w:rsid w:val="00775BB8"/>
    <w:rsid w:val="00775CDD"/>
    <w:rsid w:val="00775D8C"/>
    <w:rsid w:val="00775D9C"/>
    <w:rsid w:val="00775E0B"/>
    <w:rsid w:val="00775E97"/>
    <w:rsid w:val="00775F2C"/>
    <w:rsid w:val="00775F80"/>
    <w:rsid w:val="00775F89"/>
    <w:rsid w:val="007760CB"/>
    <w:rsid w:val="007760EB"/>
    <w:rsid w:val="0077614D"/>
    <w:rsid w:val="00776240"/>
    <w:rsid w:val="00776264"/>
    <w:rsid w:val="00776350"/>
    <w:rsid w:val="0077635C"/>
    <w:rsid w:val="00776378"/>
    <w:rsid w:val="00776509"/>
    <w:rsid w:val="0077656D"/>
    <w:rsid w:val="0077661E"/>
    <w:rsid w:val="007766ED"/>
    <w:rsid w:val="00776860"/>
    <w:rsid w:val="0077688F"/>
    <w:rsid w:val="00776B2D"/>
    <w:rsid w:val="00776C07"/>
    <w:rsid w:val="00776C22"/>
    <w:rsid w:val="00776C68"/>
    <w:rsid w:val="00776C82"/>
    <w:rsid w:val="00776E08"/>
    <w:rsid w:val="00776E68"/>
    <w:rsid w:val="00776FF4"/>
    <w:rsid w:val="0077704B"/>
    <w:rsid w:val="00777142"/>
    <w:rsid w:val="00777187"/>
    <w:rsid w:val="00777327"/>
    <w:rsid w:val="00777371"/>
    <w:rsid w:val="007776D8"/>
    <w:rsid w:val="007776F6"/>
    <w:rsid w:val="00777709"/>
    <w:rsid w:val="0077789A"/>
    <w:rsid w:val="00777BFF"/>
    <w:rsid w:val="00777C38"/>
    <w:rsid w:val="00777C54"/>
    <w:rsid w:val="00777C9B"/>
    <w:rsid w:val="00777D2B"/>
    <w:rsid w:val="00777E8E"/>
    <w:rsid w:val="00777E9A"/>
    <w:rsid w:val="00777EF1"/>
    <w:rsid w:val="00777FD2"/>
    <w:rsid w:val="00777FE6"/>
    <w:rsid w:val="00780048"/>
    <w:rsid w:val="007801A3"/>
    <w:rsid w:val="007802AD"/>
    <w:rsid w:val="00780340"/>
    <w:rsid w:val="007805B4"/>
    <w:rsid w:val="007805ED"/>
    <w:rsid w:val="007805F9"/>
    <w:rsid w:val="0078062D"/>
    <w:rsid w:val="00780944"/>
    <w:rsid w:val="00780B1A"/>
    <w:rsid w:val="00780BD4"/>
    <w:rsid w:val="00780C0E"/>
    <w:rsid w:val="00780D43"/>
    <w:rsid w:val="00780DFD"/>
    <w:rsid w:val="00780E74"/>
    <w:rsid w:val="00780EA7"/>
    <w:rsid w:val="00780ECA"/>
    <w:rsid w:val="00780F71"/>
    <w:rsid w:val="00780FE0"/>
    <w:rsid w:val="00781040"/>
    <w:rsid w:val="007810A2"/>
    <w:rsid w:val="007810B7"/>
    <w:rsid w:val="0078114B"/>
    <w:rsid w:val="007811B8"/>
    <w:rsid w:val="007813EA"/>
    <w:rsid w:val="00781478"/>
    <w:rsid w:val="00781588"/>
    <w:rsid w:val="007815E3"/>
    <w:rsid w:val="0078163A"/>
    <w:rsid w:val="007817D2"/>
    <w:rsid w:val="00781832"/>
    <w:rsid w:val="0078187D"/>
    <w:rsid w:val="007818CE"/>
    <w:rsid w:val="00781917"/>
    <w:rsid w:val="00781980"/>
    <w:rsid w:val="00781A26"/>
    <w:rsid w:val="00781A98"/>
    <w:rsid w:val="00781ABE"/>
    <w:rsid w:val="00781E0A"/>
    <w:rsid w:val="00781ED7"/>
    <w:rsid w:val="0078201E"/>
    <w:rsid w:val="00782036"/>
    <w:rsid w:val="007821A4"/>
    <w:rsid w:val="0078224F"/>
    <w:rsid w:val="00782254"/>
    <w:rsid w:val="00782336"/>
    <w:rsid w:val="007825EC"/>
    <w:rsid w:val="0078265B"/>
    <w:rsid w:val="007826DC"/>
    <w:rsid w:val="007828F4"/>
    <w:rsid w:val="00782932"/>
    <w:rsid w:val="00782956"/>
    <w:rsid w:val="00782969"/>
    <w:rsid w:val="00782970"/>
    <w:rsid w:val="00782994"/>
    <w:rsid w:val="007829F5"/>
    <w:rsid w:val="00782A00"/>
    <w:rsid w:val="00782B1B"/>
    <w:rsid w:val="00782BBB"/>
    <w:rsid w:val="00782BF7"/>
    <w:rsid w:val="00782C86"/>
    <w:rsid w:val="00782C9A"/>
    <w:rsid w:val="00782E56"/>
    <w:rsid w:val="00782EBC"/>
    <w:rsid w:val="00782F5C"/>
    <w:rsid w:val="00783083"/>
    <w:rsid w:val="00783100"/>
    <w:rsid w:val="0078310C"/>
    <w:rsid w:val="00783383"/>
    <w:rsid w:val="00783395"/>
    <w:rsid w:val="007833CE"/>
    <w:rsid w:val="0078340C"/>
    <w:rsid w:val="00783533"/>
    <w:rsid w:val="00783551"/>
    <w:rsid w:val="00783568"/>
    <w:rsid w:val="00783646"/>
    <w:rsid w:val="007837DE"/>
    <w:rsid w:val="00783837"/>
    <w:rsid w:val="0078386C"/>
    <w:rsid w:val="007838BE"/>
    <w:rsid w:val="0078390F"/>
    <w:rsid w:val="007839D1"/>
    <w:rsid w:val="007839E8"/>
    <w:rsid w:val="007839FC"/>
    <w:rsid w:val="00783B47"/>
    <w:rsid w:val="00783BB0"/>
    <w:rsid w:val="00783BD2"/>
    <w:rsid w:val="00783C3D"/>
    <w:rsid w:val="00783D6B"/>
    <w:rsid w:val="00783D7F"/>
    <w:rsid w:val="00783DF0"/>
    <w:rsid w:val="00783F5C"/>
    <w:rsid w:val="00783F9F"/>
    <w:rsid w:val="00784031"/>
    <w:rsid w:val="00784076"/>
    <w:rsid w:val="007840D0"/>
    <w:rsid w:val="00784228"/>
    <w:rsid w:val="0078442E"/>
    <w:rsid w:val="0078443C"/>
    <w:rsid w:val="00784500"/>
    <w:rsid w:val="00784596"/>
    <w:rsid w:val="007845D1"/>
    <w:rsid w:val="00784919"/>
    <w:rsid w:val="00784923"/>
    <w:rsid w:val="007849F0"/>
    <w:rsid w:val="00784B54"/>
    <w:rsid w:val="00784BDA"/>
    <w:rsid w:val="00784CE8"/>
    <w:rsid w:val="00784F61"/>
    <w:rsid w:val="00785004"/>
    <w:rsid w:val="007850D6"/>
    <w:rsid w:val="00785301"/>
    <w:rsid w:val="007853A3"/>
    <w:rsid w:val="007853F5"/>
    <w:rsid w:val="007854D7"/>
    <w:rsid w:val="007854F9"/>
    <w:rsid w:val="007854FA"/>
    <w:rsid w:val="00785625"/>
    <w:rsid w:val="00785642"/>
    <w:rsid w:val="007857B6"/>
    <w:rsid w:val="007857D8"/>
    <w:rsid w:val="007857F5"/>
    <w:rsid w:val="007858A4"/>
    <w:rsid w:val="007858E2"/>
    <w:rsid w:val="007858F0"/>
    <w:rsid w:val="007859DC"/>
    <w:rsid w:val="00785B23"/>
    <w:rsid w:val="00785BE1"/>
    <w:rsid w:val="00785C28"/>
    <w:rsid w:val="00785C88"/>
    <w:rsid w:val="00785CF7"/>
    <w:rsid w:val="00785D08"/>
    <w:rsid w:val="00785D71"/>
    <w:rsid w:val="00785DC1"/>
    <w:rsid w:val="00785E3B"/>
    <w:rsid w:val="00785E4D"/>
    <w:rsid w:val="00785E57"/>
    <w:rsid w:val="00785F8E"/>
    <w:rsid w:val="0078605F"/>
    <w:rsid w:val="00786095"/>
    <w:rsid w:val="007860E3"/>
    <w:rsid w:val="00786110"/>
    <w:rsid w:val="00786372"/>
    <w:rsid w:val="00786388"/>
    <w:rsid w:val="007864E8"/>
    <w:rsid w:val="00786520"/>
    <w:rsid w:val="0078657D"/>
    <w:rsid w:val="00786597"/>
    <w:rsid w:val="007865CB"/>
    <w:rsid w:val="0078662B"/>
    <w:rsid w:val="00786657"/>
    <w:rsid w:val="007866E1"/>
    <w:rsid w:val="00786785"/>
    <w:rsid w:val="00786848"/>
    <w:rsid w:val="00786856"/>
    <w:rsid w:val="00786939"/>
    <w:rsid w:val="0078698A"/>
    <w:rsid w:val="00786A0A"/>
    <w:rsid w:val="00786AE3"/>
    <w:rsid w:val="00786BF5"/>
    <w:rsid w:val="00786C14"/>
    <w:rsid w:val="00786C88"/>
    <w:rsid w:val="00786CBA"/>
    <w:rsid w:val="00786D3A"/>
    <w:rsid w:val="00786DC6"/>
    <w:rsid w:val="00786E47"/>
    <w:rsid w:val="00786E8E"/>
    <w:rsid w:val="00786FB0"/>
    <w:rsid w:val="00786FBC"/>
    <w:rsid w:val="00787082"/>
    <w:rsid w:val="00787087"/>
    <w:rsid w:val="007870D7"/>
    <w:rsid w:val="007871B0"/>
    <w:rsid w:val="007871D9"/>
    <w:rsid w:val="007873B8"/>
    <w:rsid w:val="0078764F"/>
    <w:rsid w:val="0078776E"/>
    <w:rsid w:val="007877B9"/>
    <w:rsid w:val="007877BC"/>
    <w:rsid w:val="00787830"/>
    <w:rsid w:val="00787921"/>
    <w:rsid w:val="00787947"/>
    <w:rsid w:val="0078797E"/>
    <w:rsid w:val="007879E8"/>
    <w:rsid w:val="00787A39"/>
    <w:rsid w:val="00787AC4"/>
    <w:rsid w:val="00787B59"/>
    <w:rsid w:val="00787B66"/>
    <w:rsid w:val="00787BA6"/>
    <w:rsid w:val="00787BE9"/>
    <w:rsid w:val="00787C07"/>
    <w:rsid w:val="00787C0B"/>
    <w:rsid w:val="00787C42"/>
    <w:rsid w:val="00787C80"/>
    <w:rsid w:val="00787E83"/>
    <w:rsid w:val="00787F1D"/>
    <w:rsid w:val="00787F65"/>
    <w:rsid w:val="007900FC"/>
    <w:rsid w:val="00790139"/>
    <w:rsid w:val="00790277"/>
    <w:rsid w:val="00790278"/>
    <w:rsid w:val="00790449"/>
    <w:rsid w:val="00790496"/>
    <w:rsid w:val="007904A4"/>
    <w:rsid w:val="007904A7"/>
    <w:rsid w:val="007905CB"/>
    <w:rsid w:val="00790606"/>
    <w:rsid w:val="00790622"/>
    <w:rsid w:val="0079064A"/>
    <w:rsid w:val="007906CC"/>
    <w:rsid w:val="00790857"/>
    <w:rsid w:val="007908D6"/>
    <w:rsid w:val="00790960"/>
    <w:rsid w:val="00790965"/>
    <w:rsid w:val="007909C9"/>
    <w:rsid w:val="007909EF"/>
    <w:rsid w:val="007909F8"/>
    <w:rsid w:val="00790BCC"/>
    <w:rsid w:val="00790C7B"/>
    <w:rsid w:val="00790D80"/>
    <w:rsid w:val="00790D87"/>
    <w:rsid w:val="00790DC0"/>
    <w:rsid w:val="00790E3E"/>
    <w:rsid w:val="00790E81"/>
    <w:rsid w:val="00790F90"/>
    <w:rsid w:val="00791075"/>
    <w:rsid w:val="00791100"/>
    <w:rsid w:val="00791181"/>
    <w:rsid w:val="007911B0"/>
    <w:rsid w:val="00791321"/>
    <w:rsid w:val="00791558"/>
    <w:rsid w:val="0079164E"/>
    <w:rsid w:val="0079172D"/>
    <w:rsid w:val="00791863"/>
    <w:rsid w:val="00791903"/>
    <w:rsid w:val="007919D1"/>
    <w:rsid w:val="00791B35"/>
    <w:rsid w:val="00791BCD"/>
    <w:rsid w:val="00791C4D"/>
    <w:rsid w:val="00791CD8"/>
    <w:rsid w:val="00791CEE"/>
    <w:rsid w:val="00791EF2"/>
    <w:rsid w:val="00791F1A"/>
    <w:rsid w:val="00791FB5"/>
    <w:rsid w:val="00791FD3"/>
    <w:rsid w:val="00792108"/>
    <w:rsid w:val="0079224A"/>
    <w:rsid w:val="0079239D"/>
    <w:rsid w:val="007923EE"/>
    <w:rsid w:val="00792408"/>
    <w:rsid w:val="0079252D"/>
    <w:rsid w:val="0079255E"/>
    <w:rsid w:val="00792574"/>
    <w:rsid w:val="007925AC"/>
    <w:rsid w:val="007925CF"/>
    <w:rsid w:val="00792675"/>
    <w:rsid w:val="00792688"/>
    <w:rsid w:val="007926B9"/>
    <w:rsid w:val="00792701"/>
    <w:rsid w:val="007928AD"/>
    <w:rsid w:val="0079292C"/>
    <w:rsid w:val="0079299A"/>
    <w:rsid w:val="00792A22"/>
    <w:rsid w:val="00792A8D"/>
    <w:rsid w:val="00792ADA"/>
    <w:rsid w:val="00792BFF"/>
    <w:rsid w:val="00792C38"/>
    <w:rsid w:val="00792C64"/>
    <w:rsid w:val="00792E3F"/>
    <w:rsid w:val="00792E4A"/>
    <w:rsid w:val="00792E6A"/>
    <w:rsid w:val="00792EB0"/>
    <w:rsid w:val="00792EC0"/>
    <w:rsid w:val="00792F40"/>
    <w:rsid w:val="0079305A"/>
    <w:rsid w:val="0079311C"/>
    <w:rsid w:val="007931A6"/>
    <w:rsid w:val="0079328D"/>
    <w:rsid w:val="0079335A"/>
    <w:rsid w:val="007933A3"/>
    <w:rsid w:val="007934E2"/>
    <w:rsid w:val="007937A7"/>
    <w:rsid w:val="007937A8"/>
    <w:rsid w:val="00793990"/>
    <w:rsid w:val="00793AD9"/>
    <w:rsid w:val="00793AF6"/>
    <w:rsid w:val="00793D3F"/>
    <w:rsid w:val="00793DDE"/>
    <w:rsid w:val="00793E4C"/>
    <w:rsid w:val="00793EF0"/>
    <w:rsid w:val="00794003"/>
    <w:rsid w:val="00794006"/>
    <w:rsid w:val="0079424F"/>
    <w:rsid w:val="007942E1"/>
    <w:rsid w:val="007943FF"/>
    <w:rsid w:val="0079442D"/>
    <w:rsid w:val="00794450"/>
    <w:rsid w:val="0079454B"/>
    <w:rsid w:val="00794584"/>
    <w:rsid w:val="007946C4"/>
    <w:rsid w:val="0079486B"/>
    <w:rsid w:val="007948D1"/>
    <w:rsid w:val="00794957"/>
    <w:rsid w:val="00794B25"/>
    <w:rsid w:val="00794B4F"/>
    <w:rsid w:val="00794B5D"/>
    <w:rsid w:val="00794BF3"/>
    <w:rsid w:val="00794D02"/>
    <w:rsid w:val="00794E4C"/>
    <w:rsid w:val="00794EEC"/>
    <w:rsid w:val="00794F23"/>
    <w:rsid w:val="00795047"/>
    <w:rsid w:val="00795329"/>
    <w:rsid w:val="00795377"/>
    <w:rsid w:val="00795394"/>
    <w:rsid w:val="007953D9"/>
    <w:rsid w:val="0079551E"/>
    <w:rsid w:val="00795525"/>
    <w:rsid w:val="007955D9"/>
    <w:rsid w:val="007955E2"/>
    <w:rsid w:val="00795649"/>
    <w:rsid w:val="00795768"/>
    <w:rsid w:val="007958CD"/>
    <w:rsid w:val="00795992"/>
    <w:rsid w:val="007959C1"/>
    <w:rsid w:val="007959F5"/>
    <w:rsid w:val="00795B57"/>
    <w:rsid w:val="00795BA5"/>
    <w:rsid w:val="00795BCE"/>
    <w:rsid w:val="00795C0D"/>
    <w:rsid w:val="00795CF3"/>
    <w:rsid w:val="00795D4B"/>
    <w:rsid w:val="00795E8C"/>
    <w:rsid w:val="00795ED7"/>
    <w:rsid w:val="007960C4"/>
    <w:rsid w:val="007961C3"/>
    <w:rsid w:val="007962A8"/>
    <w:rsid w:val="007963D2"/>
    <w:rsid w:val="0079641F"/>
    <w:rsid w:val="00796537"/>
    <w:rsid w:val="007965A4"/>
    <w:rsid w:val="00796637"/>
    <w:rsid w:val="007966CF"/>
    <w:rsid w:val="00796717"/>
    <w:rsid w:val="00796726"/>
    <w:rsid w:val="00796771"/>
    <w:rsid w:val="007967F6"/>
    <w:rsid w:val="00796B36"/>
    <w:rsid w:val="00796B54"/>
    <w:rsid w:val="00796C3D"/>
    <w:rsid w:val="00796DAE"/>
    <w:rsid w:val="00796EB2"/>
    <w:rsid w:val="00796EBF"/>
    <w:rsid w:val="00796F84"/>
    <w:rsid w:val="0079705A"/>
    <w:rsid w:val="007970BE"/>
    <w:rsid w:val="00797108"/>
    <w:rsid w:val="0079719F"/>
    <w:rsid w:val="007971C8"/>
    <w:rsid w:val="007972BB"/>
    <w:rsid w:val="00797327"/>
    <w:rsid w:val="00797338"/>
    <w:rsid w:val="007973E3"/>
    <w:rsid w:val="007974F4"/>
    <w:rsid w:val="0079757D"/>
    <w:rsid w:val="00797638"/>
    <w:rsid w:val="007976ED"/>
    <w:rsid w:val="00797798"/>
    <w:rsid w:val="007977C2"/>
    <w:rsid w:val="007977D6"/>
    <w:rsid w:val="007978B8"/>
    <w:rsid w:val="00797972"/>
    <w:rsid w:val="00797A0B"/>
    <w:rsid w:val="00797A5E"/>
    <w:rsid w:val="00797BAC"/>
    <w:rsid w:val="00797BFD"/>
    <w:rsid w:val="00797C12"/>
    <w:rsid w:val="00797C7A"/>
    <w:rsid w:val="00797CC1"/>
    <w:rsid w:val="00797D45"/>
    <w:rsid w:val="00797D62"/>
    <w:rsid w:val="00797DAC"/>
    <w:rsid w:val="00797E3E"/>
    <w:rsid w:val="00797E8C"/>
    <w:rsid w:val="00797EC5"/>
    <w:rsid w:val="00797ECC"/>
    <w:rsid w:val="00797EF5"/>
    <w:rsid w:val="00797FDD"/>
    <w:rsid w:val="007A002E"/>
    <w:rsid w:val="007A003E"/>
    <w:rsid w:val="007A0084"/>
    <w:rsid w:val="007A00A2"/>
    <w:rsid w:val="007A0181"/>
    <w:rsid w:val="007A01A9"/>
    <w:rsid w:val="007A02FE"/>
    <w:rsid w:val="007A0460"/>
    <w:rsid w:val="007A04BF"/>
    <w:rsid w:val="007A04C5"/>
    <w:rsid w:val="007A051D"/>
    <w:rsid w:val="007A05B9"/>
    <w:rsid w:val="007A072A"/>
    <w:rsid w:val="007A074F"/>
    <w:rsid w:val="007A07B2"/>
    <w:rsid w:val="007A086D"/>
    <w:rsid w:val="007A0997"/>
    <w:rsid w:val="007A0A46"/>
    <w:rsid w:val="007A0AFA"/>
    <w:rsid w:val="007A0C16"/>
    <w:rsid w:val="007A0C42"/>
    <w:rsid w:val="007A0C5A"/>
    <w:rsid w:val="007A0E1C"/>
    <w:rsid w:val="007A0ED8"/>
    <w:rsid w:val="007A0F1D"/>
    <w:rsid w:val="007A0FE8"/>
    <w:rsid w:val="007A1041"/>
    <w:rsid w:val="007A107A"/>
    <w:rsid w:val="007A1146"/>
    <w:rsid w:val="007A140C"/>
    <w:rsid w:val="007A1421"/>
    <w:rsid w:val="007A1659"/>
    <w:rsid w:val="007A170C"/>
    <w:rsid w:val="007A1774"/>
    <w:rsid w:val="007A1781"/>
    <w:rsid w:val="007A1793"/>
    <w:rsid w:val="007A18CF"/>
    <w:rsid w:val="007A1B53"/>
    <w:rsid w:val="007A1C0C"/>
    <w:rsid w:val="007A1C5A"/>
    <w:rsid w:val="007A1C6E"/>
    <w:rsid w:val="007A1CE5"/>
    <w:rsid w:val="007A1D02"/>
    <w:rsid w:val="007A1D8A"/>
    <w:rsid w:val="007A1E19"/>
    <w:rsid w:val="007A1E29"/>
    <w:rsid w:val="007A1E45"/>
    <w:rsid w:val="007A1EA2"/>
    <w:rsid w:val="007A2089"/>
    <w:rsid w:val="007A212F"/>
    <w:rsid w:val="007A2145"/>
    <w:rsid w:val="007A23F5"/>
    <w:rsid w:val="007A2550"/>
    <w:rsid w:val="007A2630"/>
    <w:rsid w:val="007A26AF"/>
    <w:rsid w:val="007A2707"/>
    <w:rsid w:val="007A274A"/>
    <w:rsid w:val="007A27AC"/>
    <w:rsid w:val="007A27DA"/>
    <w:rsid w:val="007A2804"/>
    <w:rsid w:val="007A295D"/>
    <w:rsid w:val="007A299E"/>
    <w:rsid w:val="007A29D5"/>
    <w:rsid w:val="007A2D36"/>
    <w:rsid w:val="007A2E42"/>
    <w:rsid w:val="007A2E5A"/>
    <w:rsid w:val="007A2EAF"/>
    <w:rsid w:val="007A2EB2"/>
    <w:rsid w:val="007A2FA9"/>
    <w:rsid w:val="007A305C"/>
    <w:rsid w:val="007A30C8"/>
    <w:rsid w:val="007A30CF"/>
    <w:rsid w:val="007A317B"/>
    <w:rsid w:val="007A31C0"/>
    <w:rsid w:val="007A3278"/>
    <w:rsid w:val="007A346B"/>
    <w:rsid w:val="007A34DD"/>
    <w:rsid w:val="007A3516"/>
    <w:rsid w:val="007A35A5"/>
    <w:rsid w:val="007A36FB"/>
    <w:rsid w:val="007A379D"/>
    <w:rsid w:val="007A37CE"/>
    <w:rsid w:val="007A380F"/>
    <w:rsid w:val="007A3931"/>
    <w:rsid w:val="007A3984"/>
    <w:rsid w:val="007A39A3"/>
    <w:rsid w:val="007A3A33"/>
    <w:rsid w:val="007A3C60"/>
    <w:rsid w:val="007A3C6C"/>
    <w:rsid w:val="007A3C94"/>
    <w:rsid w:val="007A3D06"/>
    <w:rsid w:val="007A3DB6"/>
    <w:rsid w:val="007A3E55"/>
    <w:rsid w:val="007A3FD6"/>
    <w:rsid w:val="007A4186"/>
    <w:rsid w:val="007A422B"/>
    <w:rsid w:val="007A4347"/>
    <w:rsid w:val="007A436E"/>
    <w:rsid w:val="007A43D1"/>
    <w:rsid w:val="007A43DB"/>
    <w:rsid w:val="007A44DC"/>
    <w:rsid w:val="007A452E"/>
    <w:rsid w:val="007A4647"/>
    <w:rsid w:val="007A4687"/>
    <w:rsid w:val="007A46E7"/>
    <w:rsid w:val="007A4798"/>
    <w:rsid w:val="007A47A1"/>
    <w:rsid w:val="007A482E"/>
    <w:rsid w:val="007A4859"/>
    <w:rsid w:val="007A487E"/>
    <w:rsid w:val="007A48BE"/>
    <w:rsid w:val="007A4B7F"/>
    <w:rsid w:val="007A4D4B"/>
    <w:rsid w:val="007A4DEB"/>
    <w:rsid w:val="007A4ED0"/>
    <w:rsid w:val="007A4ED4"/>
    <w:rsid w:val="007A4F0C"/>
    <w:rsid w:val="007A4FFD"/>
    <w:rsid w:val="007A5050"/>
    <w:rsid w:val="007A5066"/>
    <w:rsid w:val="007A51BD"/>
    <w:rsid w:val="007A525D"/>
    <w:rsid w:val="007A52D4"/>
    <w:rsid w:val="007A53AB"/>
    <w:rsid w:val="007A53F3"/>
    <w:rsid w:val="007A5409"/>
    <w:rsid w:val="007A5505"/>
    <w:rsid w:val="007A5532"/>
    <w:rsid w:val="007A56CF"/>
    <w:rsid w:val="007A58B7"/>
    <w:rsid w:val="007A599B"/>
    <w:rsid w:val="007A5ADE"/>
    <w:rsid w:val="007A5AFC"/>
    <w:rsid w:val="007A5B91"/>
    <w:rsid w:val="007A5CB0"/>
    <w:rsid w:val="007A5CD4"/>
    <w:rsid w:val="007A5D69"/>
    <w:rsid w:val="007A5E10"/>
    <w:rsid w:val="007A5EBE"/>
    <w:rsid w:val="007A5F07"/>
    <w:rsid w:val="007A5FFC"/>
    <w:rsid w:val="007A60EF"/>
    <w:rsid w:val="007A60F0"/>
    <w:rsid w:val="007A61DB"/>
    <w:rsid w:val="007A624C"/>
    <w:rsid w:val="007A6362"/>
    <w:rsid w:val="007A6461"/>
    <w:rsid w:val="007A6496"/>
    <w:rsid w:val="007A67B8"/>
    <w:rsid w:val="007A6829"/>
    <w:rsid w:val="007A68E3"/>
    <w:rsid w:val="007A690F"/>
    <w:rsid w:val="007A6A25"/>
    <w:rsid w:val="007A6A55"/>
    <w:rsid w:val="007A6B08"/>
    <w:rsid w:val="007A6B3C"/>
    <w:rsid w:val="007A6BDE"/>
    <w:rsid w:val="007A6C08"/>
    <w:rsid w:val="007A6CCE"/>
    <w:rsid w:val="007A6D45"/>
    <w:rsid w:val="007A6D4B"/>
    <w:rsid w:val="007A6EDD"/>
    <w:rsid w:val="007A6F54"/>
    <w:rsid w:val="007A7002"/>
    <w:rsid w:val="007A7074"/>
    <w:rsid w:val="007A70DA"/>
    <w:rsid w:val="007A70FC"/>
    <w:rsid w:val="007A729A"/>
    <w:rsid w:val="007A72FD"/>
    <w:rsid w:val="007A7519"/>
    <w:rsid w:val="007A757D"/>
    <w:rsid w:val="007A75AC"/>
    <w:rsid w:val="007A765B"/>
    <w:rsid w:val="007A766B"/>
    <w:rsid w:val="007A7780"/>
    <w:rsid w:val="007A78E9"/>
    <w:rsid w:val="007A78EE"/>
    <w:rsid w:val="007A7963"/>
    <w:rsid w:val="007A79A2"/>
    <w:rsid w:val="007A79FD"/>
    <w:rsid w:val="007A7AC2"/>
    <w:rsid w:val="007A7AE1"/>
    <w:rsid w:val="007A7B43"/>
    <w:rsid w:val="007A7B6D"/>
    <w:rsid w:val="007A7BE8"/>
    <w:rsid w:val="007A7CBF"/>
    <w:rsid w:val="007A7DE1"/>
    <w:rsid w:val="007B0065"/>
    <w:rsid w:val="007B00D4"/>
    <w:rsid w:val="007B0103"/>
    <w:rsid w:val="007B01A6"/>
    <w:rsid w:val="007B01B2"/>
    <w:rsid w:val="007B01E5"/>
    <w:rsid w:val="007B023B"/>
    <w:rsid w:val="007B02C4"/>
    <w:rsid w:val="007B0517"/>
    <w:rsid w:val="007B05AA"/>
    <w:rsid w:val="007B0649"/>
    <w:rsid w:val="007B06CF"/>
    <w:rsid w:val="007B070E"/>
    <w:rsid w:val="007B09FF"/>
    <w:rsid w:val="007B0B49"/>
    <w:rsid w:val="007B0C79"/>
    <w:rsid w:val="007B0DBB"/>
    <w:rsid w:val="007B0F2B"/>
    <w:rsid w:val="007B0FCD"/>
    <w:rsid w:val="007B100D"/>
    <w:rsid w:val="007B1122"/>
    <w:rsid w:val="007B117E"/>
    <w:rsid w:val="007B14D1"/>
    <w:rsid w:val="007B151C"/>
    <w:rsid w:val="007B159D"/>
    <w:rsid w:val="007B160E"/>
    <w:rsid w:val="007B1637"/>
    <w:rsid w:val="007B1650"/>
    <w:rsid w:val="007B1715"/>
    <w:rsid w:val="007B1859"/>
    <w:rsid w:val="007B1867"/>
    <w:rsid w:val="007B18F2"/>
    <w:rsid w:val="007B1932"/>
    <w:rsid w:val="007B193E"/>
    <w:rsid w:val="007B19B8"/>
    <w:rsid w:val="007B19BB"/>
    <w:rsid w:val="007B1A8E"/>
    <w:rsid w:val="007B1BC9"/>
    <w:rsid w:val="007B1E8A"/>
    <w:rsid w:val="007B1F6D"/>
    <w:rsid w:val="007B2020"/>
    <w:rsid w:val="007B206F"/>
    <w:rsid w:val="007B2089"/>
    <w:rsid w:val="007B219C"/>
    <w:rsid w:val="007B224A"/>
    <w:rsid w:val="007B224D"/>
    <w:rsid w:val="007B22A8"/>
    <w:rsid w:val="007B22B7"/>
    <w:rsid w:val="007B2343"/>
    <w:rsid w:val="007B2349"/>
    <w:rsid w:val="007B254D"/>
    <w:rsid w:val="007B25AF"/>
    <w:rsid w:val="007B2628"/>
    <w:rsid w:val="007B263E"/>
    <w:rsid w:val="007B270E"/>
    <w:rsid w:val="007B2764"/>
    <w:rsid w:val="007B27EF"/>
    <w:rsid w:val="007B2817"/>
    <w:rsid w:val="007B2834"/>
    <w:rsid w:val="007B2989"/>
    <w:rsid w:val="007B29C4"/>
    <w:rsid w:val="007B2BA4"/>
    <w:rsid w:val="007B2C3E"/>
    <w:rsid w:val="007B2C6A"/>
    <w:rsid w:val="007B2DF2"/>
    <w:rsid w:val="007B2ED9"/>
    <w:rsid w:val="007B2F58"/>
    <w:rsid w:val="007B2FB1"/>
    <w:rsid w:val="007B2FD9"/>
    <w:rsid w:val="007B2FEE"/>
    <w:rsid w:val="007B3050"/>
    <w:rsid w:val="007B30A1"/>
    <w:rsid w:val="007B3216"/>
    <w:rsid w:val="007B322C"/>
    <w:rsid w:val="007B33AF"/>
    <w:rsid w:val="007B3417"/>
    <w:rsid w:val="007B3426"/>
    <w:rsid w:val="007B3445"/>
    <w:rsid w:val="007B3525"/>
    <w:rsid w:val="007B35B6"/>
    <w:rsid w:val="007B3692"/>
    <w:rsid w:val="007B37E5"/>
    <w:rsid w:val="007B37FD"/>
    <w:rsid w:val="007B39E2"/>
    <w:rsid w:val="007B3A68"/>
    <w:rsid w:val="007B3A91"/>
    <w:rsid w:val="007B3A93"/>
    <w:rsid w:val="007B3A9C"/>
    <w:rsid w:val="007B3B69"/>
    <w:rsid w:val="007B3C10"/>
    <w:rsid w:val="007B3D71"/>
    <w:rsid w:val="007B3D8A"/>
    <w:rsid w:val="007B3E37"/>
    <w:rsid w:val="007B3E48"/>
    <w:rsid w:val="007B3E67"/>
    <w:rsid w:val="007B3E96"/>
    <w:rsid w:val="007B3FC5"/>
    <w:rsid w:val="007B4039"/>
    <w:rsid w:val="007B4045"/>
    <w:rsid w:val="007B40B9"/>
    <w:rsid w:val="007B40F5"/>
    <w:rsid w:val="007B4135"/>
    <w:rsid w:val="007B41CC"/>
    <w:rsid w:val="007B4261"/>
    <w:rsid w:val="007B430C"/>
    <w:rsid w:val="007B43F7"/>
    <w:rsid w:val="007B4403"/>
    <w:rsid w:val="007B4523"/>
    <w:rsid w:val="007B4555"/>
    <w:rsid w:val="007B466E"/>
    <w:rsid w:val="007B46BC"/>
    <w:rsid w:val="007B4765"/>
    <w:rsid w:val="007B47A6"/>
    <w:rsid w:val="007B47D3"/>
    <w:rsid w:val="007B48CC"/>
    <w:rsid w:val="007B49CC"/>
    <w:rsid w:val="007B4A1B"/>
    <w:rsid w:val="007B4A39"/>
    <w:rsid w:val="007B4AB4"/>
    <w:rsid w:val="007B4C7E"/>
    <w:rsid w:val="007B4DCC"/>
    <w:rsid w:val="007B5196"/>
    <w:rsid w:val="007B529D"/>
    <w:rsid w:val="007B52B8"/>
    <w:rsid w:val="007B5447"/>
    <w:rsid w:val="007B570A"/>
    <w:rsid w:val="007B57DD"/>
    <w:rsid w:val="007B581F"/>
    <w:rsid w:val="007B5867"/>
    <w:rsid w:val="007B5921"/>
    <w:rsid w:val="007B5988"/>
    <w:rsid w:val="007B59B1"/>
    <w:rsid w:val="007B5C4F"/>
    <w:rsid w:val="007B5C5B"/>
    <w:rsid w:val="007B5C5D"/>
    <w:rsid w:val="007B5D91"/>
    <w:rsid w:val="007B5E0B"/>
    <w:rsid w:val="007B5EAE"/>
    <w:rsid w:val="007B633A"/>
    <w:rsid w:val="007B638F"/>
    <w:rsid w:val="007B6587"/>
    <w:rsid w:val="007B665C"/>
    <w:rsid w:val="007B6708"/>
    <w:rsid w:val="007B683D"/>
    <w:rsid w:val="007B6923"/>
    <w:rsid w:val="007B6A54"/>
    <w:rsid w:val="007B6BB7"/>
    <w:rsid w:val="007B6C10"/>
    <w:rsid w:val="007B6D48"/>
    <w:rsid w:val="007B6E10"/>
    <w:rsid w:val="007B6E91"/>
    <w:rsid w:val="007B6F3F"/>
    <w:rsid w:val="007B6FD7"/>
    <w:rsid w:val="007B7065"/>
    <w:rsid w:val="007B7226"/>
    <w:rsid w:val="007B72BF"/>
    <w:rsid w:val="007B72DD"/>
    <w:rsid w:val="007B72E6"/>
    <w:rsid w:val="007B72F8"/>
    <w:rsid w:val="007B736A"/>
    <w:rsid w:val="007B74CC"/>
    <w:rsid w:val="007B74F0"/>
    <w:rsid w:val="007B7532"/>
    <w:rsid w:val="007B759E"/>
    <w:rsid w:val="007B76AD"/>
    <w:rsid w:val="007B773A"/>
    <w:rsid w:val="007B77AE"/>
    <w:rsid w:val="007B7A65"/>
    <w:rsid w:val="007B7A6F"/>
    <w:rsid w:val="007B7ABF"/>
    <w:rsid w:val="007B7C09"/>
    <w:rsid w:val="007B7D8F"/>
    <w:rsid w:val="007B7F50"/>
    <w:rsid w:val="007C0028"/>
    <w:rsid w:val="007C008A"/>
    <w:rsid w:val="007C040B"/>
    <w:rsid w:val="007C0437"/>
    <w:rsid w:val="007C047B"/>
    <w:rsid w:val="007C04AA"/>
    <w:rsid w:val="007C0505"/>
    <w:rsid w:val="007C0539"/>
    <w:rsid w:val="007C055F"/>
    <w:rsid w:val="007C056D"/>
    <w:rsid w:val="007C07A4"/>
    <w:rsid w:val="007C0800"/>
    <w:rsid w:val="007C08C5"/>
    <w:rsid w:val="007C0900"/>
    <w:rsid w:val="007C0AE1"/>
    <w:rsid w:val="007C0B32"/>
    <w:rsid w:val="007C0C20"/>
    <w:rsid w:val="007C0C6F"/>
    <w:rsid w:val="007C0E26"/>
    <w:rsid w:val="007C0EB1"/>
    <w:rsid w:val="007C0FE2"/>
    <w:rsid w:val="007C1088"/>
    <w:rsid w:val="007C10A1"/>
    <w:rsid w:val="007C1128"/>
    <w:rsid w:val="007C1376"/>
    <w:rsid w:val="007C1405"/>
    <w:rsid w:val="007C144D"/>
    <w:rsid w:val="007C1452"/>
    <w:rsid w:val="007C1498"/>
    <w:rsid w:val="007C1593"/>
    <w:rsid w:val="007C15E4"/>
    <w:rsid w:val="007C1687"/>
    <w:rsid w:val="007C16BE"/>
    <w:rsid w:val="007C16E1"/>
    <w:rsid w:val="007C1730"/>
    <w:rsid w:val="007C1760"/>
    <w:rsid w:val="007C1948"/>
    <w:rsid w:val="007C19D5"/>
    <w:rsid w:val="007C1B97"/>
    <w:rsid w:val="007C1C08"/>
    <w:rsid w:val="007C1D04"/>
    <w:rsid w:val="007C1D1A"/>
    <w:rsid w:val="007C1D44"/>
    <w:rsid w:val="007C1D5E"/>
    <w:rsid w:val="007C1E01"/>
    <w:rsid w:val="007C1EF1"/>
    <w:rsid w:val="007C1F32"/>
    <w:rsid w:val="007C1FEF"/>
    <w:rsid w:val="007C2015"/>
    <w:rsid w:val="007C205F"/>
    <w:rsid w:val="007C212C"/>
    <w:rsid w:val="007C2211"/>
    <w:rsid w:val="007C223B"/>
    <w:rsid w:val="007C2263"/>
    <w:rsid w:val="007C23B7"/>
    <w:rsid w:val="007C23F2"/>
    <w:rsid w:val="007C2408"/>
    <w:rsid w:val="007C240F"/>
    <w:rsid w:val="007C246F"/>
    <w:rsid w:val="007C2498"/>
    <w:rsid w:val="007C252D"/>
    <w:rsid w:val="007C258C"/>
    <w:rsid w:val="007C26AF"/>
    <w:rsid w:val="007C26C8"/>
    <w:rsid w:val="007C26ED"/>
    <w:rsid w:val="007C2925"/>
    <w:rsid w:val="007C2964"/>
    <w:rsid w:val="007C2A60"/>
    <w:rsid w:val="007C2B65"/>
    <w:rsid w:val="007C2CFC"/>
    <w:rsid w:val="007C2DC2"/>
    <w:rsid w:val="007C2E83"/>
    <w:rsid w:val="007C2EA1"/>
    <w:rsid w:val="007C2F5F"/>
    <w:rsid w:val="007C2F7F"/>
    <w:rsid w:val="007C3136"/>
    <w:rsid w:val="007C3295"/>
    <w:rsid w:val="007C32BC"/>
    <w:rsid w:val="007C3414"/>
    <w:rsid w:val="007C34C6"/>
    <w:rsid w:val="007C35B0"/>
    <w:rsid w:val="007C35E4"/>
    <w:rsid w:val="007C3644"/>
    <w:rsid w:val="007C370E"/>
    <w:rsid w:val="007C37F8"/>
    <w:rsid w:val="007C38C5"/>
    <w:rsid w:val="007C390F"/>
    <w:rsid w:val="007C3913"/>
    <w:rsid w:val="007C3921"/>
    <w:rsid w:val="007C39AB"/>
    <w:rsid w:val="007C3A32"/>
    <w:rsid w:val="007C3B56"/>
    <w:rsid w:val="007C3D99"/>
    <w:rsid w:val="007C3E07"/>
    <w:rsid w:val="007C3F3B"/>
    <w:rsid w:val="007C3F61"/>
    <w:rsid w:val="007C3FE0"/>
    <w:rsid w:val="007C4011"/>
    <w:rsid w:val="007C4052"/>
    <w:rsid w:val="007C4146"/>
    <w:rsid w:val="007C4162"/>
    <w:rsid w:val="007C41E7"/>
    <w:rsid w:val="007C41FC"/>
    <w:rsid w:val="007C43BE"/>
    <w:rsid w:val="007C4412"/>
    <w:rsid w:val="007C45BA"/>
    <w:rsid w:val="007C45C9"/>
    <w:rsid w:val="007C4606"/>
    <w:rsid w:val="007C4672"/>
    <w:rsid w:val="007C4732"/>
    <w:rsid w:val="007C4846"/>
    <w:rsid w:val="007C48B9"/>
    <w:rsid w:val="007C48D0"/>
    <w:rsid w:val="007C49AF"/>
    <w:rsid w:val="007C4A43"/>
    <w:rsid w:val="007C4A57"/>
    <w:rsid w:val="007C4B07"/>
    <w:rsid w:val="007C4B7A"/>
    <w:rsid w:val="007C4BEC"/>
    <w:rsid w:val="007C4BFB"/>
    <w:rsid w:val="007C4C15"/>
    <w:rsid w:val="007C4C9D"/>
    <w:rsid w:val="007C4D48"/>
    <w:rsid w:val="007C4E17"/>
    <w:rsid w:val="007C4E75"/>
    <w:rsid w:val="007C4E8E"/>
    <w:rsid w:val="007C4F1D"/>
    <w:rsid w:val="007C5051"/>
    <w:rsid w:val="007C518B"/>
    <w:rsid w:val="007C5192"/>
    <w:rsid w:val="007C53CF"/>
    <w:rsid w:val="007C53E4"/>
    <w:rsid w:val="007C54E5"/>
    <w:rsid w:val="007C55C6"/>
    <w:rsid w:val="007C55F1"/>
    <w:rsid w:val="007C5616"/>
    <w:rsid w:val="007C5660"/>
    <w:rsid w:val="007C56A0"/>
    <w:rsid w:val="007C56D6"/>
    <w:rsid w:val="007C56D7"/>
    <w:rsid w:val="007C571B"/>
    <w:rsid w:val="007C57E9"/>
    <w:rsid w:val="007C5827"/>
    <w:rsid w:val="007C5866"/>
    <w:rsid w:val="007C58E1"/>
    <w:rsid w:val="007C596E"/>
    <w:rsid w:val="007C5993"/>
    <w:rsid w:val="007C59B2"/>
    <w:rsid w:val="007C5B03"/>
    <w:rsid w:val="007C5B90"/>
    <w:rsid w:val="007C5C82"/>
    <w:rsid w:val="007C5CAE"/>
    <w:rsid w:val="007C5CF4"/>
    <w:rsid w:val="007C5D18"/>
    <w:rsid w:val="007C6022"/>
    <w:rsid w:val="007C6026"/>
    <w:rsid w:val="007C60A3"/>
    <w:rsid w:val="007C60AB"/>
    <w:rsid w:val="007C60CE"/>
    <w:rsid w:val="007C60D3"/>
    <w:rsid w:val="007C6101"/>
    <w:rsid w:val="007C6322"/>
    <w:rsid w:val="007C634D"/>
    <w:rsid w:val="007C63B4"/>
    <w:rsid w:val="007C63FC"/>
    <w:rsid w:val="007C6510"/>
    <w:rsid w:val="007C6553"/>
    <w:rsid w:val="007C6582"/>
    <w:rsid w:val="007C6619"/>
    <w:rsid w:val="007C6698"/>
    <w:rsid w:val="007C672B"/>
    <w:rsid w:val="007C684B"/>
    <w:rsid w:val="007C6947"/>
    <w:rsid w:val="007C6959"/>
    <w:rsid w:val="007C6960"/>
    <w:rsid w:val="007C69EF"/>
    <w:rsid w:val="007C6AC5"/>
    <w:rsid w:val="007C6DF0"/>
    <w:rsid w:val="007C6E40"/>
    <w:rsid w:val="007C6E6B"/>
    <w:rsid w:val="007C6F54"/>
    <w:rsid w:val="007C6F90"/>
    <w:rsid w:val="007C70F5"/>
    <w:rsid w:val="007C7136"/>
    <w:rsid w:val="007C7340"/>
    <w:rsid w:val="007C734D"/>
    <w:rsid w:val="007C7473"/>
    <w:rsid w:val="007C74DD"/>
    <w:rsid w:val="007C7552"/>
    <w:rsid w:val="007C758B"/>
    <w:rsid w:val="007C7592"/>
    <w:rsid w:val="007C7673"/>
    <w:rsid w:val="007C767A"/>
    <w:rsid w:val="007C7730"/>
    <w:rsid w:val="007C7766"/>
    <w:rsid w:val="007C777B"/>
    <w:rsid w:val="007C779F"/>
    <w:rsid w:val="007C77AA"/>
    <w:rsid w:val="007C77D0"/>
    <w:rsid w:val="007C7944"/>
    <w:rsid w:val="007C7974"/>
    <w:rsid w:val="007C7A95"/>
    <w:rsid w:val="007C7A99"/>
    <w:rsid w:val="007C7AD7"/>
    <w:rsid w:val="007C7B08"/>
    <w:rsid w:val="007C7B66"/>
    <w:rsid w:val="007C7B71"/>
    <w:rsid w:val="007C7BE6"/>
    <w:rsid w:val="007C7C55"/>
    <w:rsid w:val="007C7C9D"/>
    <w:rsid w:val="007C7D30"/>
    <w:rsid w:val="007C7D94"/>
    <w:rsid w:val="007C7E82"/>
    <w:rsid w:val="007C7EA6"/>
    <w:rsid w:val="007C7F09"/>
    <w:rsid w:val="007C7F6B"/>
    <w:rsid w:val="007C7FAF"/>
    <w:rsid w:val="007D007A"/>
    <w:rsid w:val="007D0204"/>
    <w:rsid w:val="007D0383"/>
    <w:rsid w:val="007D0398"/>
    <w:rsid w:val="007D03C4"/>
    <w:rsid w:val="007D040D"/>
    <w:rsid w:val="007D0475"/>
    <w:rsid w:val="007D0676"/>
    <w:rsid w:val="007D06CB"/>
    <w:rsid w:val="007D077F"/>
    <w:rsid w:val="007D0950"/>
    <w:rsid w:val="007D0A28"/>
    <w:rsid w:val="007D0A2B"/>
    <w:rsid w:val="007D0BB1"/>
    <w:rsid w:val="007D0BB9"/>
    <w:rsid w:val="007D0F4A"/>
    <w:rsid w:val="007D1264"/>
    <w:rsid w:val="007D12BE"/>
    <w:rsid w:val="007D146F"/>
    <w:rsid w:val="007D14C9"/>
    <w:rsid w:val="007D14E4"/>
    <w:rsid w:val="007D158B"/>
    <w:rsid w:val="007D15B7"/>
    <w:rsid w:val="007D1610"/>
    <w:rsid w:val="007D1613"/>
    <w:rsid w:val="007D161D"/>
    <w:rsid w:val="007D17AB"/>
    <w:rsid w:val="007D17F7"/>
    <w:rsid w:val="007D1886"/>
    <w:rsid w:val="007D1977"/>
    <w:rsid w:val="007D1A1F"/>
    <w:rsid w:val="007D1A83"/>
    <w:rsid w:val="007D1AC6"/>
    <w:rsid w:val="007D1B93"/>
    <w:rsid w:val="007D1BBB"/>
    <w:rsid w:val="007D1BFA"/>
    <w:rsid w:val="007D1C2B"/>
    <w:rsid w:val="007D1C40"/>
    <w:rsid w:val="007D1C8D"/>
    <w:rsid w:val="007D1DA3"/>
    <w:rsid w:val="007D1DD9"/>
    <w:rsid w:val="007D1E50"/>
    <w:rsid w:val="007D1E6C"/>
    <w:rsid w:val="007D1E84"/>
    <w:rsid w:val="007D1F24"/>
    <w:rsid w:val="007D1F30"/>
    <w:rsid w:val="007D1F5C"/>
    <w:rsid w:val="007D1F70"/>
    <w:rsid w:val="007D2028"/>
    <w:rsid w:val="007D2165"/>
    <w:rsid w:val="007D2241"/>
    <w:rsid w:val="007D225C"/>
    <w:rsid w:val="007D22BC"/>
    <w:rsid w:val="007D2320"/>
    <w:rsid w:val="007D2327"/>
    <w:rsid w:val="007D2387"/>
    <w:rsid w:val="007D24D2"/>
    <w:rsid w:val="007D2547"/>
    <w:rsid w:val="007D26CC"/>
    <w:rsid w:val="007D26F4"/>
    <w:rsid w:val="007D26FE"/>
    <w:rsid w:val="007D270B"/>
    <w:rsid w:val="007D28FD"/>
    <w:rsid w:val="007D2965"/>
    <w:rsid w:val="007D2A0C"/>
    <w:rsid w:val="007D2A15"/>
    <w:rsid w:val="007D2ABC"/>
    <w:rsid w:val="007D2ABD"/>
    <w:rsid w:val="007D2B74"/>
    <w:rsid w:val="007D2C5C"/>
    <w:rsid w:val="007D2C64"/>
    <w:rsid w:val="007D2C71"/>
    <w:rsid w:val="007D2C73"/>
    <w:rsid w:val="007D2CD3"/>
    <w:rsid w:val="007D2D35"/>
    <w:rsid w:val="007D2D8C"/>
    <w:rsid w:val="007D2E04"/>
    <w:rsid w:val="007D3093"/>
    <w:rsid w:val="007D30C9"/>
    <w:rsid w:val="007D30DD"/>
    <w:rsid w:val="007D30FC"/>
    <w:rsid w:val="007D312E"/>
    <w:rsid w:val="007D3224"/>
    <w:rsid w:val="007D3307"/>
    <w:rsid w:val="007D3356"/>
    <w:rsid w:val="007D33A8"/>
    <w:rsid w:val="007D33D9"/>
    <w:rsid w:val="007D33FD"/>
    <w:rsid w:val="007D34BC"/>
    <w:rsid w:val="007D356E"/>
    <w:rsid w:val="007D35FB"/>
    <w:rsid w:val="007D37EA"/>
    <w:rsid w:val="007D396C"/>
    <w:rsid w:val="007D39C6"/>
    <w:rsid w:val="007D39EB"/>
    <w:rsid w:val="007D3A70"/>
    <w:rsid w:val="007D3AA6"/>
    <w:rsid w:val="007D3BE7"/>
    <w:rsid w:val="007D3C37"/>
    <w:rsid w:val="007D3CB2"/>
    <w:rsid w:val="007D3DB1"/>
    <w:rsid w:val="007D3DE2"/>
    <w:rsid w:val="007D3DEA"/>
    <w:rsid w:val="007D3F12"/>
    <w:rsid w:val="007D4166"/>
    <w:rsid w:val="007D41AA"/>
    <w:rsid w:val="007D4204"/>
    <w:rsid w:val="007D4209"/>
    <w:rsid w:val="007D424E"/>
    <w:rsid w:val="007D43F4"/>
    <w:rsid w:val="007D45F2"/>
    <w:rsid w:val="007D46B4"/>
    <w:rsid w:val="007D471E"/>
    <w:rsid w:val="007D47E3"/>
    <w:rsid w:val="007D4896"/>
    <w:rsid w:val="007D49DF"/>
    <w:rsid w:val="007D4B4D"/>
    <w:rsid w:val="007D4BA9"/>
    <w:rsid w:val="007D4C25"/>
    <w:rsid w:val="007D4C39"/>
    <w:rsid w:val="007D4C63"/>
    <w:rsid w:val="007D4D09"/>
    <w:rsid w:val="007D4D39"/>
    <w:rsid w:val="007D4D5E"/>
    <w:rsid w:val="007D4D8A"/>
    <w:rsid w:val="007D4D9D"/>
    <w:rsid w:val="007D4F4B"/>
    <w:rsid w:val="007D5019"/>
    <w:rsid w:val="007D507E"/>
    <w:rsid w:val="007D50A1"/>
    <w:rsid w:val="007D5108"/>
    <w:rsid w:val="007D511A"/>
    <w:rsid w:val="007D5282"/>
    <w:rsid w:val="007D52F0"/>
    <w:rsid w:val="007D5319"/>
    <w:rsid w:val="007D5382"/>
    <w:rsid w:val="007D53B2"/>
    <w:rsid w:val="007D5478"/>
    <w:rsid w:val="007D55BC"/>
    <w:rsid w:val="007D5612"/>
    <w:rsid w:val="007D5639"/>
    <w:rsid w:val="007D565D"/>
    <w:rsid w:val="007D566F"/>
    <w:rsid w:val="007D5705"/>
    <w:rsid w:val="007D57D3"/>
    <w:rsid w:val="007D5860"/>
    <w:rsid w:val="007D5912"/>
    <w:rsid w:val="007D5A71"/>
    <w:rsid w:val="007D5D35"/>
    <w:rsid w:val="007D5D6D"/>
    <w:rsid w:val="007D5D8A"/>
    <w:rsid w:val="007D5E72"/>
    <w:rsid w:val="007D5F57"/>
    <w:rsid w:val="007D6139"/>
    <w:rsid w:val="007D628D"/>
    <w:rsid w:val="007D636F"/>
    <w:rsid w:val="007D6439"/>
    <w:rsid w:val="007D6505"/>
    <w:rsid w:val="007D6524"/>
    <w:rsid w:val="007D6543"/>
    <w:rsid w:val="007D657A"/>
    <w:rsid w:val="007D65C3"/>
    <w:rsid w:val="007D65FC"/>
    <w:rsid w:val="007D6647"/>
    <w:rsid w:val="007D665F"/>
    <w:rsid w:val="007D6672"/>
    <w:rsid w:val="007D6693"/>
    <w:rsid w:val="007D67DC"/>
    <w:rsid w:val="007D680C"/>
    <w:rsid w:val="007D692C"/>
    <w:rsid w:val="007D69D6"/>
    <w:rsid w:val="007D6AC7"/>
    <w:rsid w:val="007D6AED"/>
    <w:rsid w:val="007D6B15"/>
    <w:rsid w:val="007D6C18"/>
    <w:rsid w:val="007D6C1E"/>
    <w:rsid w:val="007D6C3F"/>
    <w:rsid w:val="007D6CC9"/>
    <w:rsid w:val="007D6D06"/>
    <w:rsid w:val="007D6FCE"/>
    <w:rsid w:val="007D7042"/>
    <w:rsid w:val="007D70F0"/>
    <w:rsid w:val="007D7162"/>
    <w:rsid w:val="007D7277"/>
    <w:rsid w:val="007D7377"/>
    <w:rsid w:val="007D73C0"/>
    <w:rsid w:val="007D7452"/>
    <w:rsid w:val="007D756C"/>
    <w:rsid w:val="007D75CA"/>
    <w:rsid w:val="007D75F9"/>
    <w:rsid w:val="007D771A"/>
    <w:rsid w:val="007D7747"/>
    <w:rsid w:val="007D7A26"/>
    <w:rsid w:val="007D7B23"/>
    <w:rsid w:val="007D7B8C"/>
    <w:rsid w:val="007D7BD4"/>
    <w:rsid w:val="007D7C4E"/>
    <w:rsid w:val="007D7E92"/>
    <w:rsid w:val="007D7EB5"/>
    <w:rsid w:val="007D7FB5"/>
    <w:rsid w:val="007D7FEB"/>
    <w:rsid w:val="007E00A6"/>
    <w:rsid w:val="007E0195"/>
    <w:rsid w:val="007E01CF"/>
    <w:rsid w:val="007E01E6"/>
    <w:rsid w:val="007E0373"/>
    <w:rsid w:val="007E03C0"/>
    <w:rsid w:val="007E0435"/>
    <w:rsid w:val="007E0764"/>
    <w:rsid w:val="007E0864"/>
    <w:rsid w:val="007E090E"/>
    <w:rsid w:val="007E09A0"/>
    <w:rsid w:val="007E0B88"/>
    <w:rsid w:val="007E0BE2"/>
    <w:rsid w:val="007E0C51"/>
    <w:rsid w:val="007E0CD7"/>
    <w:rsid w:val="007E0DBE"/>
    <w:rsid w:val="007E0EE4"/>
    <w:rsid w:val="007E1053"/>
    <w:rsid w:val="007E105D"/>
    <w:rsid w:val="007E106F"/>
    <w:rsid w:val="007E10A6"/>
    <w:rsid w:val="007E1199"/>
    <w:rsid w:val="007E11BA"/>
    <w:rsid w:val="007E11F7"/>
    <w:rsid w:val="007E1200"/>
    <w:rsid w:val="007E1247"/>
    <w:rsid w:val="007E12B1"/>
    <w:rsid w:val="007E138A"/>
    <w:rsid w:val="007E150D"/>
    <w:rsid w:val="007E16A7"/>
    <w:rsid w:val="007E16C0"/>
    <w:rsid w:val="007E171C"/>
    <w:rsid w:val="007E173F"/>
    <w:rsid w:val="007E17A4"/>
    <w:rsid w:val="007E17BC"/>
    <w:rsid w:val="007E17DF"/>
    <w:rsid w:val="007E189B"/>
    <w:rsid w:val="007E197F"/>
    <w:rsid w:val="007E1991"/>
    <w:rsid w:val="007E1996"/>
    <w:rsid w:val="007E1A1B"/>
    <w:rsid w:val="007E1AD0"/>
    <w:rsid w:val="007E1B45"/>
    <w:rsid w:val="007E1B97"/>
    <w:rsid w:val="007E1BA3"/>
    <w:rsid w:val="007E1BD2"/>
    <w:rsid w:val="007E1CC6"/>
    <w:rsid w:val="007E1D30"/>
    <w:rsid w:val="007E1E3A"/>
    <w:rsid w:val="007E1F70"/>
    <w:rsid w:val="007E1FB2"/>
    <w:rsid w:val="007E1FD9"/>
    <w:rsid w:val="007E2027"/>
    <w:rsid w:val="007E2028"/>
    <w:rsid w:val="007E2034"/>
    <w:rsid w:val="007E20B5"/>
    <w:rsid w:val="007E2118"/>
    <w:rsid w:val="007E216C"/>
    <w:rsid w:val="007E2177"/>
    <w:rsid w:val="007E218B"/>
    <w:rsid w:val="007E2375"/>
    <w:rsid w:val="007E23D7"/>
    <w:rsid w:val="007E23F6"/>
    <w:rsid w:val="007E244B"/>
    <w:rsid w:val="007E262F"/>
    <w:rsid w:val="007E2836"/>
    <w:rsid w:val="007E2874"/>
    <w:rsid w:val="007E2901"/>
    <w:rsid w:val="007E2A3F"/>
    <w:rsid w:val="007E2A64"/>
    <w:rsid w:val="007E2A90"/>
    <w:rsid w:val="007E2AB2"/>
    <w:rsid w:val="007E2B54"/>
    <w:rsid w:val="007E2B8A"/>
    <w:rsid w:val="007E2C84"/>
    <w:rsid w:val="007E2D11"/>
    <w:rsid w:val="007E2D1D"/>
    <w:rsid w:val="007E2D30"/>
    <w:rsid w:val="007E2D76"/>
    <w:rsid w:val="007E2DCF"/>
    <w:rsid w:val="007E2E03"/>
    <w:rsid w:val="007E2E5C"/>
    <w:rsid w:val="007E2E66"/>
    <w:rsid w:val="007E2EA4"/>
    <w:rsid w:val="007E31D8"/>
    <w:rsid w:val="007E3209"/>
    <w:rsid w:val="007E3290"/>
    <w:rsid w:val="007E35B4"/>
    <w:rsid w:val="007E395E"/>
    <w:rsid w:val="007E39F3"/>
    <w:rsid w:val="007E3A91"/>
    <w:rsid w:val="007E3B3D"/>
    <w:rsid w:val="007E3BB3"/>
    <w:rsid w:val="007E3BD9"/>
    <w:rsid w:val="007E3C9C"/>
    <w:rsid w:val="007E3ECC"/>
    <w:rsid w:val="007E3EE7"/>
    <w:rsid w:val="007E4033"/>
    <w:rsid w:val="007E4159"/>
    <w:rsid w:val="007E41D9"/>
    <w:rsid w:val="007E41FE"/>
    <w:rsid w:val="007E423F"/>
    <w:rsid w:val="007E427C"/>
    <w:rsid w:val="007E42E9"/>
    <w:rsid w:val="007E4305"/>
    <w:rsid w:val="007E43EC"/>
    <w:rsid w:val="007E44A1"/>
    <w:rsid w:val="007E456E"/>
    <w:rsid w:val="007E456F"/>
    <w:rsid w:val="007E4689"/>
    <w:rsid w:val="007E46F0"/>
    <w:rsid w:val="007E479B"/>
    <w:rsid w:val="007E4827"/>
    <w:rsid w:val="007E49C2"/>
    <w:rsid w:val="007E4A1F"/>
    <w:rsid w:val="007E4B08"/>
    <w:rsid w:val="007E4B2C"/>
    <w:rsid w:val="007E4B32"/>
    <w:rsid w:val="007E4BDB"/>
    <w:rsid w:val="007E4BE5"/>
    <w:rsid w:val="007E4C5B"/>
    <w:rsid w:val="007E4D0E"/>
    <w:rsid w:val="007E4D61"/>
    <w:rsid w:val="007E4D99"/>
    <w:rsid w:val="007E4DE7"/>
    <w:rsid w:val="007E4E11"/>
    <w:rsid w:val="007E4E38"/>
    <w:rsid w:val="007E4EE4"/>
    <w:rsid w:val="007E4F46"/>
    <w:rsid w:val="007E4F79"/>
    <w:rsid w:val="007E5025"/>
    <w:rsid w:val="007E5087"/>
    <w:rsid w:val="007E508C"/>
    <w:rsid w:val="007E5094"/>
    <w:rsid w:val="007E519B"/>
    <w:rsid w:val="007E5226"/>
    <w:rsid w:val="007E52C9"/>
    <w:rsid w:val="007E5597"/>
    <w:rsid w:val="007E562B"/>
    <w:rsid w:val="007E568A"/>
    <w:rsid w:val="007E57E0"/>
    <w:rsid w:val="007E5820"/>
    <w:rsid w:val="007E5826"/>
    <w:rsid w:val="007E58AB"/>
    <w:rsid w:val="007E58B3"/>
    <w:rsid w:val="007E5A1C"/>
    <w:rsid w:val="007E5A80"/>
    <w:rsid w:val="007E5B64"/>
    <w:rsid w:val="007E5D56"/>
    <w:rsid w:val="007E5E5F"/>
    <w:rsid w:val="007E5EA0"/>
    <w:rsid w:val="007E5F10"/>
    <w:rsid w:val="007E5F15"/>
    <w:rsid w:val="007E5FAB"/>
    <w:rsid w:val="007E5FB3"/>
    <w:rsid w:val="007E6093"/>
    <w:rsid w:val="007E614E"/>
    <w:rsid w:val="007E61C2"/>
    <w:rsid w:val="007E6202"/>
    <w:rsid w:val="007E6287"/>
    <w:rsid w:val="007E6330"/>
    <w:rsid w:val="007E6473"/>
    <w:rsid w:val="007E659F"/>
    <w:rsid w:val="007E65AE"/>
    <w:rsid w:val="007E6608"/>
    <w:rsid w:val="007E665E"/>
    <w:rsid w:val="007E66C4"/>
    <w:rsid w:val="007E66EC"/>
    <w:rsid w:val="007E670B"/>
    <w:rsid w:val="007E686D"/>
    <w:rsid w:val="007E6891"/>
    <w:rsid w:val="007E6896"/>
    <w:rsid w:val="007E6898"/>
    <w:rsid w:val="007E699F"/>
    <w:rsid w:val="007E6BE1"/>
    <w:rsid w:val="007E6BE3"/>
    <w:rsid w:val="007E6C60"/>
    <w:rsid w:val="007E6CD4"/>
    <w:rsid w:val="007E6FBF"/>
    <w:rsid w:val="007E6FC8"/>
    <w:rsid w:val="007E7067"/>
    <w:rsid w:val="007E708E"/>
    <w:rsid w:val="007E70F8"/>
    <w:rsid w:val="007E7184"/>
    <w:rsid w:val="007E72F6"/>
    <w:rsid w:val="007E7413"/>
    <w:rsid w:val="007E7478"/>
    <w:rsid w:val="007E74AD"/>
    <w:rsid w:val="007E7521"/>
    <w:rsid w:val="007E7571"/>
    <w:rsid w:val="007E7591"/>
    <w:rsid w:val="007E772C"/>
    <w:rsid w:val="007E77BD"/>
    <w:rsid w:val="007E783B"/>
    <w:rsid w:val="007E78B2"/>
    <w:rsid w:val="007E7940"/>
    <w:rsid w:val="007E79B7"/>
    <w:rsid w:val="007E79DB"/>
    <w:rsid w:val="007E7A85"/>
    <w:rsid w:val="007E7AC1"/>
    <w:rsid w:val="007E7BFD"/>
    <w:rsid w:val="007E7C44"/>
    <w:rsid w:val="007E7D1A"/>
    <w:rsid w:val="007E7D33"/>
    <w:rsid w:val="007E7D93"/>
    <w:rsid w:val="007E7E24"/>
    <w:rsid w:val="007F006C"/>
    <w:rsid w:val="007F0087"/>
    <w:rsid w:val="007F0146"/>
    <w:rsid w:val="007F0153"/>
    <w:rsid w:val="007F0195"/>
    <w:rsid w:val="007F0270"/>
    <w:rsid w:val="007F02CA"/>
    <w:rsid w:val="007F03F7"/>
    <w:rsid w:val="007F075D"/>
    <w:rsid w:val="007F0806"/>
    <w:rsid w:val="007F0838"/>
    <w:rsid w:val="007F088B"/>
    <w:rsid w:val="007F0A1E"/>
    <w:rsid w:val="007F0A98"/>
    <w:rsid w:val="007F0AA9"/>
    <w:rsid w:val="007F0AB4"/>
    <w:rsid w:val="007F0ACC"/>
    <w:rsid w:val="007F0B43"/>
    <w:rsid w:val="007F0B49"/>
    <w:rsid w:val="007F0C46"/>
    <w:rsid w:val="007F0C8A"/>
    <w:rsid w:val="007F0CE8"/>
    <w:rsid w:val="007F0D03"/>
    <w:rsid w:val="007F0D37"/>
    <w:rsid w:val="007F0E91"/>
    <w:rsid w:val="007F0EC0"/>
    <w:rsid w:val="007F100F"/>
    <w:rsid w:val="007F127B"/>
    <w:rsid w:val="007F13A6"/>
    <w:rsid w:val="007F13F3"/>
    <w:rsid w:val="007F14FB"/>
    <w:rsid w:val="007F1526"/>
    <w:rsid w:val="007F154A"/>
    <w:rsid w:val="007F1556"/>
    <w:rsid w:val="007F15C9"/>
    <w:rsid w:val="007F1606"/>
    <w:rsid w:val="007F1800"/>
    <w:rsid w:val="007F1999"/>
    <w:rsid w:val="007F19E3"/>
    <w:rsid w:val="007F1A1C"/>
    <w:rsid w:val="007F1A8C"/>
    <w:rsid w:val="007F1BF4"/>
    <w:rsid w:val="007F1CF2"/>
    <w:rsid w:val="007F1D34"/>
    <w:rsid w:val="007F1D46"/>
    <w:rsid w:val="007F1D7F"/>
    <w:rsid w:val="007F1EA4"/>
    <w:rsid w:val="007F1F15"/>
    <w:rsid w:val="007F1F1B"/>
    <w:rsid w:val="007F1F23"/>
    <w:rsid w:val="007F1F3D"/>
    <w:rsid w:val="007F1FC1"/>
    <w:rsid w:val="007F2025"/>
    <w:rsid w:val="007F20B0"/>
    <w:rsid w:val="007F20EA"/>
    <w:rsid w:val="007F21B4"/>
    <w:rsid w:val="007F2315"/>
    <w:rsid w:val="007F2330"/>
    <w:rsid w:val="007F237B"/>
    <w:rsid w:val="007F276A"/>
    <w:rsid w:val="007F278B"/>
    <w:rsid w:val="007F2792"/>
    <w:rsid w:val="007F281D"/>
    <w:rsid w:val="007F2854"/>
    <w:rsid w:val="007F294B"/>
    <w:rsid w:val="007F2A74"/>
    <w:rsid w:val="007F2AC8"/>
    <w:rsid w:val="007F2B96"/>
    <w:rsid w:val="007F2BCB"/>
    <w:rsid w:val="007F2BF2"/>
    <w:rsid w:val="007F2C07"/>
    <w:rsid w:val="007F2C28"/>
    <w:rsid w:val="007F2DF8"/>
    <w:rsid w:val="007F3031"/>
    <w:rsid w:val="007F30FD"/>
    <w:rsid w:val="007F3107"/>
    <w:rsid w:val="007F3244"/>
    <w:rsid w:val="007F3255"/>
    <w:rsid w:val="007F3433"/>
    <w:rsid w:val="007F34E4"/>
    <w:rsid w:val="007F354D"/>
    <w:rsid w:val="007F3584"/>
    <w:rsid w:val="007F3612"/>
    <w:rsid w:val="007F37B2"/>
    <w:rsid w:val="007F3889"/>
    <w:rsid w:val="007F38DC"/>
    <w:rsid w:val="007F394B"/>
    <w:rsid w:val="007F39C4"/>
    <w:rsid w:val="007F3A1A"/>
    <w:rsid w:val="007F3AED"/>
    <w:rsid w:val="007F3B6C"/>
    <w:rsid w:val="007F3D86"/>
    <w:rsid w:val="007F3E2C"/>
    <w:rsid w:val="007F3E9A"/>
    <w:rsid w:val="007F4097"/>
    <w:rsid w:val="007F40AE"/>
    <w:rsid w:val="007F412C"/>
    <w:rsid w:val="007F4257"/>
    <w:rsid w:val="007F4269"/>
    <w:rsid w:val="007F42B2"/>
    <w:rsid w:val="007F4310"/>
    <w:rsid w:val="007F4408"/>
    <w:rsid w:val="007F4472"/>
    <w:rsid w:val="007F452E"/>
    <w:rsid w:val="007F4590"/>
    <w:rsid w:val="007F4602"/>
    <w:rsid w:val="007F4727"/>
    <w:rsid w:val="007F47A4"/>
    <w:rsid w:val="007F4828"/>
    <w:rsid w:val="007F4984"/>
    <w:rsid w:val="007F49AC"/>
    <w:rsid w:val="007F4AA8"/>
    <w:rsid w:val="007F4ABC"/>
    <w:rsid w:val="007F4B37"/>
    <w:rsid w:val="007F4BB9"/>
    <w:rsid w:val="007F4DD2"/>
    <w:rsid w:val="007F4DD4"/>
    <w:rsid w:val="007F4DD6"/>
    <w:rsid w:val="007F4E7C"/>
    <w:rsid w:val="007F4F54"/>
    <w:rsid w:val="007F4F73"/>
    <w:rsid w:val="007F50FD"/>
    <w:rsid w:val="007F516B"/>
    <w:rsid w:val="007F516E"/>
    <w:rsid w:val="007F51BE"/>
    <w:rsid w:val="007F529C"/>
    <w:rsid w:val="007F5343"/>
    <w:rsid w:val="007F54B0"/>
    <w:rsid w:val="007F5525"/>
    <w:rsid w:val="007F5685"/>
    <w:rsid w:val="007F56AE"/>
    <w:rsid w:val="007F570D"/>
    <w:rsid w:val="007F58B1"/>
    <w:rsid w:val="007F5A18"/>
    <w:rsid w:val="007F5A30"/>
    <w:rsid w:val="007F5A82"/>
    <w:rsid w:val="007F5AA7"/>
    <w:rsid w:val="007F5ADA"/>
    <w:rsid w:val="007F5BD0"/>
    <w:rsid w:val="007F5C08"/>
    <w:rsid w:val="007F5C54"/>
    <w:rsid w:val="007F5CF8"/>
    <w:rsid w:val="007F5E42"/>
    <w:rsid w:val="007F5EA7"/>
    <w:rsid w:val="007F5EF3"/>
    <w:rsid w:val="007F5FD4"/>
    <w:rsid w:val="007F6037"/>
    <w:rsid w:val="007F60BF"/>
    <w:rsid w:val="007F61A8"/>
    <w:rsid w:val="007F629B"/>
    <w:rsid w:val="007F639E"/>
    <w:rsid w:val="007F63BB"/>
    <w:rsid w:val="007F653A"/>
    <w:rsid w:val="007F6577"/>
    <w:rsid w:val="007F6675"/>
    <w:rsid w:val="007F66C9"/>
    <w:rsid w:val="007F67C1"/>
    <w:rsid w:val="007F680E"/>
    <w:rsid w:val="007F68D3"/>
    <w:rsid w:val="007F68E3"/>
    <w:rsid w:val="007F69A6"/>
    <w:rsid w:val="007F69E4"/>
    <w:rsid w:val="007F6A0D"/>
    <w:rsid w:val="007F6A8C"/>
    <w:rsid w:val="007F6AAC"/>
    <w:rsid w:val="007F6B58"/>
    <w:rsid w:val="007F6D04"/>
    <w:rsid w:val="007F6D6B"/>
    <w:rsid w:val="007F6D8A"/>
    <w:rsid w:val="007F6DCE"/>
    <w:rsid w:val="007F6E10"/>
    <w:rsid w:val="007F6E67"/>
    <w:rsid w:val="007F6E9C"/>
    <w:rsid w:val="007F6EC2"/>
    <w:rsid w:val="007F6F6E"/>
    <w:rsid w:val="007F6F73"/>
    <w:rsid w:val="007F6FDD"/>
    <w:rsid w:val="007F6FF9"/>
    <w:rsid w:val="007F7014"/>
    <w:rsid w:val="007F7057"/>
    <w:rsid w:val="007F7290"/>
    <w:rsid w:val="007F72A6"/>
    <w:rsid w:val="007F72AC"/>
    <w:rsid w:val="007F72CA"/>
    <w:rsid w:val="007F730A"/>
    <w:rsid w:val="007F7398"/>
    <w:rsid w:val="007F743A"/>
    <w:rsid w:val="007F75A7"/>
    <w:rsid w:val="007F780F"/>
    <w:rsid w:val="007F7825"/>
    <w:rsid w:val="007F7856"/>
    <w:rsid w:val="007F7886"/>
    <w:rsid w:val="007F7915"/>
    <w:rsid w:val="007F7A48"/>
    <w:rsid w:val="007F7A8C"/>
    <w:rsid w:val="007F7BC7"/>
    <w:rsid w:val="007F7CA7"/>
    <w:rsid w:val="007F7E08"/>
    <w:rsid w:val="007F7E44"/>
    <w:rsid w:val="007F7EB2"/>
    <w:rsid w:val="007F7F19"/>
    <w:rsid w:val="0080001F"/>
    <w:rsid w:val="0080013A"/>
    <w:rsid w:val="0080013F"/>
    <w:rsid w:val="008001C2"/>
    <w:rsid w:val="00800242"/>
    <w:rsid w:val="00800368"/>
    <w:rsid w:val="00800457"/>
    <w:rsid w:val="00800469"/>
    <w:rsid w:val="00800474"/>
    <w:rsid w:val="00800527"/>
    <w:rsid w:val="008005C8"/>
    <w:rsid w:val="008005DD"/>
    <w:rsid w:val="008006A6"/>
    <w:rsid w:val="008006BE"/>
    <w:rsid w:val="008007AD"/>
    <w:rsid w:val="0080081A"/>
    <w:rsid w:val="0080094A"/>
    <w:rsid w:val="00800BB0"/>
    <w:rsid w:val="00800C88"/>
    <w:rsid w:val="00800CF1"/>
    <w:rsid w:val="00800CFB"/>
    <w:rsid w:val="00800FC4"/>
    <w:rsid w:val="00801018"/>
    <w:rsid w:val="0080102B"/>
    <w:rsid w:val="00801058"/>
    <w:rsid w:val="00801097"/>
    <w:rsid w:val="00801167"/>
    <w:rsid w:val="008011C7"/>
    <w:rsid w:val="008011D4"/>
    <w:rsid w:val="00801200"/>
    <w:rsid w:val="00801242"/>
    <w:rsid w:val="008012F5"/>
    <w:rsid w:val="0080134F"/>
    <w:rsid w:val="0080135D"/>
    <w:rsid w:val="00801380"/>
    <w:rsid w:val="008013DD"/>
    <w:rsid w:val="00801453"/>
    <w:rsid w:val="0080153F"/>
    <w:rsid w:val="0080158E"/>
    <w:rsid w:val="00801634"/>
    <w:rsid w:val="00801643"/>
    <w:rsid w:val="0080166B"/>
    <w:rsid w:val="0080167A"/>
    <w:rsid w:val="008016A8"/>
    <w:rsid w:val="00801764"/>
    <w:rsid w:val="00801775"/>
    <w:rsid w:val="008017E3"/>
    <w:rsid w:val="008017F0"/>
    <w:rsid w:val="0080189F"/>
    <w:rsid w:val="008019A1"/>
    <w:rsid w:val="008019EB"/>
    <w:rsid w:val="00801A9E"/>
    <w:rsid w:val="00801B2F"/>
    <w:rsid w:val="00801BC1"/>
    <w:rsid w:val="00801BF0"/>
    <w:rsid w:val="00801F9C"/>
    <w:rsid w:val="008021AB"/>
    <w:rsid w:val="008022D8"/>
    <w:rsid w:val="008022F4"/>
    <w:rsid w:val="00802312"/>
    <w:rsid w:val="0080252F"/>
    <w:rsid w:val="00802543"/>
    <w:rsid w:val="008025EB"/>
    <w:rsid w:val="00802682"/>
    <w:rsid w:val="008026A8"/>
    <w:rsid w:val="008026F1"/>
    <w:rsid w:val="00802720"/>
    <w:rsid w:val="0080276D"/>
    <w:rsid w:val="008027DF"/>
    <w:rsid w:val="00802850"/>
    <w:rsid w:val="008028CC"/>
    <w:rsid w:val="00802A75"/>
    <w:rsid w:val="00802AD8"/>
    <w:rsid w:val="00802B75"/>
    <w:rsid w:val="00802C74"/>
    <w:rsid w:val="00802D2D"/>
    <w:rsid w:val="00802DFC"/>
    <w:rsid w:val="00802E3B"/>
    <w:rsid w:val="00802FA0"/>
    <w:rsid w:val="008030C9"/>
    <w:rsid w:val="008030FC"/>
    <w:rsid w:val="0080313C"/>
    <w:rsid w:val="008031A7"/>
    <w:rsid w:val="008032D3"/>
    <w:rsid w:val="008032E0"/>
    <w:rsid w:val="008033C4"/>
    <w:rsid w:val="00803589"/>
    <w:rsid w:val="008035A8"/>
    <w:rsid w:val="008035BB"/>
    <w:rsid w:val="008036E9"/>
    <w:rsid w:val="00803768"/>
    <w:rsid w:val="008038B6"/>
    <w:rsid w:val="0080397A"/>
    <w:rsid w:val="008039C4"/>
    <w:rsid w:val="008039C8"/>
    <w:rsid w:val="008039D2"/>
    <w:rsid w:val="00803AEA"/>
    <w:rsid w:val="00803B8D"/>
    <w:rsid w:val="00803C48"/>
    <w:rsid w:val="00803D39"/>
    <w:rsid w:val="00803D3E"/>
    <w:rsid w:val="00803F87"/>
    <w:rsid w:val="0080408F"/>
    <w:rsid w:val="008041AC"/>
    <w:rsid w:val="008042E3"/>
    <w:rsid w:val="0080431B"/>
    <w:rsid w:val="0080438F"/>
    <w:rsid w:val="008043DA"/>
    <w:rsid w:val="00804446"/>
    <w:rsid w:val="008044DB"/>
    <w:rsid w:val="00804522"/>
    <w:rsid w:val="0080454E"/>
    <w:rsid w:val="0080457D"/>
    <w:rsid w:val="008048E3"/>
    <w:rsid w:val="0080495D"/>
    <w:rsid w:val="008049C6"/>
    <w:rsid w:val="00804A39"/>
    <w:rsid w:val="00804B2A"/>
    <w:rsid w:val="00804B67"/>
    <w:rsid w:val="00804CAB"/>
    <w:rsid w:val="00804CD7"/>
    <w:rsid w:val="00804D69"/>
    <w:rsid w:val="00804E12"/>
    <w:rsid w:val="00804E22"/>
    <w:rsid w:val="00804F33"/>
    <w:rsid w:val="00804FB0"/>
    <w:rsid w:val="008050EF"/>
    <w:rsid w:val="00805105"/>
    <w:rsid w:val="0080515A"/>
    <w:rsid w:val="00805471"/>
    <w:rsid w:val="00805494"/>
    <w:rsid w:val="00805515"/>
    <w:rsid w:val="008055F1"/>
    <w:rsid w:val="00805616"/>
    <w:rsid w:val="0080569E"/>
    <w:rsid w:val="00805855"/>
    <w:rsid w:val="00805862"/>
    <w:rsid w:val="008058D7"/>
    <w:rsid w:val="00805BF3"/>
    <w:rsid w:val="00805C03"/>
    <w:rsid w:val="00805C11"/>
    <w:rsid w:val="00805C3F"/>
    <w:rsid w:val="00805C8C"/>
    <w:rsid w:val="00805D3C"/>
    <w:rsid w:val="00805D79"/>
    <w:rsid w:val="00805F93"/>
    <w:rsid w:val="00805FF8"/>
    <w:rsid w:val="0080601B"/>
    <w:rsid w:val="0080604B"/>
    <w:rsid w:val="008060E7"/>
    <w:rsid w:val="0080617E"/>
    <w:rsid w:val="0080627C"/>
    <w:rsid w:val="008062E9"/>
    <w:rsid w:val="008062FC"/>
    <w:rsid w:val="0080634A"/>
    <w:rsid w:val="008063EA"/>
    <w:rsid w:val="008065B6"/>
    <w:rsid w:val="0080662F"/>
    <w:rsid w:val="008067CB"/>
    <w:rsid w:val="008067E6"/>
    <w:rsid w:val="00806844"/>
    <w:rsid w:val="00806882"/>
    <w:rsid w:val="00806997"/>
    <w:rsid w:val="00806BB2"/>
    <w:rsid w:val="00806C05"/>
    <w:rsid w:val="00806C29"/>
    <w:rsid w:val="00806CD3"/>
    <w:rsid w:val="00806D69"/>
    <w:rsid w:val="00806EAA"/>
    <w:rsid w:val="00806EE6"/>
    <w:rsid w:val="00806F26"/>
    <w:rsid w:val="00807054"/>
    <w:rsid w:val="0080710D"/>
    <w:rsid w:val="00807166"/>
    <w:rsid w:val="0080728A"/>
    <w:rsid w:val="0080729E"/>
    <w:rsid w:val="00807360"/>
    <w:rsid w:val="008073A7"/>
    <w:rsid w:val="0080740B"/>
    <w:rsid w:val="00807411"/>
    <w:rsid w:val="0080749B"/>
    <w:rsid w:val="008074A9"/>
    <w:rsid w:val="00807522"/>
    <w:rsid w:val="008075A9"/>
    <w:rsid w:val="008075DA"/>
    <w:rsid w:val="008075F7"/>
    <w:rsid w:val="00807700"/>
    <w:rsid w:val="00807785"/>
    <w:rsid w:val="008077F7"/>
    <w:rsid w:val="008078C8"/>
    <w:rsid w:val="008078FA"/>
    <w:rsid w:val="00807A83"/>
    <w:rsid w:val="00807AE5"/>
    <w:rsid w:val="00807BF0"/>
    <w:rsid w:val="00807C0D"/>
    <w:rsid w:val="00807D64"/>
    <w:rsid w:val="00807E02"/>
    <w:rsid w:val="00807E35"/>
    <w:rsid w:val="00807E4D"/>
    <w:rsid w:val="00807EF4"/>
    <w:rsid w:val="00807F35"/>
    <w:rsid w:val="00807F8B"/>
    <w:rsid w:val="0081004A"/>
    <w:rsid w:val="008100CC"/>
    <w:rsid w:val="008100EA"/>
    <w:rsid w:val="00810112"/>
    <w:rsid w:val="00810148"/>
    <w:rsid w:val="008102EA"/>
    <w:rsid w:val="008102F4"/>
    <w:rsid w:val="0081056B"/>
    <w:rsid w:val="008106C9"/>
    <w:rsid w:val="00810710"/>
    <w:rsid w:val="00810733"/>
    <w:rsid w:val="008107DB"/>
    <w:rsid w:val="008107FE"/>
    <w:rsid w:val="008108BD"/>
    <w:rsid w:val="0081093C"/>
    <w:rsid w:val="00810947"/>
    <w:rsid w:val="00810A1F"/>
    <w:rsid w:val="00810A97"/>
    <w:rsid w:val="00810D05"/>
    <w:rsid w:val="00810D20"/>
    <w:rsid w:val="00810D50"/>
    <w:rsid w:val="00810EC3"/>
    <w:rsid w:val="00810EED"/>
    <w:rsid w:val="00810F5A"/>
    <w:rsid w:val="00811048"/>
    <w:rsid w:val="00811073"/>
    <w:rsid w:val="00811092"/>
    <w:rsid w:val="0081111E"/>
    <w:rsid w:val="0081119C"/>
    <w:rsid w:val="00811233"/>
    <w:rsid w:val="00811316"/>
    <w:rsid w:val="0081140D"/>
    <w:rsid w:val="00811423"/>
    <w:rsid w:val="00811670"/>
    <w:rsid w:val="008116D6"/>
    <w:rsid w:val="008116E6"/>
    <w:rsid w:val="008118D8"/>
    <w:rsid w:val="0081194A"/>
    <w:rsid w:val="00811AB4"/>
    <w:rsid w:val="00811AE7"/>
    <w:rsid w:val="00811B90"/>
    <w:rsid w:val="00811C28"/>
    <w:rsid w:val="00811C36"/>
    <w:rsid w:val="00811D65"/>
    <w:rsid w:val="00811DE4"/>
    <w:rsid w:val="0081201A"/>
    <w:rsid w:val="0081206A"/>
    <w:rsid w:val="008120E8"/>
    <w:rsid w:val="00812134"/>
    <w:rsid w:val="00812208"/>
    <w:rsid w:val="00812467"/>
    <w:rsid w:val="00812530"/>
    <w:rsid w:val="008126E2"/>
    <w:rsid w:val="0081274D"/>
    <w:rsid w:val="008129DB"/>
    <w:rsid w:val="008129EE"/>
    <w:rsid w:val="00812A16"/>
    <w:rsid w:val="00812A68"/>
    <w:rsid w:val="00812B12"/>
    <w:rsid w:val="00812B43"/>
    <w:rsid w:val="00812B46"/>
    <w:rsid w:val="00812B57"/>
    <w:rsid w:val="00812B9C"/>
    <w:rsid w:val="00812C42"/>
    <w:rsid w:val="00812D74"/>
    <w:rsid w:val="00812E40"/>
    <w:rsid w:val="00812EF9"/>
    <w:rsid w:val="00812FA6"/>
    <w:rsid w:val="0081305E"/>
    <w:rsid w:val="008130E7"/>
    <w:rsid w:val="008130F1"/>
    <w:rsid w:val="00813194"/>
    <w:rsid w:val="008131A3"/>
    <w:rsid w:val="0081322C"/>
    <w:rsid w:val="0081339C"/>
    <w:rsid w:val="008134FC"/>
    <w:rsid w:val="00813833"/>
    <w:rsid w:val="00813A17"/>
    <w:rsid w:val="00813B69"/>
    <w:rsid w:val="00813B6D"/>
    <w:rsid w:val="00813BA6"/>
    <w:rsid w:val="00813D1E"/>
    <w:rsid w:val="00813D9C"/>
    <w:rsid w:val="00813DBC"/>
    <w:rsid w:val="00813E2C"/>
    <w:rsid w:val="00813E92"/>
    <w:rsid w:val="00813F7A"/>
    <w:rsid w:val="008140E2"/>
    <w:rsid w:val="00814118"/>
    <w:rsid w:val="00814135"/>
    <w:rsid w:val="008141BC"/>
    <w:rsid w:val="00814232"/>
    <w:rsid w:val="00814329"/>
    <w:rsid w:val="00814578"/>
    <w:rsid w:val="008145C9"/>
    <w:rsid w:val="008145DF"/>
    <w:rsid w:val="0081463B"/>
    <w:rsid w:val="00814661"/>
    <w:rsid w:val="00814709"/>
    <w:rsid w:val="008147B5"/>
    <w:rsid w:val="008147D7"/>
    <w:rsid w:val="00814A22"/>
    <w:rsid w:val="00814AB6"/>
    <w:rsid w:val="00814ACB"/>
    <w:rsid w:val="00814AE2"/>
    <w:rsid w:val="00814B17"/>
    <w:rsid w:val="00814B84"/>
    <w:rsid w:val="00814BE6"/>
    <w:rsid w:val="00814C9C"/>
    <w:rsid w:val="00814DA3"/>
    <w:rsid w:val="00814DAB"/>
    <w:rsid w:val="00814DFC"/>
    <w:rsid w:val="00814E4F"/>
    <w:rsid w:val="00814F2D"/>
    <w:rsid w:val="00814FB7"/>
    <w:rsid w:val="0081500B"/>
    <w:rsid w:val="00815052"/>
    <w:rsid w:val="00815085"/>
    <w:rsid w:val="0081517D"/>
    <w:rsid w:val="0081519B"/>
    <w:rsid w:val="008151AD"/>
    <w:rsid w:val="008152D7"/>
    <w:rsid w:val="00815443"/>
    <w:rsid w:val="008154A5"/>
    <w:rsid w:val="0081552C"/>
    <w:rsid w:val="00815617"/>
    <w:rsid w:val="0081562D"/>
    <w:rsid w:val="00815A7B"/>
    <w:rsid w:val="00815BA9"/>
    <w:rsid w:val="00815BF5"/>
    <w:rsid w:val="00815C86"/>
    <w:rsid w:val="00815CE7"/>
    <w:rsid w:val="00815CF6"/>
    <w:rsid w:val="00815D98"/>
    <w:rsid w:val="00815E8B"/>
    <w:rsid w:val="00815E95"/>
    <w:rsid w:val="00815EFD"/>
    <w:rsid w:val="00816141"/>
    <w:rsid w:val="00816371"/>
    <w:rsid w:val="00816405"/>
    <w:rsid w:val="00816409"/>
    <w:rsid w:val="0081675A"/>
    <w:rsid w:val="0081680F"/>
    <w:rsid w:val="00816876"/>
    <w:rsid w:val="0081694C"/>
    <w:rsid w:val="00816972"/>
    <w:rsid w:val="00816979"/>
    <w:rsid w:val="00816A30"/>
    <w:rsid w:val="00816A37"/>
    <w:rsid w:val="00816AD2"/>
    <w:rsid w:val="00816B51"/>
    <w:rsid w:val="00816B85"/>
    <w:rsid w:val="00816C20"/>
    <w:rsid w:val="00816C88"/>
    <w:rsid w:val="00816C8F"/>
    <w:rsid w:val="00816F5C"/>
    <w:rsid w:val="00816FB6"/>
    <w:rsid w:val="00817054"/>
    <w:rsid w:val="008170A4"/>
    <w:rsid w:val="008170A9"/>
    <w:rsid w:val="0081713F"/>
    <w:rsid w:val="00817189"/>
    <w:rsid w:val="008171F5"/>
    <w:rsid w:val="00817476"/>
    <w:rsid w:val="008174B7"/>
    <w:rsid w:val="008174CB"/>
    <w:rsid w:val="00817534"/>
    <w:rsid w:val="00817677"/>
    <w:rsid w:val="008176A0"/>
    <w:rsid w:val="00817843"/>
    <w:rsid w:val="0081786C"/>
    <w:rsid w:val="00817AA5"/>
    <w:rsid w:val="00817AB4"/>
    <w:rsid w:val="00817AE2"/>
    <w:rsid w:val="00817BC5"/>
    <w:rsid w:val="00817CDC"/>
    <w:rsid w:val="00817D4E"/>
    <w:rsid w:val="00817D93"/>
    <w:rsid w:val="00817F59"/>
    <w:rsid w:val="00817F72"/>
    <w:rsid w:val="00817F8E"/>
    <w:rsid w:val="00820085"/>
    <w:rsid w:val="00820159"/>
    <w:rsid w:val="00820198"/>
    <w:rsid w:val="0082021E"/>
    <w:rsid w:val="00820226"/>
    <w:rsid w:val="0082029F"/>
    <w:rsid w:val="00820354"/>
    <w:rsid w:val="00820362"/>
    <w:rsid w:val="008203F7"/>
    <w:rsid w:val="008204A6"/>
    <w:rsid w:val="008204B5"/>
    <w:rsid w:val="008205D2"/>
    <w:rsid w:val="00820601"/>
    <w:rsid w:val="00820692"/>
    <w:rsid w:val="008206DF"/>
    <w:rsid w:val="00820AB6"/>
    <w:rsid w:val="00820ADC"/>
    <w:rsid w:val="00820B36"/>
    <w:rsid w:val="00820BB5"/>
    <w:rsid w:val="00820C2D"/>
    <w:rsid w:val="00820C89"/>
    <w:rsid w:val="00820CEB"/>
    <w:rsid w:val="00820D25"/>
    <w:rsid w:val="00820D4C"/>
    <w:rsid w:val="00820F74"/>
    <w:rsid w:val="00821082"/>
    <w:rsid w:val="00821099"/>
    <w:rsid w:val="00821122"/>
    <w:rsid w:val="008212E5"/>
    <w:rsid w:val="0082132B"/>
    <w:rsid w:val="0082133F"/>
    <w:rsid w:val="0082135A"/>
    <w:rsid w:val="00821400"/>
    <w:rsid w:val="0082165D"/>
    <w:rsid w:val="00821676"/>
    <w:rsid w:val="00821679"/>
    <w:rsid w:val="008216B3"/>
    <w:rsid w:val="008216FE"/>
    <w:rsid w:val="0082175B"/>
    <w:rsid w:val="00821773"/>
    <w:rsid w:val="008217B3"/>
    <w:rsid w:val="00821861"/>
    <w:rsid w:val="00821873"/>
    <w:rsid w:val="00821967"/>
    <w:rsid w:val="00821A92"/>
    <w:rsid w:val="00821B0F"/>
    <w:rsid w:val="00821C78"/>
    <w:rsid w:val="00821CA8"/>
    <w:rsid w:val="00821DFD"/>
    <w:rsid w:val="00821E70"/>
    <w:rsid w:val="00821E87"/>
    <w:rsid w:val="00821F18"/>
    <w:rsid w:val="00821FC3"/>
    <w:rsid w:val="008220B5"/>
    <w:rsid w:val="008220B6"/>
    <w:rsid w:val="008222A1"/>
    <w:rsid w:val="008222BE"/>
    <w:rsid w:val="00822369"/>
    <w:rsid w:val="00822375"/>
    <w:rsid w:val="00822580"/>
    <w:rsid w:val="00822674"/>
    <w:rsid w:val="00822852"/>
    <w:rsid w:val="00822867"/>
    <w:rsid w:val="008228D9"/>
    <w:rsid w:val="00822995"/>
    <w:rsid w:val="008229D4"/>
    <w:rsid w:val="00822A28"/>
    <w:rsid w:val="00822BB7"/>
    <w:rsid w:val="00822BC9"/>
    <w:rsid w:val="00822C02"/>
    <w:rsid w:val="00822E87"/>
    <w:rsid w:val="00822E9C"/>
    <w:rsid w:val="00822F09"/>
    <w:rsid w:val="00822F3D"/>
    <w:rsid w:val="00822FC6"/>
    <w:rsid w:val="00822FC7"/>
    <w:rsid w:val="008231EF"/>
    <w:rsid w:val="00823248"/>
    <w:rsid w:val="00823304"/>
    <w:rsid w:val="0082330C"/>
    <w:rsid w:val="00823337"/>
    <w:rsid w:val="008237AF"/>
    <w:rsid w:val="0082381F"/>
    <w:rsid w:val="00823966"/>
    <w:rsid w:val="00823985"/>
    <w:rsid w:val="008239FB"/>
    <w:rsid w:val="00823BA2"/>
    <w:rsid w:val="00823C19"/>
    <w:rsid w:val="00823C83"/>
    <w:rsid w:val="00823CB6"/>
    <w:rsid w:val="00823E7A"/>
    <w:rsid w:val="00823F53"/>
    <w:rsid w:val="00823FA1"/>
    <w:rsid w:val="00823FA3"/>
    <w:rsid w:val="00824012"/>
    <w:rsid w:val="00824067"/>
    <w:rsid w:val="008241BA"/>
    <w:rsid w:val="00824218"/>
    <w:rsid w:val="008242FE"/>
    <w:rsid w:val="0082437E"/>
    <w:rsid w:val="00824452"/>
    <w:rsid w:val="008245C4"/>
    <w:rsid w:val="008247B8"/>
    <w:rsid w:val="008248DD"/>
    <w:rsid w:val="0082494A"/>
    <w:rsid w:val="00824977"/>
    <w:rsid w:val="008249BA"/>
    <w:rsid w:val="00824A3B"/>
    <w:rsid w:val="00824A52"/>
    <w:rsid w:val="00824ABE"/>
    <w:rsid w:val="00824B09"/>
    <w:rsid w:val="00824D96"/>
    <w:rsid w:val="00824DBE"/>
    <w:rsid w:val="00824DF6"/>
    <w:rsid w:val="00824E0E"/>
    <w:rsid w:val="00824E98"/>
    <w:rsid w:val="00824F77"/>
    <w:rsid w:val="008250ED"/>
    <w:rsid w:val="008251C0"/>
    <w:rsid w:val="008251CE"/>
    <w:rsid w:val="00825250"/>
    <w:rsid w:val="008252A3"/>
    <w:rsid w:val="00825316"/>
    <w:rsid w:val="0082550E"/>
    <w:rsid w:val="0082553F"/>
    <w:rsid w:val="00825623"/>
    <w:rsid w:val="0082572A"/>
    <w:rsid w:val="00825823"/>
    <w:rsid w:val="0082583A"/>
    <w:rsid w:val="0082593E"/>
    <w:rsid w:val="00825961"/>
    <w:rsid w:val="008259E0"/>
    <w:rsid w:val="008259EC"/>
    <w:rsid w:val="00825B20"/>
    <w:rsid w:val="00825B64"/>
    <w:rsid w:val="00825B9D"/>
    <w:rsid w:val="00825BAE"/>
    <w:rsid w:val="00825BCC"/>
    <w:rsid w:val="00825CB7"/>
    <w:rsid w:val="00825CF0"/>
    <w:rsid w:val="00825D59"/>
    <w:rsid w:val="00825D82"/>
    <w:rsid w:val="00825D90"/>
    <w:rsid w:val="00825E31"/>
    <w:rsid w:val="00825ECA"/>
    <w:rsid w:val="00825FBD"/>
    <w:rsid w:val="0082600C"/>
    <w:rsid w:val="00826050"/>
    <w:rsid w:val="00826066"/>
    <w:rsid w:val="008260E7"/>
    <w:rsid w:val="00826106"/>
    <w:rsid w:val="00826118"/>
    <w:rsid w:val="0082618D"/>
    <w:rsid w:val="008261D2"/>
    <w:rsid w:val="008262E9"/>
    <w:rsid w:val="00826575"/>
    <w:rsid w:val="0082657B"/>
    <w:rsid w:val="008266F5"/>
    <w:rsid w:val="00826733"/>
    <w:rsid w:val="00826809"/>
    <w:rsid w:val="008269A4"/>
    <w:rsid w:val="00826A2B"/>
    <w:rsid w:val="00826A35"/>
    <w:rsid w:val="00826A43"/>
    <w:rsid w:val="00826A4F"/>
    <w:rsid w:val="00826A6E"/>
    <w:rsid w:val="00826B12"/>
    <w:rsid w:val="00826B84"/>
    <w:rsid w:val="00826CAF"/>
    <w:rsid w:val="00826DB0"/>
    <w:rsid w:val="00826EC9"/>
    <w:rsid w:val="00826F95"/>
    <w:rsid w:val="00827020"/>
    <w:rsid w:val="00827029"/>
    <w:rsid w:val="008270C8"/>
    <w:rsid w:val="008270C9"/>
    <w:rsid w:val="008271EB"/>
    <w:rsid w:val="0082720B"/>
    <w:rsid w:val="00827369"/>
    <w:rsid w:val="00827539"/>
    <w:rsid w:val="00827671"/>
    <w:rsid w:val="008276D6"/>
    <w:rsid w:val="0082775A"/>
    <w:rsid w:val="00827AB0"/>
    <w:rsid w:val="00827C91"/>
    <w:rsid w:val="00827DD3"/>
    <w:rsid w:val="00827F17"/>
    <w:rsid w:val="008300E9"/>
    <w:rsid w:val="00830173"/>
    <w:rsid w:val="00830179"/>
    <w:rsid w:val="008302F9"/>
    <w:rsid w:val="00830349"/>
    <w:rsid w:val="008303A5"/>
    <w:rsid w:val="0083040B"/>
    <w:rsid w:val="0083050B"/>
    <w:rsid w:val="00830647"/>
    <w:rsid w:val="008307D2"/>
    <w:rsid w:val="00830939"/>
    <w:rsid w:val="00830959"/>
    <w:rsid w:val="008309CE"/>
    <w:rsid w:val="008309E1"/>
    <w:rsid w:val="00830A1B"/>
    <w:rsid w:val="00830BE8"/>
    <w:rsid w:val="00830C74"/>
    <w:rsid w:val="00830D28"/>
    <w:rsid w:val="00830DF5"/>
    <w:rsid w:val="00830E7E"/>
    <w:rsid w:val="00830F9F"/>
    <w:rsid w:val="00830FC2"/>
    <w:rsid w:val="00830FFD"/>
    <w:rsid w:val="00831043"/>
    <w:rsid w:val="0083121B"/>
    <w:rsid w:val="008312AF"/>
    <w:rsid w:val="00831325"/>
    <w:rsid w:val="008314ED"/>
    <w:rsid w:val="00831501"/>
    <w:rsid w:val="00831604"/>
    <w:rsid w:val="008316BE"/>
    <w:rsid w:val="0083173D"/>
    <w:rsid w:val="008317A5"/>
    <w:rsid w:val="008318B1"/>
    <w:rsid w:val="008319A8"/>
    <w:rsid w:val="008319AF"/>
    <w:rsid w:val="008319D2"/>
    <w:rsid w:val="00831AB2"/>
    <w:rsid w:val="00831BFA"/>
    <w:rsid w:val="00831D6F"/>
    <w:rsid w:val="00831DC1"/>
    <w:rsid w:val="00831DC7"/>
    <w:rsid w:val="00831DD8"/>
    <w:rsid w:val="00831E7C"/>
    <w:rsid w:val="00831EEB"/>
    <w:rsid w:val="00831F7A"/>
    <w:rsid w:val="00831FC9"/>
    <w:rsid w:val="00831FEB"/>
    <w:rsid w:val="0083204C"/>
    <w:rsid w:val="008320CB"/>
    <w:rsid w:val="00832124"/>
    <w:rsid w:val="00832202"/>
    <w:rsid w:val="00832298"/>
    <w:rsid w:val="008322A2"/>
    <w:rsid w:val="0083235D"/>
    <w:rsid w:val="008323CE"/>
    <w:rsid w:val="008323EC"/>
    <w:rsid w:val="00832508"/>
    <w:rsid w:val="00832744"/>
    <w:rsid w:val="00832774"/>
    <w:rsid w:val="008327DC"/>
    <w:rsid w:val="00832BBB"/>
    <w:rsid w:val="00832C7B"/>
    <w:rsid w:val="00832D0A"/>
    <w:rsid w:val="00832E80"/>
    <w:rsid w:val="00832E8E"/>
    <w:rsid w:val="00832F79"/>
    <w:rsid w:val="00832FF1"/>
    <w:rsid w:val="00833046"/>
    <w:rsid w:val="0083309C"/>
    <w:rsid w:val="00833199"/>
    <w:rsid w:val="008331D7"/>
    <w:rsid w:val="00833200"/>
    <w:rsid w:val="0083323D"/>
    <w:rsid w:val="008332C3"/>
    <w:rsid w:val="008333A9"/>
    <w:rsid w:val="00833433"/>
    <w:rsid w:val="00833624"/>
    <w:rsid w:val="008337F3"/>
    <w:rsid w:val="00833874"/>
    <w:rsid w:val="00833930"/>
    <w:rsid w:val="008339D8"/>
    <w:rsid w:val="00833A31"/>
    <w:rsid w:val="00833AF1"/>
    <w:rsid w:val="00833B22"/>
    <w:rsid w:val="00833BC7"/>
    <w:rsid w:val="00833C75"/>
    <w:rsid w:val="00833DD8"/>
    <w:rsid w:val="00833E4E"/>
    <w:rsid w:val="00833E94"/>
    <w:rsid w:val="00833ECE"/>
    <w:rsid w:val="00834030"/>
    <w:rsid w:val="00834034"/>
    <w:rsid w:val="00834042"/>
    <w:rsid w:val="008340C3"/>
    <w:rsid w:val="0083418B"/>
    <w:rsid w:val="008341AD"/>
    <w:rsid w:val="008341CC"/>
    <w:rsid w:val="008341F0"/>
    <w:rsid w:val="008341FF"/>
    <w:rsid w:val="00834317"/>
    <w:rsid w:val="00834427"/>
    <w:rsid w:val="00834444"/>
    <w:rsid w:val="008344D1"/>
    <w:rsid w:val="008344D2"/>
    <w:rsid w:val="0083457A"/>
    <w:rsid w:val="008345B0"/>
    <w:rsid w:val="008345B6"/>
    <w:rsid w:val="008346FE"/>
    <w:rsid w:val="00834794"/>
    <w:rsid w:val="008347A3"/>
    <w:rsid w:val="0083485E"/>
    <w:rsid w:val="00834975"/>
    <w:rsid w:val="00834980"/>
    <w:rsid w:val="008349A4"/>
    <w:rsid w:val="008349DA"/>
    <w:rsid w:val="008349E2"/>
    <w:rsid w:val="00834A34"/>
    <w:rsid w:val="00834C62"/>
    <w:rsid w:val="00834D72"/>
    <w:rsid w:val="00834EE0"/>
    <w:rsid w:val="0083502F"/>
    <w:rsid w:val="00835074"/>
    <w:rsid w:val="00835093"/>
    <w:rsid w:val="008350F3"/>
    <w:rsid w:val="00835117"/>
    <w:rsid w:val="00835123"/>
    <w:rsid w:val="0083516D"/>
    <w:rsid w:val="008351A2"/>
    <w:rsid w:val="0083520A"/>
    <w:rsid w:val="0083521C"/>
    <w:rsid w:val="0083525D"/>
    <w:rsid w:val="00835347"/>
    <w:rsid w:val="00835392"/>
    <w:rsid w:val="008354C7"/>
    <w:rsid w:val="0083557A"/>
    <w:rsid w:val="00835683"/>
    <w:rsid w:val="008357D4"/>
    <w:rsid w:val="0083586E"/>
    <w:rsid w:val="00835A69"/>
    <w:rsid w:val="00835ACB"/>
    <w:rsid w:val="00835C12"/>
    <w:rsid w:val="00835C87"/>
    <w:rsid w:val="00835D38"/>
    <w:rsid w:val="00835D90"/>
    <w:rsid w:val="00835DDE"/>
    <w:rsid w:val="00835E32"/>
    <w:rsid w:val="00836094"/>
    <w:rsid w:val="008360DA"/>
    <w:rsid w:val="008360FA"/>
    <w:rsid w:val="00836169"/>
    <w:rsid w:val="0083632E"/>
    <w:rsid w:val="008363D6"/>
    <w:rsid w:val="00836538"/>
    <w:rsid w:val="0083658A"/>
    <w:rsid w:val="00836846"/>
    <w:rsid w:val="0083687A"/>
    <w:rsid w:val="008368D8"/>
    <w:rsid w:val="008369EC"/>
    <w:rsid w:val="00836ACF"/>
    <w:rsid w:val="00836AE9"/>
    <w:rsid w:val="00836C15"/>
    <w:rsid w:val="00836C53"/>
    <w:rsid w:val="00836CC8"/>
    <w:rsid w:val="00836CF1"/>
    <w:rsid w:val="00836E1E"/>
    <w:rsid w:val="00836F37"/>
    <w:rsid w:val="00836FAB"/>
    <w:rsid w:val="00837071"/>
    <w:rsid w:val="00837153"/>
    <w:rsid w:val="00837170"/>
    <w:rsid w:val="0083734A"/>
    <w:rsid w:val="008374AF"/>
    <w:rsid w:val="00837560"/>
    <w:rsid w:val="00837807"/>
    <w:rsid w:val="008378CE"/>
    <w:rsid w:val="0083794E"/>
    <w:rsid w:val="0083796C"/>
    <w:rsid w:val="008379A4"/>
    <w:rsid w:val="00837A06"/>
    <w:rsid w:val="00837A49"/>
    <w:rsid w:val="00837A7D"/>
    <w:rsid w:val="00837AF7"/>
    <w:rsid w:val="00837B2C"/>
    <w:rsid w:val="00837C93"/>
    <w:rsid w:val="00837D2A"/>
    <w:rsid w:val="00837D2C"/>
    <w:rsid w:val="00837D3F"/>
    <w:rsid w:val="00837D4C"/>
    <w:rsid w:val="00837D57"/>
    <w:rsid w:val="00837D6E"/>
    <w:rsid w:val="00837FA2"/>
    <w:rsid w:val="00837FAA"/>
    <w:rsid w:val="00840001"/>
    <w:rsid w:val="00840038"/>
    <w:rsid w:val="00840230"/>
    <w:rsid w:val="0084046E"/>
    <w:rsid w:val="0084060A"/>
    <w:rsid w:val="00840614"/>
    <w:rsid w:val="008406AA"/>
    <w:rsid w:val="008406BB"/>
    <w:rsid w:val="00840755"/>
    <w:rsid w:val="008407C8"/>
    <w:rsid w:val="00840814"/>
    <w:rsid w:val="00840822"/>
    <w:rsid w:val="008409BB"/>
    <w:rsid w:val="00840A39"/>
    <w:rsid w:val="00840A7E"/>
    <w:rsid w:val="00840B88"/>
    <w:rsid w:val="00840BD8"/>
    <w:rsid w:val="00840D74"/>
    <w:rsid w:val="00840DBB"/>
    <w:rsid w:val="00840DF2"/>
    <w:rsid w:val="00840E42"/>
    <w:rsid w:val="00840EF2"/>
    <w:rsid w:val="00841028"/>
    <w:rsid w:val="00841061"/>
    <w:rsid w:val="008410C5"/>
    <w:rsid w:val="008410D1"/>
    <w:rsid w:val="008410EC"/>
    <w:rsid w:val="008411FE"/>
    <w:rsid w:val="0084124C"/>
    <w:rsid w:val="008413A6"/>
    <w:rsid w:val="00841476"/>
    <w:rsid w:val="00841508"/>
    <w:rsid w:val="0084152A"/>
    <w:rsid w:val="00841576"/>
    <w:rsid w:val="00841874"/>
    <w:rsid w:val="008418F4"/>
    <w:rsid w:val="00841912"/>
    <w:rsid w:val="00841A6A"/>
    <w:rsid w:val="00841B68"/>
    <w:rsid w:val="00841B8D"/>
    <w:rsid w:val="00841B98"/>
    <w:rsid w:val="00841C6D"/>
    <w:rsid w:val="00841CB6"/>
    <w:rsid w:val="00841D15"/>
    <w:rsid w:val="00841D7A"/>
    <w:rsid w:val="00841DAB"/>
    <w:rsid w:val="00841DF4"/>
    <w:rsid w:val="00841F61"/>
    <w:rsid w:val="00842024"/>
    <w:rsid w:val="00842048"/>
    <w:rsid w:val="0084211B"/>
    <w:rsid w:val="00842207"/>
    <w:rsid w:val="0084225F"/>
    <w:rsid w:val="008422C3"/>
    <w:rsid w:val="0084231F"/>
    <w:rsid w:val="008423A6"/>
    <w:rsid w:val="008423B4"/>
    <w:rsid w:val="008424B9"/>
    <w:rsid w:val="00842569"/>
    <w:rsid w:val="008425D2"/>
    <w:rsid w:val="0084260F"/>
    <w:rsid w:val="0084285E"/>
    <w:rsid w:val="0084289C"/>
    <w:rsid w:val="008429AA"/>
    <w:rsid w:val="008429D3"/>
    <w:rsid w:val="00842A1D"/>
    <w:rsid w:val="00842B4A"/>
    <w:rsid w:val="00842C6D"/>
    <w:rsid w:val="00842CF6"/>
    <w:rsid w:val="00842D6A"/>
    <w:rsid w:val="00842D80"/>
    <w:rsid w:val="00842DCB"/>
    <w:rsid w:val="00842E95"/>
    <w:rsid w:val="0084304D"/>
    <w:rsid w:val="008430CD"/>
    <w:rsid w:val="00843130"/>
    <w:rsid w:val="0084313E"/>
    <w:rsid w:val="008431CF"/>
    <w:rsid w:val="00843343"/>
    <w:rsid w:val="0084334A"/>
    <w:rsid w:val="008433C9"/>
    <w:rsid w:val="00843470"/>
    <w:rsid w:val="0084351D"/>
    <w:rsid w:val="008436C0"/>
    <w:rsid w:val="008436EB"/>
    <w:rsid w:val="0084384B"/>
    <w:rsid w:val="0084389C"/>
    <w:rsid w:val="00843946"/>
    <w:rsid w:val="0084397A"/>
    <w:rsid w:val="00843991"/>
    <w:rsid w:val="008439A1"/>
    <w:rsid w:val="00843AA0"/>
    <w:rsid w:val="00843AD3"/>
    <w:rsid w:val="00843B19"/>
    <w:rsid w:val="00843BBA"/>
    <w:rsid w:val="00843BDE"/>
    <w:rsid w:val="00843BE7"/>
    <w:rsid w:val="00843C5C"/>
    <w:rsid w:val="00843D91"/>
    <w:rsid w:val="00843E4F"/>
    <w:rsid w:val="00843E82"/>
    <w:rsid w:val="00843F47"/>
    <w:rsid w:val="00843F5A"/>
    <w:rsid w:val="00843F6F"/>
    <w:rsid w:val="0084402B"/>
    <w:rsid w:val="0084405B"/>
    <w:rsid w:val="0084409A"/>
    <w:rsid w:val="00844105"/>
    <w:rsid w:val="0084412A"/>
    <w:rsid w:val="00844211"/>
    <w:rsid w:val="00844233"/>
    <w:rsid w:val="008442CC"/>
    <w:rsid w:val="00844320"/>
    <w:rsid w:val="00844322"/>
    <w:rsid w:val="00844385"/>
    <w:rsid w:val="00844410"/>
    <w:rsid w:val="00844460"/>
    <w:rsid w:val="008444A6"/>
    <w:rsid w:val="00844517"/>
    <w:rsid w:val="00844623"/>
    <w:rsid w:val="008446DE"/>
    <w:rsid w:val="008447BA"/>
    <w:rsid w:val="00844827"/>
    <w:rsid w:val="00844849"/>
    <w:rsid w:val="0084485E"/>
    <w:rsid w:val="00844872"/>
    <w:rsid w:val="008448E5"/>
    <w:rsid w:val="00844A16"/>
    <w:rsid w:val="00844A57"/>
    <w:rsid w:val="00844A62"/>
    <w:rsid w:val="00844AEA"/>
    <w:rsid w:val="00844B96"/>
    <w:rsid w:val="00844C04"/>
    <w:rsid w:val="00844D1A"/>
    <w:rsid w:val="00844D73"/>
    <w:rsid w:val="00844DC3"/>
    <w:rsid w:val="00844E0F"/>
    <w:rsid w:val="00844E17"/>
    <w:rsid w:val="00844EC4"/>
    <w:rsid w:val="00844F45"/>
    <w:rsid w:val="00844FA0"/>
    <w:rsid w:val="00844FA7"/>
    <w:rsid w:val="00844FD9"/>
    <w:rsid w:val="00845130"/>
    <w:rsid w:val="00845133"/>
    <w:rsid w:val="008452C9"/>
    <w:rsid w:val="008452F0"/>
    <w:rsid w:val="008453A5"/>
    <w:rsid w:val="00845403"/>
    <w:rsid w:val="00845601"/>
    <w:rsid w:val="0084565E"/>
    <w:rsid w:val="008456CA"/>
    <w:rsid w:val="008457A2"/>
    <w:rsid w:val="0084581A"/>
    <w:rsid w:val="0084597C"/>
    <w:rsid w:val="00845A47"/>
    <w:rsid w:val="00845A8C"/>
    <w:rsid w:val="00845C8C"/>
    <w:rsid w:val="00845CA6"/>
    <w:rsid w:val="00845CB5"/>
    <w:rsid w:val="00845CDD"/>
    <w:rsid w:val="00845E83"/>
    <w:rsid w:val="00845EB2"/>
    <w:rsid w:val="00845F94"/>
    <w:rsid w:val="00845FBA"/>
    <w:rsid w:val="00846006"/>
    <w:rsid w:val="00846020"/>
    <w:rsid w:val="0084604E"/>
    <w:rsid w:val="0084616F"/>
    <w:rsid w:val="0084619D"/>
    <w:rsid w:val="008461B7"/>
    <w:rsid w:val="00846265"/>
    <w:rsid w:val="00846349"/>
    <w:rsid w:val="0084637A"/>
    <w:rsid w:val="008463DD"/>
    <w:rsid w:val="008463E5"/>
    <w:rsid w:val="0084641F"/>
    <w:rsid w:val="0084642C"/>
    <w:rsid w:val="00846546"/>
    <w:rsid w:val="00846595"/>
    <w:rsid w:val="00846740"/>
    <w:rsid w:val="008467D3"/>
    <w:rsid w:val="00846829"/>
    <w:rsid w:val="00846856"/>
    <w:rsid w:val="00846899"/>
    <w:rsid w:val="008468CC"/>
    <w:rsid w:val="008468E3"/>
    <w:rsid w:val="0084699B"/>
    <w:rsid w:val="008469B0"/>
    <w:rsid w:val="008469FC"/>
    <w:rsid w:val="00846B03"/>
    <w:rsid w:val="00846B0F"/>
    <w:rsid w:val="00846B7E"/>
    <w:rsid w:val="00846B93"/>
    <w:rsid w:val="00846D25"/>
    <w:rsid w:val="00846DB0"/>
    <w:rsid w:val="00846E6E"/>
    <w:rsid w:val="00846ECC"/>
    <w:rsid w:val="00846FFC"/>
    <w:rsid w:val="008470AA"/>
    <w:rsid w:val="00847172"/>
    <w:rsid w:val="00847374"/>
    <w:rsid w:val="008476C6"/>
    <w:rsid w:val="00847721"/>
    <w:rsid w:val="00847774"/>
    <w:rsid w:val="008478A1"/>
    <w:rsid w:val="00847968"/>
    <w:rsid w:val="00847A58"/>
    <w:rsid w:val="00847AC8"/>
    <w:rsid w:val="00847C03"/>
    <w:rsid w:val="00847C25"/>
    <w:rsid w:val="00847CC9"/>
    <w:rsid w:val="00847D6F"/>
    <w:rsid w:val="00847DB0"/>
    <w:rsid w:val="00847DD0"/>
    <w:rsid w:val="00847DD5"/>
    <w:rsid w:val="00847E88"/>
    <w:rsid w:val="00847EC4"/>
    <w:rsid w:val="00847FBF"/>
    <w:rsid w:val="0085005B"/>
    <w:rsid w:val="0085008D"/>
    <w:rsid w:val="0085013A"/>
    <w:rsid w:val="0085020C"/>
    <w:rsid w:val="00850328"/>
    <w:rsid w:val="008503BE"/>
    <w:rsid w:val="008503F1"/>
    <w:rsid w:val="008504AD"/>
    <w:rsid w:val="008504DB"/>
    <w:rsid w:val="00850554"/>
    <w:rsid w:val="0085057C"/>
    <w:rsid w:val="0085063E"/>
    <w:rsid w:val="008507CB"/>
    <w:rsid w:val="008507F7"/>
    <w:rsid w:val="00850803"/>
    <w:rsid w:val="0085085E"/>
    <w:rsid w:val="0085096B"/>
    <w:rsid w:val="00850A5F"/>
    <w:rsid w:val="00850AE9"/>
    <w:rsid w:val="00850DA7"/>
    <w:rsid w:val="00850E0A"/>
    <w:rsid w:val="0085100B"/>
    <w:rsid w:val="00851040"/>
    <w:rsid w:val="00851051"/>
    <w:rsid w:val="00851268"/>
    <w:rsid w:val="00851335"/>
    <w:rsid w:val="00851407"/>
    <w:rsid w:val="0085142B"/>
    <w:rsid w:val="00851527"/>
    <w:rsid w:val="008515C0"/>
    <w:rsid w:val="008517C1"/>
    <w:rsid w:val="00851871"/>
    <w:rsid w:val="00851ACF"/>
    <w:rsid w:val="00851B44"/>
    <w:rsid w:val="00851C28"/>
    <w:rsid w:val="00851C57"/>
    <w:rsid w:val="00851D81"/>
    <w:rsid w:val="00851DD5"/>
    <w:rsid w:val="00851E58"/>
    <w:rsid w:val="00851E8C"/>
    <w:rsid w:val="00851EDA"/>
    <w:rsid w:val="00851FAD"/>
    <w:rsid w:val="00851FD7"/>
    <w:rsid w:val="008521C1"/>
    <w:rsid w:val="008521E4"/>
    <w:rsid w:val="00852200"/>
    <w:rsid w:val="00852289"/>
    <w:rsid w:val="008522CB"/>
    <w:rsid w:val="008523CA"/>
    <w:rsid w:val="008524E8"/>
    <w:rsid w:val="0085253C"/>
    <w:rsid w:val="0085259E"/>
    <w:rsid w:val="0085268B"/>
    <w:rsid w:val="008526DB"/>
    <w:rsid w:val="00852716"/>
    <w:rsid w:val="00852789"/>
    <w:rsid w:val="00852802"/>
    <w:rsid w:val="00852836"/>
    <w:rsid w:val="008528F3"/>
    <w:rsid w:val="0085293C"/>
    <w:rsid w:val="00852961"/>
    <w:rsid w:val="00852B45"/>
    <w:rsid w:val="00852B5A"/>
    <w:rsid w:val="00852BF6"/>
    <w:rsid w:val="00852C57"/>
    <w:rsid w:val="00852D0B"/>
    <w:rsid w:val="00852EFD"/>
    <w:rsid w:val="00852FDF"/>
    <w:rsid w:val="008530A6"/>
    <w:rsid w:val="008530B9"/>
    <w:rsid w:val="0085316C"/>
    <w:rsid w:val="008531C9"/>
    <w:rsid w:val="0085324C"/>
    <w:rsid w:val="008532C6"/>
    <w:rsid w:val="008532D4"/>
    <w:rsid w:val="008532EA"/>
    <w:rsid w:val="00853353"/>
    <w:rsid w:val="00853361"/>
    <w:rsid w:val="00853426"/>
    <w:rsid w:val="0085342B"/>
    <w:rsid w:val="0085354A"/>
    <w:rsid w:val="00853553"/>
    <w:rsid w:val="0085356A"/>
    <w:rsid w:val="008535E4"/>
    <w:rsid w:val="00853657"/>
    <w:rsid w:val="00853726"/>
    <w:rsid w:val="00853743"/>
    <w:rsid w:val="00853897"/>
    <w:rsid w:val="00853B4B"/>
    <w:rsid w:val="00853C14"/>
    <w:rsid w:val="00853C1D"/>
    <w:rsid w:val="00853CA9"/>
    <w:rsid w:val="00853D65"/>
    <w:rsid w:val="00853F15"/>
    <w:rsid w:val="0085405D"/>
    <w:rsid w:val="00854083"/>
    <w:rsid w:val="00854131"/>
    <w:rsid w:val="0085414B"/>
    <w:rsid w:val="008541FB"/>
    <w:rsid w:val="008542E1"/>
    <w:rsid w:val="00854472"/>
    <w:rsid w:val="0085448F"/>
    <w:rsid w:val="008544F7"/>
    <w:rsid w:val="0085460E"/>
    <w:rsid w:val="00854659"/>
    <w:rsid w:val="00854699"/>
    <w:rsid w:val="008546BB"/>
    <w:rsid w:val="008546EC"/>
    <w:rsid w:val="008548FF"/>
    <w:rsid w:val="0085491D"/>
    <w:rsid w:val="00854980"/>
    <w:rsid w:val="008549AC"/>
    <w:rsid w:val="00854AF4"/>
    <w:rsid w:val="00854B9D"/>
    <w:rsid w:val="00854C33"/>
    <w:rsid w:val="00854CD4"/>
    <w:rsid w:val="00854E33"/>
    <w:rsid w:val="00854F1B"/>
    <w:rsid w:val="00854F30"/>
    <w:rsid w:val="00854F42"/>
    <w:rsid w:val="00854FF3"/>
    <w:rsid w:val="008550BB"/>
    <w:rsid w:val="00855138"/>
    <w:rsid w:val="00855255"/>
    <w:rsid w:val="0085527F"/>
    <w:rsid w:val="0085529D"/>
    <w:rsid w:val="008552D5"/>
    <w:rsid w:val="008553A9"/>
    <w:rsid w:val="008554BC"/>
    <w:rsid w:val="008554D7"/>
    <w:rsid w:val="00855541"/>
    <w:rsid w:val="008555C5"/>
    <w:rsid w:val="0085561D"/>
    <w:rsid w:val="00855661"/>
    <w:rsid w:val="00855695"/>
    <w:rsid w:val="008556A6"/>
    <w:rsid w:val="00855773"/>
    <w:rsid w:val="008557D2"/>
    <w:rsid w:val="00855940"/>
    <w:rsid w:val="00855956"/>
    <w:rsid w:val="00855A9A"/>
    <w:rsid w:val="00855B2D"/>
    <w:rsid w:val="00855B56"/>
    <w:rsid w:val="00855C09"/>
    <w:rsid w:val="00855C68"/>
    <w:rsid w:val="00855C71"/>
    <w:rsid w:val="00855CEB"/>
    <w:rsid w:val="00855D5C"/>
    <w:rsid w:val="00855DC7"/>
    <w:rsid w:val="00855E5F"/>
    <w:rsid w:val="00855F7B"/>
    <w:rsid w:val="00855F90"/>
    <w:rsid w:val="008560A0"/>
    <w:rsid w:val="0085624A"/>
    <w:rsid w:val="008562F3"/>
    <w:rsid w:val="00856335"/>
    <w:rsid w:val="008563E4"/>
    <w:rsid w:val="008563F6"/>
    <w:rsid w:val="008564D1"/>
    <w:rsid w:val="0085650C"/>
    <w:rsid w:val="008565C8"/>
    <w:rsid w:val="00856622"/>
    <w:rsid w:val="00856646"/>
    <w:rsid w:val="008566A0"/>
    <w:rsid w:val="00856745"/>
    <w:rsid w:val="00856756"/>
    <w:rsid w:val="00856809"/>
    <w:rsid w:val="00856846"/>
    <w:rsid w:val="00856851"/>
    <w:rsid w:val="00856A0E"/>
    <w:rsid w:val="00856AC1"/>
    <w:rsid w:val="00856B76"/>
    <w:rsid w:val="00856C97"/>
    <w:rsid w:val="00856CCA"/>
    <w:rsid w:val="00856D9F"/>
    <w:rsid w:val="00856E71"/>
    <w:rsid w:val="00857027"/>
    <w:rsid w:val="0085705A"/>
    <w:rsid w:val="008570A9"/>
    <w:rsid w:val="0085711D"/>
    <w:rsid w:val="00857168"/>
    <w:rsid w:val="008571CA"/>
    <w:rsid w:val="00857204"/>
    <w:rsid w:val="00857430"/>
    <w:rsid w:val="00857585"/>
    <w:rsid w:val="008575D7"/>
    <w:rsid w:val="00857626"/>
    <w:rsid w:val="0085763B"/>
    <w:rsid w:val="0085765C"/>
    <w:rsid w:val="008576E7"/>
    <w:rsid w:val="0085770B"/>
    <w:rsid w:val="00857740"/>
    <w:rsid w:val="00857866"/>
    <w:rsid w:val="0085789B"/>
    <w:rsid w:val="0085796A"/>
    <w:rsid w:val="0085798D"/>
    <w:rsid w:val="00857A21"/>
    <w:rsid w:val="00857B1B"/>
    <w:rsid w:val="00857C3D"/>
    <w:rsid w:val="00857C63"/>
    <w:rsid w:val="00857D7E"/>
    <w:rsid w:val="00857E17"/>
    <w:rsid w:val="0086015A"/>
    <w:rsid w:val="00860177"/>
    <w:rsid w:val="00860291"/>
    <w:rsid w:val="008602D5"/>
    <w:rsid w:val="008603DC"/>
    <w:rsid w:val="0086043C"/>
    <w:rsid w:val="00860456"/>
    <w:rsid w:val="008604D2"/>
    <w:rsid w:val="00860500"/>
    <w:rsid w:val="0086068A"/>
    <w:rsid w:val="008606C8"/>
    <w:rsid w:val="00860892"/>
    <w:rsid w:val="0086097B"/>
    <w:rsid w:val="008609A3"/>
    <w:rsid w:val="00860A00"/>
    <w:rsid w:val="00860B25"/>
    <w:rsid w:val="00860D78"/>
    <w:rsid w:val="00860F13"/>
    <w:rsid w:val="00860FAE"/>
    <w:rsid w:val="00860FEC"/>
    <w:rsid w:val="00861028"/>
    <w:rsid w:val="0086106F"/>
    <w:rsid w:val="008610EB"/>
    <w:rsid w:val="00861157"/>
    <w:rsid w:val="0086118B"/>
    <w:rsid w:val="008611DC"/>
    <w:rsid w:val="008612C3"/>
    <w:rsid w:val="00861335"/>
    <w:rsid w:val="00861369"/>
    <w:rsid w:val="00861391"/>
    <w:rsid w:val="0086147F"/>
    <w:rsid w:val="00861550"/>
    <w:rsid w:val="008615C9"/>
    <w:rsid w:val="008615E2"/>
    <w:rsid w:val="0086177B"/>
    <w:rsid w:val="00861863"/>
    <w:rsid w:val="00861A14"/>
    <w:rsid w:val="00861A58"/>
    <w:rsid w:val="00861A60"/>
    <w:rsid w:val="00861A75"/>
    <w:rsid w:val="00861B08"/>
    <w:rsid w:val="00861BB1"/>
    <w:rsid w:val="00861BD0"/>
    <w:rsid w:val="00861C14"/>
    <w:rsid w:val="00861CE9"/>
    <w:rsid w:val="00861D42"/>
    <w:rsid w:val="00861DDD"/>
    <w:rsid w:val="00862053"/>
    <w:rsid w:val="008623EC"/>
    <w:rsid w:val="00862476"/>
    <w:rsid w:val="0086247E"/>
    <w:rsid w:val="008624DD"/>
    <w:rsid w:val="00862536"/>
    <w:rsid w:val="008625A8"/>
    <w:rsid w:val="008625DA"/>
    <w:rsid w:val="0086261B"/>
    <w:rsid w:val="00862672"/>
    <w:rsid w:val="008626C7"/>
    <w:rsid w:val="00862705"/>
    <w:rsid w:val="00862728"/>
    <w:rsid w:val="0086273B"/>
    <w:rsid w:val="00862949"/>
    <w:rsid w:val="00862ABC"/>
    <w:rsid w:val="00862AD0"/>
    <w:rsid w:val="00862B62"/>
    <w:rsid w:val="00862BA4"/>
    <w:rsid w:val="00862C68"/>
    <w:rsid w:val="00862CB4"/>
    <w:rsid w:val="00862D03"/>
    <w:rsid w:val="00862DC8"/>
    <w:rsid w:val="00862E7F"/>
    <w:rsid w:val="00862E8E"/>
    <w:rsid w:val="00862F2A"/>
    <w:rsid w:val="00862F38"/>
    <w:rsid w:val="00862FD4"/>
    <w:rsid w:val="00862FE3"/>
    <w:rsid w:val="008630B6"/>
    <w:rsid w:val="00863158"/>
    <w:rsid w:val="00863183"/>
    <w:rsid w:val="008631CE"/>
    <w:rsid w:val="008631D5"/>
    <w:rsid w:val="0086320E"/>
    <w:rsid w:val="00863213"/>
    <w:rsid w:val="0086325F"/>
    <w:rsid w:val="00863367"/>
    <w:rsid w:val="00863368"/>
    <w:rsid w:val="008635FD"/>
    <w:rsid w:val="0086361D"/>
    <w:rsid w:val="008637C6"/>
    <w:rsid w:val="008638D6"/>
    <w:rsid w:val="00863925"/>
    <w:rsid w:val="00863965"/>
    <w:rsid w:val="00863A73"/>
    <w:rsid w:val="00863AF4"/>
    <w:rsid w:val="00863C5F"/>
    <w:rsid w:val="00863D1B"/>
    <w:rsid w:val="00863D4A"/>
    <w:rsid w:val="00863D73"/>
    <w:rsid w:val="00863D94"/>
    <w:rsid w:val="00863DFA"/>
    <w:rsid w:val="00863EB5"/>
    <w:rsid w:val="00863FA7"/>
    <w:rsid w:val="00863FE5"/>
    <w:rsid w:val="0086420C"/>
    <w:rsid w:val="0086443E"/>
    <w:rsid w:val="00864444"/>
    <w:rsid w:val="00864517"/>
    <w:rsid w:val="00864706"/>
    <w:rsid w:val="0086476A"/>
    <w:rsid w:val="00864775"/>
    <w:rsid w:val="00864911"/>
    <w:rsid w:val="00864A02"/>
    <w:rsid w:val="00864A15"/>
    <w:rsid w:val="00864A30"/>
    <w:rsid w:val="00864A86"/>
    <w:rsid w:val="00864AEC"/>
    <w:rsid w:val="00864C0F"/>
    <w:rsid w:val="00864CBB"/>
    <w:rsid w:val="00864DE4"/>
    <w:rsid w:val="00864E76"/>
    <w:rsid w:val="0086501F"/>
    <w:rsid w:val="008650AA"/>
    <w:rsid w:val="00865338"/>
    <w:rsid w:val="008653F7"/>
    <w:rsid w:val="0086544A"/>
    <w:rsid w:val="00865451"/>
    <w:rsid w:val="008656B2"/>
    <w:rsid w:val="008656E1"/>
    <w:rsid w:val="008657FD"/>
    <w:rsid w:val="008658D8"/>
    <w:rsid w:val="0086595D"/>
    <w:rsid w:val="00865A90"/>
    <w:rsid w:val="00865ADF"/>
    <w:rsid w:val="00865B84"/>
    <w:rsid w:val="00865BFD"/>
    <w:rsid w:val="00865C36"/>
    <w:rsid w:val="00865D9D"/>
    <w:rsid w:val="00865DCB"/>
    <w:rsid w:val="00865F88"/>
    <w:rsid w:val="0086605C"/>
    <w:rsid w:val="008660A4"/>
    <w:rsid w:val="008661C8"/>
    <w:rsid w:val="00866231"/>
    <w:rsid w:val="0086623A"/>
    <w:rsid w:val="00866259"/>
    <w:rsid w:val="008662CD"/>
    <w:rsid w:val="008663BA"/>
    <w:rsid w:val="00866494"/>
    <w:rsid w:val="008664D3"/>
    <w:rsid w:val="00866558"/>
    <w:rsid w:val="008665DA"/>
    <w:rsid w:val="008665E7"/>
    <w:rsid w:val="0086663D"/>
    <w:rsid w:val="008666D1"/>
    <w:rsid w:val="0086675F"/>
    <w:rsid w:val="008667E6"/>
    <w:rsid w:val="0086685C"/>
    <w:rsid w:val="0086688A"/>
    <w:rsid w:val="0086688D"/>
    <w:rsid w:val="008668B0"/>
    <w:rsid w:val="008668E1"/>
    <w:rsid w:val="00866932"/>
    <w:rsid w:val="00866972"/>
    <w:rsid w:val="00866A02"/>
    <w:rsid w:val="00866A28"/>
    <w:rsid w:val="00866A55"/>
    <w:rsid w:val="00866A68"/>
    <w:rsid w:val="00866B8C"/>
    <w:rsid w:val="00866B90"/>
    <w:rsid w:val="00866C28"/>
    <w:rsid w:val="00866C29"/>
    <w:rsid w:val="00866C33"/>
    <w:rsid w:val="00866D90"/>
    <w:rsid w:val="00866E0F"/>
    <w:rsid w:val="00866E29"/>
    <w:rsid w:val="00866E74"/>
    <w:rsid w:val="00866F1E"/>
    <w:rsid w:val="00866F89"/>
    <w:rsid w:val="00866FA7"/>
    <w:rsid w:val="00867055"/>
    <w:rsid w:val="008670D3"/>
    <w:rsid w:val="008670EA"/>
    <w:rsid w:val="00867224"/>
    <w:rsid w:val="00867513"/>
    <w:rsid w:val="008677D4"/>
    <w:rsid w:val="00867934"/>
    <w:rsid w:val="008679C7"/>
    <w:rsid w:val="00867BCB"/>
    <w:rsid w:val="00867C25"/>
    <w:rsid w:val="00867D42"/>
    <w:rsid w:val="00867E37"/>
    <w:rsid w:val="00867E6D"/>
    <w:rsid w:val="0087005B"/>
    <w:rsid w:val="0087010E"/>
    <w:rsid w:val="0087019B"/>
    <w:rsid w:val="0087038A"/>
    <w:rsid w:val="008704C0"/>
    <w:rsid w:val="00870518"/>
    <w:rsid w:val="00870561"/>
    <w:rsid w:val="00870677"/>
    <w:rsid w:val="0087067A"/>
    <w:rsid w:val="008706AC"/>
    <w:rsid w:val="0087070D"/>
    <w:rsid w:val="008707E8"/>
    <w:rsid w:val="00870811"/>
    <w:rsid w:val="00870A24"/>
    <w:rsid w:val="00870AF5"/>
    <w:rsid w:val="00870BAA"/>
    <w:rsid w:val="00870C08"/>
    <w:rsid w:val="00870C7D"/>
    <w:rsid w:val="00870CB1"/>
    <w:rsid w:val="00870D61"/>
    <w:rsid w:val="00870DFE"/>
    <w:rsid w:val="00870E63"/>
    <w:rsid w:val="00870E70"/>
    <w:rsid w:val="00870EEB"/>
    <w:rsid w:val="00870F2B"/>
    <w:rsid w:val="008711A5"/>
    <w:rsid w:val="008712DB"/>
    <w:rsid w:val="008712F8"/>
    <w:rsid w:val="00871348"/>
    <w:rsid w:val="0087134B"/>
    <w:rsid w:val="00871371"/>
    <w:rsid w:val="0087141B"/>
    <w:rsid w:val="00871461"/>
    <w:rsid w:val="008714A4"/>
    <w:rsid w:val="008714F5"/>
    <w:rsid w:val="0087150B"/>
    <w:rsid w:val="00871590"/>
    <w:rsid w:val="00871659"/>
    <w:rsid w:val="00871670"/>
    <w:rsid w:val="0087171C"/>
    <w:rsid w:val="008718E8"/>
    <w:rsid w:val="00871B65"/>
    <w:rsid w:val="00871B66"/>
    <w:rsid w:val="00871C1E"/>
    <w:rsid w:val="00871C7A"/>
    <w:rsid w:val="00871D3E"/>
    <w:rsid w:val="00871D6D"/>
    <w:rsid w:val="00871D88"/>
    <w:rsid w:val="00871EA2"/>
    <w:rsid w:val="00871F20"/>
    <w:rsid w:val="00871F51"/>
    <w:rsid w:val="00871F82"/>
    <w:rsid w:val="00872134"/>
    <w:rsid w:val="0087221D"/>
    <w:rsid w:val="00872250"/>
    <w:rsid w:val="0087225D"/>
    <w:rsid w:val="008722DD"/>
    <w:rsid w:val="00872344"/>
    <w:rsid w:val="00872361"/>
    <w:rsid w:val="008723D3"/>
    <w:rsid w:val="00872418"/>
    <w:rsid w:val="008724D6"/>
    <w:rsid w:val="00872613"/>
    <w:rsid w:val="008726F9"/>
    <w:rsid w:val="0087272F"/>
    <w:rsid w:val="00872843"/>
    <w:rsid w:val="008729F4"/>
    <w:rsid w:val="00872AC2"/>
    <w:rsid w:val="00872ACD"/>
    <w:rsid w:val="00872BC4"/>
    <w:rsid w:val="00872C2A"/>
    <w:rsid w:val="00872CA8"/>
    <w:rsid w:val="00872CEB"/>
    <w:rsid w:val="00872D20"/>
    <w:rsid w:val="00872D23"/>
    <w:rsid w:val="00872D74"/>
    <w:rsid w:val="00872E61"/>
    <w:rsid w:val="00872FD2"/>
    <w:rsid w:val="0087311E"/>
    <w:rsid w:val="0087323F"/>
    <w:rsid w:val="0087329C"/>
    <w:rsid w:val="008732BE"/>
    <w:rsid w:val="008732C5"/>
    <w:rsid w:val="00873344"/>
    <w:rsid w:val="00873376"/>
    <w:rsid w:val="0087342B"/>
    <w:rsid w:val="0087345B"/>
    <w:rsid w:val="00873471"/>
    <w:rsid w:val="008734BD"/>
    <w:rsid w:val="008734CD"/>
    <w:rsid w:val="008734DB"/>
    <w:rsid w:val="00873544"/>
    <w:rsid w:val="008736C6"/>
    <w:rsid w:val="00873741"/>
    <w:rsid w:val="008737C3"/>
    <w:rsid w:val="00873911"/>
    <w:rsid w:val="0087398E"/>
    <w:rsid w:val="00873999"/>
    <w:rsid w:val="00873A02"/>
    <w:rsid w:val="00873A03"/>
    <w:rsid w:val="00873A5C"/>
    <w:rsid w:val="00873B0E"/>
    <w:rsid w:val="00873B23"/>
    <w:rsid w:val="00873B73"/>
    <w:rsid w:val="00873BE1"/>
    <w:rsid w:val="00873C4A"/>
    <w:rsid w:val="00873C6F"/>
    <w:rsid w:val="00873C87"/>
    <w:rsid w:val="00873C98"/>
    <w:rsid w:val="00873D35"/>
    <w:rsid w:val="00873DA3"/>
    <w:rsid w:val="00873DE4"/>
    <w:rsid w:val="00873E29"/>
    <w:rsid w:val="00873E6E"/>
    <w:rsid w:val="008741C4"/>
    <w:rsid w:val="0087420C"/>
    <w:rsid w:val="00874466"/>
    <w:rsid w:val="00874546"/>
    <w:rsid w:val="0087457E"/>
    <w:rsid w:val="008746EB"/>
    <w:rsid w:val="00874860"/>
    <w:rsid w:val="0087497C"/>
    <w:rsid w:val="0087498E"/>
    <w:rsid w:val="00874A00"/>
    <w:rsid w:val="00874AC0"/>
    <w:rsid w:val="00874AFD"/>
    <w:rsid w:val="00874C9A"/>
    <w:rsid w:val="00874CE5"/>
    <w:rsid w:val="00874D62"/>
    <w:rsid w:val="00874D77"/>
    <w:rsid w:val="00874EDA"/>
    <w:rsid w:val="00874EFC"/>
    <w:rsid w:val="0087504B"/>
    <w:rsid w:val="0087507A"/>
    <w:rsid w:val="00875151"/>
    <w:rsid w:val="00875256"/>
    <w:rsid w:val="0087536E"/>
    <w:rsid w:val="008753B2"/>
    <w:rsid w:val="00875468"/>
    <w:rsid w:val="00875473"/>
    <w:rsid w:val="00875533"/>
    <w:rsid w:val="008755D9"/>
    <w:rsid w:val="008758B1"/>
    <w:rsid w:val="008758E1"/>
    <w:rsid w:val="00875912"/>
    <w:rsid w:val="008759F5"/>
    <w:rsid w:val="00875A51"/>
    <w:rsid w:val="00875A81"/>
    <w:rsid w:val="00875AC2"/>
    <w:rsid w:val="00875ACF"/>
    <w:rsid w:val="00875B23"/>
    <w:rsid w:val="00875B2F"/>
    <w:rsid w:val="00875B8F"/>
    <w:rsid w:val="00875BBF"/>
    <w:rsid w:val="00875E25"/>
    <w:rsid w:val="00875EA5"/>
    <w:rsid w:val="00875F45"/>
    <w:rsid w:val="008760FE"/>
    <w:rsid w:val="008761D1"/>
    <w:rsid w:val="008761DB"/>
    <w:rsid w:val="008761E1"/>
    <w:rsid w:val="0087620A"/>
    <w:rsid w:val="0087624E"/>
    <w:rsid w:val="00876274"/>
    <w:rsid w:val="00876294"/>
    <w:rsid w:val="008762B9"/>
    <w:rsid w:val="0087632B"/>
    <w:rsid w:val="00876341"/>
    <w:rsid w:val="0087648D"/>
    <w:rsid w:val="00876492"/>
    <w:rsid w:val="00876583"/>
    <w:rsid w:val="008767D7"/>
    <w:rsid w:val="00876830"/>
    <w:rsid w:val="00876869"/>
    <w:rsid w:val="008768A5"/>
    <w:rsid w:val="008768FD"/>
    <w:rsid w:val="00876910"/>
    <w:rsid w:val="00876970"/>
    <w:rsid w:val="008769FC"/>
    <w:rsid w:val="00876A5B"/>
    <w:rsid w:val="00876A5F"/>
    <w:rsid w:val="00876A91"/>
    <w:rsid w:val="00876AA1"/>
    <w:rsid w:val="00876B5D"/>
    <w:rsid w:val="00876B99"/>
    <w:rsid w:val="00876DFA"/>
    <w:rsid w:val="00877025"/>
    <w:rsid w:val="00877137"/>
    <w:rsid w:val="008771AC"/>
    <w:rsid w:val="00877248"/>
    <w:rsid w:val="00877427"/>
    <w:rsid w:val="00877495"/>
    <w:rsid w:val="008774A8"/>
    <w:rsid w:val="008775B1"/>
    <w:rsid w:val="00877671"/>
    <w:rsid w:val="00877677"/>
    <w:rsid w:val="008776DD"/>
    <w:rsid w:val="008776ED"/>
    <w:rsid w:val="00877708"/>
    <w:rsid w:val="008777C3"/>
    <w:rsid w:val="008777CE"/>
    <w:rsid w:val="00877823"/>
    <w:rsid w:val="00877A22"/>
    <w:rsid w:val="00877AE4"/>
    <w:rsid w:val="00877B05"/>
    <w:rsid w:val="00877B8F"/>
    <w:rsid w:val="00877C27"/>
    <w:rsid w:val="00877CCC"/>
    <w:rsid w:val="00877D04"/>
    <w:rsid w:val="00877D3E"/>
    <w:rsid w:val="00877E48"/>
    <w:rsid w:val="00877E77"/>
    <w:rsid w:val="00877EEC"/>
    <w:rsid w:val="00877FC5"/>
    <w:rsid w:val="00880005"/>
    <w:rsid w:val="00880155"/>
    <w:rsid w:val="0088019C"/>
    <w:rsid w:val="00880313"/>
    <w:rsid w:val="00880556"/>
    <w:rsid w:val="008805AC"/>
    <w:rsid w:val="008805BB"/>
    <w:rsid w:val="00880727"/>
    <w:rsid w:val="00880807"/>
    <w:rsid w:val="00880A00"/>
    <w:rsid w:val="00880A6D"/>
    <w:rsid w:val="00880BA2"/>
    <w:rsid w:val="00880C08"/>
    <w:rsid w:val="00880E7E"/>
    <w:rsid w:val="00880EB1"/>
    <w:rsid w:val="00880EEF"/>
    <w:rsid w:val="00881072"/>
    <w:rsid w:val="008810C2"/>
    <w:rsid w:val="0088114A"/>
    <w:rsid w:val="00881176"/>
    <w:rsid w:val="008811E0"/>
    <w:rsid w:val="00881207"/>
    <w:rsid w:val="0088135F"/>
    <w:rsid w:val="008814F7"/>
    <w:rsid w:val="008815C9"/>
    <w:rsid w:val="008815CD"/>
    <w:rsid w:val="00881779"/>
    <w:rsid w:val="0088179A"/>
    <w:rsid w:val="008817CD"/>
    <w:rsid w:val="00881853"/>
    <w:rsid w:val="0088187C"/>
    <w:rsid w:val="00881893"/>
    <w:rsid w:val="0088190B"/>
    <w:rsid w:val="0088190F"/>
    <w:rsid w:val="0088191D"/>
    <w:rsid w:val="00881930"/>
    <w:rsid w:val="00881958"/>
    <w:rsid w:val="0088195D"/>
    <w:rsid w:val="00881C9C"/>
    <w:rsid w:val="00881D47"/>
    <w:rsid w:val="00881D83"/>
    <w:rsid w:val="00881EFA"/>
    <w:rsid w:val="00881EFB"/>
    <w:rsid w:val="00881FB5"/>
    <w:rsid w:val="00881FD7"/>
    <w:rsid w:val="00882044"/>
    <w:rsid w:val="008820D2"/>
    <w:rsid w:val="0088232A"/>
    <w:rsid w:val="00882397"/>
    <w:rsid w:val="0088239B"/>
    <w:rsid w:val="008823B6"/>
    <w:rsid w:val="008823C4"/>
    <w:rsid w:val="00882473"/>
    <w:rsid w:val="0088250E"/>
    <w:rsid w:val="00882587"/>
    <w:rsid w:val="00882588"/>
    <w:rsid w:val="00882598"/>
    <w:rsid w:val="008825B6"/>
    <w:rsid w:val="00882705"/>
    <w:rsid w:val="0088274D"/>
    <w:rsid w:val="008827CD"/>
    <w:rsid w:val="008827DA"/>
    <w:rsid w:val="008828AF"/>
    <w:rsid w:val="0088298A"/>
    <w:rsid w:val="008829A6"/>
    <w:rsid w:val="008829DB"/>
    <w:rsid w:val="00882A01"/>
    <w:rsid w:val="00882A89"/>
    <w:rsid w:val="00882AFA"/>
    <w:rsid w:val="00882DBC"/>
    <w:rsid w:val="00882E37"/>
    <w:rsid w:val="00882E40"/>
    <w:rsid w:val="00882F05"/>
    <w:rsid w:val="00882F51"/>
    <w:rsid w:val="00882FE1"/>
    <w:rsid w:val="00883201"/>
    <w:rsid w:val="00883276"/>
    <w:rsid w:val="00883379"/>
    <w:rsid w:val="00883434"/>
    <w:rsid w:val="00883584"/>
    <w:rsid w:val="008835C5"/>
    <w:rsid w:val="0088362F"/>
    <w:rsid w:val="00883688"/>
    <w:rsid w:val="008836C3"/>
    <w:rsid w:val="0088379A"/>
    <w:rsid w:val="00883884"/>
    <w:rsid w:val="008838C0"/>
    <w:rsid w:val="0088395D"/>
    <w:rsid w:val="00883A60"/>
    <w:rsid w:val="00883BAB"/>
    <w:rsid w:val="00883BEC"/>
    <w:rsid w:val="00883C10"/>
    <w:rsid w:val="00883C25"/>
    <w:rsid w:val="00883DBC"/>
    <w:rsid w:val="00883F33"/>
    <w:rsid w:val="00883F49"/>
    <w:rsid w:val="00883FC4"/>
    <w:rsid w:val="00884366"/>
    <w:rsid w:val="0088439D"/>
    <w:rsid w:val="008843AA"/>
    <w:rsid w:val="008843E3"/>
    <w:rsid w:val="0088441C"/>
    <w:rsid w:val="00884486"/>
    <w:rsid w:val="0088457B"/>
    <w:rsid w:val="00884582"/>
    <w:rsid w:val="008845F5"/>
    <w:rsid w:val="00884675"/>
    <w:rsid w:val="00884777"/>
    <w:rsid w:val="008847F7"/>
    <w:rsid w:val="00884838"/>
    <w:rsid w:val="008848E2"/>
    <w:rsid w:val="00884934"/>
    <w:rsid w:val="00884967"/>
    <w:rsid w:val="0088496D"/>
    <w:rsid w:val="0088499A"/>
    <w:rsid w:val="008849DA"/>
    <w:rsid w:val="00884A57"/>
    <w:rsid w:val="00884BC2"/>
    <w:rsid w:val="00884CA0"/>
    <w:rsid w:val="00884D67"/>
    <w:rsid w:val="00884E1A"/>
    <w:rsid w:val="00884E1F"/>
    <w:rsid w:val="00884EB5"/>
    <w:rsid w:val="00884FD2"/>
    <w:rsid w:val="00885001"/>
    <w:rsid w:val="00885094"/>
    <w:rsid w:val="008850A5"/>
    <w:rsid w:val="00885224"/>
    <w:rsid w:val="00885469"/>
    <w:rsid w:val="008855E0"/>
    <w:rsid w:val="00885636"/>
    <w:rsid w:val="008856C2"/>
    <w:rsid w:val="008857B3"/>
    <w:rsid w:val="00885834"/>
    <w:rsid w:val="008858E0"/>
    <w:rsid w:val="00885972"/>
    <w:rsid w:val="00885994"/>
    <w:rsid w:val="00885A0A"/>
    <w:rsid w:val="00885A61"/>
    <w:rsid w:val="00885B63"/>
    <w:rsid w:val="00885BD7"/>
    <w:rsid w:val="00885D88"/>
    <w:rsid w:val="00885DF5"/>
    <w:rsid w:val="00885ED8"/>
    <w:rsid w:val="00886038"/>
    <w:rsid w:val="008860CB"/>
    <w:rsid w:val="0088615F"/>
    <w:rsid w:val="008862B7"/>
    <w:rsid w:val="00886370"/>
    <w:rsid w:val="0088640C"/>
    <w:rsid w:val="00886446"/>
    <w:rsid w:val="00886467"/>
    <w:rsid w:val="008864C7"/>
    <w:rsid w:val="008864FB"/>
    <w:rsid w:val="00886597"/>
    <w:rsid w:val="0088663F"/>
    <w:rsid w:val="008866CA"/>
    <w:rsid w:val="008867BB"/>
    <w:rsid w:val="008867FE"/>
    <w:rsid w:val="00886897"/>
    <w:rsid w:val="008868E7"/>
    <w:rsid w:val="0088690A"/>
    <w:rsid w:val="0088692A"/>
    <w:rsid w:val="00886A84"/>
    <w:rsid w:val="00886B86"/>
    <w:rsid w:val="00886BDF"/>
    <w:rsid w:val="00886C4E"/>
    <w:rsid w:val="00886CAB"/>
    <w:rsid w:val="00886E10"/>
    <w:rsid w:val="00886F68"/>
    <w:rsid w:val="00886F80"/>
    <w:rsid w:val="0088701C"/>
    <w:rsid w:val="008870A2"/>
    <w:rsid w:val="00887173"/>
    <w:rsid w:val="0088723B"/>
    <w:rsid w:val="00887331"/>
    <w:rsid w:val="00887377"/>
    <w:rsid w:val="00887406"/>
    <w:rsid w:val="00887485"/>
    <w:rsid w:val="008874E7"/>
    <w:rsid w:val="008874EF"/>
    <w:rsid w:val="00887500"/>
    <w:rsid w:val="008875F6"/>
    <w:rsid w:val="00887661"/>
    <w:rsid w:val="00887666"/>
    <w:rsid w:val="00887789"/>
    <w:rsid w:val="00887795"/>
    <w:rsid w:val="008877A7"/>
    <w:rsid w:val="008877AC"/>
    <w:rsid w:val="008878B6"/>
    <w:rsid w:val="00887962"/>
    <w:rsid w:val="00887ACD"/>
    <w:rsid w:val="00887C1A"/>
    <w:rsid w:val="00887ED1"/>
    <w:rsid w:val="00887F0B"/>
    <w:rsid w:val="00887F39"/>
    <w:rsid w:val="00887F40"/>
    <w:rsid w:val="00890291"/>
    <w:rsid w:val="0089039B"/>
    <w:rsid w:val="008904FB"/>
    <w:rsid w:val="008905B3"/>
    <w:rsid w:val="008906BE"/>
    <w:rsid w:val="00890767"/>
    <w:rsid w:val="00890859"/>
    <w:rsid w:val="0089085B"/>
    <w:rsid w:val="008908BA"/>
    <w:rsid w:val="00890973"/>
    <w:rsid w:val="008909B3"/>
    <w:rsid w:val="008909F5"/>
    <w:rsid w:val="00890A52"/>
    <w:rsid w:val="00890A84"/>
    <w:rsid w:val="00890B20"/>
    <w:rsid w:val="00890B4F"/>
    <w:rsid w:val="00890B73"/>
    <w:rsid w:val="00890CCD"/>
    <w:rsid w:val="00890CDD"/>
    <w:rsid w:val="00890D2E"/>
    <w:rsid w:val="00890D47"/>
    <w:rsid w:val="00890D7A"/>
    <w:rsid w:val="00890E43"/>
    <w:rsid w:val="00890EA7"/>
    <w:rsid w:val="008911C7"/>
    <w:rsid w:val="00891231"/>
    <w:rsid w:val="008912F8"/>
    <w:rsid w:val="00891370"/>
    <w:rsid w:val="00891387"/>
    <w:rsid w:val="008913C7"/>
    <w:rsid w:val="008913E5"/>
    <w:rsid w:val="008913F5"/>
    <w:rsid w:val="00891623"/>
    <w:rsid w:val="0089177D"/>
    <w:rsid w:val="00891928"/>
    <w:rsid w:val="008919B3"/>
    <w:rsid w:val="008919D7"/>
    <w:rsid w:val="00891AE6"/>
    <w:rsid w:val="00891BB2"/>
    <w:rsid w:val="00891C1A"/>
    <w:rsid w:val="00891CA9"/>
    <w:rsid w:val="00891D36"/>
    <w:rsid w:val="00891F97"/>
    <w:rsid w:val="00892142"/>
    <w:rsid w:val="00892163"/>
    <w:rsid w:val="00892180"/>
    <w:rsid w:val="008922A3"/>
    <w:rsid w:val="008922BA"/>
    <w:rsid w:val="008922D2"/>
    <w:rsid w:val="0089255A"/>
    <w:rsid w:val="0089256F"/>
    <w:rsid w:val="00892695"/>
    <w:rsid w:val="00892753"/>
    <w:rsid w:val="0089281F"/>
    <w:rsid w:val="00892838"/>
    <w:rsid w:val="0089289B"/>
    <w:rsid w:val="00892988"/>
    <w:rsid w:val="00892A79"/>
    <w:rsid w:val="00892B28"/>
    <w:rsid w:val="00892B82"/>
    <w:rsid w:val="00892CB2"/>
    <w:rsid w:val="00892D18"/>
    <w:rsid w:val="00892E65"/>
    <w:rsid w:val="00892EC6"/>
    <w:rsid w:val="00892F0E"/>
    <w:rsid w:val="0089307E"/>
    <w:rsid w:val="008930E7"/>
    <w:rsid w:val="008931FB"/>
    <w:rsid w:val="00893439"/>
    <w:rsid w:val="008934A0"/>
    <w:rsid w:val="00893616"/>
    <w:rsid w:val="00893656"/>
    <w:rsid w:val="0089368D"/>
    <w:rsid w:val="008936B6"/>
    <w:rsid w:val="0089370C"/>
    <w:rsid w:val="00893725"/>
    <w:rsid w:val="00893749"/>
    <w:rsid w:val="00893885"/>
    <w:rsid w:val="008938C1"/>
    <w:rsid w:val="00893995"/>
    <w:rsid w:val="00893A2F"/>
    <w:rsid w:val="00893A4F"/>
    <w:rsid w:val="00893AD9"/>
    <w:rsid w:val="00893BEE"/>
    <w:rsid w:val="00893CD2"/>
    <w:rsid w:val="00893DA0"/>
    <w:rsid w:val="00893EA6"/>
    <w:rsid w:val="0089401E"/>
    <w:rsid w:val="00894161"/>
    <w:rsid w:val="008942ED"/>
    <w:rsid w:val="008943CB"/>
    <w:rsid w:val="00894465"/>
    <w:rsid w:val="008947BB"/>
    <w:rsid w:val="0089492F"/>
    <w:rsid w:val="00894939"/>
    <w:rsid w:val="00894CF8"/>
    <w:rsid w:val="00894DBF"/>
    <w:rsid w:val="00894E23"/>
    <w:rsid w:val="00894E46"/>
    <w:rsid w:val="00894F4B"/>
    <w:rsid w:val="00894F56"/>
    <w:rsid w:val="00894F9A"/>
    <w:rsid w:val="00895022"/>
    <w:rsid w:val="008950D8"/>
    <w:rsid w:val="0089514E"/>
    <w:rsid w:val="0089527B"/>
    <w:rsid w:val="00895329"/>
    <w:rsid w:val="00895385"/>
    <w:rsid w:val="008953AF"/>
    <w:rsid w:val="00895418"/>
    <w:rsid w:val="0089541A"/>
    <w:rsid w:val="0089547A"/>
    <w:rsid w:val="00895527"/>
    <w:rsid w:val="00895599"/>
    <w:rsid w:val="008955E6"/>
    <w:rsid w:val="0089577C"/>
    <w:rsid w:val="008957EC"/>
    <w:rsid w:val="00895818"/>
    <w:rsid w:val="0089594C"/>
    <w:rsid w:val="00895A1B"/>
    <w:rsid w:val="00895A8C"/>
    <w:rsid w:val="00895B6F"/>
    <w:rsid w:val="00895B87"/>
    <w:rsid w:val="00895BA1"/>
    <w:rsid w:val="00895CED"/>
    <w:rsid w:val="00895D62"/>
    <w:rsid w:val="00895DC3"/>
    <w:rsid w:val="00895EA5"/>
    <w:rsid w:val="00895F1B"/>
    <w:rsid w:val="00895F27"/>
    <w:rsid w:val="00895FFA"/>
    <w:rsid w:val="00896019"/>
    <w:rsid w:val="00896058"/>
    <w:rsid w:val="00896189"/>
    <w:rsid w:val="00896200"/>
    <w:rsid w:val="008962DD"/>
    <w:rsid w:val="00896346"/>
    <w:rsid w:val="008963EB"/>
    <w:rsid w:val="008963F1"/>
    <w:rsid w:val="00896453"/>
    <w:rsid w:val="008964B3"/>
    <w:rsid w:val="0089664E"/>
    <w:rsid w:val="00896805"/>
    <w:rsid w:val="008969AA"/>
    <w:rsid w:val="00896B08"/>
    <w:rsid w:val="00896B65"/>
    <w:rsid w:val="00896BD0"/>
    <w:rsid w:val="00896C07"/>
    <w:rsid w:val="00896D2A"/>
    <w:rsid w:val="00896D61"/>
    <w:rsid w:val="00896D8E"/>
    <w:rsid w:val="00896D99"/>
    <w:rsid w:val="00896DCA"/>
    <w:rsid w:val="00896FA2"/>
    <w:rsid w:val="00896FE0"/>
    <w:rsid w:val="00897068"/>
    <w:rsid w:val="00897240"/>
    <w:rsid w:val="008973AA"/>
    <w:rsid w:val="00897420"/>
    <w:rsid w:val="00897457"/>
    <w:rsid w:val="008974F2"/>
    <w:rsid w:val="00897679"/>
    <w:rsid w:val="0089771C"/>
    <w:rsid w:val="00897761"/>
    <w:rsid w:val="00897804"/>
    <w:rsid w:val="0089793A"/>
    <w:rsid w:val="00897A00"/>
    <w:rsid w:val="00897A07"/>
    <w:rsid w:val="00897BA2"/>
    <w:rsid w:val="00897C8E"/>
    <w:rsid w:val="00897CFC"/>
    <w:rsid w:val="00897DC5"/>
    <w:rsid w:val="00897DC8"/>
    <w:rsid w:val="00897E7F"/>
    <w:rsid w:val="00897EF2"/>
    <w:rsid w:val="00897F6D"/>
    <w:rsid w:val="00897FB3"/>
    <w:rsid w:val="008A0208"/>
    <w:rsid w:val="008A0316"/>
    <w:rsid w:val="008A046D"/>
    <w:rsid w:val="008A0473"/>
    <w:rsid w:val="008A060E"/>
    <w:rsid w:val="008A0659"/>
    <w:rsid w:val="008A0682"/>
    <w:rsid w:val="008A071C"/>
    <w:rsid w:val="008A075B"/>
    <w:rsid w:val="008A08CE"/>
    <w:rsid w:val="008A08D0"/>
    <w:rsid w:val="008A0927"/>
    <w:rsid w:val="008A0A80"/>
    <w:rsid w:val="008A0B6E"/>
    <w:rsid w:val="008A0E0B"/>
    <w:rsid w:val="008A0F2D"/>
    <w:rsid w:val="008A1078"/>
    <w:rsid w:val="008A13D2"/>
    <w:rsid w:val="008A1423"/>
    <w:rsid w:val="008A143A"/>
    <w:rsid w:val="008A14E9"/>
    <w:rsid w:val="008A1918"/>
    <w:rsid w:val="008A19B9"/>
    <w:rsid w:val="008A1A15"/>
    <w:rsid w:val="008A1A17"/>
    <w:rsid w:val="008A1BC1"/>
    <w:rsid w:val="008A1BC9"/>
    <w:rsid w:val="008A1CF5"/>
    <w:rsid w:val="008A1DA9"/>
    <w:rsid w:val="008A1DC9"/>
    <w:rsid w:val="008A1F34"/>
    <w:rsid w:val="008A1F92"/>
    <w:rsid w:val="008A2045"/>
    <w:rsid w:val="008A20C9"/>
    <w:rsid w:val="008A2169"/>
    <w:rsid w:val="008A2184"/>
    <w:rsid w:val="008A2196"/>
    <w:rsid w:val="008A21FC"/>
    <w:rsid w:val="008A2239"/>
    <w:rsid w:val="008A232D"/>
    <w:rsid w:val="008A235E"/>
    <w:rsid w:val="008A2485"/>
    <w:rsid w:val="008A24C4"/>
    <w:rsid w:val="008A24D6"/>
    <w:rsid w:val="008A24DD"/>
    <w:rsid w:val="008A2592"/>
    <w:rsid w:val="008A2759"/>
    <w:rsid w:val="008A2785"/>
    <w:rsid w:val="008A27D5"/>
    <w:rsid w:val="008A2809"/>
    <w:rsid w:val="008A28FA"/>
    <w:rsid w:val="008A294C"/>
    <w:rsid w:val="008A294E"/>
    <w:rsid w:val="008A2A48"/>
    <w:rsid w:val="008A2A4E"/>
    <w:rsid w:val="008A2AD9"/>
    <w:rsid w:val="008A2B25"/>
    <w:rsid w:val="008A2B78"/>
    <w:rsid w:val="008A2B99"/>
    <w:rsid w:val="008A2CD9"/>
    <w:rsid w:val="008A2CF2"/>
    <w:rsid w:val="008A2DAA"/>
    <w:rsid w:val="008A2DD5"/>
    <w:rsid w:val="008A2DDC"/>
    <w:rsid w:val="008A2F5C"/>
    <w:rsid w:val="008A306E"/>
    <w:rsid w:val="008A30A6"/>
    <w:rsid w:val="008A3124"/>
    <w:rsid w:val="008A3161"/>
    <w:rsid w:val="008A31BB"/>
    <w:rsid w:val="008A31C7"/>
    <w:rsid w:val="008A321F"/>
    <w:rsid w:val="008A3233"/>
    <w:rsid w:val="008A33CA"/>
    <w:rsid w:val="008A345F"/>
    <w:rsid w:val="008A3533"/>
    <w:rsid w:val="008A3661"/>
    <w:rsid w:val="008A370A"/>
    <w:rsid w:val="008A3916"/>
    <w:rsid w:val="008A3951"/>
    <w:rsid w:val="008A3A0F"/>
    <w:rsid w:val="008A3DAA"/>
    <w:rsid w:val="008A3E04"/>
    <w:rsid w:val="008A3FDE"/>
    <w:rsid w:val="008A40DA"/>
    <w:rsid w:val="008A40F6"/>
    <w:rsid w:val="008A410B"/>
    <w:rsid w:val="008A4211"/>
    <w:rsid w:val="008A4358"/>
    <w:rsid w:val="008A43F6"/>
    <w:rsid w:val="008A4409"/>
    <w:rsid w:val="008A44A5"/>
    <w:rsid w:val="008A456E"/>
    <w:rsid w:val="008A4622"/>
    <w:rsid w:val="008A4659"/>
    <w:rsid w:val="008A467B"/>
    <w:rsid w:val="008A46C5"/>
    <w:rsid w:val="008A4707"/>
    <w:rsid w:val="008A478F"/>
    <w:rsid w:val="008A48BB"/>
    <w:rsid w:val="008A493D"/>
    <w:rsid w:val="008A4977"/>
    <w:rsid w:val="008A49E4"/>
    <w:rsid w:val="008A4A70"/>
    <w:rsid w:val="008A4AB4"/>
    <w:rsid w:val="008A4B95"/>
    <w:rsid w:val="008A4BC0"/>
    <w:rsid w:val="008A4DB0"/>
    <w:rsid w:val="008A4EFB"/>
    <w:rsid w:val="008A5009"/>
    <w:rsid w:val="008A502A"/>
    <w:rsid w:val="008A5180"/>
    <w:rsid w:val="008A51DA"/>
    <w:rsid w:val="008A52CB"/>
    <w:rsid w:val="008A52FE"/>
    <w:rsid w:val="008A53C4"/>
    <w:rsid w:val="008A5438"/>
    <w:rsid w:val="008A5445"/>
    <w:rsid w:val="008A5447"/>
    <w:rsid w:val="008A5463"/>
    <w:rsid w:val="008A55BC"/>
    <w:rsid w:val="008A560D"/>
    <w:rsid w:val="008A563A"/>
    <w:rsid w:val="008A5770"/>
    <w:rsid w:val="008A5811"/>
    <w:rsid w:val="008A5858"/>
    <w:rsid w:val="008A5980"/>
    <w:rsid w:val="008A5D4F"/>
    <w:rsid w:val="008A5FE5"/>
    <w:rsid w:val="008A601A"/>
    <w:rsid w:val="008A6349"/>
    <w:rsid w:val="008A6354"/>
    <w:rsid w:val="008A645E"/>
    <w:rsid w:val="008A6547"/>
    <w:rsid w:val="008A665F"/>
    <w:rsid w:val="008A6722"/>
    <w:rsid w:val="008A696C"/>
    <w:rsid w:val="008A6996"/>
    <w:rsid w:val="008A69C8"/>
    <w:rsid w:val="008A69F0"/>
    <w:rsid w:val="008A6A58"/>
    <w:rsid w:val="008A6AA7"/>
    <w:rsid w:val="008A6AE9"/>
    <w:rsid w:val="008A6BE6"/>
    <w:rsid w:val="008A6CED"/>
    <w:rsid w:val="008A6CF3"/>
    <w:rsid w:val="008A6D18"/>
    <w:rsid w:val="008A6D20"/>
    <w:rsid w:val="008A6E50"/>
    <w:rsid w:val="008A6FB6"/>
    <w:rsid w:val="008A6FBB"/>
    <w:rsid w:val="008A703E"/>
    <w:rsid w:val="008A7115"/>
    <w:rsid w:val="008A72BB"/>
    <w:rsid w:val="008A72E3"/>
    <w:rsid w:val="008A74BC"/>
    <w:rsid w:val="008A7556"/>
    <w:rsid w:val="008A777D"/>
    <w:rsid w:val="008A78CC"/>
    <w:rsid w:val="008A7982"/>
    <w:rsid w:val="008A7A6F"/>
    <w:rsid w:val="008A7A78"/>
    <w:rsid w:val="008A7AC1"/>
    <w:rsid w:val="008A7B0A"/>
    <w:rsid w:val="008A7B0D"/>
    <w:rsid w:val="008A7B44"/>
    <w:rsid w:val="008A7B70"/>
    <w:rsid w:val="008A7BAD"/>
    <w:rsid w:val="008A7C26"/>
    <w:rsid w:val="008A7C76"/>
    <w:rsid w:val="008A7C95"/>
    <w:rsid w:val="008A7C9A"/>
    <w:rsid w:val="008A7D33"/>
    <w:rsid w:val="008A7D39"/>
    <w:rsid w:val="008A7E79"/>
    <w:rsid w:val="008A7EBC"/>
    <w:rsid w:val="008A7EF4"/>
    <w:rsid w:val="008A7F5F"/>
    <w:rsid w:val="008A7F93"/>
    <w:rsid w:val="008A7FC1"/>
    <w:rsid w:val="008A7FE0"/>
    <w:rsid w:val="008B023D"/>
    <w:rsid w:val="008B025E"/>
    <w:rsid w:val="008B029E"/>
    <w:rsid w:val="008B02BE"/>
    <w:rsid w:val="008B02FC"/>
    <w:rsid w:val="008B035A"/>
    <w:rsid w:val="008B038D"/>
    <w:rsid w:val="008B0444"/>
    <w:rsid w:val="008B04BA"/>
    <w:rsid w:val="008B04FD"/>
    <w:rsid w:val="008B0557"/>
    <w:rsid w:val="008B05D5"/>
    <w:rsid w:val="008B0683"/>
    <w:rsid w:val="008B06AC"/>
    <w:rsid w:val="008B06CA"/>
    <w:rsid w:val="008B0929"/>
    <w:rsid w:val="008B0A45"/>
    <w:rsid w:val="008B0A53"/>
    <w:rsid w:val="008B0B08"/>
    <w:rsid w:val="008B0B30"/>
    <w:rsid w:val="008B0C20"/>
    <w:rsid w:val="008B0F0A"/>
    <w:rsid w:val="008B0F77"/>
    <w:rsid w:val="008B11A7"/>
    <w:rsid w:val="008B128D"/>
    <w:rsid w:val="008B12CF"/>
    <w:rsid w:val="008B132A"/>
    <w:rsid w:val="008B1336"/>
    <w:rsid w:val="008B13FA"/>
    <w:rsid w:val="008B14BC"/>
    <w:rsid w:val="008B14F3"/>
    <w:rsid w:val="008B14F8"/>
    <w:rsid w:val="008B15D6"/>
    <w:rsid w:val="008B1767"/>
    <w:rsid w:val="008B18EF"/>
    <w:rsid w:val="008B198A"/>
    <w:rsid w:val="008B198E"/>
    <w:rsid w:val="008B1A79"/>
    <w:rsid w:val="008B1B9E"/>
    <w:rsid w:val="008B1C1F"/>
    <w:rsid w:val="008B1C98"/>
    <w:rsid w:val="008B1DD8"/>
    <w:rsid w:val="008B1E53"/>
    <w:rsid w:val="008B1F98"/>
    <w:rsid w:val="008B2006"/>
    <w:rsid w:val="008B204A"/>
    <w:rsid w:val="008B20E8"/>
    <w:rsid w:val="008B24D9"/>
    <w:rsid w:val="008B2602"/>
    <w:rsid w:val="008B262C"/>
    <w:rsid w:val="008B266C"/>
    <w:rsid w:val="008B26D6"/>
    <w:rsid w:val="008B26FD"/>
    <w:rsid w:val="008B2736"/>
    <w:rsid w:val="008B2740"/>
    <w:rsid w:val="008B27BC"/>
    <w:rsid w:val="008B280B"/>
    <w:rsid w:val="008B2839"/>
    <w:rsid w:val="008B2888"/>
    <w:rsid w:val="008B28CF"/>
    <w:rsid w:val="008B2A0F"/>
    <w:rsid w:val="008B2B39"/>
    <w:rsid w:val="008B2BAC"/>
    <w:rsid w:val="008B2BED"/>
    <w:rsid w:val="008B2C0C"/>
    <w:rsid w:val="008B2C32"/>
    <w:rsid w:val="008B2C37"/>
    <w:rsid w:val="008B2C9C"/>
    <w:rsid w:val="008B2CAA"/>
    <w:rsid w:val="008B2D3C"/>
    <w:rsid w:val="008B2DAA"/>
    <w:rsid w:val="008B2DAE"/>
    <w:rsid w:val="008B2E54"/>
    <w:rsid w:val="008B2E86"/>
    <w:rsid w:val="008B2EE1"/>
    <w:rsid w:val="008B31A4"/>
    <w:rsid w:val="008B31D9"/>
    <w:rsid w:val="008B31F2"/>
    <w:rsid w:val="008B331E"/>
    <w:rsid w:val="008B3507"/>
    <w:rsid w:val="008B3512"/>
    <w:rsid w:val="008B35A1"/>
    <w:rsid w:val="008B35FC"/>
    <w:rsid w:val="008B36E2"/>
    <w:rsid w:val="008B3709"/>
    <w:rsid w:val="008B3716"/>
    <w:rsid w:val="008B38EA"/>
    <w:rsid w:val="008B3950"/>
    <w:rsid w:val="008B3956"/>
    <w:rsid w:val="008B39F7"/>
    <w:rsid w:val="008B3A31"/>
    <w:rsid w:val="008B3B74"/>
    <w:rsid w:val="008B3BBC"/>
    <w:rsid w:val="008B3C36"/>
    <w:rsid w:val="008B3C5B"/>
    <w:rsid w:val="008B3CCD"/>
    <w:rsid w:val="008B3D1C"/>
    <w:rsid w:val="008B3D29"/>
    <w:rsid w:val="008B3E6F"/>
    <w:rsid w:val="008B3F16"/>
    <w:rsid w:val="008B3F1A"/>
    <w:rsid w:val="008B4043"/>
    <w:rsid w:val="008B409B"/>
    <w:rsid w:val="008B44DD"/>
    <w:rsid w:val="008B450B"/>
    <w:rsid w:val="008B4615"/>
    <w:rsid w:val="008B4619"/>
    <w:rsid w:val="008B4630"/>
    <w:rsid w:val="008B4705"/>
    <w:rsid w:val="008B4712"/>
    <w:rsid w:val="008B476E"/>
    <w:rsid w:val="008B4901"/>
    <w:rsid w:val="008B4961"/>
    <w:rsid w:val="008B4964"/>
    <w:rsid w:val="008B4A2F"/>
    <w:rsid w:val="008B4A5F"/>
    <w:rsid w:val="008B4AD2"/>
    <w:rsid w:val="008B4AFD"/>
    <w:rsid w:val="008B4B0E"/>
    <w:rsid w:val="008B4BA7"/>
    <w:rsid w:val="008B4C00"/>
    <w:rsid w:val="008B4C2E"/>
    <w:rsid w:val="008B4C61"/>
    <w:rsid w:val="008B4CE3"/>
    <w:rsid w:val="008B4D86"/>
    <w:rsid w:val="008B4DED"/>
    <w:rsid w:val="008B4E0E"/>
    <w:rsid w:val="008B4E3F"/>
    <w:rsid w:val="008B4E49"/>
    <w:rsid w:val="008B4F24"/>
    <w:rsid w:val="008B5015"/>
    <w:rsid w:val="008B5060"/>
    <w:rsid w:val="008B5180"/>
    <w:rsid w:val="008B52B6"/>
    <w:rsid w:val="008B536E"/>
    <w:rsid w:val="008B53DA"/>
    <w:rsid w:val="008B54C6"/>
    <w:rsid w:val="008B57EC"/>
    <w:rsid w:val="008B5952"/>
    <w:rsid w:val="008B5A16"/>
    <w:rsid w:val="008B5A55"/>
    <w:rsid w:val="008B5A7D"/>
    <w:rsid w:val="008B5B2C"/>
    <w:rsid w:val="008B5BE6"/>
    <w:rsid w:val="008B5BF2"/>
    <w:rsid w:val="008B5CFF"/>
    <w:rsid w:val="008B5D8D"/>
    <w:rsid w:val="008B6049"/>
    <w:rsid w:val="008B60DA"/>
    <w:rsid w:val="008B6219"/>
    <w:rsid w:val="008B6341"/>
    <w:rsid w:val="008B63A2"/>
    <w:rsid w:val="008B63F0"/>
    <w:rsid w:val="008B64F0"/>
    <w:rsid w:val="008B655C"/>
    <w:rsid w:val="008B65CE"/>
    <w:rsid w:val="008B65FB"/>
    <w:rsid w:val="008B6629"/>
    <w:rsid w:val="008B6656"/>
    <w:rsid w:val="008B6860"/>
    <w:rsid w:val="008B6878"/>
    <w:rsid w:val="008B6904"/>
    <w:rsid w:val="008B6916"/>
    <w:rsid w:val="008B69A9"/>
    <w:rsid w:val="008B6C2C"/>
    <w:rsid w:val="008B6C75"/>
    <w:rsid w:val="008B6CFF"/>
    <w:rsid w:val="008B6D00"/>
    <w:rsid w:val="008B6D02"/>
    <w:rsid w:val="008B6DA1"/>
    <w:rsid w:val="008B6DA8"/>
    <w:rsid w:val="008B6E0A"/>
    <w:rsid w:val="008B6E41"/>
    <w:rsid w:val="008B6EB6"/>
    <w:rsid w:val="008B6EC2"/>
    <w:rsid w:val="008B6F77"/>
    <w:rsid w:val="008B6FB6"/>
    <w:rsid w:val="008B701C"/>
    <w:rsid w:val="008B7021"/>
    <w:rsid w:val="008B7213"/>
    <w:rsid w:val="008B726C"/>
    <w:rsid w:val="008B75E2"/>
    <w:rsid w:val="008B7604"/>
    <w:rsid w:val="008B7656"/>
    <w:rsid w:val="008B76ED"/>
    <w:rsid w:val="008B7A52"/>
    <w:rsid w:val="008B7A57"/>
    <w:rsid w:val="008B7AB1"/>
    <w:rsid w:val="008B7B04"/>
    <w:rsid w:val="008B7B95"/>
    <w:rsid w:val="008B7BE9"/>
    <w:rsid w:val="008B7C39"/>
    <w:rsid w:val="008B7C47"/>
    <w:rsid w:val="008B7C75"/>
    <w:rsid w:val="008B7E39"/>
    <w:rsid w:val="008B7FB7"/>
    <w:rsid w:val="008B7FEE"/>
    <w:rsid w:val="008C0074"/>
    <w:rsid w:val="008C014F"/>
    <w:rsid w:val="008C0190"/>
    <w:rsid w:val="008C019C"/>
    <w:rsid w:val="008C020C"/>
    <w:rsid w:val="008C03CC"/>
    <w:rsid w:val="008C067E"/>
    <w:rsid w:val="008C080B"/>
    <w:rsid w:val="008C08CA"/>
    <w:rsid w:val="008C0977"/>
    <w:rsid w:val="008C0A1C"/>
    <w:rsid w:val="008C0A20"/>
    <w:rsid w:val="008C0A6C"/>
    <w:rsid w:val="008C0B55"/>
    <w:rsid w:val="008C0B74"/>
    <w:rsid w:val="008C0EAA"/>
    <w:rsid w:val="008C0F0C"/>
    <w:rsid w:val="008C0F0D"/>
    <w:rsid w:val="008C0F37"/>
    <w:rsid w:val="008C0FD5"/>
    <w:rsid w:val="008C1007"/>
    <w:rsid w:val="008C103C"/>
    <w:rsid w:val="008C11BD"/>
    <w:rsid w:val="008C12DA"/>
    <w:rsid w:val="008C1328"/>
    <w:rsid w:val="008C1372"/>
    <w:rsid w:val="008C1405"/>
    <w:rsid w:val="008C150B"/>
    <w:rsid w:val="008C1563"/>
    <w:rsid w:val="008C15F3"/>
    <w:rsid w:val="008C1673"/>
    <w:rsid w:val="008C16DC"/>
    <w:rsid w:val="008C16F1"/>
    <w:rsid w:val="008C1707"/>
    <w:rsid w:val="008C187C"/>
    <w:rsid w:val="008C1911"/>
    <w:rsid w:val="008C195C"/>
    <w:rsid w:val="008C19C7"/>
    <w:rsid w:val="008C19CD"/>
    <w:rsid w:val="008C1AA1"/>
    <w:rsid w:val="008C1BB5"/>
    <w:rsid w:val="008C1C10"/>
    <w:rsid w:val="008C1D31"/>
    <w:rsid w:val="008C1D7C"/>
    <w:rsid w:val="008C1D8D"/>
    <w:rsid w:val="008C1E4D"/>
    <w:rsid w:val="008C1ED7"/>
    <w:rsid w:val="008C1EE2"/>
    <w:rsid w:val="008C1FE0"/>
    <w:rsid w:val="008C2019"/>
    <w:rsid w:val="008C2205"/>
    <w:rsid w:val="008C222A"/>
    <w:rsid w:val="008C22D6"/>
    <w:rsid w:val="008C22F0"/>
    <w:rsid w:val="008C24C8"/>
    <w:rsid w:val="008C24E2"/>
    <w:rsid w:val="008C24EE"/>
    <w:rsid w:val="008C25EB"/>
    <w:rsid w:val="008C2666"/>
    <w:rsid w:val="008C26F9"/>
    <w:rsid w:val="008C27B9"/>
    <w:rsid w:val="008C2A6F"/>
    <w:rsid w:val="008C2BA0"/>
    <w:rsid w:val="008C2BAF"/>
    <w:rsid w:val="008C2C47"/>
    <w:rsid w:val="008C2C5B"/>
    <w:rsid w:val="008C2CF7"/>
    <w:rsid w:val="008C2F42"/>
    <w:rsid w:val="008C30D3"/>
    <w:rsid w:val="008C31EB"/>
    <w:rsid w:val="008C3255"/>
    <w:rsid w:val="008C32B3"/>
    <w:rsid w:val="008C32E9"/>
    <w:rsid w:val="008C3440"/>
    <w:rsid w:val="008C34A4"/>
    <w:rsid w:val="008C34AA"/>
    <w:rsid w:val="008C34CB"/>
    <w:rsid w:val="008C3503"/>
    <w:rsid w:val="008C35FC"/>
    <w:rsid w:val="008C375F"/>
    <w:rsid w:val="008C3825"/>
    <w:rsid w:val="008C389C"/>
    <w:rsid w:val="008C3979"/>
    <w:rsid w:val="008C39B1"/>
    <w:rsid w:val="008C39DD"/>
    <w:rsid w:val="008C3AE0"/>
    <w:rsid w:val="008C3C9E"/>
    <w:rsid w:val="008C3D43"/>
    <w:rsid w:val="008C3EB5"/>
    <w:rsid w:val="008C3EE9"/>
    <w:rsid w:val="008C3F52"/>
    <w:rsid w:val="008C3F54"/>
    <w:rsid w:val="008C3F8A"/>
    <w:rsid w:val="008C412B"/>
    <w:rsid w:val="008C41D9"/>
    <w:rsid w:val="008C420B"/>
    <w:rsid w:val="008C42D8"/>
    <w:rsid w:val="008C4326"/>
    <w:rsid w:val="008C4373"/>
    <w:rsid w:val="008C4460"/>
    <w:rsid w:val="008C465B"/>
    <w:rsid w:val="008C46C9"/>
    <w:rsid w:val="008C4736"/>
    <w:rsid w:val="008C478A"/>
    <w:rsid w:val="008C483A"/>
    <w:rsid w:val="008C488E"/>
    <w:rsid w:val="008C488F"/>
    <w:rsid w:val="008C48DA"/>
    <w:rsid w:val="008C492E"/>
    <w:rsid w:val="008C4A42"/>
    <w:rsid w:val="008C4A5D"/>
    <w:rsid w:val="008C4ABC"/>
    <w:rsid w:val="008C4B36"/>
    <w:rsid w:val="008C4C27"/>
    <w:rsid w:val="008C4C4A"/>
    <w:rsid w:val="008C4D33"/>
    <w:rsid w:val="008C4E25"/>
    <w:rsid w:val="008C4EC8"/>
    <w:rsid w:val="008C4EE3"/>
    <w:rsid w:val="008C5006"/>
    <w:rsid w:val="008C5035"/>
    <w:rsid w:val="008C50DC"/>
    <w:rsid w:val="008C50E3"/>
    <w:rsid w:val="008C5260"/>
    <w:rsid w:val="008C5318"/>
    <w:rsid w:val="008C5347"/>
    <w:rsid w:val="008C5537"/>
    <w:rsid w:val="008C55E8"/>
    <w:rsid w:val="008C56E9"/>
    <w:rsid w:val="008C579E"/>
    <w:rsid w:val="008C57E7"/>
    <w:rsid w:val="008C5842"/>
    <w:rsid w:val="008C58C3"/>
    <w:rsid w:val="008C58CC"/>
    <w:rsid w:val="008C58D4"/>
    <w:rsid w:val="008C591A"/>
    <w:rsid w:val="008C5988"/>
    <w:rsid w:val="008C5A2E"/>
    <w:rsid w:val="008C5A91"/>
    <w:rsid w:val="008C5ACE"/>
    <w:rsid w:val="008C5B09"/>
    <w:rsid w:val="008C5B16"/>
    <w:rsid w:val="008C5BCD"/>
    <w:rsid w:val="008C5BE3"/>
    <w:rsid w:val="008C5BE5"/>
    <w:rsid w:val="008C5BEB"/>
    <w:rsid w:val="008C5D17"/>
    <w:rsid w:val="008C5D63"/>
    <w:rsid w:val="008C5DDA"/>
    <w:rsid w:val="008C5DDB"/>
    <w:rsid w:val="008C5E39"/>
    <w:rsid w:val="008C5E80"/>
    <w:rsid w:val="008C5F2E"/>
    <w:rsid w:val="008C5F98"/>
    <w:rsid w:val="008C6054"/>
    <w:rsid w:val="008C6055"/>
    <w:rsid w:val="008C6219"/>
    <w:rsid w:val="008C6264"/>
    <w:rsid w:val="008C62B5"/>
    <w:rsid w:val="008C631D"/>
    <w:rsid w:val="008C633F"/>
    <w:rsid w:val="008C635D"/>
    <w:rsid w:val="008C63D2"/>
    <w:rsid w:val="008C6472"/>
    <w:rsid w:val="008C6519"/>
    <w:rsid w:val="008C65F6"/>
    <w:rsid w:val="008C660A"/>
    <w:rsid w:val="008C6737"/>
    <w:rsid w:val="008C6818"/>
    <w:rsid w:val="008C6854"/>
    <w:rsid w:val="008C68B8"/>
    <w:rsid w:val="008C6A56"/>
    <w:rsid w:val="008C6A78"/>
    <w:rsid w:val="008C6C87"/>
    <w:rsid w:val="008C6C94"/>
    <w:rsid w:val="008C6EC8"/>
    <w:rsid w:val="008C6ED2"/>
    <w:rsid w:val="008C6F64"/>
    <w:rsid w:val="008C6F95"/>
    <w:rsid w:val="008C6FB6"/>
    <w:rsid w:val="008C70E4"/>
    <w:rsid w:val="008C70F4"/>
    <w:rsid w:val="008C70FB"/>
    <w:rsid w:val="008C7245"/>
    <w:rsid w:val="008C72D5"/>
    <w:rsid w:val="008C739D"/>
    <w:rsid w:val="008C73A3"/>
    <w:rsid w:val="008C73AB"/>
    <w:rsid w:val="008C7436"/>
    <w:rsid w:val="008C7447"/>
    <w:rsid w:val="008C7523"/>
    <w:rsid w:val="008C752F"/>
    <w:rsid w:val="008C7553"/>
    <w:rsid w:val="008C7613"/>
    <w:rsid w:val="008C7628"/>
    <w:rsid w:val="008C7694"/>
    <w:rsid w:val="008C76BC"/>
    <w:rsid w:val="008C7750"/>
    <w:rsid w:val="008C775E"/>
    <w:rsid w:val="008C77F3"/>
    <w:rsid w:val="008C7829"/>
    <w:rsid w:val="008C789E"/>
    <w:rsid w:val="008C79B5"/>
    <w:rsid w:val="008C7A35"/>
    <w:rsid w:val="008C7AAA"/>
    <w:rsid w:val="008C7AC8"/>
    <w:rsid w:val="008C7ADB"/>
    <w:rsid w:val="008C7B2C"/>
    <w:rsid w:val="008C7C0C"/>
    <w:rsid w:val="008C7C31"/>
    <w:rsid w:val="008C7D4F"/>
    <w:rsid w:val="008C7E8F"/>
    <w:rsid w:val="008C7EA1"/>
    <w:rsid w:val="008C7F50"/>
    <w:rsid w:val="008D0006"/>
    <w:rsid w:val="008D004A"/>
    <w:rsid w:val="008D0212"/>
    <w:rsid w:val="008D025B"/>
    <w:rsid w:val="008D02C6"/>
    <w:rsid w:val="008D02D0"/>
    <w:rsid w:val="008D0302"/>
    <w:rsid w:val="008D03C5"/>
    <w:rsid w:val="008D0427"/>
    <w:rsid w:val="008D0444"/>
    <w:rsid w:val="008D0670"/>
    <w:rsid w:val="008D0725"/>
    <w:rsid w:val="008D08E3"/>
    <w:rsid w:val="008D0908"/>
    <w:rsid w:val="008D091B"/>
    <w:rsid w:val="008D0A50"/>
    <w:rsid w:val="008D0C21"/>
    <w:rsid w:val="008D0C76"/>
    <w:rsid w:val="008D0E30"/>
    <w:rsid w:val="008D0ED6"/>
    <w:rsid w:val="008D0EEA"/>
    <w:rsid w:val="008D0EEE"/>
    <w:rsid w:val="008D0F23"/>
    <w:rsid w:val="008D0F44"/>
    <w:rsid w:val="008D102E"/>
    <w:rsid w:val="008D11A7"/>
    <w:rsid w:val="008D1220"/>
    <w:rsid w:val="008D12BC"/>
    <w:rsid w:val="008D133C"/>
    <w:rsid w:val="008D152D"/>
    <w:rsid w:val="008D153A"/>
    <w:rsid w:val="008D1609"/>
    <w:rsid w:val="008D16EE"/>
    <w:rsid w:val="008D173D"/>
    <w:rsid w:val="008D1783"/>
    <w:rsid w:val="008D1862"/>
    <w:rsid w:val="008D1909"/>
    <w:rsid w:val="008D194B"/>
    <w:rsid w:val="008D1A16"/>
    <w:rsid w:val="008D1AAD"/>
    <w:rsid w:val="008D1ABA"/>
    <w:rsid w:val="008D1BBA"/>
    <w:rsid w:val="008D1C29"/>
    <w:rsid w:val="008D1C2A"/>
    <w:rsid w:val="008D1D0E"/>
    <w:rsid w:val="008D1DB9"/>
    <w:rsid w:val="008D1DFC"/>
    <w:rsid w:val="008D2082"/>
    <w:rsid w:val="008D20AC"/>
    <w:rsid w:val="008D20DA"/>
    <w:rsid w:val="008D20DD"/>
    <w:rsid w:val="008D20E4"/>
    <w:rsid w:val="008D2264"/>
    <w:rsid w:val="008D227B"/>
    <w:rsid w:val="008D22BD"/>
    <w:rsid w:val="008D2395"/>
    <w:rsid w:val="008D24A6"/>
    <w:rsid w:val="008D255F"/>
    <w:rsid w:val="008D259C"/>
    <w:rsid w:val="008D25F5"/>
    <w:rsid w:val="008D2612"/>
    <w:rsid w:val="008D261A"/>
    <w:rsid w:val="008D26C7"/>
    <w:rsid w:val="008D26F5"/>
    <w:rsid w:val="008D2761"/>
    <w:rsid w:val="008D279B"/>
    <w:rsid w:val="008D27B8"/>
    <w:rsid w:val="008D28B9"/>
    <w:rsid w:val="008D28D1"/>
    <w:rsid w:val="008D2A4A"/>
    <w:rsid w:val="008D2ABD"/>
    <w:rsid w:val="008D2AD9"/>
    <w:rsid w:val="008D2B67"/>
    <w:rsid w:val="008D2CA2"/>
    <w:rsid w:val="008D2CDB"/>
    <w:rsid w:val="008D2D06"/>
    <w:rsid w:val="008D2DB5"/>
    <w:rsid w:val="008D2E22"/>
    <w:rsid w:val="008D2E5D"/>
    <w:rsid w:val="008D2EE2"/>
    <w:rsid w:val="008D2F0F"/>
    <w:rsid w:val="008D3005"/>
    <w:rsid w:val="008D3024"/>
    <w:rsid w:val="008D30F2"/>
    <w:rsid w:val="008D3102"/>
    <w:rsid w:val="008D313C"/>
    <w:rsid w:val="008D314E"/>
    <w:rsid w:val="008D318C"/>
    <w:rsid w:val="008D32BE"/>
    <w:rsid w:val="008D331F"/>
    <w:rsid w:val="008D34EB"/>
    <w:rsid w:val="008D3642"/>
    <w:rsid w:val="008D3727"/>
    <w:rsid w:val="008D3733"/>
    <w:rsid w:val="008D37C5"/>
    <w:rsid w:val="008D3821"/>
    <w:rsid w:val="008D384A"/>
    <w:rsid w:val="008D391D"/>
    <w:rsid w:val="008D395C"/>
    <w:rsid w:val="008D39EF"/>
    <w:rsid w:val="008D3A20"/>
    <w:rsid w:val="008D3A73"/>
    <w:rsid w:val="008D3AD1"/>
    <w:rsid w:val="008D3BE4"/>
    <w:rsid w:val="008D3D1B"/>
    <w:rsid w:val="008D3D5D"/>
    <w:rsid w:val="008D3E63"/>
    <w:rsid w:val="008D3F0B"/>
    <w:rsid w:val="008D3F6A"/>
    <w:rsid w:val="008D3F79"/>
    <w:rsid w:val="008D40ED"/>
    <w:rsid w:val="008D4142"/>
    <w:rsid w:val="008D4377"/>
    <w:rsid w:val="008D4465"/>
    <w:rsid w:val="008D4487"/>
    <w:rsid w:val="008D44AD"/>
    <w:rsid w:val="008D45A1"/>
    <w:rsid w:val="008D46C8"/>
    <w:rsid w:val="008D471C"/>
    <w:rsid w:val="008D47D8"/>
    <w:rsid w:val="008D4926"/>
    <w:rsid w:val="008D497C"/>
    <w:rsid w:val="008D4988"/>
    <w:rsid w:val="008D4A74"/>
    <w:rsid w:val="008D4B24"/>
    <w:rsid w:val="008D4BDC"/>
    <w:rsid w:val="008D4C2F"/>
    <w:rsid w:val="008D4DA2"/>
    <w:rsid w:val="008D4DD0"/>
    <w:rsid w:val="008D4F23"/>
    <w:rsid w:val="008D4F5A"/>
    <w:rsid w:val="008D51AB"/>
    <w:rsid w:val="008D5235"/>
    <w:rsid w:val="008D525E"/>
    <w:rsid w:val="008D546E"/>
    <w:rsid w:val="008D5543"/>
    <w:rsid w:val="008D5652"/>
    <w:rsid w:val="008D5738"/>
    <w:rsid w:val="008D5756"/>
    <w:rsid w:val="008D5812"/>
    <w:rsid w:val="008D584B"/>
    <w:rsid w:val="008D587E"/>
    <w:rsid w:val="008D58AD"/>
    <w:rsid w:val="008D59A1"/>
    <w:rsid w:val="008D5A37"/>
    <w:rsid w:val="008D5B55"/>
    <w:rsid w:val="008D5C72"/>
    <w:rsid w:val="008D5C75"/>
    <w:rsid w:val="008D5D8D"/>
    <w:rsid w:val="008D5E71"/>
    <w:rsid w:val="008D5F04"/>
    <w:rsid w:val="008D5FC9"/>
    <w:rsid w:val="008D60F7"/>
    <w:rsid w:val="008D6131"/>
    <w:rsid w:val="008D6254"/>
    <w:rsid w:val="008D6393"/>
    <w:rsid w:val="008D63B2"/>
    <w:rsid w:val="008D6436"/>
    <w:rsid w:val="008D64AB"/>
    <w:rsid w:val="008D652D"/>
    <w:rsid w:val="008D65E9"/>
    <w:rsid w:val="008D6676"/>
    <w:rsid w:val="008D677C"/>
    <w:rsid w:val="008D67F9"/>
    <w:rsid w:val="008D6905"/>
    <w:rsid w:val="008D6BBC"/>
    <w:rsid w:val="008D6CDB"/>
    <w:rsid w:val="008D6F60"/>
    <w:rsid w:val="008D7002"/>
    <w:rsid w:val="008D71B1"/>
    <w:rsid w:val="008D71DE"/>
    <w:rsid w:val="008D722E"/>
    <w:rsid w:val="008D72D8"/>
    <w:rsid w:val="008D72F3"/>
    <w:rsid w:val="008D737A"/>
    <w:rsid w:val="008D744A"/>
    <w:rsid w:val="008D7504"/>
    <w:rsid w:val="008D7552"/>
    <w:rsid w:val="008D7553"/>
    <w:rsid w:val="008D7574"/>
    <w:rsid w:val="008D760C"/>
    <w:rsid w:val="008D762B"/>
    <w:rsid w:val="008D7690"/>
    <w:rsid w:val="008D76FC"/>
    <w:rsid w:val="008D7701"/>
    <w:rsid w:val="008D77C8"/>
    <w:rsid w:val="008D785E"/>
    <w:rsid w:val="008D78B7"/>
    <w:rsid w:val="008D7975"/>
    <w:rsid w:val="008D7980"/>
    <w:rsid w:val="008D79F3"/>
    <w:rsid w:val="008D7A34"/>
    <w:rsid w:val="008D7B06"/>
    <w:rsid w:val="008D7B71"/>
    <w:rsid w:val="008D7C22"/>
    <w:rsid w:val="008D7CD7"/>
    <w:rsid w:val="008D7D54"/>
    <w:rsid w:val="008D7FA7"/>
    <w:rsid w:val="008E0045"/>
    <w:rsid w:val="008E009A"/>
    <w:rsid w:val="008E011F"/>
    <w:rsid w:val="008E0180"/>
    <w:rsid w:val="008E029F"/>
    <w:rsid w:val="008E02DD"/>
    <w:rsid w:val="008E0419"/>
    <w:rsid w:val="008E04DD"/>
    <w:rsid w:val="008E0679"/>
    <w:rsid w:val="008E067E"/>
    <w:rsid w:val="008E07AA"/>
    <w:rsid w:val="008E0830"/>
    <w:rsid w:val="008E088E"/>
    <w:rsid w:val="008E0985"/>
    <w:rsid w:val="008E09DD"/>
    <w:rsid w:val="008E0A0F"/>
    <w:rsid w:val="008E0A67"/>
    <w:rsid w:val="008E0A6F"/>
    <w:rsid w:val="008E0B27"/>
    <w:rsid w:val="008E0C3A"/>
    <w:rsid w:val="008E0CB8"/>
    <w:rsid w:val="008E0CE2"/>
    <w:rsid w:val="008E0E8C"/>
    <w:rsid w:val="008E0F9A"/>
    <w:rsid w:val="008E107A"/>
    <w:rsid w:val="008E111F"/>
    <w:rsid w:val="008E113D"/>
    <w:rsid w:val="008E1143"/>
    <w:rsid w:val="008E1191"/>
    <w:rsid w:val="008E133F"/>
    <w:rsid w:val="008E13D9"/>
    <w:rsid w:val="008E13F2"/>
    <w:rsid w:val="008E14FD"/>
    <w:rsid w:val="008E15D9"/>
    <w:rsid w:val="008E163D"/>
    <w:rsid w:val="008E16A4"/>
    <w:rsid w:val="008E17CD"/>
    <w:rsid w:val="008E1864"/>
    <w:rsid w:val="008E1870"/>
    <w:rsid w:val="008E1882"/>
    <w:rsid w:val="008E18C2"/>
    <w:rsid w:val="008E18E2"/>
    <w:rsid w:val="008E1952"/>
    <w:rsid w:val="008E1956"/>
    <w:rsid w:val="008E19EE"/>
    <w:rsid w:val="008E1A4D"/>
    <w:rsid w:val="008E1C7E"/>
    <w:rsid w:val="008E1D71"/>
    <w:rsid w:val="008E1DC7"/>
    <w:rsid w:val="008E1E77"/>
    <w:rsid w:val="008E1F38"/>
    <w:rsid w:val="008E1FC3"/>
    <w:rsid w:val="008E1FEA"/>
    <w:rsid w:val="008E1FF8"/>
    <w:rsid w:val="008E20AB"/>
    <w:rsid w:val="008E2150"/>
    <w:rsid w:val="008E2168"/>
    <w:rsid w:val="008E2180"/>
    <w:rsid w:val="008E21E3"/>
    <w:rsid w:val="008E21ED"/>
    <w:rsid w:val="008E2208"/>
    <w:rsid w:val="008E2227"/>
    <w:rsid w:val="008E22B9"/>
    <w:rsid w:val="008E22DD"/>
    <w:rsid w:val="008E22F2"/>
    <w:rsid w:val="008E2389"/>
    <w:rsid w:val="008E247B"/>
    <w:rsid w:val="008E248B"/>
    <w:rsid w:val="008E24AA"/>
    <w:rsid w:val="008E258D"/>
    <w:rsid w:val="008E25C3"/>
    <w:rsid w:val="008E2636"/>
    <w:rsid w:val="008E2724"/>
    <w:rsid w:val="008E2752"/>
    <w:rsid w:val="008E2799"/>
    <w:rsid w:val="008E2804"/>
    <w:rsid w:val="008E2822"/>
    <w:rsid w:val="008E28C4"/>
    <w:rsid w:val="008E28F6"/>
    <w:rsid w:val="008E2A61"/>
    <w:rsid w:val="008E2AF9"/>
    <w:rsid w:val="008E2B73"/>
    <w:rsid w:val="008E2B99"/>
    <w:rsid w:val="008E2BF6"/>
    <w:rsid w:val="008E2C4C"/>
    <w:rsid w:val="008E2CA2"/>
    <w:rsid w:val="008E2D6B"/>
    <w:rsid w:val="008E2E95"/>
    <w:rsid w:val="008E2F69"/>
    <w:rsid w:val="008E2FA7"/>
    <w:rsid w:val="008E2FE0"/>
    <w:rsid w:val="008E307F"/>
    <w:rsid w:val="008E3107"/>
    <w:rsid w:val="008E3195"/>
    <w:rsid w:val="008E31C6"/>
    <w:rsid w:val="008E31F4"/>
    <w:rsid w:val="008E3224"/>
    <w:rsid w:val="008E32D9"/>
    <w:rsid w:val="008E3357"/>
    <w:rsid w:val="008E3383"/>
    <w:rsid w:val="008E3388"/>
    <w:rsid w:val="008E338D"/>
    <w:rsid w:val="008E3435"/>
    <w:rsid w:val="008E3495"/>
    <w:rsid w:val="008E34B0"/>
    <w:rsid w:val="008E3752"/>
    <w:rsid w:val="008E3840"/>
    <w:rsid w:val="008E3857"/>
    <w:rsid w:val="008E3A61"/>
    <w:rsid w:val="008E3AA1"/>
    <w:rsid w:val="008E3B53"/>
    <w:rsid w:val="008E3BB9"/>
    <w:rsid w:val="008E3C3A"/>
    <w:rsid w:val="008E3C8C"/>
    <w:rsid w:val="008E3F12"/>
    <w:rsid w:val="008E404F"/>
    <w:rsid w:val="008E4166"/>
    <w:rsid w:val="008E4174"/>
    <w:rsid w:val="008E41FB"/>
    <w:rsid w:val="008E4202"/>
    <w:rsid w:val="008E42DF"/>
    <w:rsid w:val="008E42E7"/>
    <w:rsid w:val="008E444C"/>
    <w:rsid w:val="008E46A1"/>
    <w:rsid w:val="008E4767"/>
    <w:rsid w:val="008E4883"/>
    <w:rsid w:val="008E4A21"/>
    <w:rsid w:val="008E4A92"/>
    <w:rsid w:val="008E4AB3"/>
    <w:rsid w:val="008E4AF0"/>
    <w:rsid w:val="008E4B53"/>
    <w:rsid w:val="008E4B5A"/>
    <w:rsid w:val="008E4C4B"/>
    <w:rsid w:val="008E4C92"/>
    <w:rsid w:val="008E4D0B"/>
    <w:rsid w:val="008E4D8E"/>
    <w:rsid w:val="008E4DF8"/>
    <w:rsid w:val="008E4E79"/>
    <w:rsid w:val="008E4EFF"/>
    <w:rsid w:val="008E4FCC"/>
    <w:rsid w:val="008E4FF3"/>
    <w:rsid w:val="008E505B"/>
    <w:rsid w:val="008E5062"/>
    <w:rsid w:val="008E5090"/>
    <w:rsid w:val="008E5092"/>
    <w:rsid w:val="008E518E"/>
    <w:rsid w:val="008E5230"/>
    <w:rsid w:val="008E523C"/>
    <w:rsid w:val="008E5264"/>
    <w:rsid w:val="008E52A3"/>
    <w:rsid w:val="008E52FE"/>
    <w:rsid w:val="008E5444"/>
    <w:rsid w:val="008E54AD"/>
    <w:rsid w:val="008E54B1"/>
    <w:rsid w:val="008E5557"/>
    <w:rsid w:val="008E565E"/>
    <w:rsid w:val="008E57AF"/>
    <w:rsid w:val="008E57BC"/>
    <w:rsid w:val="008E5820"/>
    <w:rsid w:val="008E59DD"/>
    <w:rsid w:val="008E5A5D"/>
    <w:rsid w:val="008E5AB5"/>
    <w:rsid w:val="008E5BC8"/>
    <w:rsid w:val="008E5CA9"/>
    <w:rsid w:val="008E5D91"/>
    <w:rsid w:val="008E5F30"/>
    <w:rsid w:val="008E60A3"/>
    <w:rsid w:val="008E6137"/>
    <w:rsid w:val="008E616D"/>
    <w:rsid w:val="008E62BF"/>
    <w:rsid w:val="008E6598"/>
    <w:rsid w:val="008E66A5"/>
    <w:rsid w:val="008E684A"/>
    <w:rsid w:val="008E68FE"/>
    <w:rsid w:val="008E6932"/>
    <w:rsid w:val="008E69BD"/>
    <w:rsid w:val="008E6A90"/>
    <w:rsid w:val="008E6B66"/>
    <w:rsid w:val="008E6D0B"/>
    <w:rsid w:val="008E6D9E"/>
    <w:rsid w:val="008E6E96"/>
    <w:rsid w:val="008E6EC2"/>
    <w:rsid w:val="008E705E"/>
    <w:rsid w:val="008E707C"/>
    <w:rsid w:val="008E707E"/>
    <w:rsid w:val="008E708B"/>
    <w:rsid w:val="008E70BB"/>
    <w:rsid w:val="008E7108"/>
    <w:rsid w:val="008E715C"/>
    <w:rsid w:val="008E716B"/>
    <w:rsid w:val="008E717E"/>
    <w:rsid w:val="008E71F6"/>
    <w:rsid w:val="008E7234"/>
    <w:rsid w:val="008E727D"/>
    <w:rsid w:val="008E7309"/>
    <w:rsid w:val="008E73B5"/>
    <w:rsid w:val="008E73C8"/>
    <w:rsid w:val="008E7492"/>
    <w:rsid w:val="008E7504"/>
    <w:rsid w:val="008E7544"/>
    <w:rsid w:val="008E75FF"/>
    <w:rsid w:val="008E762B"/>
    <w:rsid w:val="008E769F"/>
    <w:rsid w:val="008E76F7"/>
    <w:rsid w:val="008E779F"/>
    <w:rsid w:val="008E77C5"/>
    <w:rsid w:val="008E784F"/>
    <w:rsid w:val="008E7A9B"/>
    <w:rsid w:val="008E7B8E"/>
    <w:rsid w:val="008E7C09"/>
    <w:rsid w:val="008E7C2A"/>
    <w:rsid w:val="008E7C3E"/>
    <w:rsid w:val="008E7C69"/>
    <w:rsid w:val="008E7CB8"/>
    <w:rsid w:val="008E7DD7"/>
    <w:rsid w:val="008E7DEE"/>
    <w:rsid w:val="008E7ED3"/>
    <w:rsid w:val="008F00A4"/>
    <w:rsid w:val="008F01EB"/>
    <w:rsid w:val="008F02CE"/>
    <w:rsid w:val="008F036A"/>
    <w:rsid w:val="008F0383"/>
    <w:rsid w:val="008F03AA"/>
    <w:rsid w:val="008F03F4"/>
    <w:rsid w:val="008F0413"/>
    <w:rsid w:val="008F0499"/>
    <w:rsid w:val="008F058A"/>
    <w:rsid w:val="008F05D9"/>
    <w:rsid w:val="008F0642"/>
    <w:rsid w:val="008F06C0"/>
    <w:rsid w:val="008F06D4"/>
    <w:rsid w:val="008F06D8"/>
    <w:rsid w:val="008F0733"/>
    <w:rsid w:val="008F0735"/>
    <w:rsid w:val="008F0784"/>
    <w:rsid w:val="008F07EA"/>
    <w:rsid w:val="008F081D"/>
    <w:rsid w:val="008F08A3"/>
    <w:rsid w:val="008F0A39"/>
    <w:rsid w:val="008F0A48"/>
    <w:rsid w:val="008F0A9F"/>
    <w:rsid w:val="008F0B5C"/>
    <w:rsid w:val="008F0B8C"/>
    <w:rsid w:val="008F0C07"/>
    <w:rsid w:val="008F0C12"/>
    <w:rsid w:val="008F0D50"/>
    <w:rsid w:val="008F0E20"/>
    <w:rsid w:val="008F0E7C"/>
    <w:rsid w:val="008F0F43"/>
    <w:rsid w:val="008F0F5B"/>
    <w:rsid w:val="008F0FBE"/>
    <w:rsid w:val="008F103A"/>
    <w:rsid w:val="008F1116"/>
    <w:rsid w:val="008F1144"/>
    <w:rsid w:val="008F1145"/>
    <w:rsid w:val="008F11B5"/>
    <w:rsid w:val="008F11E1"/>
    <w:rsid w:val="008F1249"/>
    <w:rsid w:val="008F13A4"/>
    <w:rsid w:val="008F1602"/>
    <w:rsid w:val="008F1617"/>
    <w:rsid w:val="008F17EF"/>
    <w:rsid w:val="008F188A"/>
    <w:rsid w:val="008F19E3"/>
    <w:rsid w:val="008F1A22"/>
    <w:rsid w:val="008F1B79"/>
    <w:rsid w:val="008F1D7C"/>
    <w:rsid w:val="008F1DE9"/>
    <w:rsid w:val="008F1DEB"/>
    <w:rsid w:val="008F1DEC"/>
    <w:rsid w:val="008F200A"/>
    <w:rsid w:val="008F2148"/>
    <w:rsid w:val="008F2151"/>
    <w:rsid w:val="008F23BE"/>
    <w:rsid w:val="008F2474"/>
    <w:rsid w:val="008F25DA"/>
    <w:rsid w:val="008F260F"/>
    <w:rsid w:val="008F2625"/>
    <w:rsid w:val="008F262C"/>
    <w:rsid w:val="008F26CC"/>
    <w:rsid w:val="008F2730"/>
    <w:rsid w:val="008F279A"/>
    <w:rsid w:val="008F288C"/>
    <w:rsid w:val="008F28BC"/>
    <w:rsid w:val="008F28D4"/>
    <w:rsid w:val="008F29EB"/>
    <w:rsid w:val="008F2A2F"/>
    <w:rsid w:val="008F2A8E"/>
    <w:rsid w:val="008F2AF9"/>
    <w:rsid w:val="008F2B0D"/>
    <w:rsid w:val="008F2B64"/>
    <w:rsid w:val="008F2C9C"/>
    <w:rsid w:val="008F2F44"/>
    <w:rsid w:val="008F305F"/>
    <w:rsid w:val="008F3110"/>
    <w:rsid w:val="008F3176"/>
    <w:rsid w:val="008F31BA"/>
    <w:rsid w:val="008F3274"/>
    <w:rsid w:val="008F3391"/>
    <w:rsid w:val="008F3489"/>
    <w:rsid w:val="008F3521"/>
    <w:rsid w:val="008F364D"/>
    <w:rsid w:val="008F37BE"/>
    <w:rsid w:val="008F37CD"/>
    <w:rsid w:val="008F3819"/>
    <w:rsid w:val="008F38EA"/>
    <w:rsid w:val="008F395F"/>
    <w:rsid w:val="008F39FA"/>
    <w:rsid w:val="008F3A51"/>
    <w:rsid w:val="008F3A72"/>
    <w:rsid w:val="008F3B5D"/>
    <w:rsid w:val="008F3E96"/>
    <w:rsid w:val="008F3F13"/>
    <w:rsid w:val="008F402A"/>
    <w:rsid w:val="008F40BD"/>
    <w:rsid w:val="008F40E6"/>
    <w:rsid w:val="008F433F"/>
    <w:rsid w:val="008F4479"/>
    <w:rsid w:val="008F447D"/>
    <w:rsid w:val="008F4554"/>
    <w:rsid w:val="008F45C9"/>
    <w:rsid w:val="008F4660"/>
    <w:rsid w:val="008F46E2"/>
    <w:rsid w:val="008F46F0"/>
    <w:rsid w:val="008F4704"/>
    <w:rsid w:val="008F4822"/>
    <w:rsid w:val="008F49DD"/>
    <w:rsid w:val="008F4A69"/>
    <w:rsid w:val="008F4A7B"/>
    <w:rsid w:val="008F4B9B"/>
    <w:rsid w:val="008F4BB0"/>
    <w:rsid w:val="008F4DEA"/>
    <w:rsid w:val="008F4E17"/>
    <w:rsid w:val="008F4E28"/>
    <w:rsid w:val="008F4E8A"/>
    <w:rsid w:val="008F513D"/>
    <w:rsid w:val="008F51A2"/>
    <w:rsid w:val="008F52EE"/>
    <w:rsid w:val="008F548E"/>
    <w:rsid w:val="008F54A1"/>
    <w:rsid w:val="008F553A"/>
    <w:rsid w:val="008F5631"/>
    <w:rsid w:val="008F56A1"/>
    <w:rsid w:val="008F56B1"/>
    <w:rsid w:val="008F57B3"/>
    <w:rsid w:val="008F57CF"/>
    <w:rsid w:val="008F5850"/>
    <w:rsid w:val="008F58CE"/>
    <w:rsid w:val="008F5956"/>
    <w:rsid w:val="008F59EE"/>
    <w:rsid w:val="008F5A21"/>
    <w:rsid w:val="008F5BFA"/>
    <w:rsid w:val="008F5C14"/>
    <w:rsid w:val="008F5C24"/>
    <w:rsid w:val="008F5D01"/>
    <w:rsid w:val="008F5D2D"/>
    <w:rsid w:val="008F5E2C"/>
    <w:rsid w:val="008F5E90"/>
    <w:rsid w:val="008F5F1B"/>
    <w:rsid w:val="008F62FE"/>
    <w:rsid w:val="008F6306"/>
    <w:rsid w:val="008F64BE"/>
    <w:rsid w:val="008F64E5"/>
    <w:rsid w:val="008F65FC"/>
    <w:rsid w:val="008F66CE"/>
    <w:rsid w:val="008F66E4"/>
    <w:rsid w:val="008F67CB"/>
    <w:rsid w:val="008F6886"/>
    <w:rsid w:val="008F6902"/>
    <w:rsid w:val="008F693C"/>
    <w:rsid w:val="008F6994"/>
    <w:rsid w:val="008F6B8E"/>
    <w:rsid w:val="008F6C28"/>
    <w:rsid w:val="008F6D51"/>
    <w:rsid w:val="008F6E21"/>
    <w:rsid w:val="008F6EF6"/>
    <w:rsid w:val="008F6F22"/>
    <w:rsid w:val="008F6F75"/>
    <w:rsid w:val="008F7012"/>
    <w:rsid w:val="008F706C"/>
    <w:rsid w:val="008F7203"/>
    <w:rsid w:val="008F72AC"/>
    <w:rsid w:val="008F7409"/>
    <w:rsid w:val="008F747E"/>
    <w:rsid w:val="008F74B0"/>
    <w:rsid w:val="008F756E"/>
    <w:rsid w:val="008F756F"/>
    <w:rsid w:val="008F7581"/>
    <w:rsid w:val="008F7824"/>
    <w:rsid w:val="008F78A4"/>
    <w:rsid w:val="008F792E"/>
    <w:rsid w:val="008F7BD8"/>
    <w:rsid w:val="008F7C55"/>
    <w:rsid w:val="008F7E04"/>
    <w:rsid w:val="008F7E18"/>
    <w:rsid w:val="008F7E40"/>
    <w:rsid w:val="008F7E42"/>
    <w:rsid w:val="008F7E75"/>
    <w:rsid w:val="008F7ED1"/>
    <w:rsid w:val="008F7F29"/>
    <w:rsid w:val="008F7F3A"/>
    <w:rsid w:val="008F7F99"/>
    <w:rsid w:val="008F7FBA"/>
    <w:rsid w:val="00900119"/>
    <w:rsid w:val="00900178"/>
    <w:rsid w:val="009001BC"/>
    <w:rsid w:val="00900227"/>
    <w:rsid w:val="009003BD"/>
    <w:rsid w:val="009005DF"/>
    <w:rsid w:val="009006C5"/>
    <w:rsid w:val="00900730"/>
    <w:rsid w:val="009007C6"/>
    <w:rsid w:val="00900838"/>
    <w:rsid w:val="00900A30"/>
    <w:rsid w:val="00900AAF"/>
    <w:rsid w:val="00900B3F"/>
    <w:rsid w:val="00900B6A"/>
    <w:rsid w:val="00900BC8"/>
    <w:rsid w:val="00900C46"/>
    <w:rsid w:val="00900C68"/>
    <w:rsid w:val="00900C95"/>
    <w:rsid w:val="00900ED6"/>
    <w:rsid w:val="00900F06"/>
    <w:rsid w:val="00900FA0"/>
    <w:rsid w:val="00900FF2"/>
    <w:rsid w:val="00901106"/>
    <w:rsid w:val="0090110B"/>
    <w:rsid w:val="00901128"/>
    <w:rsid w:val="0090112A"/>
    <w:rsid w:val="0090121C"/>
    <w:rsid w:val="009012A9"/>
    <w:rsid w:val="0090131D"/>
    <w:rsid w:val="009014C2"/>
    <w:rsid w:val="0090152A"/>
    <w:rsid w:val="0090160D"/>
    <w:rsid w:val="00901755"/>
    <w:rsid w:val="009017D0"/>
    <w:rsid w:val="0090183F"/>
    <w:rsid w:val="00901860"/>
    <w:rsid w:val="00901A09"/>
    <w:rsid w:val="00901BA3"/>
    <w:rsid w:val="00901C46"/>
    <w:rsid w:val="00901D0E"/>
    <w:rsid w:val="00901D74"/>
    <w:rsid w:val="00901DD4"/>
    <w:rsid w:val="00901E08"/>
    <w:rsid w:val="00901E72"/>
    <w:rsid w:val="00901E88"/>
    <w:rsid w:val="00901EF1"/>
    <w:rsid w:val="00902150"/>
    <w:rsid w:val="00902274"/>
    <w:rsid w:val="00902282"/>
    <w:rsid w:val="00902356"/>
    <w:rsid w:val="009023D7"/>
    <w:rsid w:val="00902451"/>
    <w:rsid w:val="00902515"/>
    <w:rsid w:val="009025D6"/>
    <w:rsid w:val="009025F6"/>
    <w:rsid w:val="00902748"/>
    <w:rsid w:val="00902757"/>
    <w:rsid w:val="009027A3"/>
    <w:rsid w:val="009027FB"/>
    <w:rsid w:val="0090295C"/>
    <w:rsid w:val="0090299A"/>
    <w:rsid w:val="009029B3"/>
    <w:rsid w:val="009029D3"/>
    <w:rsid w:val="00902A2F"/>
    <w:rsid w:val="00902AE1"/>
    <w:rsid w:val="00902B00"/>
    <w:rsid w:val="00902B38"/>
    <w:rsid w:val="00902B39"/>
    <w:rsid w:val="00902CE2"/>
    <w:rsid w:val="00902CEC"/>
    <w:rsid w:val="00902D47"/>
    <w:rsid w:val="00902DDB"/>
    <w:rsid w:val="00902F66"/>
    <w:rsid w:val="00902F80"/>
    <w:rsid w:val="00902F8F"/>
    <w:rsid w:val="00902FFC"/>
    <w:rsid w:val="009030F6"/>
    <w:rsid w:val="00903105"/>
    <w:rsid w:val="00903134"/>
    <w:rsid w:val="0090323D"/>
    <w:rsid w:val="009032AF"/>
    <w:rsid w:val="0090334A"/>
    <w:rsid w:val="009034E3"/>
    <w:rsid w:val="00903562"/>
    <w:rsid w:val="009035B5"/>
    <w:rsid w:val="00903614"/>
    <w:rsid w:val="0090378A"/>
    <w:rsid w:val="00903819"/>
    <w:rsid w:val="009038F9"/>
    <w:rsid w:val="0090393E"/>
    <w:rsid w:val="00903A0E"/>
    <w:rsid w:val="00903A73"/>
    <w:rsid w:val="00903A81"/>
    <w:rsid w:val="00903B9D"/>
    <w:rsid w:val="00903C69"/>
    <w:rsid w:val="00903DAD"/>
    <w:rsid w:val="00903EEB"/>
    <w:rsid w:val="00903F8D"/>
    <w:rsid w:val="00903FDF"/>
    <w:rsid w:val="00904097"/>
    <w:rsid w:val="009040A5"/>
    <w:rsid w:val="0090410C"/>
    <w:rsid w:val="00904175"/>
    <w:rsid w:val="009041CD"/>
    <w:rsid w:val="009041FE"/>
    <w:rsid w:val="009042E1"/>
    <w:rsid w:val="00904325"/>
    <w:rsid w:val="00904327"/>
    <w:rsid w:val="009043E3"/>
    <w:rsid w:val="009045CE"/>
    <w:rsid w:val="009045E0"/>
    <w:rsid w:val="00904646"/>
    <w:rsid w:val="00904693"/>
    <w:rsid w:val="009046BC"/>
    <w:rsid w:val="009046E1"/>
    <w:rsid w:val="009047B7"/>
    <w:rsid w:val="00904A18"/>
    <w:rsid w:val="00904A78"/>
    <w:rsid w:val="00904B03"/>
    <w:rsid w:val="00904BF8"/>
    <w:rsid w:val="00904C58"/>
    <w:rsid w:val="00904CAC"/>
    <w:rsid w:val="00904D0E"/>
    <w:rsid w:val="00904D6A"/>
    <w:rsid w:val="00904DDF"/>
    <w:rsid w:val="00904DFD"/>
    <w:rsid w:val="00904E27"/>
    <w:rsid w:val="00904EEC"/>
    <w:rsid w:val="00904EF2"/>
    <w:rsid w:val="00904F2C"/>
    <w:rsid w:val="00904F6C"/>
    <w:rsid w:val="00904FA1"/>
    <w:rsid w:val="00905011"/>
    <w:rsid w:val="009050EB"/>
    <w:rsid w:val="00905181"/>
    <w:rsid w:val="009051EC"/>
    <w:rsid w:val="00905210"/>
    <w:rsid w:val="0090525A"/>
    <w:rsid w:val="00905367"/>
    <w:rsid w:val="00905382"/>
    <w:rsid w:val="009053A2"/>
    <w:rsid w:val="009053F7"/>
    <w:rsid w:val="009053FC"/>
    <w:rsid w:val="00905422"/>
    <w:rsid w:val="00905435"/>
    <w:rsid w:val="00905497"/>
    <w:rsid w:val="00905502"/>
    <w:rsid w:val="00905549"/>
    <w:rsid w:val="009056DA"/>
    <w:rsid w:val="00905738"/>
    <w:rsid w:val="009057FF"/>
    <w:rsid w:val="009059C8"/>
    <w:rsid w:val="00905B0E"/>
    <w:rsid w:val="00905BD6"/>
    <w:rsid w:val="00905C06"/>
    <w:rsid w:val="00905C27"/>
    <w:rsid w:val="00905CB4"/>
    <w:rsid w:val="00905D15"/>
    <w:rsid w:val="00905D95"/>
    <w:rsid w:val="00905D9B"/>
    <w:rsid w:val="0090613A"/>
    <w:rsid w:val="00906270"/>
    <w:rsid w:val="009062D9"/>
    <w:rsid w:val="00906304"/>
    <w:rsid w:val="00906322"/>
    <w:rsid w:val="00906376"/>
    <w:rsid w:val="009064F0"/>
    <w:rsid w:val="00906754"/>
    <w:rsid w:val="0090683F"/>
    <w:rsid w:val="00906856"/>
    <w:rsid w:val="0090689E"/>
    <w:rsid w:val="009069F9"/>
    <w:rsid w:val="00906AFD"/>
    <w:rsid w:val="00906BA0"/>
    <w:rsid w:val="00906C1B"/>
    <w:rsid w:val="00906C25"/>
    <w:rsid w:val="00906C67"/>
    <w:rsid w:val="00906F02"/>
    <w:rsid w:val="00906FC2"/>
    <w:rsid w:val="00907002"/>
    <w:rsid w:val="009070D6"/>
    <w:rsid w:val="00907102"/>
    <w:rsid w:val="009072C4"/>
    <w:rsid w:val="00907373"/>
    <w:rsid w:val="0090737C"/>
    <w:rsid w:val="00907470"/>
    <w:rsid w:val="00907650"/>
    <w:rsid w:val="00907651"/>
    <w:rsid w:val="0090765C"/>
    <w:rsid w:val="00907707"/>
    <w:rsid w:val="009077E8"/>
    <w:rsid w:val="00907964"/>
    <w:rsid w:val="00907A87"/>
    <w:rsid w:val="00907B4C"/>
    <w:rsid w:val="00907D9C"/>
    <w:rsid w:val="00907DBA"/>
    <w:rsid w:val="00907E97"/>
    <w:rsid w:val="00907ED1"/>
    <w:rsid w:val="00910049"/>
    <w:rsid w:val="00910157"/>
    <w:rsid w:val="009101F9"/>
    <w:rsid w:val="009102E6"/>
    <w:rsid w:val="0091037D"/>
    <w:rsid w:val="00910393"/>
    <w:rsid w:val="009105B2"/>
    <w:rsid w:val="009105DB"/>
    <w:rsid w:val="009105DF"/>
    <w:rsid w:val="00910788"/>
    <w:rsid w:val="009107A4"/>
    <w:rsid w:val="009107DA"/>
    <w:rsid w:val="0091095D"/>
    <w:rsid w:val="009109C7"/>
    <w:rsid w:val="009109D1"/>
    <w:rsid w:val="00910AA8"/>
    <w:rsid w:val="00910BE1"/>
    <w:rsid w:val="00910C47"/>
    <w:rsid w:val="00910C5B"/>
    <w:rsid w:val="00910CC0"/>
    <w:rsid w:val="00910D14"/>
    <w:rsid w:val="00910D6F"/>
    <w:rsid w:val="00910F50"/>
    <w:rsid w:val="00911068"/>
    <w:rsid w:val="0091122E"/>
    <w:rsid w:val="009113FF"/>
    <w:rsid w:val="00911511"/>
    <w:rsid w:val="009117EA"/>
    <w:rsid w:val="00911907"/>
    <w:rsid w:val="00911956"/>
    <w:rsid w:val="00911A13"/>
    <w:rsid w:val="00911C55"/>
    <w:rsid w:val="00911D1D"/>
    <w:rsid w:val="00911D9A"/>
    <w:rsid w:val="00911E28"/>
    <w:rsid w:val="00911E61"/>
    <w:rsid w:val="00911EA9"/>
    <w:rsid w:val="00912059"/>
    <w:rsid w:val="00912090"/>
    <w:rsid w:val="0091209C"/>
    <w:rsid w:val="009120AE"/>
    <w:rsid w:val="00912197"/>
    <w:rsid w:val="00912227"/>
    <w:rsid w:val="009122AA"/>
    <w:rsid w:val="009122EA"/>
    <w:rsid w:val="009123C8"/>
    <w:rsid w:val="009124F4"/>
    <w:rsid w:val="009126E2"/>
    <w:rsid w:val="00912805"/>
    <w:rsid w:val="00912809"/>
    <w:rsid w:val="00912880"/>
    <w:rsid w:val="009129D2"/>
    <w:rsid w:val="00912A6D"/>
    <w:rsid w:val="00912A77"/>
    <w:rsid w:val="00912AE8"/>
    <w:rsid w:val="00912B28"/>
    <w:rsid w:val="00912BF2"/>
    <w:rsid w:val="00912D65"/>
    <w:rsid w:val="00912DB5"/>
    <w:rsid w:val="00912DCF"/>
    <w:rsid w:val="0091309C"/>
    <w:rsid w:val="0091311E"/>
    <w:rsid w:val="00913236"/>
    <w:rsid w:val="00913293"/>
    <w:rsid w:val="009133AF"/>
    <w:rsid w:val="009133B5"/>
    <w:rsid w:val="009133D0"/>
    <w:rsid w:val="00913403"/>
    <w:rsid w:val="009135B8"/>
    <w:rsid w:val="009135C6"/>
    <w:rsid w:val="009136AA"/>
    <w:rsid w:val="00913726"/>
    <w:rsid w:val="009137D9"/>
    <w:rsid w:val="0091383D"/>
    <w:rsid w:val="00913867"/>
    <w:rsid w:val="009138FA"/>
    <w:rsid w:val="00913971"/>
    <w:rsid w:val="00913991"/>
    <w:rsid w:val="00913AD0"/>
    <w:rsid w:val="00913C26"/>
    <w:rsid w:val="00913CC3"/>
    <w:rsid w:val="00913D29"/>
    <w:rsid w:val="00913DBE"/>
    <w:rsid w:val="00913DC4"/>
    <w:rsid w:val="00913E20"/>
    <w:rsid w:val="00913E65"/>
    <w:rsid w:val="00913EE9"/>
    <w:rsid w:val="00913F3E"/>
    <w:rsid w:val="00914042"/>
    <w:rsid w:val="00914091"/>
    <w:rsid w:val="009140CE"/>
    <w:rsid w:val="00914110"/>
    <w:rsid w:val="00914133"/>
    <w:rsid w:val="0091413A"/>
    <w:rsid w:val="00914152"/>
    <w:rsid w:val="0091424F"/>
    <w:rsid w:val="009142BC"/>
    <w:rsid w:val="00914345"/>
    <w:rsid w:val="00914377"/>
    <w:rsid w:val="009143E0"/>
    <w:rsid w:val="0091445F"/>
    <w:rsid w:val="00914487"/>
    <w:rsid w:val="009144E0"/>
    <w:rsid w:val="0091458E"/>
    <w:rsid w:val="009145CD"/>
    <w:rsid w:val="00914650"/>
    <w:rsid w:val="009146CD"/>
    <w:rsid w:val="0091483F"/>
    <w:rsid w:val="009148CC"/>
    <w:rsid w:val="009149A6"/>
    <w:rsid w:val="009149AC"/>
    <w:rsid w:val="009149C2"/>
    <w:rsid w:val="009149CE"/>
    <w:rsid w:val="00914AAB"/>
    <w:rsid w:val="00914BC4"/>
    <w:rsid w:val="00914BC5"/>
    <w:rsid w:val="00914C35"/>
    <w:rsid w:val="00914CAB"/>
    <w:rsid w:val="00914D81"/>
    <w:rsid w:val="00914E6F"/>
    <w:rsid w:val="0091509B"/>
    <w:rsid w:val="00915135"/>
    <w:rsid w:val="0091535B"/>
    <w:rsid w:val="00915489"/>
    <w:rsid w:val="0091552E"/>
    <w:rsid w:val="0091558B"/>
    <w:rsid w:val="009155AE"/>
    <w:rsid w:val="009155F4"/>
    <w:rsid w:val="00915703"/>
    <w:rsid w:val="00915752"/>
    <w:rsid w:val="0091577F"/>
    <w:rsid w:val="0091579A"/>
    <w:rsid w:val="00915852"/>
    <w:rsid w:val="009159F5"/>
    <w:rsid w:val="00915AA4"/>
    <w:rsid w:val="00915B26"/>
    <w:rsid w:val="00915B8B"/>
    <w:rsid w:val="00915BF4"/>
    <w:rsid w:val="00915D94"/>
    <w:rsid w:val="00915E02"/>
    <w:rsid w:val="00915E34"/>
    <w:rsid w:val="00915ED4"/>
    <w:rsid w:val="00915EE2"/>
    <w:rsid w:val="0091601C"/>
    <w:rsid w:val="0091603D"/>
    <w:rsid w:val="009160B9"/>
    <w:rsid w:val="00916166"/>
    <w:rsid w:val="0091623B"/>
    <w:rsid w:val="00916346"/>
    <w:rsid w:val="00916440"/>
    <w:rsid w:val="009164A8"/>
    <w:rsid w:val="0091655D"/>
    <w:rsid w:val="00916655"/>
    <w:rsid w:val="009166C7"/>
    <w:rsid w:val="009166DB"/>
    <w:rsid w:val="00916739"/>
    <w:rsid w:val="00916811"/>
    <w:rsid w:val="009168F5"/>
    <w:rsid w:val="0091692F"/>
    <w:rsid w:val="00916A1D"/>
    <w:rsid w:val="00916B19"/>
    <w:rsid w:val="00916B6E"/>
    <w:rsid w:val="00916B8B"/>
    <w:rsid w:val="00916CE3"/>
    <w:rsid w:val="00916D9E"/>
    <w:rsid w:val="00916DDE"/>
    <w:rsid w:val="00916DFE"/>
    <w:rsid w:val="00916F03"/>
    <w:rsid w:val="00917055"/>
    <w:rsid w:val="00917136"/>
    <w:rsid w:val="009171A1"/>
    <w:rsid w:val="009171BA"/>
    <w:rsid w:val="009171CF"/>
    <w:rsid w:val="00917293"/>
    <w:rsid w:val="0091737D"/>
    <w:rsid w:val="0091740A"/>
    <w:rsid w:val="0091748E"/>
    <w:rsid w:val="00917492"/>
    <w:rsid w:val="009174B0"/>
    <w:rsid w:val="009174EF"/>
    <w:rsid w:val="00917548"/>
    <w:rsid w:val="00917553"/>
    <w:rsid w:val="0091765A"/>
    <w:rsid w:val="0091771D"/>
    <w:rsid w:val="0091773B"/>
    <w:rsid w:val="0091774B"/>
    <w:rsid w:val="00917752"/>
    <w:rsid w:val="0091778E"/>
    <w:rsid w:val="009177A6"/>
    <w:rsid w:val="009177E9"/>
    <w:rsid w:val="009179E6"/>
    <w:rsid w:val="009179F7"/>
    <w:rsid w:val="00917A36"/>
    <w:rsid w:val="00917C38"/>
    <w:rsid w:val="00917C5D"/>
    <w:rsid w:val="00917CF9"/>
    <w:rsid w:val="00917D9A"/>
    <w:rsid w:val="00917E2F"/>
    <w:rsid w:val="00917EC9"/>
    <w:rsid w:val="00917ECA"/>
    <w:rsid w:val="00917FB9"/>
    <w:rsid w:val="00917FBD"/>
    <w:rsid w:val="00917FED"/>
    <w:rsid w:val="00920054"/>
    <w:rsid w:val="0092007D"/>
    <w:rsid w:val="00920148"/>
    <w:rsid w:val="00920236"/>
    <w:rsid w:val="00920268"/>
    <w:rsid w:val="0092026F"/>
    <w:rsid w:val="009202A7"/>
    <w:rsid w:val="009202D0"/>
    <w:rsid w:val="009202F2"/>
    <w:rsid w:val="009202F9"/>
    <w:rsid w:val="00920330"/>
    <w:rsid w:val="009203CD"/>
    <w:rsid w:val="009203D7"/>
    <w:rsid w:val="00920415"/>
    <w:rsid w:val="00920470"/>
    <w:rsid w:val="009204B0"/>
    <w:rsid w:val="00920839"/>
    <w:rsid w:val="00920874"/>
    <w:rsid w:val="00920893"/>
    <w:rsid w:val="00920970"/>
    <w:rsid w:val="00920997"/>
    <w:rsid w:val="009209E8"/>
    <w:rsid w:val="00920A81"/>
    <w:rsid w:val="00920BD5"/>
    <w:rsid w:val="00920C5A"/>
    <w:rsid w:val="00920CD7"/>
    <w:rsid w:val="00920D1A"/>
    <w:rsid w:val="00920F1F"/>
    <w:rsid w:val="00920FD2"/>
    <w:rsid w:val="00921098"/>
    <w:rsid w:val="009210A0"/>
    <w:rsid w:val="00921143"/>
    <w:rsid w:val="00921217"/>
    <w:rsid w:val="00921316"/>
    <w:rsid w:val="0092142E"/>
    <w:rsid w:val="00921470"/>
    <w:rsid w:val="00921525"/>
    <w:rsid w:val="009215A8"/>
    <w:rsid w:val="00921602"/>
    <w:rsid w:val="00921610"/>
    <w:rsid w:val="009216D4"/>
    <w:rsid w:val="009217F3"/>
    <w:rsid w:val="009217F9"/>
    <w:rsid w:val="00921803"/>
    <w:rsid w:val="00921812"/>
    <w:rsid w:val="00921942"/>
    <w:rsid w:val="00921A21"/>
    <w:rsid w:val="00921AAB"/>
    <w:rsid w:val="00921CF9"/>
    <w:rsid w:val="00921D72"/>
    <w:rsid w:val="00921DD8"/>
    <w:rsid w:val="00921DD9"/>
    <w:rsid w:val="00921DFC"/>
    <w:rsid w:val="00921F00"/>
    <w:rsid w:val="00921F73"/>
    <w:rsid w:val="00921FBA"/>
    <w:rsid w:val="00922068"/>
    <w:rsid w:val="009220BA"/>
    <w:rsid w:val="00922191"/>
    <w:rsid w:val="009221E3"/>
    <w:rsid w:val="00922290"/>
    <w:rsid w:val="009222B6"/>
    <w:rsid w:val="00922385"/>
    <w:rsid w:val="00922457"/>
    <w:rsid w:val="00922458"/>
    <w:rsid w:val="00922460"/>
    <w:rsid w:val="00922471"/>
    <w:rsid w:val="009224FD"/>
    <w:rsid w:val="00922515"/>
    <w:rsid w:val="009225EE"/>
    <w:rsid w:val="00922759"/>
    <w:rsid w:val="0092277A"/>
    <w:rsid w:val="0092295D"/>
    <w:rsid w:val="009229BC"/>
    <w:rsid w:val="009229CA"/>
    <w:rsid w:val="00922B7E"/>
    <w:rsid w:val="00922CC4"/>
    <w:rsid w:val="00922CEB"/>
    <w:rsid w:val="00922D22"/>
    <w:rsid w:val="00922E88"/>
    <w:rsid w:val="00923156"/>
    <w:rsid w:val="0092322A"/>
    <w:rsid w:val="0092322C"/>
    <w:rsid w:val="0092328A"/>
    <w:rsid w:val="009232DC"/>
    <w:rsid w:val="00923339"/>
    <w:rsid w:val="00923386"/>
    <w:rsid w:val="0092345F"/>
    <w:rsid w:val="0092350B"/>
    <w:rsid w:val="00923516"/>
    <w:rsid w:val="0092365A"/>
    <w:rsid w:val="00923713"/>
    <w:rsid w:val="00923766"/>
    <w:rsid w:val="00923810"/>
    <w:rsid w:val="0092381E"/>
    <w:rsid w:val="00923AEC"/>
    <w:rsid w:val="00923B12"/>
    <w:rsid w:val="00923B57"/>
    <w:rsid w:val="00923C09"/>
    <w:rsid w:val="00923D4A"/>
    <w:rsid w:val="00923E31"/>
    <w:rsid w:val="00923EEF"/>
    <w:rsid w:val="00923EFC"/>
    <w:rsid w:val="00923F09"/>
    <w:rsid w:val="00923F9B"/>
    <w:rsid w:val="00923FCD"/>
    <w:rsid w:val="009240B7"/>
    <w:rsid w:val="00924106"/>
    <w:rsid w:val="009241EA"/>
    <w:rsid w:val="00924213"/>
    <w:rsid w:val="009242DB"/>
    <w:rsid w:val="00924335"/>
    <w:rsid w:val="00924339"/>
    <w:rsid w:val="009244B9"/>
    <w:rsid w:val="009245B7"/>
    <w:rsid w:val="00924777"/>
    <w:rsid w:val="009247AD"/>
    <w:rsid w:val="0092499A"/>
    <w:rsid w:val="009249B3"/>
    <w:rsid w:val="009249E5"/>
    <w:rsid w:val="00924B99"/>
    <w:rsid w:val="00924C7A"/>
    <w:rsid w:val="00924E92"/>
    <w:rsid w:val="00924E96"/>
    <w:rsid w:val="00924FB1"/>
    <w:rsid w:val="00925081"/>
    <w:rsid w:val="00925148"/>
    <w:rsid w:val="00925418"/>
    <w:rsid w:val="0092541E"/>
    <w:rsid w:val="0092543D"/>
    <w:rsid w:val="009254C2"/>
    <w:rsid w:val="009256BD"/>
    <w:rsid w:val="009256C2"/>
    <w:rsid w:val="00925748"/>
    <w:rsid w:val="009257F9"/>
    <w:rsid w:val="00925894"/>
    <w:rsid w:val="00925958"/>
    <w:rsid w:val="009259B0"/>
    <w:rsid w:val="00925A64"/>
    <w:rsid w:val="00925AF6"/>
    <w:rsid w:val="00925C19"/>
    <w:rsid w:val="00925C8E"/>
    <w:rsid w:val="00925CAD"/>
    <w:rsid w:val="00925CBA"/>
    <w:rsid w:val="00925CC1"/>
    <w:rsid w:val="00925D91"/>
    <w:rsid w:val="00925DC3"/>
    <w:rsid w:val="00925E0D"/>
    <w:rsid w:val="00925F47"/>
    <w:rsid w:val="00925FA1"/>
    <w:rsid w:val="00925FFB"/>
    <w:rsid w:val="00926068"/>
    <w:rsid w:val="00926168"/>
    <w:rsid w:val="009262CB"/>
    <w:rsid w:val="00926378"/>
    <w:rsid w:val="009263D5"/>
    <w:rsid w:val="0092653E"/>
    <w:rsid w:val="00926555"/>
    <w:rsid w:val="00926575"/>
    <w:rsid w:val="00926756"/>
    <w:rsid w:val="00926768"/>
    <w:rsid w:val="00926817"/>
    <w:rsid w:val="00926839"/>
    <w:rsid w:val="0092684E"/>
    <w:rsid w:val="009269BB"/>
    <w:rsid w:val="00926B4B"/>
    <w:rsid w:val="00926CD7"/>
    <w:rsid w:val="00926FE4"/>
    <w:rsid w:val="00927034"/>
    <w:rsid w:val="009270C5"/>
    <w:rsid w:val="00927125"/>
    <w:rsid w:val="00927172"/>
    <w:rsid w:val="00927190"/>
    <w:rsid w:val="0092719D"/>
    <w:rsid w:val="009271D3"/>
    <w:rsid w:val="00927248"/>
    <w:rsid w:val="009272BD"/>
    <w:rsid w:val="009273C8"/>
    <w:rsid w:val="0092741C"/>
    <w:rsid w:val="00927449"/>
    <w:rsid w:val="0092748F"/>
    <w:rsid w:val="009274ED"/>
    <w:rsid w:val="00927555"/>
    <w:rsid w:val="00927653"/>
    <w:rsid w:val="0092767F"/>
    <w:rsid w:val="0092768E"/>
    <w:rsid w:val="00927695"/>
    <w:rsid w:val="0092785D"/>
    <w:rsid w:val="009278BE"/>
    <w:rsid w:val="009278D2"/>
    <w:rsid w:val="0092799B"/>
    <w:rsid w:val="00927A3E"/>
    <w:rsid w:val="00927A4F"/>
    <w:rsid w:val="00927A6F"/>
    <w:rsid w:val="00927B44"/>
    <w:rsid w:val="00927C50"/>
    <w:rsid w:val="00927C7B"/>
    <w:rsid w:val="00927CE0"/>
    <w:rsid w:val="00927D10"/>
    <w:rsid w:val="00927DCB"/>
    <w:rsid w:val="00927E04"/>
    <w:rsid w:val="00927E36"/>
    <w:rsid w:val="00927E5C"/>
    <w:rsid w:val="00927E5F"/>
    <w:rsid w:val="00927F98"/>
    <w:rsid w:val="00927FCF"/>
    <w:rsid w:val="009300EB"/>
    <w:rsid w:val="00930115"/>
    <w:rsid w:val="00930163"/>
    <w:rsid w:val="00930258"/>
    <w:rsid w:val="009302B8"/>
    <w:rsid w:val="009302DC"/>
    <w:rsid w:val="009302FA"/>
    <w:rsid w:val="009303BA"/>
    <w:rsid w:val="0093055D"/>
    <w:rsid w:val="00930654"/>
    <w:rsid w:val="0093083E"/>
    <w:rsid w:val="00930919"/>
    <w:rsid w:val="00930A39"/>
    <w:rsid w:val="00930B4A"/>
    <w:rsid w:val="00930E55"/>
    <w:rsid w:val="00930F26"/>
    <w:rsid w:val="00930F59"/>
    <w:rsid w:val="00930FEE"/>
    <w:rsid w:val="0093101B"/>
    <w:rsid w:val="00931093"/>
    <w:rsid w:val="00931106"/>
    <w:rsid w:val="00931162"/>
    <w:rsid w:val="009314AB"/>
    <w:rsid w:val="009314E9"/>
    <w:rsid w:val="00931674"/>
    <w:rsid w:val="00931757"/>
    <w:rsid w:val="0093185E"/>
    <w:rsid w:val="009318F7"/>
    <w:rsid w:val="00931A23"/>
    <w:rsid w:val="00931BF8"/>
    <w:rsid w:val="00931E9C"/>
    <w:rsid w:val="00931F17"/>
    <w:rsid w:val="00932040"/>
    <w:rsid w:val="00932099"/>
    <w:rsid w:val="0093209B"/>
    <w:rsid w:val="009321FC"/>
    <w:rsid w:val="009322F2"/>
    <w:rsid w:val="0093230E"/>
    <w:rsid w:val="0093244F"/>
    <w:rsid w:val="0093254C"/>
    <w:rsid w:val="0093255F"/>
    <w:rsid w:val="009325AC"/>
    <w:rsid w:val="00932632"/>
    <w:rsid w:val="00932639"/>
    <w:rsid w:val="0093280E"/>
    <w:rsid w:val="0093298B"/>
    <w:rsid w:val="00932AE5"/>
    <w:rsid w:val="00932BF4"/>
    <w:rsid w:val="00932C64"/>
    <w:rsid w:val="00932C81"/>
    <w:rsid w:val="00932CB2"/>
    <w:rsid w:val="00932E26"/>
    <w:rsid w:val="00932E85"/>
    <w:rsid w:val="00932E93"/>
    <w:rsid w:val="00932F0C"/>
    <w:rsid w:val="00932F4F"/>
    <w:rsid w:val="00933066"/>
    <w:rsid w:val="009330B3"/>
    <w:rsid w:val="009330F5"/>
    <w:rsid w:val="0093312E"/>
    <w:rsid w:val="009331E8"/>
    <w:rsid w:val="0093324B"/>
    <w:rsid w:val="009332EE"/>
    <w:rsid w:val="00933353"/>
    <w:rsid w:val="0093343B"/>
    <w:rsid w:val="00933456"/>
    <w:rsid w:val="00933488"/>
    <w:rsid w:val="009334A2"/>
    <w:rsid w:val="0093351F"/>
    <w:rsid w:val="00933558"/>
    <w:rsid w:val="009335EF"/>
    <w:rsid w:val="009337D9"/>
    <w:rsid w:val="0093387B"/>
    <w:rsid w:val="00933970"/>
    <w:rsid w:val="00933A27"/>
    <w:rsid w:val="00933A78"/>
    <w:rsid w:val="00933B9F"/>
    <w:rsid w:val="00933BCB"/>
    <w:rsid w:val="00933BED"/>
    <w:rsid w:val="00933D38"/>
    <w:rsid w:val="00933DBB"/>
    <w:rsid w:val="00933E01"/>
    <w:rsid w:val="00933FFC"/>
    <w:rsid w:val="00934099"/>
    <w:rsid w:val="009340AA"/>
    <w:rsid w:val="0093432D"/>
    <w:rsid w:val="0093434C"/>
    <w:rsid w:val="00934365"/>
    <w:rsid w:val="009343A0"/>
    <w:rsid w:val="009343A7"/>
    <w:rsid w:val="00934500"/>
    <w:rsid w:val="00934550"/>
    <w:rsid w:val="009346B9"/>
    <w:rsid w:val="009346F1"/>
    <w:rsid w:val="00934855"/>
    <w:rsid w:val="00934881"/>
    <w:rsid w:val="00934937"/>
    <w:rsid w:val="00934A2F"/>
    <w:rsid w:val="00934AD1"/>
    <w:rsid w:val="00934B4A"/>
    <w:rsid w:val="00934B8B"/>
    <w:rsid w:val="00934DCE"/>
    <w:rsid w:val="00934E90"/>
    <w:rsid w:val="00934E96"/>
    <w:rsid w:val="00934F30"/>
    <w:rsid w:val="00934F34"/>
    <w:rsid w:val="00934FEA"/>
    <w:rsid w:val="00935087"/>
    <w:rsid w:val="009350F0"/>
    <w:rsid w:val="0093521A"/>
    <w:rsid w:val="00935235"/>
    <w:rsid w:val="0093526A"/>
    <w:rsid w:val="00935314"/>
    <w:rsid w:val="009353D8"/>
    <w:rsid w:val="00935448"/>
    <w:rsid w:val="009355BE"/>
    <w:rsid w:val="009355E6"/>
    <w:rsid w:val="009356AB"/>
    <w:rsid w:val="00935813"/>
    <w:rsid w:val="009358D1"/>
    <w:rsid w:val="00935A82"/>
    <w:rsid w:val="00935A90"/>
    <w:rsid w:val="00935CCF"/>
    <w:rsid w:val="00935D8F"/>
    <w:rsid w:val="00935FDF"/>
    <w:rsid w:val="00936047"/>
    <w:rsid w:val="0093606E"/>
    <w:rsid w:val="00936127"/>
    <w:rsid w:val="009361DF"/>
    <w:rsid w:val="00936200"/>
    <w:rsid w:val="00936253"/>
    <w:rsid w:val="00936356"/>
    <w:rsid w:val="0093635A"/>
    <w:rsid w:val="00936564"/>
    <w:rsid w:val="0093661D"/>
    <w:rsid w:val="009366A1"/>
    <w:rsid w:val="009366B0"/>
    <w:rsid w:val="009367A1"/>
    <w:rsid w:val="0093682F"/>
    <w:rsid w:val="009368A9"/>
    <w:rsid w:val="0093692C"/>
    <w:rsid w:val="00936944"/>
    <w:rsid w:val="00936948"/>
    <w:rsid w:val="00936981"/>
    <w:rsid w:val="009369FD"/>
    <w:rsid w:val="00936A24"/>
    <w:rsid w:val="00936A3F"/>
    <w:rsid w:val="00936B19"/>
    <w:rsid w:val="00936BA1"/>
    <w:rsid w:val="00936BA4"/>
    <w:rsid w:val="00936BD4"/>
    <w:rsid w:val="00936C2C"/>
    <w:rsid w:val="00936C44"/>
    <w:rsid w:val="00936CE6"/>
    <w:rsid w:val="00936CE7"/>
    <w:rsid w:val="00936DF3"/>
    <w:rsid w:val="00936E77"/>
    <w:rsid w:val="00936EE3"/>
    <w:rsid w:val="00936EF7"/>
    <w:rsid w:val="00936F6F"/>
    <w:rsid w:val="00936FAF"/>
    <w:rsid w:val="0093715D"/>
    <w:rsid w:val="0093720B"/>
    <w:rsid w:val="00937280"/>
    <w:rsid w:val="0093730E"/>
    <w:rsid w:val="009373C7"/>
    <w:rsid w:val="00937440"/>
    <w:rsid w:val="0093749F"/>
    <w:rsid w:val="009374BD"/>
    <w:rsid w:val="0093775F"/>
    <w:rsid w:val="0093783A"/>
    <w:rsid w:val="00937858"/>
    <w:rsid w:val="009378B3"/>
    <w:rsid w:val="00937937"/>
    <w:rsid w:val="00937C09"/>
    <w:rsid w:val="00937D39"/>
    <w:rsid w:val="00937E12"/>
    <w:rsid w:val="00937E69"/>
    <w:rsid w:val="00937FB8"/>
    <w:rsid w:val="009400BF"/>
    <w:rsid w:val="0094016E"/>
    <w:rsid w:val="0094016F"/>
    <w:rsid w:val="00940219"/>
    <w:rsid w:val="009404F3"/>
    <w:rsid w:val="00940516"/>
    <w:rsid w:val="0094056D"/>
    <w:rsid w:val="00940594"/>
    <w:rsid w:val="009406A1"/>
    <w:rsid w:val="009406BE"/>
    <w:rsid w:val="009406CE"/>
    <w:rsid w:val="0094071B"/>
    <w:rsid w:val="009407A2"/>
    <w:rsid w:val="009407FC"/>
    <w:rsid w:val="00940808"/>
    <w:rsid w:val="00940873"/>
    <w:rsid w:val="0094087A"/>
    <w:rsid w:val="009408CC"/>
    <w:rsid w:val="00940AF7"/>
    <w:rsid w:val="00940B9D"/>
    <w:rsid w:val="00940BFF"/>
    <w:rsid w:val="00940C72"/>
    <w:rsid w:val="00940CCD"/>
    <w:rsid w:val="00940CD8"/>
    <w:rsid w:val="00940D16"/>
    <w:rsid w:val="00940DE2"/>
    <w:rsid w:val="00940E56"/>
    <w:rsid w:val="00940F35"/>
    <w:rsid w:val="00940F81"/>
    <w:rsid w:val="00940F95"/>
    <w:rsid w:val="00940FBC"/>
    <w:rsid w:val="00941035"/>
    <w:rsid w:val="00941192"/>
    <w:rsid w:val="0094119F"/>
    <w:rsid w:val="00941246"/>
    <w:rsid w:val="00941263"/>
    <w:rsid w:val="009412C7"/>
    <w:rsid w:val="0094131A"/>
    <w:rsid w:val="0094136C"/>
    <w:rsid w:val="00941388"/>
    <w:rsid w:val="009413C7"/>
    <w:rsid w:val="00941462"/>
    <w:rsid w:val="009414A8"/>
    <w:rsid w:val="0094167F"/>
    <w:rsid w:val="00941840"/>
    <w:rsid w:val="00941851"/>
    <w:rsid w:val="00941871"/>
    <w:rsid w:val="00941878"/>
    <w:rsid w:val="009419A4"/>
    <w:rsid w:val="009419CD"/>
    <w:rsid w:val="009419DA"/>
    <w:rsid w:val="009419EC"/>
    <w:rsid w:val="00941A2D"/>
    <w:rsid w:val="00941A36"/>
    <w:rsid w:val="00941A70"/>
    <w:rsid w:val="00941A8A"/>
    <w:rsid w:val="00941CE0"/>
    <w:rsid w:val="00941DC2"/>
    <w:rsid w:val="00941E7B"/>
    <w:rsid w:val="00941ED2"/>
    <w:rsid w:val="00941ED9"/>
    <w:rsid w:val="00941F18"/>
    <w:rsid w:val="00941F73"/>
    <w:rsid w:val="00941FAA"/>
    <w:rsid w:val="00941FBC"/>
    <w:rsid w:val="009420A4"/>
    <w:rsid w:val="0094212A"/>
    <w:rsid w:val="00942168"/>
    <w:rsid w:val="00942173"/>
    <w:rsid w:val="009423AB"/>
    <w:rsid w:val="009423C5"/>
    <w:rsid w:val="00942502"/>
    <w:rsid w:val="00942580"/>
    <w:rsid w:val="009426DF"/>
    <w:rsid w:val="0094272F"/>
    <w:rsid w:val="009427F0"/>
    <w:rsid w:val="00942821"/>
    <w:rsid w:val="009428F3"/>
    <w:rsid w:val="00942990"/>
    <w:rsid w:val="00942999"/>
    <w:rsid w:val="009429E5"/>
    <w:rsid w:val="00942A1E"/>
    <w:rsid w:val="00942A74"/>
    <w:rsid w:val="00942AEE"/>
    <w:rsid w:val="00942BD3"/>
    <w:rsid w:val="00942CD8"/>
    <w:rsid w:val="00942E2F"/>
    <w:rsid w:val="00943060"/>
    <w:rsid w:val="00943331"/>
    <w:rsid w:val="0094335E"/>
    <w:rsid w:val="00943408"/>
    <w:rsid w:val="00943457"/>
    <w:rsid w:val="0094351F"/>
    <w:rsid w:val="009435A4"/>
    <w:rsid w:val="0094364C"/>
    <w:rsid w:val="00943744"/>
    <w:rsid w:val="00943825"/>
    <w:rsid w:val="00943938"/>
    <w:rsid w:val="009439BE"/>
    <w:rsid w:val="00943CF2"/>
    <w:rsid w:val="00943E3F"/>
    <w:rsid w:val="00943E9E"/>
    <w:rsid w:val="00943EB3"/>
    <w:rsid w:val="00943F0F"/>
    <w:rsid w:val="00943F5B"/>
    <w:rsid w:val="00943FF9"/>
    <w:rsid w:val="00944065"/>
    <w:rsid w:val="00944225"/>
    <w:rsid w:val="009443A7"/>
    <w:rsid w:val="009444E4"/>
    <w:rsid w:val="0094458B"/>
    <w:rsid w:val="00944716"/>
    <w:rsid w:val="009448B1"/>
    <w:rsid w:val="009448B4"/>
    <w:rsid w:val="009449B0"/>
    <w:rsid w:val="00944B1A"/>
    <w:rsid w:val="00944B7D"/>
    <w:rsid w:val="00944BF9"/>
    <w:rsid w:val="00944C06"/>
    <w:rsid w:val="00944D3D"/>
    <w:rsid w:val="00944EAC"/>
    <w:rsid w:val="00945132"/>
    <w:rsid w:val="009451AD"/>
    <w:rsid w:val="009451E8"/>
    <w:rsid w:val="009451FB"/>
    <w:rsid w:val="00945362"/>
    <w:rsid w:val="0094545F"/>
    <w:rsid w:val="009454C9"/>
    <w:rsid w:val="0094555E"/>
    <w:rsid w:val="00945641"/>
    <w:rsid w:val="009456BF"/>
    <w:rsid w:val="00945805"/>
    <w:rsid w:val="009458E7"/>
    <w:rsid w:val="00945946"/>
    <w:rsid w:val="00945B3E"/>
    <w:rsid w:val="00945C29"/>
    <w:rsid w:val="00945C5E"/>
    <w:rsid w:val="00945D2F"/>
    <w:rsid w:val="00945D6E"/>
    <w:rsid w:val="00945DA6"/>
    <w:rsid w:val="00945E00"/>
    <w:rsid w:val="00945E77"/>
    <w:rsid w:val="00945EA2"/>
    <w:rsid w:val="00945ED4"/>
    <w:rsid w:val="00945F19"/>
    <w:rsid w:val="0094600F"/>
    <w:rsid w:val="00946315"/>
    <w:rsid w:val="00946414"/>
    <w:rsid w:val="009464F6"/>
    <w:rsid w:val="0094657C"/>
    <w:rsid w:val="00946804"/>
    <w:rsid w:val="00946907"/>
    <w:rsid w:val="009469A2"/>
    <w:rsid w:val="009469B7"/>
    <w:rsid w:val="00946A3C"/>
    <w:rsid w:val="00946A7E"/>
    <w:rsid w:val="00946B31"/>
    <w:rsid w:val="00946C2D"/>
    <w:rsid w:val="00946C3F"/>
    <w:rsid w:val="00946D22"/>
    <w:rsid w:val="00946DD9"/>
    <w:rsid w:val="00946E93"/>
    <w:rsid w:val="00946FA7"/>
    <w:rsid w:val="0094704E"/>
    <w:rsid w:val="0094707E"/>
    <w:rsid w:val="00947084"/>
    <w:rsid w:val="00947151"/>
    <w:rsid w:val="009471D1"/>
    <w:rsid w:val="00947220"/>
    <w:rsid w:val="0094728E"/>
    <w:rsid w:val="009472F3"/>
    <w:rsid w:val="0094748A"/>
    <w:rsid w:val="0094748E"/>
    <w:rsid w:val="009475A5"/>
    <w:rsid w:val="0094768A"/>
    <w:rsid w:val="009477E3"/>
    <w:rsid w:val="00947829"/>
    <w:rsid w:val="0094787D"/>
    <w:rsid w:val="00947906"/>
    <w:rsid w:val="009479D8"/>
    <w:rsid w:val="00947AC8"/>
    <w:rsid w:val="00947ACF"/>
    <w:rsid w:val="00947B6A"/>
    <w:rsid w:val="00947B7C"/>
    <w:rsid w:val="00947C7E"/>
    <w:rsid w:val="00947D2C"/>
    <w:rsid w:val="00947DF1"/>
    <w:rsid w:val="00947DFD"/>
    <w:rsid w:val="00947F09"/>
    <w:rsid w:val="00947F9A"/>
    <w:rsid w:val="00950009"/>
    <w:rsid w:val="0095004F"/>
    <w:rsid w:val="0095007A"/>
    <w:rsid w:val="009501AD"/>
    <w:rsid w:val="0095021B"/>
    <w:rsid w:val="00950289"/>
    <w:rsid w:val="00950291"/>
    <w:rsid w:val="009502B7"/>
    <w:rsid w:val="009502D5"/>
    <w:rsid w:val="00950312"/>
    <w:rsid w:val="009503E7"/>
    <w:rsid w:val="009504F4"/>
    <w:rsid w:val="0095050E"/>
    <w:rsid w:val="009505D8"/>
    <w:rsid w:val="009506DF"/>
    <w:rsid w:val="009508B4"/>
    <w:rsid w:val="00950936"/>
    <w:rsid w:val="009509DB"/>
    <w:rsid w:val="00950A07"/>
    <w:rsid w:val="00950A35"/>
    <w:rsid w:val="00950A47"/>
    <w:rsid w:val="00950BF3"/>
    <w:rsid w:val="00950C19"/>
    <w:rsid w:val="00950C81"/>
    <w:rsid w:val="00950CA4"/>
    <w:rsid w:val="00950CC4"/>
    <w:rsid w:val="00950DCB"/>
    <w:rsid w:val="00950E8C"/>
    <w:rsid w:val="00950ED6"/>
    <w:rsid w:val="00950F9A"/>
    <w:rsid w:val="00950FC2"/>
    <w:rsid w:val="00950FDE"/>
    <w:rsid w:val="00950FF8"/>
    <w:rsid w:val="00951011"/>
    <w:rsid w:val="0095111F"/>
    <w:rsid w:val="00951198"/>
    <w:rsid w:val="00951204"/>
    <w:rsid w:val="00951210"/>
    <w:rsid w:val="009512E7"/>
    <w:rsid w:val="00951449"/>
    <w:rsid w:val="009514D7"/>
    <w:rsid w:val="0095151D"/>
    <w:rsid w:val="00951559"/>
    <w:rsid w:val="00951588"/>
    <w:rsid w:val="009517AF"/>
    <w:rsid w:val="009517F8"/>
    <w:rsid w:val="009519AF"/>
    <w:rsid w:val="00951ADD"/>
    <w:rsid w:val="00951AF3"/>
    <w:rsid w:val="00951BB7"/>
    <w:rsid w:val="00951D7F"/>
    <w:rsid w:val="00951DE0"/>
    <w:rsid w:val="00951F4E"/>
    <w:rsid w:val="00951FF0"/>
    <w:rsid w:val="0095210B"/>
    <w:rsid w:val="0095210F"/>
    <w:rsid w:val="0095214D"/>
    <w:rsid w:val="009521DB"/>
    <w:rsid w:val="009521F0"/>
    <w:rsid w:val="009521FE"/>
    <w:rsid w:val="00952204"/>
    <w:rsid w:val="009522AA"/>
    <w:rsid w:val="00952319"/>
    <w:rsid w:val="00952374"/>
    <w:rsid w:val="0095243A"/>
    <w:rsid w:val="0095251E"/>
    <w:rsid w:val="00952586"/>
    <w:rsid w:val="0095259F"/>
    <w:rsid w:val="009525BD"/>
    <w:rsid w:val="00952680"/>
    <w:rsid w:val="009526F5"/>
    <w:rsid w:val="00952706"/>
    <w:rsid w:val="00952945"/>
    <w:rsid w:val="00952986"/>
    <w:rsid w:val="00952AC0"/>
    <w:rsid w:val="00952B22"/>
    <w:rsid w:val="00952C3A"/>
    <w:rsid w:val="00952C63"/>
    <w:rsid w:val="00952CA1"/>
    <w:rsid w:val="00952EAF"/>
    <w:rsid w:val="0095300E"/>
    <w:rsid w:val="009530D2"/>
    <w:rsid w:val="009530F9"/>
    <w:rsid w:val="00953116"/>
    <w:rsid w:val="00953309"/>
    <w:rsid w:val="0095332D"/>
    <w:rsid w:val="0095337B"/>
    <w:rsid w:val="009533B7"/>
    <w:rsid w:val="0095340F"/>
    <w:rsid w:val="009534B9"/>
    <w:rsid w:val="009534DE"/>
    <w:rsid w:val="00953512"/>
    <w:rsid w:val="00953518"/>
    <w:rsid w:val="00953541"/>
    <w:rsid w:val="009536D4"/>
    <w:rsid w:val="009536D5"/>
    <w:rsid w:val="00953711"/>
    <w:rsid w:val="009537AB"/>
    <w:rsid w:val="009537EC"/>
    <w:rsid w:val="00953849"/>
    <w:rsid w:val="0095386E"/>
    <w:rsid w:val="009538BD"/>
    <w:rsid w:val="00953A34"/>
    <w:rsid w:val="00953C39"/>
    <w:rsid w:val="00953D72"/>
    <w:rsid w:val="00953F1C"/>
    <w:rsid w:val="00953F4A"/>
    <w:rsid w:val="00953F81"/>
    <w:rsid w:val="00953FE0"/>
    <w:rsid w:val="00953FED"/>
    <w:rsid w:val="0095405D"/>
    <w:rsid w:val="009541F4"/>
    <w:rsid w:val="0095420D"/>
    <w:rsid w:val="00954222"/>
    <w:rsid w:val="00954250"/>
    <w:rsid w:val="009545DC"/>
    <w:rsid w:val="0095462F"/>
    <w:rsid w:val="009546AB"/>
    <w:rsid w:val="0095479F"/>
    <w:rsid w:val="009547F1"/>
    <w:rsid w:val="009547FB"/>
    <w:rsid w:val="0095486D"/>
    <w:rsid w:val="00954871"/>
    <w:rsid w:val="00954879"/>
    <w:rsid w:val="00954883"/>
    <w:rsid w:val="009548B5"/>
    <w:rsid w:val="00954959"/>
    <w:rsid w:val="00954B42"/>
    <w:rsid w:val="00954B9E"/>
    <w:rsid w:val="00954DB1"/>
    <w:rsid w:val="00954DD5"/>
    <w:rsid w:val="00954F87"/>
    <w:rsid w:val="00954FF8"/>
    <w:rsid w:val="009550B2"/>
    <w:rsid w:val="00955151"/>
    <w:rsid w:val="00955267"/>
    <w:rsid w:val="009552A4"/>
    <w:rsid w:val="009554A6"/>
    <w:rsid w:val="00955521"/>
    <w:rsid w:val="0095563C"/>
    <w:rsid w:val="00955691"/>
    <w:rsid w:val="00955725"/>
    <w:rsid w:val="009557B6"/>
    <w:rsid w:val="009557BB"/>
    <w:rsid w:val="0095580D"/>
    <w:rsid w:val="009558CE"/>
    <w:rsid w:val="0095594F"/>
    <w:rsid w:val="00955A1E"/>
    <w:rsid w:val="00955A37"/>
    <w:rsid w:val="00955A63"/>
    <w:rsid w:val="00955A8A"/>
    <w:rsid w:val="00955AD6"/>
    <w:rsid w:val="00955B03"/>
    <w:rsid w:val="00955C28"/>
    <w:rsid w:val="00955D2C"/>
    <w:rsid w:val="00955D95"/>
    <w:rsid w:val="00955DCC"/>
    <w:rsid w:val="00955DFC"/>
    <w:rsid w:val="00955E70"/>
    <w:rsid w:val="00955F20"/>
    <w:rsid w:val="00955F93"/>
    <w:rsid w:val="00956003"/>
    <w:rsid w:val="0095600A"/>
    <w:rsid w:val="00956192"/>
    <w:rsid w:val="009561CC"/>
    <w:rsid w:val="009561EE"/>
    <w:rsid w:val="00956215"/>
    <w:rsid w:val="0095631D"/>
    <w:rsid w:val="00956325"/>
    <w:rsid w:val="009564C6"/>
    <w:rsid w:val="0095651E"/>
    <w:rsid w:val="009565EC"/>
    <w:rsid w:val="0095661C"/>
    <w:rsid w:val="00956638"/>
    <w:rsid w:val="0095663E"/>
    <w:rsid w:val="0095663F"/>
    <w:rsid w:val="009566E1"/>
    <w:rsid w:val="00956723"/>
    <w:rsid w:val="0095674A"/>
    <w:rsid w:val="0095684B"/>
    <w:rsid w:val="00956885"/>
    <w:rsid w:val="0095692E"/>
    <w:rsid w:val="00956976"/>
    <w:rsid w:val="00956AEB"/>
    <w:rsid w:val="00956B21"/>
    <w:rsid w:val="00956B34"/>
    <w:rsid w:val="00956C59"/>
    <w:rsid w:val="00956C65"/>
    <w:rsid w:val="00956CA3"/>
    <w:rsid w:val="00956D52"/>
    <w:rsid w:val="00956D9F"/>
    <w:rsid w:val="00956DD3"/>
    <w:rsid w:val="00956DF8"/>
    <w:rsid w:val="00956E0B"/>
    <w:rsid w:val="00956E19"/>
    <w:rsid w:val="00956E71"/>
    <w:rsid w:val="00957082"/>
    <w:rsid w:val="009570A1"/>
    <w:rsid w:val="009570EE"/>
    <w:rsid w:val="0095719C"/>
    <w:rsid w:val="009571C4"/>
    <w:rsid w:val="009572CC"/>
    <w:rsid w:val="009572D4"/>
    <w:rsid w:val="0095732B"/>
    <w:rsid w:val="009574E3"/>
    <w:rsid w:val="0095752F"/>
    <w:rsid w:val="00957669"/>
    <w:rsid w:val="00957684"/>
    <w:rsid w:val="0095784D"/>
    <w:rsid w:val="009578A2"/>
    <w:rsid w:val="0095795B"/>
    <w:rsid w:val="00957960"/>
    <w:rsid w:val="00957980"/>
    <w:rsid w:val="00957A0E"/>
    <w:rsid w:val="00957A4C"/>
    <w:rsid w:val="00957AD5"/>
    <w:rsid w:val="00957BA0"/>
    <w:rsid w:val="00957BE7"/>
    <w:rsid w:val="00957C02"/>
    <w:rsid w:val="00957E71"/>
    <w:rsid w:val="00957E8C"/>
    <w:rsid w:val="00957EAD"/>
    <w:rsid w:val="00957F58"/>
    <w:rsid w:val="00957F95"/>
    <w:rsid w:val="00957FD8"/>
    <w:rsid w:val="00957FFD"/>
    <w:rsid w:val="00960032"/>
    <w:rsid w:val="0096015F"/>
    <w:rsid w:val="0096027A"/>
    <w:rsid w:val="009603F2"/>
    <w:rsid w:val="009603FE"/>
    <w:rsid w:val="009604D0"/>
    <w:rsid w:val="00960667"/>
    <w:rsid w:val="009606CE"/>
    <w:rsid w:val="00960757"/>
    <w:rsid w:val="009607F1"/>
    <w:rsid w:val="00960807"/>
    <w:rsid w:val="009608FB"/>
    <w:rsid w:val="009608FC"/>
    <w:rsid w:val="00960974"/>
    <w:rsid w:val="009609B8"/>
    <w:rsid w:val="00960ACF"/>
    <w:rsid w:val="00960C5F"/>
    <w:rsid w:val="00960CC7"/>
    <w:rsid w:val="00960E49"/>
    <w:rsid w:val="00960ED5"/>
    <w:rsid w:val="00960EF9"/>
    <w:rsid w:val="00960F31"/>
    <w:rsid w:val="00960FC6"/>
    <w:rsid w:val="00961021"/>
    <w:rsid w:val="00961113"/>
    <w:rsid w:val="00961193"/>
    <w:rsid w:val="00961262"/>
    <w:rsid w:val="00961316"/>
    <w:rsid w:val="0096139E"/>
    <w:rsid w:val="009613CF"/>
    <w:rsid w:val="009614BC"/>
    <w:rsid w:val="0096151E"/>
    <w:rsid w:val="009615F0"/>
    <w:rsid w:val="009616EA"/>
    <w:rsid w:val="0096170E"/>
    <w:rsid w:val="0096171F"/>
    <w:rsid w:val="009617DF"/>
    <w:rsid w:val="0096189F"/>
    <w:rsid w:val="00961966"/>
    <w:rsid w:val="00961976"/>
    <w:rsid w:val="00961979"/>
    <w:rsid w:val="00961A22"/>
    <w:rsid w:val="00961AA6"/>
    <w:rsid w:val="00961BB2"/>
    <w:rsid w:val="00961C4F"/>
    <w:rsid w:val="00961CB0"/>
    <w:rsid w:val="00961D55"/>
    <w:rsid w:val="00961D93"/>
    <w:rsid w:val="00961E91"/>
    <w:rsid w:val="00961E94"/>
    <w:rsid w:val="00961F0C"/>
    <w:rsid w:val="0096215B"/>
    <w:rsid w:val="0096216B"/>
    <w:rsid w:val="0096219C"/>
    <w:rsid w:val="00962291"/>
    <w:rsid w:val="0096236F"/>
    <w:rsid w:val="009623F8"/>
    <w:rsid w:val="009624BE"/>
    <w:rsid w:val="009624C4"/>
    <w:rsid w:val="00962576"/>
    <w:rsid w:val="0096260E"/>
    <w:rsid w:val="00962643"/>
    <w:rsid w:val="009626B5"/>
    <w:rsid w:val="009626D1"/>
    <w:rsid w:val="009626F0"/>
    <w:rsid w:val="009627F0"/>
    <w:rsid w:val="0096280E"/>
    <w:rsid w:val="009628C1"/>
    <w:rsid w:val="00962971"/>
    <w:rsid w:val="009629F0"/>
    <w:rsid w:val="00962A79"/>
    <w:rsid w:val="00962AD3"/>
    <w:rsid w:val="00962B38"/>
    <w:rsid w:val="00962B60"/>
    <w:rsid w:val="00962B6A"/>
    <w:rsid w:val="00962B72"/>
    <w:rsid w:val="00962BD1"/>
    <w:rsid w:val="00962C8D"/>
    <w:rsid w:val="00962CE9"/>
    <w:rsid w:val="00962E0C"/>
    <w:rsid w:val="00962F6F"/>
    <w:rsid w:val="00962F87"/>
    <w:rsid w:val="00963131"/>
    <w:rsid w:val="0096322E"/>
    <w:rsid w:val="009634E3"/>
    <w:rsid w:val="0096358E"/>
    <w:rsid w:val="009635CA"/>
    <w:rsid w:val="009635EA"/>
    <w:rsid w:val="0096373A"/>
    <w:rsid w:val="009637DB"/>
    <w:rsid w:val="00963904"/>
    <w:rsid w:val="00963A0D"/>
    <w:rsid w:val="00963A9C"/>
    <w:rsid w:val="00963AEC"/>
    <w:rsid w:val="00963BDD"/>
    <w:rsid w:val="00963C46"/>
    <w:rsid w:val="00963C68"/>
    <w:rsid w:val="00963C80"/>
    <w:rsid w:val="00963DE6"/>
    <w:rsid w:val="00963E1F"/>
    <w:rsid w:val="00963E62"/>
    <w:rsid w:val="00963F92"/>
    <w:rsid w:val="00964002"/>
    <w:rsid w:val="00964015"/>
    <w:rsid w:val="00964116"/>
    <w:rsid w:val="009644F4"/>
    <w:rsid w:val="0096451F"/>
    <w:rsid w:val="009645B3"/>
    <w:rsid w:val="00964672"/>
    <w:rsid w:val="009647D1"/>
    <w:rsid w:val="009647E5"/>
    <w:rsid w:val="00964852"/>
    <w:rsid w:val="0096489F"/>
    <w:rsid w:val="009648A7"/>
    <w:rsid w:val="009648B9"/>
    <w:rsid w:val="009648F2"/>
    <w:rsid w:val="00964AEF"/>
    <w:rsid w:val="00964B14"/>
    <w:rsid w:val="00964BD3"/>
    <w:rsid w:val="00964DFA"/>
    <w:rsid w:val="00964E37"/>
    <w:rsid w:val="00964ED7"/>
    <w:rsid w:val="00964FC4"/>
    <w:rsid w:val="0096502F"/>
    <w:rsid w:val="00965058"/>
    <w:rsid w:val="009652C8"/>
    <w:rsid w:val="0096554E"/>
    <w:rsid w:val="0096561D"/>
    <w:rsid w:val="00965695"/>
    <w:rsid w:val="009656E6"/>
    <w:rsid w:val="009656EC"/>
    <w:rsid w:val="00965818"/>
    <w:rsid w:val="0096588A"/>
    <w:rsid w:val="009658F0"/>
    <w:rsid w:val="00965973"/>
    <w:rsid w:val="00965979"/>
    <w:rsid w:val="00965A0A"/>
    <w:rsid w:val="00965A20"/>
    <w:rsid w:val="00965AB5"/>
    <w:rsid w:val="00965AFD"/>
    <w:rsid w:val="00965B2C"/>
    <w:rsid w:val="00965B36"/>
    <w:rsid w:val="00965C08"/>
    <w:rsid w:val="00965C9A"/>
    <w:rsid w:val="00965F57"/>
    <w:rsid w:val="00965FB4"/>
    <w:rsid w:val="00966071"/>
    <w:rsid w:val="00966080"/>
    <w:rsid w:val="00966083"/>
    <w:rsid w:val="009661A0"/>
    <w:rsid w:val="00966271"/>
    <w:rsid w:val="00966338"/>
    <w:rsid w:val="0096637B"/>
    <w:rsid w:val="00966387"/>
    <w:rsid w:val="009663DF"/>
    <w:rsid w:val="00966464"/>
    <w:rsid w:val="00966476"/>
    <w:rsid w:val="009664E4"/>
    <w:rsid w:val="00966616"/>
    <w:rsid w:val="0096665B"/>
    <w:rsid w:val="0096668D"/>
    <w:rsid w:val="009666E3"/>
    <w:rsid w:val="009667D8"/>
    <w:rsid w:val="00966870"/>
    <w:rsid w:val="0096689E"/>
    <w:rsid w:val="009668CA"/>
    <w:rsid w:val="00966988"/>
    <w:rsid w:val="00966A85"/>
    <w:rsid w:val="00966AD1"/>
    <w:rsid w:val="00966B0C"/>
    <w:rsid w:val="00966B1F"/>
    <w:rsid w:val="00966B3D"/>
    <w:rsid w:val="00966B62"/>
    <w:rsid w:val="00966BAF"/>
    <w:rsid w:val="00966BD3"/>
    <w:rsid w:val="00966C39"/>
    <w:rsid w:val="00966C43"/>
    <w:rsid w:val="00966CA4"/>
    <w:rsid w:val="00966CE6"/>
    <w:rsid w:val="00966DF9"/>
    <w:rsid w:val="00966F3F"/>
    <w:rsid w:val="00966FE9"/>
    <w:rsid w:val="009671CD"/>
    <w:rsid w:val="00967394"/>
    <w:rsid w:val="009673F7"/>
    <w:rsid w:val="0096741B"/>
    <w:rsid w:val="00967571"/>
    <w:rsid w:val="00967581"/>
    <w:rsid w:val="009675CB"/>
    <w:rsid w:val="009675F7"/>
    <w:rsid w:val="00967634"/>
    <w:rsid w:val="009676A9"/>
    <w:rsid w:val="00967964"/>
    <w:rsid w:val="009679BE"/>
    <w:rsid w:val="009679F0"/>
    <w:rsid w:val="00967B78"/>
    <w:rsid w:val="00967CBB"/>
    <w:rsid w:val="00967D47"/>
    <w:rsid w:val="009700CC"/>
    <w:rsid w:val="00970285"/>
    <w:rsid w:val="00970348"/>
    <w:rsid w:val="00970376"/>
    <w:rsid w:val="0097043B"/>
    <w:rsid w:val="0097051B"/>
    <w:rsid w:val="00970622"/>
    <w:rsid w:val="009706A6"/>
    <w:rsid w:val="00970767"/>
    <w:rsid w:val="00970923"/>
    <w:rsid w:val="00970B0B"/>
    <w:rsid w:val="00970C85"/>
    <w:rsid w:val="00970CD6"/>
    <w:rsid w:val="00970DA4"/>
    <w:rsid w:val="00970DCA"/>
    <w:rsid w:val="00970EEA"/>
    <w:rsid w:val="00970F37"/>
    <w:rsid w:val="00970F78"/>
    <w:rsid w:val="0097102B"/>
    <w:rsid w:val="00971068"/>
    <w:rsid w:val="00971110"/>
    <w:rsid w:val="009714F7"/>
    <w:rsid w:val="009715AB"/>
    <w:rsid w:val="009716C0"/>
    <w:rsid w:val="009717B9"/>
    <w:rsid w:val="00971B2F"/>
    <w:rsid w:val="00971BEA"/>
    <w:rsid w:val="00971D9D"/>
    <w:rsid w:val="00971DB0"/>
    <w:rsid w:val="00971EE5"/>
    <w:rsid w:val="00971EE8"/>
    <w:rsid w:val="00972009"/>
    <w:rsid w:val="00972012"/>
    <w:rsid w:val="00972078"/>
    <w:rsid w:val="0097208F"/>
    <w:rsid w:val="00972218"/>
    <w:rsid w:val="009722B5"/>
    <w:rsid w:val="009723A8"/>
    <w:rsid w:val="009723DD"/>
    <w:rsid w:val="00972464"/>
    <w:rsid w:val="009724C5"/>
    <w:rsid w:val="00972515"/>
    <w:rsid w:val="00972543"/>
    <w:rsid w:val="00972613"/>
    <w:rsid w:val="00972654"/>
    <w:rsid w:val="009726E9"/>
    <w:rsid w:val="00972733"/>
    <w:rsid w:val="0097275A"/>
    <w:rsid w:val="0097288B"/>
    <w:rsid w:val="00972892"/>
    <w:rsid w:val="009728BB"/>
    <w:rsid w:val="009728FF"/>
    <w:rsid w:val="0097290A"/>
    <w:rsid w:val="0097291E"/>
    <w:rsid w:val="009729AD"/>
    <w:rsid w:val="009729B1"/>
    <w:rsid w:val="00972B5B"/>
    <w:rsid w:val="00972C06"/>
    <w:rsid w:val="00972EC7"/>
    <w:rsid w:val="00972FA1"/>
    <w:rsid w:val="00972FCD"/>
    <w:rsid w:val="009730F5"/>
    <w:rsid w:val="00973213"/>
    <w:rsid w:val="00973224"/>
    <w:rsid w:val="00973369"/>
    <w:rsid w:val="00973439"/>
    <w:rsid w:val="009734FF"/>
    <w:rsid w:val="00973605"/>
    <w:rsid w:val="0097362D"/>
    <w:rsid w:val="0097366B"/>
    <w:rsid w:val="0097368C"/>
    <w:rsid w:val="0097387A"/>
    <w:rsid w:val="00973974"/>
    <w:rsid w:val="009739B5"/>
    <w:rsid w:val="00973A84"/>
    <w:rsid w:val="00973C65"/>
    <w:rsid w:val="00973C7A"/>
    <w:rsid w:val="00973C96"/>
    <w:rsid w:val="00973CDF"/>
    <w:rsid w:val="00973DC7"/>
    <w:rsid w:val="00973DFD"/>
    <w:rsid w:val="00973F4B"/>
    <w:rsid w:val="00973FD0"/>
    <w:rsid w:val="00974082"/>
    <w:rsid w:val="00974099"/>
    <w:rsid w:val="0097413B"/>
    <w:rsid w:val="00974161"/>
    <w:rsid w:val="0097420D"/>
    <w:rsid w:val="0097437F"/>
    <w:rsid w:val="00974456"/>
    <w:rsid w:val="0097460D"/>
    <w:rsid w:val="00974623"/>
    <w:rsid w:val="009746B3"/>
    <w:rsid w:val="00974776"/>
    <w:rsid w:val="0097499A"/>
    <w:rsid w:val="009749EC"/>
    <w:rsid w:val="00974C99"/>
    <w:rsid w:val="00974D12"/>
    <w:rsid w:val="00974DAE"/>
    <w:rsid w:val="00974DE0"/>
    <w:rsid w:val="00974E1B"/>
    <w:rsid w:val="00974E1D"/>
    <w:rsid w:val="00974E9A"/>
    <w:rsid w:val="00974F21"/>
    <w:rsid w:val="00974FA9"/>
    <w:rsid w:val="0097535A"/>
    <w:rsid w:val="0097540D"/>
    <w:rsid w:val="00975480"/>
    <w:rsid w:val="009754C3"/>
    <w:rsid w:val="00975581"/>
    <w:rsid w:val="009755CE"/>
    <w:rsid w:val="009755F8"/>
    <w:rsid w:val="009756C4"/>
    <w:rsid w:val="0097579C"/>
    <w:rsid w:val="00975867"/>
    <w:rsid w:val="009758A4"/>
    <w:rsid w:val="009758AB"/>
    <w:rsid w:val="009758F0"/>
    <w:rsid w:val="009758F4"/>
    <w:rsid w:val="009759AF"/>
    <w:rsid w:val="00975A3C"/>
    <w:rsid w:val="00975D51"/>
    <w:rsid w:val="00975E48"/>
    <w:rsid w:val="00975EA4"/>
    <w:rsid w:val="00975F57"/>
    <w:rsid w:val="0097601B"/>
    <w:rsid w:val="0097606A"/>
    <w:rsid w:val="0097616F"/>
    <w:rsid w:val="009761D5"/>
    <w:rsid w:val="00976231"/>
    <w:rsid w:val="00976250"/>
    <w:rsid w:val="00976269"/>
    <w:rsid w:val="0097626D"/>
    <w:rsid w:val="009762B1"/>
    <w:rsid w:val="00976301"/>
    <w:rsid w:val="009763B3"/>
    <w:rsid w:val="00976505"/>
    <w:rsid w:val="0097653B"/>
    <w:rsid w:val="00976589"/>
    <w:rsid w:val="0097664B"/>
    <w:rsid w:val="00976747"/>
    <w:rsid w:val="0097677E"/>
    <w:rsid w:val="009768B9"/>
    <w:rsid w:val="00976988"/>
    <w:rsid w:val="009769BE"/>
    <w:rsid w:val="00976A4E"/>
    <w:rsid w:val="00976B33"/>
    <w:rsid w:val="00976B66"/>
    <w:rsid w:val="00976C30"/>
    <w:rsid w:val="00976CD0"/>
    <w:rsid w:val="00976CD1"/>
    <w:rsid w:val="00976E6C"/>
    <w:rsid w:val="00976EB6"/>
    <w:rsid w:val="009770A5"/>
    <w:rsid w:val="00977271"/>
    <w:rsid w:val="00977340"/>
    <w:rsid w:val="009774DE"/>
    <w:rsid w:val="009774E2"/>
    <w:rsid w:val="0097750E"/>
    <w:rsid w:val="00977587"/>
    <w:rsid w:val="00977611"/>
    <w:rsid w:val="00977886"/>
    <w:rsid w:val="00977943"/>
    <w:rsid w:val="00977970"/>
    <w:rsid w:val="009779E8"/>
    <w:rsid w:val="00977A20"/>
    <w:rsid w:val="00977BEA"/>
    <w:rsid w:val="00977C6E"/>
    <w:rsid w:val="00977C9C"/>
    <w:rsid w:val="00977CA1"/>
    <w:rsid w:val="00977D0F"/>
    <w:rsid w:val="00977DF1"/>
    <w:rsid w:val="00977DF7"/>
    <w:rsid w:val="00977F9D"/>
    <w:rsid w:val="00980013"/>
    <w:rsid w:val="0098001C"/>
    <w:rsid w:val="00980058"/>
    <w:rsid w:val="00980132"/>
    <w:rsid w:val="0098013E"/>
    <w:rsid w:val="009801A4"/>
    <w:rsid w:val="0098030A"/>
    <w:rsid w:val="0098033E"/>
    <w:rsid w:val="009803AF"/>
    <w:rsid w:val="00980405"/>
    <w:rsid w:val="00980433"/>
    <w:rsid w:val="009804F5"/>
    <w:rsid w:val="0098060C"/>
    <w:rsid w:val="00980761"/>
    <w:rsid w:val="009807C9"/>
    <w:rsid w:val="0098084D"/>
    <w:rsid w:val="0098086C"/>
    <w:rsid w:val="00980BAA"/>
    <w:rsid w:val="00980BB9"/>
    <w:rsid w:val="00980C72"/>
    <w:rsid w:val="00980EE4"/>
    <w:rsid w:val="00980F10"/>
    <w:rsid w:val="00980FA2"/>
    <w:rsid w:val="00980FB1"/>
    <w:rsid w:val="00981018"/>
    <w:rsid w:val="0098106A"/>
    <w:rsid w:val="009810D3"/>
    <w:rsid w:val="009812DE"/>
    <w:rsid w:val="0098144F"/>
    <w:rsid w:val="00981484"/>
    <w:rsid w:val="00981490"/>
    <w:rsid w:val="009814F0"/>
    <w:rsid w:val="009815DB"/>
    <w:rsid w:val="00981650"/>
    <w:rsid w:val="00981666"/>
    <w:rsid w:val="00981797"/>
    <w:rsid w:val="009817BD"/>
    <w:rsid w:val="00981818"/>
    <w:rsid w:val="00981919"/>
    <w:rsid w:val="00981AE9"/>
    <w:rsid w:val="00981AFA"/>
    <w:rsid w:val="00981C40"/>
    <w:rsid w:val="00981C7A"/>
    <w:rsid w:val="00981D60"/>
    <w:rsid w:val="00981DF4"/>
    <w:rsid w:val="00981E55"/>
    <w:rsid w:val="00981E59"/>
    <w:rsid w:val="00981E6C"/>
    <w:rsid w:val="00981E9D"/>
    <w:rsid w:val="0098204B"/>
    <w:rsid w:val="00982185"/>
    <w:rsid w:val="00982186"/>
    <w:rsid w:val="009821A1"/>
    <w:rsid w:val="009822D7"/>
    <w:rsid w:val="009822DC"/>
    <w:rsid w:val="0098232E"/>
    <w:rsid w:val="009823D1"/>
    <w:rsid w:val="0098246A"/>
    <w:rsid w:val="00982520"/>
    <w:rsid w:val="00982646"/>
    <w:rsid w:val="0098266E"/>
    <w:rsid w:val="009827F4"/>
    <w:rsid w:val="00982B04"/>
    <w:rsid w:val="00982B4D"/>
    <w:rsid w:val="00982B88"/>
    <w:rsid w:val="00982C4E"/>
    <w:rsid w:val="00982D94"/>
    <w:rsid w:val="00982DF7"/>
    <w:rsid w:val="00982FCE"/>
    <w:rsid w:val="009830FE"/>
    <w:rsid w:val="00983107"/>
    <w:rsid w:val="0098311E"/>
    <w:rsid w:val="0098313C"/>
    <w:rsid w:val="00983197"/>
    <w:rsid w:val="00983267"/>
    <w:rsid w:val="0098329B"/>
    <w:rsid w:val="00983370"/>
    <w:rsid w:val="00983391"/>
    <w:rsid w:val="009835AA"/>
    <w:rsid w:val="009835B2"/>
    <w:rsid w:val="009835C9"/>
    <w:rsid w:val="00983715"/>
    <w:rsid w:val="0098387D"/>
    <w:rsid w:val="0098391D"/>
    <w:rsid w:val="00983929"/>
    <w:rsid w:val="00983A25"/>
    <w:rsid w:val="00983A6B"/>
    <w:rsid w:val="00983A94"/>
    <w:rsid w:val="00983B0D"/>
    <w:rsid w:val="00983C26"/>
    <w:rsid w:val="00983C5C"/>
    <w:rsid w:val="00983D6A"/>
    <w:rsid w:val="00983E1D"/>
    <w:rsid w:val="00983E3E"/>
    <w:rsid w:val="00984077"/>
    <w:rsid w:val="009840BB"/>
    <w:rsid w:val="009842E0"/>
    <w:rsid w:val="00984481"/>
    <w:rsid w:val="0098460C"/>
    <w:rsid w:val="00984627"/>
    <w:rsid w:val="0098463A"/>
    <w:rsid w:val="00984805"/>
    <w:rsid w:val="009848C0"/>
    <w:rsid w:val="009848E9"/>
    <w:rsid w:val="009849D0"/>
    <w:rsid w:val="00984A9B"/>
    <w:rsid w:val="00984AF7"/>
    <w:rsid w:val="00984B2D"/>
    <w:rsid w:val="00984BD4"/>
    <w:rsid w:val="00984BF8"/>
    <w:rsid w:val="00984BFE"/>
    <w:rsid w:val="00984CD2"/>
    <w:rsid w:val="00984D22"/>
    <w:rsid w:val="00984E0E"/>
    <w:rsid w:val="00984E1E"/>
    <w:rsid w:val="00984EDA"/>
    <w:rsid w:val="00984F0D"/>
    <w:rsid w:val="00984FE9"/>
    <w:rsid w:val="009850CE"/>
    <w:rsid w:val="00985118"/>
    <w:rsid w:val="009853BB"/>
    <w:rsid w:val="00985401"/>
    <w:rsid w:val="00985448"/>
    <w:rsid w:val="00985456"/>
    <w:rsid w:val="0098545A"/>
    <w:rsid w:val="0098548B"/>
    <w:rsid w:val="00985500"/>
    <w:rsid w:val="00985555"/>
    <w:rsid w:val="00985657"/>
    <w:rsid w:val="009856AA"/>
    <w:rsid w:val="009857FC"/>
    <w:rsid w:val="0098583F"/>
    <w:rsid w:val="0098586B"/>
    <w:rsid w:val="009858A7"/>
    <w:rsid w:val="0098594D"/>
    <w:rsid w:val="00985976"/>
    <w:rsid w:val="0098597B"/>
    <w:rsid w:val="0098598C"/>
    <w:rsid w:val="009859A3"/>
    <w:rsid w:val="009859A6"/>
    <w:rsid w:val="009859F0"/>
    <w:rsid w:val="00985A4D"/>
    <w:rsid w:val="00985AD9"/>
    <w:rsid w:val="00985B2A"/>
    <w:rsid w:val="00985CA3"/>
    <w:rsid w:val="00985CC6"/>
    <w:rsid w:val="00985CD7"/>
    <w:rsid w:val="00985D6D"/>
    <w:rsid w:val="00985E56"/>
    <w:rsid w:val="00985F40"/>
    <w:rsid w:val="00985F4A"/>
    <w:rsid w:val="009860B2"/>
    <w:rsid w:val="009860D6"/>
    <w:rsid w:val="00986121"/>
    <w:rsid w:val="00986124"/>
    <w:rsid w:val="00986187"/>
    <w:rsid w:val="00986270"/>
    <w:rsid w:val="009863AE"/>
    <w:rsid w:val="009864DA"/>
    <w:rsid w:val="0098654A"/>
    <w:rsid w:val="0098654B"/>
    <w:rsid w:val="00986820"/>
    <w:rsid w:val="0098683E"/>
    <w:rsid w:val="00986906"/>
    <w:rsid w:val="0098690C"/>
    <w:rsid w:val="00986939"/>
    <w:rsid w:val="009869D2"/>
    <w:rsid w:val="00986A13"/>
    <w:rsid w:val="00986ABF"/>
    <w:rsid w:val="00986AEC"/>
    <w:rsid w:val="00986B9F"/>
    <w:rsid w:val="00986BE7"/>
    <w:rsid w:val="00986C4B"/>
    <w:rsid w:val="00986CDA"/>
    <w:rsid w:val="00986DBC"/>
    <w:rsid w:val="00986EA1"/>
    <w:rsid w:val="00986EE3"/>
    <w:rsid w:val="00987205"/>
    <w:rsid w:val="00987308"/>
    <w:rsid w:val="009873D9"/>
    <w:rsid w:val="0098744B"/>
    <w:rsid w:val="00987460"/>
    <w:rsid w:val="00987509"/>
    <w:rsid w:val="00987529"/>
    <w:rsid w:val="00987539"/>
    <w:rsid w:val="009875A1"/>
    <w:rsid w:val="0098771F"/>
    <w:rsid w:val="0098777A"/>
    <w:rsid w:val="009877B0"/>
    <w:rsid w:val="00987863"/>
    <w:rsid w:val="00987891"/>
    <w:rsid w:val="0098794C"/>
    <w:rsid w:val="00987C85"/>
    <w:rsid w:val="00990053"/>
    <w:rsid w:val="0099019E"/>
    <w:rsid w:val="009901F2"/>
    <w:rsid w:val="0099023A"/>
    <w:rsid w:val="00990277"/>
    <w:rsid w:val="00990392"/>
    <w:rsid w:val="00990518"/>
    <w:rsid w:val="009905A9"/>
    <w:rsid w:val="00990667"/>
    <w:rsid w:val="009906C3"/>
    <w:rsid w:val="00990741"/>
    <w:rsid w:val="009907FA"/>
    <w:rsid w:val="00990820"/>
    <w:rsid w:val="00990856"/>
    <w:rsid w:val="0099088A"/>
    <w:rsid w:val="009908CA"/>
    <w:rsid w:val="0099094D"/>
    <w:rsid w:val="0099096A"/>
    <w:rsid w:val="009909B2"/>
    <w:rsid w:val="00990AD0"/>
    <w:rsid w:val="00990BDA"/>
    <w:rsid w:val="00990CD0"/>
    <w:rsid w:val="00990D01"/>
    <w:rsid w:val="00990D7A"/>
    <w:rsid w:val="00990D8B"/>
    <w:rsid w:val="00990E51"/>
    <w:rsid w:val="00990E8E"/>
    <w:rsid w:val="00991031"/>
    <w:rsid w:val="0099104B"/>
    <w:rsid w:val="00991056"/>
    <w:rsid w:val="0099107D"/>
    <w:rsid w:val="0099115D"/>
    <w:rsid w:val="009911A3"/>
    <w:rsid w:val="009912C0"/>
    <w:rsid w:val="009914C3"/>
    <w:rsid w:val="009914F3"/>
    <w:rsid w:val="00991538"/>
    <w:rsid w:val="009915D3"/>
    <w:rsid w:val="009915DB"/>
    <w:rsid w:val="009916BC"/>
    <w:rsid w:val="009916F2"/>
    <w:rsid w:val="0099171D"/>
    <w:rsid w:val="00991976"/>
    <w:rsid w:val="0099199E"/>
    <w:rsid w:val="00991A19"/>
    <w:rsid w:val="00991B1E"/>
    <w:rsid w:val="00991C94"/>
    <w:rsid w:val="00991F77"/>
    <w:rsid w:val="00991F99"/>
    <w:rsid w:val="00992193"/>
    <w:rsid w:val="00992292"/>
    <w:rsid w:val="009922F2"/>
    <w:rsid w:val="00992480"/>
    <w:rsid w:val="00992498"/>
    <w:rsid w:val="009924CD"/>
    <w:rsid w:val="009924FD"/>
    <w:rsid w:val="00992671"/>
    <w:rsid w:val="0099268E"/>
    <w:rsid w:val="009926B2"/>
    <w:rsid w:val="009926F5"/>
    <w:rsid w:val="00992713"/>
    <w:rsid w:val="0099298F"/>
    <w:rsid w:val="00992A5B"/>
    <w:rsid w:val="00992BBA"/>
    <w:rsid w:val="00992C04"/>
    <w:rsid w:val="00992C34"/>
    <w:rsid w:val="00992CCC"/>
    <w:rsid w:val="00992D0B"/>
    <w:rsid w:val="00992DE1"/>
    <w:rsid w:val="00992E36"/>
    <w:rsid w:val="00992F9A"/>
    <w:rsid w:val="0099304D"/>
    <w:rsid w:val="00993205"/>
    <w:rsid w:val="00993247"/>
    <w:rsid w:val="00993383"/>
    <w:rsid w:val="00993389"/>
    <w:rsid w:val="00993486"/>
    <w:rsid w:val="0099349E"/>
    <w:rsid w:val="009934A5"/>
    <w:rsid w:val="009934AA"/>
    <w:rsid w:val="00993502"/>
    <w:rsid w:val="00993558"/>
    <w:rsid w:val="00993560"/>
    <w:rsid w:val="009935A4"/>
    <w:rsid w:val="0099365C"/>
    <w:rsid w:val="0099372E"/>
    <w:rsid w:val="00993776"/>
    <w:rsid w:val="0099391C"/>
    <w:rsid w:val="00993AA4"/>
    <w:rsid w:val="00993ACE"/>
    <w:rsid w:val="00993AD7"/>
    <w:rsid w:val="00993BA3"/>
    <w:rsid w:val="00993C41"/>
    <w:rsid w:val="00993C4F"/>
    <w:rsid w:val="00993CF1"/>
    <w:rsid w:val="00993DC1"/>
    <w:rsid w:val="00993FC9"/>
    <w:rsid w:val="00994005"/>
    <w:rsid w:val="0099407B"/>
    <w:rsid w:val="00994134"/>
    <w:rsid w:val="009941C7"/>
    <w:rsid w:val="0099424E"/>
    <w:rsid w:val="00994275"/>
    <w:rsid w:val="009942DD"/>
    <w:rsid w:val="0099435F"/>
    <w:rsid w:val="00994387"/>
    <w:rsid w:val="009943A0"/>
    <w:rsid w:val="0099451E"/>
    <w:rsid w:val="009945DC"/>
    <w:rsid w:val="00994642"/>
    <w:rsid w:val="00994712"/>
    <w:rsid w:val="00994750"/>
    <w:rsid w:val="009947A1"/>
    <w:rsid w:val="00994842"/>
    <w:rsid w:val="0099487A"/>
    <w:rsid w:val="009949BD"/>
    <w:rsid w:val="00994A0A"/>
    <w:rsid w:val="00994AF2"/>
    <w:rsid w:val="00994BD2"/>
    <w:rsid w:val="00994BE5"/>
    <w:rsid w:val="00994C18"/>
    <w:rsid w:val="00994C96"/>
    <w:rsid w:val="00994D4D"/>
    <w:rsid w:val="00994DA7"/>
    <w:rsid w:val="00994F25"/>
    <w:rsid w:val="00994F7C"/>
    <w:rsid w:val="00994FB0"/>
    <w:rsid w:val="00995104"/>
    <w:rsid w:val="0099516A"/>
    <w:rsid w:val="0099555C"/>
    <w:rsid w:val="0099576D"/>
    <w:rsid w:val="00995843"/>
    <w:rsid w:val="00995888"/>
    <w:rsid w:val="009958E6"/>
    <w:rsid w:val="00995974"/>
    <w:rsid w:val="0099597F"/>
    <w:rsid w:val="00995A34"/>
    <w:rsid w:val="00995A52"/>
    <w:rsid w:val="00995B0A"/>
    <w:rsid w:val="00995BD2"/>
    <w:rsid w:val="00995CA1"/>
    <w:rsid w:val="00995CE5"/>
    <w:rsid w:val="00995D5C"/>
    <w:rsid w:val="00995D6B"/>
    <w:rsid w:val="00995F10"/>
    <w:rsid w:val="00995F52"/>
    <w:rsid w:val="009961E6"/>
    <w:rsid w:val="00996277"/>
    <w:rsid w:val="0099637E"/>
    <w:rsid w:val="0099640B"/>
    <w:rsid w:val="0099646E"/>
    <w:rsid w:val="00996477"/>
    <w:rsid w:val="009965BA"/>
    <w:rsid w:val="0099661B"/>
    <w:rsid w:val="00996647"/>
    <w:rsid w:val="0099665B"/>
    <w:rsid w:val="0099669E"/>
    <w:rsid w:val="009967CB"/>
    <w:rsid w:val="009967D1"/>
    <w:rsid w:val="0099686F"/>
    <w:rsid w:val="00996976"/>
    <w:rsid w:val="009969B7"/>
    <w:rsid w:val="00996AB0"/>
    <w:rsid w:val="00996AB3"/>
    <w:rsid w:val="00996ACA"/>
    <w:rsid w:val="00996BE7"/>
    <w:rsid w:val="00996CBB"/>
    <w:rsid w:val="00996D2A"/>
    <w:rsid w:val="00996E12"/>
    <w:rsid w:val="0099705C"/>
    <w:rsid w:val="009970E4"/>
    <w:rsid w:val="00997289"/>
    <w:rsid w:val="009972EE"/>
    <w:rsid w:val="00997319"/>
    <w:rsid w:val="009973EB"/>
    <w:rsid w:val="009975C8"/>
    <w:rsid w:val="00997604"/>
    <w:rsid w:val="009976BA"/>
    <w:rsid w:val="009976F9"/>
    <w:rsid w:val="00997725"/>
    <w:rsid w:val="00997791"/>
    <w:rsid w:val="009977F3"/>
    <w:rsid w:val="00997818"/>
    <w:rsid w:val="0099786A"/>
    <w:rsid w:val="009979F2"/>
    <w:rsid w:val="00997AFC"/>
    <w:rsid w:val="00997B32"/>
    <w:rsid w:val="00997C9B"/>
    <w:rsid w:val="00997CDB"/>
    <w:rsid w:val="00997D3D"/>
    <w:rsid w:val="00997D48"/>
    <w:rsid w:val="00997D56"/>
    <w:rsid w:val="00997DBF"/>
    <w:rsid w:val="00997E96"/>
    <w:rsid w:val="00997F39"/>
    <w:rsid w:val="00997F57"/>
    <w:rsid w:val="009A0159"/>
    <w:rsid w:val="009A01A7"/>
    <w:rsid w:val="009A0256"/>
    <w:rsid w:val="009A029A"/>
    <w:rsid w:val="009A02FC"/>
    <w:rsid w:val="009A03AD"/>
    <w:rsid w:val="009A0464"/>
    <w:rsid w:val="009A04E1"/>
    <w:rsid w:val="009A04E5"/>
    <w:rsid w:val="009A0516"/>
    <w:rsid w:val="009A05FA"/>
    <w:rsid w:val="009A062F"/>
    <w:rsid w:val="009A0668"/>
    <w:rsid w:val="009A0707"/>
    <w:rsid w:val="009A076B"/>
    <w:rsid w:val="009A07D2"/>
    <w:rsid w:val="009A08BF"/>
    <w:rsid w:val="009A08C9"/>
    <w:rsid w:val="009A09FB"/>
    <w:rsid w:val="009A0A13"/>
    <w:rsid w:val="009A0A93"/>
    <w:rsid w:val="009A0B26"/>
    <w:rsid w:val="009A0D4E"/>
    <w:rsid w:val="009A0D83"/>
    <w:rsid w:val="009A0E0E"/>
    <w:rsid w:val="009A0ECB"/>
    <w:rsid w:val="009A0EFD"/>
    <w:rsid w:val="009A0F26"/>
    <w:rsid w:val="009A0F81"/>
    <w:rsid w:val="009A0FB5"/>
    <w:rsid w:val="009A0FDA"/>
    <w:rsid w:val="009A12D1"/>
    <w:rsid w:val="009A1332"/>
    <w:rsid w:val="009A13BC"/>
    <w:rsid w:val="009A1410"/>
    <w:rsid w:val="009A141A"/>
    <w:rsid w:val="009A146D"/>
    <w:rsid w:val="009A153D"/>
    <w:rsid w:val="009A1575"/>
    <w:rsid w:val="009A15C2"/>
    <w:rsid w:val="009A15C6"/>
    <w:rsid w:val="009A15DA"/>
    <w:rsid w:val="009A1651"/>
    <w:rsid w:val="009A1756"/>
    <w:rsid w:val="009A178E"/>
    <w:rsid w:val="009A1B0C"/>
    <w:rsid w:val="009A1B11"/>
    <w:rsid w:val="009A1B2E"/>
    <w:rsid w:val="009A1C14"/>
    <w:rsid w:val="009A1CE5"/>
    <w:rsid w:val="009A1D1C"/>
    <w:rsid w:val="009A1D41"/>
    <w:rsid w:val="009A1D96"/>
    <w:rsid w:val="009A1DC5"/>
    <w:rsid w:val="009A1F14"/>
    <w:rsid w:val="009A1FAE"/>
    <w:rsid w:val="009A2030"/>
    <w:rsid w:val="009A20AF"/>
    <w:rsid w:val="009A20D4"/>
    <w:rsid w:val="009A2104"/>
    <w:rsid w:val="009A216F"/>
    <w:rsid w:val="009A219D"/>
    <w:rsid w:val="009A2362"/>
    <w:rsid w:val="009A2364"/>
    <w:rsid w:val="009A23E8"/>
    <w:rsid w:val="009A265A"/>
    <w:rsid w:val="009A271E"/>
    <w:rsid w:val="009A27F5"/>
    <w:rsid w:val="009A27FB"/>
    <w:rsid w:val="009A2937"/>
    <w:rsid w:val="009A2984"/>
    <w:rsid w:val="009A2990"/>
    <w:rsid w:val="009A29B9"/>
    <w:rsid w:val="009A2C46"/>
    <w:rsid w:val="009A2D09"/>
    <w:rsid w:val="009A2DF5"/>
    <w:rsid w:val="009A2F36"/>
    <w:rsid w:val="009A2FEA"/>
    <w:rsid w:val="009A3148"/>
    <w:rsid w:val="009A3184"/>
    <w:rsid w:val="009A325C"/>
    <w:rsid w:val="009A32E1"/>
    <w:rsid w:val="009A32EB"/>
    <w:rsid w:val="009A34BF"/>
    <w:rsid w:val="009A34DA"/>
    <w:rsid w:val="009A35A5"/>
    <w:rsid w:val="009A3610"/>
    <w:rsid w:val="009A3617"/>
    <w:rsid w:val="009A36D1"/>
    <w:rsid w:val="009A36DD"/>
    <w:rsid w:val="009A3716"/>
    <w:rsid w:val="009A383B"/>
    <w:rsid w:val="009A383F"/>
    <w:rsid w:val="009A388E"/>
    <w:rsid w:val="009A38FB"/>
    <w:rsid w:val="009A39D8"/>
    <w:rsid w:val="009A3ABD"/>
    <w:rsid w:val="009A3C84"/>
    <w:rsid w:val="009A3D11"/>
    <w:rsid w:val="009A3D3A"/>
    <w:rsid w:val="009A3D4D"/>
    <w:rsid w:val="009A3DE9"/>
    <w:rsid w:val="009A3F67"/>
    <w:rsid w:val="009A3FA2"/>
    <w:rsid w:val="009A40A0"/>
    <w:rsid w:val="009A413C"/>
    <w:rsid w:val="009A41DE"/>
    <w:rsid w:val="009A4221"/>
    <w:rsid w:val="009A4235"/>
    <w:rsid w:val="009A424C"/>
    <w:rsid w:val="009A448D"/>
    <w:rsid w:val="009A4493"/>
    <w:rsid w:val="009A44A2"/>
    <w:rsid w:val="009A44A5"/>
    <w:rsid w:val="009A44A6"/>
    <w:rsid w:val="009A4573"/>
    <w:rsid w:val="009A46F3"/>
    <w:rsid w:val="009A46F6"/>
    <w:rsid w:val="009A476E"/>
    <w:rsid w:val="009A48B6"/>
    <w:rsid w:val="009A48CD"/>
    <w:rsid w:val="009A4909"/>
    <w:rsid w:val="009A49F3"/>
    <w:rsid w:val="009A49F4"/>
    <w:rsid w:val="009A4A7C"/>
    <w:rsid w:val="009A4B8A"/>
    <w:rsid w:val="009A4C01"/>
    <w:rsid w:val="009A4DBC"/>
    <w:rsid w:val="009A4DD7"/>
    <w:rsid w:val="009A4E61"/>
    <w:rsid w:val="009A4F21"/>
    <w:rsid w:val="009A4F2F"/>
    <w:rsid w:val="009A5010"/>
    <w:rsid w:val="009A5115"/>
    <w:rsid w:val="009A5415"/>
    <w:rsid w:val="009A5600"/>
    <w:rsid w:val="009A566E"/>
    <w:rsid w:val="009A56B1"/>
    <w:rsid w:val="009A5854"/>
    <w:rsid w:val="009A585F"/>
    <w:rsid w:val="009A588B"/>
    <w:rsid w:val="009A596C"/>
    <w:rsid w:val="009A5A72"/>
    <w:rsid w:val="009A5A86"/>
    <w:rsid w:val="009A5AF1"/>
    <w:rsid w:val="009A5B39"/>
    <w:rsid w:val="009A5DA8"/>
    <w:rsid w:val="009A5DCB"/>
    <w:rsid w:val="009A5E15"/>
    <w:rsid w:val="009A5E19"/>
    <w:rsid w:val="009A5E30"/>
    <w:rsid w:val="009A6074"/>
    <w:rsid w:val="009A6077"/>
    <w:rsid w:val="009A6119"/>
    <w:rsid w:val="009A6133"/>
    <w:rsid w:val="009A61C9"/>
    <w:rsid w:val="009A6248"/>
    <w:rsid w:val="009A6292"/>
    <w:rsid w:val="009A65B9"/>
    <w:rsid w:val="009A65D5"/>
    <w:rsid w:val="009A66C8"/>
    <w:rsid w:val="009A6753"/>
    <w:rsid w:val="009A68F0"/>
    <w:rsid w:val="009A69A6"/>
    <w:rsid w:val="009A6AB7"/>
    <w:rsid w:val="009A6BBD"/>
    <w:rsid w:val="009A6CAB"/>
    <w:rsid w:val="009A6E16"/>
    <w:rsid w:val="009A6E76"/>
    <w:rsid w:val="009A6EBF"/>
    <w:rsid w:val="009A6F7B"/>
    <w:rsid w:val="009A6FAC"/>
    <w:rsid w:val="009A7071"/>
    <w:rsid w:val="009A70A0"/>
    <w:rsid w:val="009A7124"/>
    <w:rsid w:val="009A71E0"/>
    <w:rsid w:val="009A732A"/>
    <w:rsid w:val="009A7526"/>
    <w:rsid w:val="009A7547"/>
    <w:rsid w:val="009A758D"/>
    <w:rsid w:val="009A75EF"/>
    <w:rsid w:val="009A76B0"/>
    <w:rsid w:val="009A77D0"/>
    <w:rsid w:val="009A788B"/>
    <w:rsid w:val="009A789E"/>
    <w:rsid w:val="009A79CC"/>
    <w:rsid w:val="009A7A12"/>
    <w:rsid w:val="009A7A94"/>
    <w:rsid w:val="009A7AE1"/>
    <w:rsid w:val="009A7BED"/>
    <w:rsid w:val="009A7EAE"/>
    <w:rsid w:val="009A7EB8"/>
    <w:rsid w:val="009A7F3B"/>
    <w:rsid w:val="009A7FB6"/>
    <w:rsid w:val="009A7FE0"/>
    <w:rsid w:val="009B00D0"/>
    <w:rsid w:val="009B0128"/>
    <w:rsid w:val="009B037C"/>
    <w:rsid w:val="009B0441"/>
    <w:rsid w:val="009B04E2"/>
    <w:rsid w:val="009B04EC"/>
    <w:rsid w:val="009B057C"/>
    <w:rsid w:val="009B058D"/>
    <w:rsid w:val="009B0596"/>
    <w:rsid w:val="009B0599"/>
    <w:rsid w:val="009B0636"/>
    <w:rsid w:val="009B06F4"/>
    <w:rsid w:val="009B0784"/>
    <w:rsid w:val="009B07AB"/>
    <w:rsid w:val="009B07D7"/>
    <w:rsid w:val="009B0803"/>
    <w:rsid w:val="009B08D7"/>
    <w:rsid w:val="009B0A1E"/>
    <w:rsid w:val="009B0A5F"/>
    <w:rsid w:val="009B0AFF"/>
    <w:rsid w:val="009B0B04"/>
    <w:rsid w:val="009B0B0D"/>
    <w:rsid w:val="009B0BE8"/>
    <w:rsid w:val="009B0C8D"/>
    <w:rsid w:val="009B0CA0"/>
    <w:rsid w:val="009B0CA1"/>
    <w:rsid w:val="009B0CAC"/>
    <w:rsid w:val="009B0D19"/>
    <w:rsid w:val="009B0D81"/>
    <w:rsid w:val="009B0D8E"/>
    <w:rsid w:val="009B106C"/>
    <w:rsid w:val="009B10D3"/>
    <w:rsid w:val="009B1196"/>
    <w:rsid w:val="009B11EC"/>
    <w:rsid w:val="009B1353"/>
    <w:rsid w:val="009B139F"/>
    <w:rsid w:val="009B1443"/>
    <w:rsid w:val="009B150F"/>
    <w:rsid w:val="009B1635"/>
    <w:rsid w:val="009B16B8"/>
    <w:rsid w:val="009B17FC"/>
    <w:rsid w:val="009B1861"/>
    <w:rsid w:val="009B1866"/>
    <w:rsid w:val="009B19B3"/>
    <w:rsid w:val="009B1A68"/>
    <w:rsid w:val="009B1C66"/>
    <w:rsid w:val="009B1CD7"/>
    <w:rsid w:val="009B1DC2"/>
    <w:rsid w:val="009B1E09"/>
    <w:rsid w:val="009B1E35"/>
    <w:rsid w:val="009B1EC6"/>
    <w:rsid w:val="009B1F93"/>
    <w:rsid w:val="009B1FBC"/>
    <w:rsid w:val="009B2002"/>
    <w:rsid w:val="009B2020"/>
    <w:rsid w:val="009B203C"/>
    <w:rsid w:val="009B2043"/>
    <w:rsid w:val="009B2096"/>
    <w:rsid w:val="009B2198"/>
    <w:rsid w:val="009B21B4"/>
    <w:rsid w:val="009B2224"/>
    <w:rsid w:val="009B2236"/>
    <w:rsid w:val="009B2345"/>
    <w:rsid w:val="009B238F"/>
    <w:rsid w:val="009B2563"/>
    <w:rsid w:val="009B256B"/>
    <w:rsid w:val="009B26DD"/>
    <w:rsid w:val="009B2700"/>
    <w:rsid w:val="009B2728"/>
    <w:rsid w:val="009B280A"/>
    <w:rsid w:val="009B283A"/>
    <w:rsid w:val="009B28B4"/>
    <w:rsid w:val="009B28C6"/>
    <w:rsid w:val="009B29DF"/>
    <w:rsid w:val="009B2A4F"/>
    <w:rsid w:val="009B2A5E"/>
    <w:rsid w:val="009B2B1D"/>
    <w:rsid w:val="009B2B99"/>
    <w:rsid w:val="009B2BF9"/>
    <w:rsid w:val="009B2C04"/>
    <w:rsid w:val="009B2CE4"/>
    <w:rsid w:val="009B2CFB"/>
    <w:rsid w:val="009B2D35"/>
    <w:rsid w:val="009B2D61"/>
    <w:rsid w:val="009B2D95"/>
    <w:rsid w:val="009B2DAC"/>
    <w:rsid w:val="009B2DC0"/>
    <w:rsid w:val="009B2DED"/>
    <w:rsid w:val="009B2E01"/>
    <w:rsid w:val="009B2E04"/>
    <w:rsid w:val="009B2EA6"/>
    <w:rsid w:val="009B2EF4"/>
    <w:rsid w:val="009B2FBF"/>
    <w:rsid w:val="009B302E"/>
    <w:rsid w:val="009B3115"/>
    <w:rsid w:val="009B31A3"/>
    <w:rsid w:val="009B3257"/>
    <w:rsid w:val="009B32DC"/>
    <w:rsid w:val="009B33AE"/>
    <w:rsid w:val="009B3492"/>
    <w:rsid w:val="009B3494"/>
    <w:rsid w:val="009B350F"/>
    <w:rsid w:val="009B35B3"/>
    <w:rsid w:val="009B362F"/>
    <w:rsid w:val="009B3667"/>
    <w:rsid w:val="009B37DB"/>
    <w:rsid w:val="009B3890"/>
    <w:rsid w:val="009B3954"/>
    <w:rsid w:val="009B39AE"/>
    <w:rsid w:val="009B3AE8"/>
    <w:rsid w:val="009B3AFC"/>
    <w:rsid w:val="009B3B00"/>
    <w:rsid w:val="009B3B5C"/>
    <w:rsid w:val="009B3D35"/>
    <w:rsid w:val="009B3E27"/>
    <w:rsid w:val="009B3ECB"/>
    <w:rsid w:val="009B3F19"/>
    <w:rsid w:val="009B3F4E"/>
    <w:rsid w:val="009B3F77"/>
    <w:rsid w:val="009B3FAA"/>
    <w:rsid w:val="009B4046"/>
    <w:rsid w:val="009B4048"/>
    <w:rsid w:val="009B4059"/>
    <w:rsid w:val="009B40FD"/>
    <w:rsid w:val="009B4137"/>
    <w:rsid w:val="009B41F1"/>
    <w:rsid w:val="009B4272"/>
    <w:rsid w:val="009B4377"/>
    <w:rsid w:val="009B441B"/>
    <w:rsid w:val="009B4426"/>
    <w:rsid w:val="009B446C"/>
    <w:rsid w:val="009B44C0"/>
    <w:rsid w:val="009B4512"/>
    <w:rsid w:val="009B451F"/>
    <w:rsid w:val="009B457E"/>
    <w:rsid w:val="009B4668"/>
    <w:rsid w:val="009B49E8"/>
    <w:rsid w:val="009B4ABA"/>
    <w:rsid w:val="009B4BD8"/>
    <w:rsid w:val="009B4C97"/>
    <w:rsid w:val="009B4D41"/>
    <w:rsid w:val="009B4E8B"/>
    <w:rsid w:val="009B4F3C"/>
    <w:rsid w:val="009B4F71"/>
    <w:rsid w:val="009B5047"/>
    <w:rsid w:val="009B5129"/>
    <w:rsid w:val="009B521B"/>
    <w:rsid w:val="009B52C2"/>
    <w:rsid w:val="009B5314"/>
    <w:rsid w:val="009B5519"/>
    <w:rsid w:val="009B5580"/>
    <w:rsid w:val="009B55A4"/>
    <w:rsid w:val="009B5727"/>
    <w:rsid w:val="009B5730"/>
    <w:rsid w:val="009B5885"/>
    <w:rsid w:val="009B5906"/>
    <w:rsid w:val="009B5987"/>
    <w:rsid w:val="009B59AA"/>
    <w:rsid w:val="009B59C1"/>
    <w:rsid w:val="009B5AF9"/>
    <w:rsid w:val="009B5C58"/>
    <w:rsid w:val="009B5C77"/>
    <w:rsid w:val="009B5CA4"/>
    <w:rsid w:val="009B5EF0"/>
    <w:rsid w:val="009B5F24"/>
    <w:rsid w:val="009B5F71"/>
    <w:rsid w:val="009B5FAD"/>
    <w:rsid w:val="009B6008"/>
    <w:rsid w:val="009B6089"/>
    <w:rsid w:val="009B60B8"/>
    <w:rsid w:val="009B60F9"/>
    <w:rsid w:val="009B6183"/>
    <w:rsid w:val="009B61EA"/>
    <w:rsid w:val="009B61EE"/>
    <w:rsid w:val="009B622E"/>
    <w:rsid w:val="009B646F"/>
    <w:rsid w:val="009B6522"/>
    <w:rsid w:val="009B655B"/>
    <w:rsid w:val="009B657F"/>
    <w:rsid w:val="009B65DF"/>
    <w:rsid w:val="009B660F"/>
    <w:rsid w:val="009B66A2"/>
    <w:rsid w:val="009B66AD"/>
    <w:rsid w:val="009B6816"/>
    <w:rsid w:val="009B68EF"/>
    <w:rsid w:val="009B6A2E"/>
    <w:rsid w:val="009B6AA3"/>
    <w:rsid w:val="009B6B07"/>
    <w:rsid w:val="009B6B3E"/>
    <w:rsid w:val="009B6C4C"/>
    <w:rsid w:val="009B6C9B"/>
    <w:rsid w:val="009B6DC3"/>
    <w:rsid w:val="009B6DDD"/>
    <w:rsid w:val="009B6E9F"/>
    <w:rsid w:val="009B6F1C"/>
    <w:rsid w:val="009B7010"/>
    <w:rsid w:val="009B717F"/>
    <w:rsid w:val="009B71BE"/>
    <w:rsid w:val="009B71CA"/>
    <w:rsid w:val="009B72C3"/>
    <w:rsid w:val="009B7313"/>
    <w:rsid w:val="009B7485"/>
    <w:rsid w:val="009B7553"/>
    <w:rsid w:val="009B7657"/>
    <w:rsid w:val="009B76A7"/>
    <w:rsid w:val="009B76E0"/>
    <w:rsid w:val="009B76E1"/>
    <w:rsid w:val="009B7747"/>
    <w:rsid w:val="009B7794"/>
    <w:rsid w:val="009B790B"/>
    <w:rsid w:val="009B796A"/>
    <w:rsid w:val="009B7A2F"/>
    <w:rsid w:val="009B7A46"/>
    <w:rsid w:val="009B7A96"/>
    <w:rsid w:val="009B7AFB"/>
    <w:rsid w:val="009B7B9D"/>
    <w:rsid w:val="009B7C21"/>
    <w:rsid w:val="009B7C7B"/>
    <w:rsid w:val="009B7D16"/>
    <w:rsid w:val="009B7D19"/>
    <w:rsid w:val="009B7D4D"/>
    <w:rsid w:val="009B7F62"/>
    <w:rsid w:val="009B7F6B"/>
    <w:rsid w:val="009C00B9"/>
    <w:rsid w:val="009C012B"/>
    <w:rsid w:val="009C0171"/>
    <w:rsid w:val="009C01B1"/>
    <w:rsid w:val="009C0236"/>
    <w:rsid w:val="009C0374"/>
    <w:rsid w:val="009C03B6"/>
    <w:rsid w:val="009C04D8"/>
    <w:rsid w:val="009C05CC"/>
    <w:rsid w:val="009C0658"/>
    <w:rsid w:val="009C06B1"/>
    <w:rsid w:val="009C071F"/>
    <w:rsid w:val="009C0992"/>
    <w:rsid w:val="009C0A5F"/>
    <w:rsid w:val="009C0A7C"/>
    <w:rsid w:val="009C0A91"/>
    <w:rsid w:val="009C0AC4"/>
    <w:rsid w:val="009C0ACC"/>
    <w:rsid w:val="009C0B10"/>
    <w:rsid w:val="009C0D88"/>
    <w:rsid w:val="009C0E54"/>
    <w:rsid w:val="009C0FC1"/>
    <w:rsid w:val="009C0FC6"/>
    <w:rsid w:val="009C10E6"/>
    <w:rsid w:val="009C1102"/>
    <w:rsid w:val="009C1110"/>
    <w:rsid w:val="009C1120"/>
    <w:rsid w:val="009C11D0"/>
    <w:rsid w:val="009C1266"/>
    <w:rsid w:val="009C1280"/>
    <w:rsid w:val="009C129D"/>
    <w:rsid w:val="009C133A"/>
    <w:rsid w:val="009C133E"/>
    <w:rsid w:val="009C13E9"/>
    <w:rsid w:val="009C14C3"/>
    <w:rsid w:val="009C14C6"/>
    <w:rsid w:val="009C14D2"/>
    <w:rsid w:val="009C14F4"/>
    <w:rsid w:val="009C1517"/>
    <w:rsid w:val="009C162E"/>
    <w:rsid w:val="009C1636"/>
    <w:rsid w:val="009C167B"/>
    <w:rsid w:val="009C1858"/>
    <w:rsid w:val="009C185A"/>
    <w:rsid w:val="009C1A8A"/>
    <w:rsid w:val="009C1AAF"/>
    <w:rsid w:val="009C1AB4"/>
    <w:rsid w:val="009C1AF0"/>
    <w:rsid w:val="009C1BCE"/>
    <w:rsid w:val="009C1CC3"/>
    <w:rsid w:val="009C1DA6"/>
    <w:rsid w:val="009C1EED"/>
    <w:rsid w:val="009C1F0F"/>
    <w:rsid w:val="009C20A8"/>
    <w:rsid w:val="009C20B2"/>
    <w:rsid w:val="009C2173"/>
    <w:rsid w:val="009C2435"/>
    <w:rsid w:val="009C2576"/>
    <w:rsid w:val="009C284E"/>
    <w:rsid w:val="009C286A"/>
    <w:rsid w:val="009C294D"/>
    <w:rsid w:val="009C2975"/>
    <w:rsid w:val="009C29A3"/>
    <w:rsid w:val="009C2AD4"/>
    <w:rsid w:val="009C2AF2"/>
    <w:rsid w:val="009C2BD1"/>
    <w:rsid w:val="009C2C8C"/>
    <w:rsid w:val="009C2E87"/>
    <w:rsid w:val="009C2F6F"/>
    <w:rsid w:val="009C2FFD"/>
    <w:rsid w:val="009C300F"/>
    <w:rsid w:val="009C304B"/>
    <w:rsid w:val="009C3236"/>
    <w:rsid w:val="009C330C"/>
    <w:rsid w:val="009C3342"/>
    <w:rsid w:val="009C33F2"/>
    <w:rsid w:val="009C3430"/>
    <w:rsid w:val="009C3488"/>
    <w:rsid w:val="009C3546"/>
    <w:rsid w:val="009C36FD"/>
    <w:rsid w:val="009C376E"/>
    <w:rsid w:val="009C3773"/>
    <w:rsid w:val="009C389B"/>
    <w:rsid w:val="009C38BB"/>
    <w:rsid w:val="009C3982"/>
    <w:rsid w:val="009C3997"/>
    <w:rsid w:val="009C39AA"/>
    <w:rsid w:val="009C3A17"/>
    <w:rsid w:val="009C3AFE"/>
    <w:rsid w:val="009C3C09"/>
    <w:rsid w:val="009C3D08"/>
    <w:rsid w:val="009C3D2D"/>
    <w:rsid w:val="009C3D4B"/>
    <w:rsid w:val="009C3D86"/>
    <w:rsid w:val="009C3DA8"/>
    <w:rsid w:val="009C3EEF"/>
    <w:rsid w:val="009C3F5B"/>
    <w:rsid w:val="009C3F81"/>
    <w:rsid w:val="009C3FEE"/>
    <w:rsid w:val="009C401F"/>
    <w:rsid w:val="009C403B"/>
    <w:rsid w:val="009C4061"/>
    <w:rsid w:val="009C4065"/>
    <w:rsid w:val="009C410E"/>
    <w:rsid w:val="009C4207"/>
    <w:rsid w:val="009C436F"/>
    <w:rsid w:val="009C43D0"/>
    <w:rsid w:val="009C449F"/>
    <w:rsid w:val="009C44DD"/>
    <w:rsid w:val="009C453A"/>
    <w:rsid w:val="009C4703"/>
    <w:rsid w:val="009C4772"/>
    <w:rsid w:val="009C4776"/>
    <w:rsid w:val="009C4790"/>
    <w:rsid w:val="009C49B8"/>
    <w:rsid w:val="009C4B08"/>
    <w:rsid w:val="009C4B7A"/>
    <w:rsid w:val="009C4C3A"/>
    <w:rsid w:val="009C4CCB"/>
    <w:rsid w:val="009C4D11"/>
    <w:rsid w:val="009C4D17"/>
    <w:rsid w:val="009C4D77"/>
    <w:rsid w:val="009C4E0D"/>
    <w:rsid w:val="009C4E1A"/>
    <w:rsid w:val="009C4E66"/>
    <w:rsid w:val="009C4F64"/>
    <w:rsid w:val="009C4F97"/>
    <w:rsid w:val="009C51ED"/>
    <w:rsid w:val="009C52C5"/>
    <w:rsid w:val="009C52F5"/>
    <w:rsid w:val="009C545E"/>
    <w:rsid w:val="009C546F"/>
    <w:rsid w:val="009C5516"/>
    <w:rsid w:val="009C561B"/>
    <w:rsid w:val="009C5644"/>
    <w:rsid w:val="009C569C"/>
    <w:rsid w:val="009C57D1"/>
    <w:rsid w:val="009C58C6"/>
    <w:rsid w:val="009C5918"/>
    <w:rsid w:val="009C5933"/>
    <w:rsid w:val="009C5955"/>
    <w:rsid w:val="009C599B"/>
    <w:rsid w:val="009C59F4"/>
    <w:rsid w:val="009C5A6D"/>
    <w:rsid w:val="009C5B1F"/>
    <w:rsid w:val="009C5B5A"/>
    <w:rsid w:val="009C5BEB"/>
    <w:rsid w:val="009C5C52"/>
    <w:rsid w:val="009C5E78"/>
    <w:rsid w:val="009C6052"/>
    <w:rsid w:val="009C609B"/>
    <w:rsid w:val="009C625F"/>
    <w:rsid w:val="009C63EF"/>
    <w:rsid w:val="009C642A"/>
    <w:rsid w:val="009C6430"/>
    <w:rsid w:val="009C6493"/>
    <w:rsid w:val="009C64A4"/>
    <w:rsid w:val="009C65AF"/>
    <w:rsid w:val="009C65EF"/>
    <w:rsid w:val="009C6652"/>
    <w:rsid w:val="009C6760"/>
    <w:rsid w:val="009C688B"/>
    <w:rsid w:val="009C68A1"/>
    <w:rsid w:val="009C68A6"/>
    <w:rsid w:val="009C6978"/>
    <w:rsid w:val="009C6A52"/>
    <w:rsid w:val="009C6A79"/>
    <w:rsid w:val="009C6A99"/>
    <w:rsid w:val="009C6CC2"/>
    <w:rsid w:val="009C6FE2"/>
    <w:rsid w:val="009C6FF8"/>
    <w:rsid w:val="009C70A5"/>
    <w:rsid w:val="009C712F"/>
    <w:rsid w:val="009C725B"/>
    <w:rsid w:val="009C72B0"/>
    <w:rsid w:val="009C72E7"/>
    <w:rsid w:val="009C73DF"/>
    <w:rsid w:val="009C773E"/>
    <w:rsid w:val="009C77EA"/>
    <w:rsid w:val="009C784C"/>
    <w:rsid w:val="009C7938"/>
    <w:rsid w:val="009C7A68"/>
    <w:rsid w:val="009C7B58"/>
    <w:rsid w:val="009C7BF9"/>
    <w:rsid w:val="009C7C32"/>
    <w:rsid w:val="009C7C42"/>
    <w:rsid w:val="009C7C44"/>
    <w:rsid w:val="009C7CBD"/>
    <w:rsid w:val="009C7CCF"/>
    <w:rsid w:val="009C7D5E"/>
    <w:rsid w:val="009C7EB1"/>
    <w:rsid w:val="009C7EBA"/>
    <w:rsid w:val="009C7F96"/>
    <w:rsid w:val="009D0089"/>
    <w:rsid w:val="009D00D5"/>
    <w:rsid w:val="009D0146"/>
    <w:rsid w:val="009D0180"/>
    <w:rsid w:val="009D02F6"/>
    <w:rsid w:val="009D033C"/>
    <w:rsid w:val="009D035C"/>
    <w:rsid w:val="009D05AD"/>
    <w:rsid w:val="009D073F"/>
    <w:rsid w:val="009D0847"/>
    <w:rsid w:val="009D0ADA"/>
    <w:rsid w:val="009D0B58"/>
    <w:rsid w:val="009D0BA5"/>
    <w:rsid w:val="009D0D30"/>
    <w:rsid w:val="009D0E0F"/>
    <w:rsid w:val="009D0F6B"/>
    <w:rsid w:val="009D1053"/>
    <w:rsid w:val="009D116F"/>
    <w:rsid w:val="009D11C0"/>
    <w:rsid w:val="009D11EF"/>
    <w:rsid w:val="009D1249"/>
    <w:rsid w:val="009D1389"/>
    <w:rsid w:val="009D13D7"/>
    <w:rsid w:val="009D1551"/>
    <w:rsid w:val="009D15B1"/>
    <w:rsid w:val="009D15C4"/>
    <w:rsid w:val="009D175B"/>
    <w:rsid w:val="009D176A"/>
    <w:rsid w:val="009D17CC"/>
    <w:rsid w:val="009D1802"/>
    <w:rsid w:val="009D1875"/>
    <w:rsid w:val="009D18E1"/>
    <w:rsid w:val="009D19F2"/>
    <w:rsid w:val="009D19F8"/>
    <w:rsid w:val="009D1ACF"/>
    <w:rsid w:val="009D1B27"/>
    <w:rsid w:val="009D1B28"/>
    <w:rsid w:val="009D1CDB"/>
    <w:rsid w:val="009D1DB5"/>
    <w:rsid w:val="009D1EBD"/>
    <w:rsid w:val="009D204A"/>
    <w:rsid w:val="009D204B"/>
    <w:rsid w:val="009D20A8"/>
    <w:rsid w:val="009D21A4"/>
    <w:rsid w:val="009D224C"/>
    <w:rsid w:val="009D231D"/>
    <w:rsid w:val="009D23AB"/>
    <w:rsid w:val="009D248E"/>
    <w:rsid w:val="009D24B9"/>
    <w:rsid w:val="009D24BB"/>
    <w:rsid w:val="009D257C"/>
    <w:rsid w:val="009D25B7"/>
    <w:rsid w:val="009D2717"/>
    <w:rsid w:val="009D2743"/>
    <w:rsid w:val="009D2793"/>
    <w:rsid w:val="009D2840"/>
    <w:rsid w:val="009D2937"/>
    <w:rsid w:val="009D2951"/>
    <w:rsid w:val="009D295E"/>
    <w:rsid w:val="009D2962"/>
    <w:rsid w:val="009D29B3"/>
    <w:rsid w:val="009D2BD1"/>
    <w:rsid w:val="009D2CD2"/>
    <w:rsid w:val="009D2E92"/>
    <w:rsid w:val="009D2EA0"/>
    <w:rsid w:val="009D2EDE"/>
    <w:rsid w:val="009D2F21"/>
    <w:rsid w:val="009D2F42"/>
    <w:rsid w:val="009D2F81"/>
    <w:rsid w:val="009D2FDD"/>
    <w:rsid w:val="009D302F"/>
    <w:rsid w:val="009D3365"/>
    <w:rsid w:val="009D33BB"/>
    <w:rsid w:val="009D3440"/>
    <w:rsid w:val="009D3518"/>
    <w:rsid w:val="009D3553"/>
    <w:rsid w:val="009D3564"/>
    <w:rsid w:val="009D3598"/>
    <w:rsid w:val="009D36DB"/>
    <w:rsid w:val="009D36EF"/>
    <w:rsid w:val="009D38B1"/>
    <w:rsid w:val="009D3AD4"/>
    <w:rsid w:val="009D3B50"/>
    <w:rsid w:val="009D3E0F"/>
    <w:rsid w:val="009D3E37"/>
    <w:rsid w:val="009D3ED2"/>
    <w:rsid w:val="009D3ED6"/>
    <w:rsid w:val="009D3F83"/>
    <w:rsid w:val="009D3F9F"/>
    <w:rsid w:val="009D3FBF"/>
    <w:rsid w:val="009D4012"/>
    <w:rsid w:val="009D42FD"/>
    <w:rsid w:val="009D4316"/>
    <w:rsid w:val="009D431E"/>
    <w:rsid w:val="009D4355"/>
    <w:rsid w:val="009D4387"/>
    <w:rsid w:val="009D4557"/>
    <w:rsid w:val="009D45B8"/>
    <w:rsid w:val="009D46DA"/>
    <w:rsid w:val="009D46FF"/>
    <w:rsid w:val="009D471A"/>
    <w:rsid w:val="009D471B"/>
    <w:rsid w:val="009D47DA"/>
    <w:rsid w:val="009D4868"/>
    <w:rsid w:val="009D4931"/>
    <w:rsid w:val="009D499B"/>
    <w:rsid w:val="009D4A33"/>
    <w:rsid w:val="009D4AC2"/>
    <w:rsid w:val="009D4AD7"/>
    <w:rsid w:val="009D4B82"/>
    <w:rsid w:val="009D4C5B"/>
    <w:rsid w:val="009D4E87"/>
    <w:rsid w:val="009D4EBB"/>
    <w:rsid w:val="009D5025"/>
    <w:rsid w:val="009D5174"/>
    <w:rsid w:val="009D51AF"/>
    <w:rsid w:val="009D53C2"/>
    <w:rsid w:val="009D53E5"/>
    <w:rsid w:val="009D5426"/>
    <w:rsid w:val="009D55C4"/>
    <w:rsid w:val="009D55D2"/>
    <w:rsid w:val="009D56B1"/>
    <w:rsid w:val="009D57E3"/>
    <w:rsid w:val="009D58EC"/>
    <w:rsid w:val="009D5923"/>
    <w:rsid w:val="009D59A0"/>
    <w:rsid w:val="009D59FF"/>
    <w:rsid w:val="009D5ADA"/>
    <w:rsid w:val="009D5B89"/>
    <w:rsid w:val="009D5BE5"/>
    <w:rsid w:val="009D5C1F"/>
    <w:rsid w:val="009D5D92"/>
    <w:rsid w:val="009D5E1C"/>
    <w:rsid w:val="009D5E71"/>
    <w:rsid w:val="009D5F00"/>
    <w:rsid w:val="009D5FE5"/>
    <w:rsid w:val="009D602A"/>
    <w:rsid w:val="009D6178"/>
    <w:rsid w:val="009D6234"/>
    <w:rsid w:val="009D623F"/>
    <w:rsid w:val="009D62C6"/>
    <w:rsid w:val="009D62C9"/>
    <w:rsid w:val="009D63FC"/>
    <w:rsid w:val="009D6583"/>
    <w:rsid w:val="009D65E4"/>
    <w:rsid w:val="009D65F2"/>
    <w:rsid w:val="009D6687"/>
    <w:rsid w:val="009D6696"/>
    <w:rsid w:val="009D6714"/>
    <w:rsid w:val="009D68BF"/>
    <w:rsid w:val="009D6927"/>
    <w:rsid w:val="009D699F"/>
    <w:rsid w:val="009D6B09"/>
    <w:rsid w:val="009D6ED7"/>
    <w:rsid w:val="009D6F66"/>
    <w:rsid w:val="009D706A"/>
    <w:rsid w:val="009D7544"/>
    <w:rsid w:val="009D75CC"/>
    <w:rsid w:val="009D760B"/>
    <w:rsid w:val="009D76FB"/>
    <w:rsid w:val="009D778A"/>
    <w:rsid w:val="009D794A"/>
    <w:rsid w:val="009D794D"/>
    <w:rsid w:val="009D79FF"/>
    <w:rsid w:val="009D7A13"/>
    <w:rsid w:val="009D7A33"/>
    <w:rsid w:val="009D7A41"/>
    <w:rsid w:val="009D7CCE"/>
    <w:rsid w:val="009D7D0D"/>
    <w:rsid w:val="009D7D89"/>
    <w:rsid w:val="009D7F58"/>
    <w:rsid w:val="009D7F6D"/>
    <w:rsid w:val="009D7FD2"/>
    <w:rsid w:val="009E006D"/>
    <w:rsid w:val="009E00D6"/>
    <w:rsid w:val="009E019C"/>
    <w:rsid w:val="009E01FC"/>
    <w:rsid w:val="009E0264"/>
    <w:rsid w:val="009E026A"/>
    <w:rsid w:val="009E0276"/>
    <w:rsid w:val="009E029A"/>
    <w:rsid w:val="009E02A5"/>
    <w:rsid w:val="009E02DE"/>
    <w:rsid w:val="009E0390"/>
    <w:rsid w:val="009E03FD"/>
    <w:rsid w:val="009E05BC"/>
    <w:rsid w:val="009E0691"/>
    <w:rsid w:val="009E0704"/>
    <w:rsid w:val="009E0774"/>
    <w:rsid w:val="009E082C"/>
    <w:rsid w:val="009E08AB"/>
    <w:rsid w:val="009E0A42"/>
    <w:rsid w:val="009E0A65"/>
    <w:rsid w:val="009E0B37"/>
    <w:rsid w:val="009E0B73"/>
    <w:rsid w:val="009E0C5B"/>
    <w:rsid w:val="009E0C94"/>
    <w:rsid w:val="009E0D5D"/>
    <w:rsid w:val="009E0E47"/>
    <w:rsid w:val="009E0E4C"/>
    <w:rsid w:val="009E0E5A"/>
    <w:rsid w:val="009E0FC1"/>
    <w:rsid w:val="009E105F"/>
    <w:rsid w:val="009E117E"/>
    <w:rsid w:val="009E11CD"/>
    <w:rsid w:val="009E13FE"/>
    <w:rsid w:val="009E1413"/>
    <w:rsid w:val="009E14F9"/>
    <w:rsid w:val="009E1561"/>
    <w:rsid w:val="009E1614"/>
    <w:rsid w:val="009E16CA"/>
    <w:rsid w:val="009E179C"/>
    <w:rsid w:val="009E17BC"/>
    <w:rsid w:val="009E18F3"/>
    <w:rsid w:val="009E191D"/>
    <w:rsid w:val="009E19D1"/>
    <w:rsid w:val="009E1A63"/>
    <w:rsid w:val="009E1AAF"/>
    <w:rsid w:val="009E1AB8"/>
    <w:rsid w:val="009E1B72"/>
    <w:rsid w:val="009E1BC3"/>
    <w:rsid w:val="009E1BC9"/>
    <w:rsid w:val="009E1BEC"/>
    <w:rsid w:val="009E1E69"/>
    <w:rsid w:val="009E1EFA"/>
    <w:rsid w:val="009E1F4E"/>
    <w:rsid w:val="009E2049"/>
    <w:rsid w:val="009E204E"/>
    <w:rsid w:val="009E20DD"/>
    <w:rsid w:val="009E20E7"/>
    <w:rsid w:val="009E20FB"/>
    <w:rsid w:val="009E219B"/>
    <w:rsid w:val="009E222D"/>
    <w:rsid w:val="009E2232"/>
    <w:rsid w:val="009E225C"/>
    <w:rsid w:val="009E2304"/>
    <w:rsid w:val="009E2418"/>
    <w:rsid w:val="009E2420"/>
    <w:rsid w:val="009E2469"/>
    <w:rsid w:val="009E24F0"/>
    <w:rsid w:val="009E258D"/>
    <w:rsid w:val="009E2680"/>
    <w:rsid w:val="009E278A"/>
    <w:rsid w:val="009E27CA"/>
    <w:rsid w:val="009E27D5"/>
    <w:rsid w:val="009E283D"/>
    <w:rsid w:val="009E28A4"/>
    <w:rsid w:val="009E28CE"/>
    <w:rsid w:val="009E293F"/>
    <w:rsid w:val="009E29FD"/>
    <w:rsid w:val="009E2A21"/>
    <w:rsid w:val="009E2AB3"/>
    <w:rsid w:val="009E2B63"/>
    <w:rsid w:val="009E2C37"/>
    <w:rsid w:val="009E2CA0"/>
    <w:rsid w:val="009E2D24"/>
    <w:rsid w:val="009E2EB5"/>
    <w:rsid w:val="009E2EF6"/>
    <w:rsid w:val="009E2F2A"/>
    <w:rsid w:val="009E2F33"/>
    <w:rsid w:val="009E2FE3"/>
    <w:rsid w:val="009E3043"/>
    <w:rsid w:val="009E3097"/>
    <w:rsid w:val="009E322A"/>
    <w:rsid w:val="009E32D3"/>
    <w:rsid w:val="009E3366"/>
    <w:rsid w:val="009E3450"/>
    <w:rsid w:val="009E3462"/>
    <w:rsid w:val="009E34D9"/>
    <w:rsid w:val="009E34DA"/>
    <w:rsid w:val="009E3568"/>
    <w:rsid w:val="009E35AF"/>
    <w:rsid w:val="009E36AA"/>
    <w:rsid w:val="009E36F5"/>
    <w:rsid w:val="009E3712"/>
    <w:rsid w:val="009E3733"/>
    <w:rsid w:val="009E379A"/>
    <w:rsid w:val="009E37E3"/>
    <w:rsid w:val="009E3825"/>
    <w:rsid w:val="009E389B"/>
    <w:rsid w:val="009E3947"/>
    <w:rsid w:val="009E39A9"/>
    <w:rsid w:val="009E3B2B"/>
    <w:rsid w:val="009E3D62"/>
    <w:rsid w:val="009E3DA1"/>
    <w:rsid w:val="009E3DC9"/>
    <w:rsid w:val="009E3E50"/>
    <w:rsid w:val="009E3EF9"/>
    <w:rsid w:val="009E3F02"/>
    <w:rsid w:val="009E3F99"/>
    <w:rsid w:val="009E4077"/>
    <w:rsid w:val="009E4208"/>
    <w:rsid w:val="009E4274"/>
    <w:rsid w:val="009E42AF"/>
    <w:rsid w:val="009E432F"/>
    <w:rsid w:val="009E4379"/>
    <w:rsid w:val="009E448A"/>
    <w:rsid w:val="009E44A7"/>
    <w:rsid w:val="009E4565"/>
    <w:rsid w:val="009E45F7"/>
    <w:rsid w:val="009E47AB"/>
    <w:rsid w:val="009E47C9"/>
    <w:rsid w:val="009E4869"/>
    <w:rsid w:val="009E48AE"/>
    <w:rsid w:val="009E4A20"/>
    <w:rsid w:val="009E4AED"/>
    <w:rsid w:val="009E4BED"/>
    <w:rsid w:val="009E4CD9"/>
    <w:rsid w:val="009E4D2D"/>
    <w:rsid w:val="009E4DA7"/>
    <w:rsid w:val="009E4E0D"/>
    <w:rsid w:val="009E4ECF"/>
    <w:rsid w:val="009E4EE3"/>
    <w:rsid w:val="009E4FA0"/>
    <w:rsid w:val="009E4FF9"/>
    <w:rsid w:val="009E5056"/>
    <w:rsid w:val="009E5078"/>
    <w:rsid w:val="009E5121"/>
    <w:rsid w:val="009E5122"/>
    <w:rsid w:val="009E5127"/>
    <w:rsid w:val="009E518B"/>
    <w:rsid w:val="009E5227"/>
    <w:rsid w:val="009E523A"/>
    <w:rsid w:val="009E529C"/>
    <w:rsid w:val="009E52F0"/>
    <w:rsid w:val="009E53C6"/>
    <w:rsid w:val="009E5446"/>
    <w:rsid w:val="009E5497"/>
    <w:rsid w:val="009E5546"/>
    <w:rsid w:val="009E555D"/>
    <w:rsid w:val="009E5615"/>
    <w:rsid w:val="009E5650"/>
    <w:rsid w:val="009E58BD"/>
    <w:rsid w:val="009E5912"/>
    <w:rsid w:val="009E5930"/>
    <w:rsid w:val="009E5B17"/>
    <w:rsid w:val="009E5CEC"/>
    <w:rsid w:val="009E5D2F"/>
    <w:rsid w:val="009E5D55"/>
    <w:rsid w:val="009E5D69"/>
    <w:rsid w:val="009E5DE2"/>
    <w:rsid w:val="009E5F34"/>
    <w:rsid w:val="009E5F6F"/>
    <w:rsid w:val="009E604F"/>
    <w:rsid w:val="009E60FE"/>
    <w:rsid w:val="009E6135"/>
    <w:rsid w:val="009E616F"/>
    <w:rsid w:val="009E6200"/>
    <w:rsid w:val="009E621D"/>
    <w:rsid w:val="009E6255"/>
    <w:rsid w:val="009E62E2"/>
    <w:rsid w:val="009E6365"/>
    <w:rsid w:val="009E638C"/>
    <w:rsid w:val="009E6392"/>
    <w:rsid w:val="009E64B3"/>
    <w:rsid w:val="009E64FC"/>
    <w:rsid w:val="009E6515"/>
    <w:rsid w:val="009E6645"/>
    <w:rsid w:val="009E6672"/>
    <w:rsid w:val="009E66C0"/>
    <w:rsid w:val="009E66E0"/>
    <w:rsid w:val="009E6778"/>
    <w:rsid w:val="009E683A"/>
    <w:rsid w:val="009E687A"/>
    <w:rsid w:val="009E6892"/>
    <w:rsid w:val="009E6A4F"/>
    <w:rsid w:val="009E6A76"/>
    <w:rsid w:val="009E6B79"/>
    <w:rsid w:val="009E6BBF"/>
    <w:rsid w:val="009E6C22"/>
    <w:rsid w:val="009E6C81"/>
    <w:rsid w:val="009E6D0D"/>
    <w:rsid w:val="009E6D33"/>
    <w:rsid w:val="009E6D54"/>
    <w:rsid w:val="009E6DDB"/>
    <w:rsid w:val="009E6DED"/>
    <w:rsid w:val="009E6E2B"/>
    <w:rsid w:val="009E6E52"/>
    <w:rsid w:val="009E6E55"/>
    <w:rsid w:val="009E6E9B"/>
    <w:rsid w:val="009E6FA8"/>
    <w:rsid w:val="009E7021"/>
    <w:rsid w:val="009E7092"/>
    <w:rsid w:val="009E71F0"/>
    <w:rsid w:val="009E7242"/>
    <w:rsid w:val="009E724B"/>
    <w:rsid w:val="009E7371"/>
    <w:rsid w:val="009E73BA"/>
    <w:rsid w:val="009E73D8"/>
    <w:rsid w:val="009E7638"/>
    <w:rsid w:val="009E7658"/>
    <w:rsid w:val="009E7744"/>
    <w:rsid w:val="009E7786"/>
    <w:rsid w:val="009E77EB"/>
    <w:rsid w:val="009E7817"/>
    <w:rsid w:val="009E7889"/>
    <w:rsid w:val="009E789A"/>
    <w:rsid w:val="009E78AE"/>
    <w:rsid w:val="009E7A1F"/>
    <w:rsid w:val="009E7A39"/>
    <w:rsid w:val="009E7BB2"/>
    <w:rsid w:val="009E7C40"/>
    <w:rsid w:val="009E7C72"/>
    <w:rsid w:val="009E7C81"/>
    <w:rsid w:val="009E7D31"/>
    <w:rsid w:val="009E7F23"/>
    <w:rsid w:val="009E7FA6"/>
    <w:rsid w:val="009F02B9"/>
    <w:rsid w:val="009F02C2"/>
    <w:rsid w:val="009F031B"/>
    <w:rsid w:val="009F033E"/>
    <w:rsid w:val="009F03BB"/>
    <w:rsid w:val="009F04E4"/>
    <w:rsid w:val="009F0511"/>
    <w:rsid w:val="009F051E"/>
    <w:rsid w:val="009F0668"/>
    <w:rsid w:val="009F07C9"/>
    <w:rsid w:val="009F087C"/>
    <w:rsid w:val="009F08B7"/>
    <w:rsid w:val="009F09D0"/>
    <w:rsid w:val="009F0A94"/>
    <w:rsid w:val="009F0AB6"/>
    <w:rsid w:val="009F0B6A"/>
    <w:rsid w:val="009F0BC3"/>
    <w:rsid w:val="009F0CC7"/>
    <w:rsid w:val="009F0D6C"/>
    <w:rsid w:val="009F0E58"/>
    <w:rsid w:val="009F0EF0"/>
    <w:rsid w:val="009F115F"/>
    <w:rsid w:val="009F1175"/>
    <w:rsid w:val="009F11AE"/>
    <w:rsid w:val="009F127A"/>
    <w:rsid w:val="009F1422"/>
    <w:rsid w:val="009F152C"/>
    <w:rsid w:val="009F1545"/>
    <w:rsid w:val="009F15A6"/>
    <w:rsid w:val="009F1676"/>
    <w:rsid w:val="009F1696"/>
    <w:rsid w:val="009F172A"/>
    <w:rsid w:val="009F1757"/>
    <w:rsid w:val="009F1A3E"/>
    <w:rsid w:val="009F1A46"/>
    <w:rsid w:val="009F1A87"/>
    <w:rsid w:val="009F1AB6"/>
    <w:rsid w:val="009F1BCD"/>
    <w:rsid w:val="009F1BFE"/>
    <w:rsid w:val="009F1D70"/>
    <w:rsid w:val="009F1EF1"/>
    <w:rsid w:val="009F1F6B"/>
    <w:rsid w:val="009F1F88"/>
    <w:rsid w:val="009F2049"/>
    <w:rsid w:val="009F20F4"/>
    <w:rsid w:val="009F2111"/>
    <w:rsid w:val="009F2195"/>
    <w:rsid w:val="009F22E6"/>
    <w:rsid w:val="009F2309"/>
    <w:rsid w:val="009F24B0"/>
    <w:rsid w:val="009F24CF"/>
    <w:rsid w:val="009F25F1"/>
    <w:rsid w:val="009F27A7"/>
    <w:rsid w:val="009F28AD"/>
    <w:rsid w:val="009F291E"/>
    <w:rsid w:val="009F292A"/>
    <w:rsid w:val="009F292F"/>
    <w:rsid w:val="009F29C4"/>
    <w:rsid w:val="009F2A11"/>
    <w:rsid w:val="009F2B1F"/>
    <w:rsid w:val="009F2CB9"/>
    <w:rsid w:val="009F2D4C"/>
    <w:rsid w:val="009F2DD1"/>
    <w:rsid w:val="009F2ED9"/>
    <w:rsid w:val="009F3025"/>
    <w:rsid w:val="009F3189"/>
    <w:rsid w:val="009F31B0"/>
    <w:rsid w:val="009F325D"/>
    <w:rsid w:val="009F32E2"/>
    <w:rsid w:val="009F3302"/>
    <w:rsid w:val="009F331E"/>
    <w:rsid w:val="009F33B7"/>
    <w:rsid w:val="009F33D2"/>
    <w:rsid w:val="009F33D4"/>
    <w:rsid w:val="009F33EB"/>
    <w:rsid w:val="009F3486"/>
    <w:rsid w:val="009F350D"/>
    <w:rsid w:val="009F3585"/>
    <w:rsid w:val="009F35CF"/>
    <w:rsid w:val="009F3605"/>
    <w:rsid w:val="009F3648"/>
    <w:rsid w:val="009F3693"/>
    <w:rsid w:val="009F36B9"/>
    <w:rsid w:val="009F36D2"/>
    <w:rsid w:val="009F3723"/>
    <w:rsid w:val="009F3756"/>
    <w:rsid w:val="009F383B"/>
    <w:rsid w:val="009F3AD7"/>
    <w:rsid w:val="009F3B45"/>
    <w:rsid w:val="009F3C04"/>
    <w:rsid w:val="009F3C42"/>
    <w:rsid w:val="009F3E26"/>
    <w:rsid w:val="009F3EF5"/>
    <w:rsid w:val="009F3FDD"/>
    <w:rsid w:val="009F401D"/>
    <w:rsid w:val="009F425D"/>
    <w:rsid w:val="009F4277"/>
    <w:rsid w:val="009F4291"/>
    <w:rsid w:val="009F4293"/>
    <w:rsid w:val="009F42A8"/>
    <w:rsid w:val="009F43AC"/>
    <w:rsid w:val="009F4413"/>
    <w:rsid w:val="009F44F5"/>
    <w:rsid w:val="009F45E7"/>
    <w:rsid w:val="009F46C2"/>
    <w:rsid w:val="009F485C"/>
    <w:rsid w:val="009F486E"/>
    <w:rsid w:val="009F48B1"/>
    <w:rsid w:val="009F493D"/>
    <w:rsid w:val="009F495C"/>
    <w:rsid w:val="009F49AD"/>
    <w:rsid w:val="009F49B3"/>
    <w:rsid w:val="009F4AF7"/>
    <w:rsid w:val="009F4B2C"/>
    <w:rsid w:val="009F4CE3"/>
    <w:rsid w:val="009F4F85"/>
    <w:rsid w:val="009F4FC7"/>
    <w:rsid w:val="009F4FD4"/>
    <w:rsid w:val="009F4FFA"/>
    <w:rsid w:val="009F505A"/>
    <w:rsid w:val="009F50CF"/>
    <w:rsid w:val="009F5294"/>
    <w:rsid w:val="009F5482"/>
    <w:rsid w:val="009F55B7"/>
    <w:rsid w:val="009F5650"/>
    <w:rsid w:val="009F56FC"/>
    <w:rsid w:val="009F57C8"/>
    <w:rsid w:val="009F584B"/>
    <w:rsid w:val="009F595F"/>
    <w:rsid w:val="009F5B99"/>
    <w:rsid w:val="009F5BD1"/>
    <w:rsid w:val="009F5CB2"/>
    <w:rsid w:val="009F5CD4"/>
    <w:rsid w:val="009F5D73"/>
    <w:rsid w:val="009F5E9B"/>
    <w:rsid w:val="009F6009"/>
    <w:rsid w:val="009F6131"/>
    <w:rsid w:val="009F6145"/>
    <w:rsid w:val="009F6188"/>
    <w:rsid w:val="009F6210"/>
    <w:rsid w:val="009F625F"/>
    <w:rsid w:val="009F6398"/>
    <w:rsid w:val="009F6453"/>
    <w:rsid w:val="009F64F5"/>
    <w:rsid w:val="009F653E"/>
    <w:rsid w:val="009F65F7"/>
    <w:rsid w:val="009F6692"/>
    <w:rsid w:val="009F66E2"/>
    <w:rsid w:val="009F69A4"/>
    <w:rsid w:val="009F6AD6"/>
    <w:rsid w:val="009F6AD8"/>
    <w:rsid w:val="009F6B79"/>
    <w:rsid w:val="009F6D53"/>
    <w:rsid w:val="009F6D64"/>
    <w:rsid w:val="009F6D87"/>
    <w:rsid w:val="009F6DA5"/>
    <w:rsid w:val="009F6FE4"/>
    <w:rsid w:val="009F70F6"/>
    <w:rsid w:val="009F72C3"/>
    <w:rsid w:val="009F7392"/>
    <w:rsid w:val="009F74E6"/>
    <w:rsid w:val="009F75F4"/>
    <w:rsid w:val="009F765B"/>
    <w:rsid w:val="009F76B1"/>
    <w:rsid w:val="009F76E2"/>
    <w:rsid w:val="009F7723"/>
    <w:rsid w:val="009F77F4"/>
    <w:rsid w:val="009F7845"/>
    <w:rsid w:val="009F7A25"/>
    <w:rsid w:val="009F7A2A"/>
    <w:rsid w:val="009F7A81"/>
    <w:rsid w:val="009F7AB2"/>
    <w:rsid w:val="009F7B49"/>
    <w:rsid w:val="009F7BAB"/>
    <w:rsid w:val="009F7BB6"/>
    <w:rsid w:val="009F7C5C"/>
    <w:rsid w:val="009F7C88"/>
    <w:rsid w:val="009F7D11"/>
    <w:rsid w:val="009F7DD1"/>
    <w:rsid w:val="009F7DD5"/>
    <w:rsid w:val="009F7DFA"/>
    <w:rsid w:val="009F7E0E"/>
    <w:rsid w:val="009F7E7C"/>
    <w:rsid w:val="009F7F5B"/>
    <w:rsid w:val="009F7FF3"/>
    <w:rsid w:val="00A0003E"/>
    <w:rsid w:val="00A00238"/>
    <w:rsid w:val="00A00270"/>
    <w:rsid w:val="00A002F7"/>
    <w:rsid w:val="00A0044B"/>
    <w:rsid w:val="00A004CF"/>
    <w:rsid w:val="00A00521"/>
    <w:rsid w:val="00A005D7"/>
    <w:rsid w:val="00A006DE"/>
    <w:rsid w:val="00A0080E"/>
    <w:rsid w:val="00A0084F"/>
    <w:rsid w:val="00A008A8"/>
    <w:rsid w:val="00A00A61"/>
    <w:rsid w:val="00A00ACA"/>
    <w:rsid w:val="00A00BCE"/>
    <w:rsid w:val="00A00C18"/>
    <w:rsid w:val="00A00C5F"/>
    <w:rsid w:val="00A00D05"/>
    <w:rsid w:val="00A00E3F"/>
    <w:rsid w:val="00A00FA6"/>
    <w:rsid w:val="00A00FBE"/>
    <w:rsid w:val="00A0101E"/>
    <w:rsid w:val="00A0110D"/>
    <w:rsid w:val="00A011FC"/>
    <w:rsid w:val="00A01227"/>
    <w:rsid w:val="00A0131B"/>
    <w:rsid w:val="00A0140D"/>
    <w:rsid w:val="00A0150A"/>
    <w:rsid w:val="00A0173D"/>
    <w:rsid w:val="00A0174A"/>
    <w:rsid w:val="00A017BD"/>
    <w:rsid w:val="00A018AC"/>
    <w:rsid w:val="00A01993"/>
    <w:rsid w:val="00A019D5"/>
    <w:rsid w:val="00A01A35"/>
    <w:rsid w:val="00A01A42"/>
    <w:rsid w:val="00A01A48"/>
    <w:rsid w:val="00A01A4F"/>
    <w:rsid w:val="00A01A92"/>
    <w:rsid w:val="00A01AED"/>
    <w:rsid w:val="00A01B4C"/>
    <w:rsid w:val="00A01C21"/>
    <w:rsid w:val="00A01C46"/>
    <w:rsid w:val="00A01D5E"/>
    <w:rsid w:val="00A01D6A"/>
    <w:rsid w:val="00A01DA8"/>
    <w:rsid w:val="00A01DD1"/>
    <w:rsid w:val="00A01E3C"/>
    <w:rsid w:val="00A01F69"/>
    <w:rsid w:val="00A01FA1"/>
    <w:rsid w:val="00A02081"/>
    <w:rsid w:val="00A020B8"/>
    <w:rsid w:val="00A02118"/>
    <w:rsid w:val="00A0216B"/>
    <w:rsid w:val="00A021F8"/>
    <w:rsid w:val="00A022BC"/>
    <w:rsid w:val="00A022E5"/>
    <w:rsid w:val="00A0241A"/>
    <w:rsid w:val="00A024B0"/>
    <w:rsid w:val="00A024D5"/>
    <w:rsid w:val="00A024E6"/>
    <w:rsid w:val="00A024EE"/>
    <w:rsid w:val="00A02633"/>
    <w:rsid w:val="00A026DC"/>
    <w:rsid w:val="00A0273F"/>
    <w:rsid w:val="00A027D1"/>
    <w:rsid w:val="00A02825"/>
    <w:rsid w:val="00A028DF"/>
    <w:rsid w:val="00A02969"/>
    <w:rsid w:val="00A0299F"/>
    <w:rsid w:val="00A029A5"/>
    <w:rsid w:val="00A029CA"/>
    <w:rsid w:val="00A02A3A"/>
    <w:rsid w:val="00A02A63"/>
    <w:rsid w:val="00A02A85"/>
    <w:rsid w:val="00A02B47"/>
    <w:rsid w:val="00A02B7C"/>
    <w:rsid w:val="00A02B91"/>
    <w:rsid w:val="00A02BDE"/>
    <w:rsid w:val="00A02CED"/>
    <w:rsid w:val="00A02CFE"/>
    <w:rsid w:val="00A02E40"/>
    <w:rsid w:val="00A02F01"/>
    <w:rsid w:val="00A02F30"/>
    <w:rsid w:val="00A02FFE"/>
    <w:rsid w:val="00A0308E"/>
    <w:rsid w:val="00A03332"/>
    <w:rsid w:val="00A033CF"/>
    <w:rsid w:val="00A03403"/>
    <w:rsid w:val="00A0342D"/>
    <w:rsid w:val="00A03514"/>
    <w:rsid w:val="00A03537"/>
    <w:rsid w:val="00A035AE"/>
    <w:rsid w:val="00A035DA"/>
    <w:rsid w:val="00A036A5"/>
    <w:rsid w:val="00A036BE"/>
    <w:rsid w:val="00A03809"/>
    <w:rsid w:val="00A03851"/>
    <w:rsid w:val="00A038AD"/>
    <w:rsid w:val="00A03930"/>
    <w:rsid w:val="00A039DA"/>
    <w:rsid w:val="00A03A37"/>
    <w:rsid w:val="00A03BC2"/>
    <w:rsid w:val="00A03D0E"/>
    <w:rsid w:val="00A03DE5"/>
    <w:rsid w:val="00A03EAE"/>
    <w:rsid w:val="00A04055"/>
    <w:rsid w:val="00A04126"/>
    <w:rsid w:val="00A0414C"/>
    <w:rsid w:val="00A04279"/>
    <w:rsid w:val="00A042EF"/>
    <w:rsid w:val="00A04403"/>
    <w:rsid w:val="00A04429"/>
    <w:rsid w:val="00A044BD"/>
    <w:rsid w:val="00A047C2"/>
    <w:rsid w:val="00A04845"/>
    <w:rsid w:val="00A048F5"/>
    <w:rsid w:val="00A04911"/>
    <w:rsid w:val="00A04931"/>
    <w:rsid w:val="00A04D4A"/>
    <w:rsid w:val="00A04DC7"/>
    <w:rsid w:val="00A04E3A"/>
    <w:rsid w:val="00A04EFA"/>
    <w:rsid w:val="00A04F6F"/>
    <w:rsid w:val="00A04F9F"/>
    <w:rsid w:val="00A05079"/>
    <w:rsid w:val="00A0520F"/>
    <w:rsid w:val="00A0525F"/>
    <w:rsid w:val="00A0531C"/>
    <w:rsid w:val="00A0534B"/>
    <w:rsid w:val="00A053B5"/>
    <w:rsid w:val="00A0545C"/>
    <w:rsid w:val="00A05488"/>
    <w:rsid w:val="00A05510"/>
    <w:rsid w:val="00A0553B"/>
    <w:rsid w:val="00A05547"/>
    <w:rsid w:val="00A05548"/>
    <w:rsid w:val="00A055AF"/>
    <w:rsid w:val="00A0563F"/>
    <w:rsid w:val="00A05646"/>
    <w:rsid w:val="00A058A2"/>
    <w:rsid w:val="00A05A30"/>
    <w:rsid w:val="00A05C00"/>
    <w:rsid w:val="00A05C8A"/>
    <w:rsid w:val="00A05CB5"/>
    <w:rsid w:val="00A05CBA"/>
    <w:rsid w:val="00A05D2E"/>
    <w:rsid w:val="00A05F01"/>
    <w:rsid w:val="00A06027"/>
    <w:rsid w:val="00A06036"/>
    <w:rsid w:val="00A06044"/>
    <w:rsid w:val="00A060CB"/>
    <w:rsid w:val="00A060D6"/>
    <w:rsid w:val="00A062CF"/>
    <w:rsid w:val="00A06367"/>
    <w:rsid w:val="00A063EE"/>
    <w:rsid w:val="00A06462"/>
    <w:rsid w:val="00A0648E"/>
    <w:rsid w:val="00A0650E"/>
    <w:rsid w:val="00A0651D"/>
    <w:rsid w:val="00A0653C"/>
    <w:rsid w:val="00A065B5"/>
    <w:rsid w:val="00A065E8"/>
    <w:rsid w:val="00A06698"/>
    <w:rsid w:val="00A068BB"/>
    <w:rsid w:val="00A0694D"/>
    <w:rsid w:val="00A069D8"/>
    <w:rsid w:val="00A06A3B"/>
    <w:rsid w:val="00A06B54"/>
    <w:rsid w:val="00A06C34"/>
    <w:rsid w:val="00A06CBE"/>
    <w:rsid w:val="00A06CC5"/>
    <w:rsid w:val="00A06CCC"/>
    <w:rsid w:val="00A06DB1"/>
    <w:rsid w:val="00A06ECA"/>
    <w:rsid w:val="00A06F69"/>
    <w:rsid w:val="00A06F9C"/>
    <w:rsid w:val="00A06FDA"/>
    <w:rsid w:val="00A06FE6"/>
    <w:rsid w:val="00A07111"/>
    <w:rsid w:val="00A07247"/>
    <w:rsid w:val="00A0727F"/>
    <w:rsid w:val="00A0731D"/>
    <w:rsid w:val="00A0739F"/>
    <w:rsid w:val="00A07469"/>
    <w:rsid w:val="00A076C5"/>
    <w:rsid w:val="00A076EE"/>
    <w:rsid w:val="00A077A2"/>
    <w:rsid w:val="00A0788F"/>
    <w:rsid w:val="00A078B3"/>
    <w:rsid w:val="00A079C0"/>
    <w:rsid w:val="00A07A3F"/>
    <w:rsid w:val="00A07A60"/>
    <w:rsid w:val="00A07A72"/>
    <w:rsid w:val="00A07A87"/>
    <w:rsid w:val="00A07A9E"/>
    <w:rsid w:val="00A07B2F"/>
    <w:rsid w:val="00A07BCD"/>
    <w:rsid w:val="00A07D0B"/>
    <w:rsid w:val="00A07D54"/>
    <w:rsid w:val="00A07D59"/>
    <w:rsid w:val="00A07D8C"/>
    <w:rsid w:val="00A07E08"/>
    <w:rsid w:val="00A07E58"/>
    <w:rsid w:val="00A1004B"/>
    <w:rsid w:val="00A10055"/>
    <w:rsid w:val="00A100AE"/>
    <w:rsid w:val="00A100F5"/>
    <w:rsid w:val="00A10209"/>
    <w:rsid w:val="00A10265"/>
    <w:rsid w:val="00A10280"/>
    <w:rsid w:val="00A102E4"/>
    <w:rsid w:val="00A1035F"/>
    <w:rsid w:val="00A10502"/>
    <w:rsid w:val="00A10554"/>
    <w:rsid w:val="00A105F0"/>
    <w:rsid w:val="00A1064F"/>
    <w:rsid w:val="00A10783"/>
    <w:rsid w:val="00A107E8"/>
    <w:rsid w:val="00A10836"/>
    <w:rsid w:val="00A10969"/>
    <w:rsid w:val="00A10B2E"/>
    <w:rsid w:val="00A10B50"/>
    <w:rsid w:val="00A10BD3"/>
    <w:rsid w:val="00A10BE2"/>
    <w:rsid w:val="00A10BF8"/>
    <w:rsid w:val="00A10C3D"/>
    <w:rsid w:val="00A10CF7"/>
    <w:rsid w:val="00A10D0C"/>
    <w:rsid w:val="00A10D78"/>
    <w:rsid w:val="00A10F7A"/>
    <w:rsid w:val="00A10F8A"/>
    <w:rsid w:val="00A10F8F"/>
    <w:rsid w:val="00A11010"/>
    <w:rsid w:val="00A1106C"/>
    <w:rsid w:val="00A111BB"/>
    <w:rsid w:val="00A1139F"/>
    <w:rsid w:val="00A11408"/>
    <w:rsid w:val="00A11471"/>
    <w:rsid w:val="00A114C3"/>
    <w:rsid w:val="00A1159F"/>
    <w:rsid w:val="00A115A8"/>
    <w:rsid w:val="00A11600"/>
    <w:rsid w:val="00A11630"/>
    <w:rsid w:val="00A1168F"/>
    <w:rsid w:val="00A11796"/>
    <w:rsid w:val="00A1188B"/>
    <w:rsid w:val="00A118D0"/>
    <w:rsid w:val="00A11A6D"/>
    <w:rsid w:val="00A11A9C"/>
    <w:rsid w:val="00A11ADD"/>
    <w:rsid w:val="00A11B7A"/>
    <w:rsid w:val="00A11B83"/>
    <w:rsid w:val="00A11BEC"/>
    <w:rsid w:val="00A11C05"/>
    <w:rsid w:val="00A11C0E"/>
    <w:rsid w:val="00A11C1A"/>
    <w:rsid w:val="00A11C4F"/>
    <w:rsid w:val="00A11C54"/>
    <w:rsid w:val="00A11C6D"/>
    <w:rsid w:val="00A11CDB"/>
    <w:rsid w:val="00A11D3D"/>
    <w:rsid w:val="00A11D8D"/>
    <w:rsid w:val="00A11F0D"/>
    <w:rsid w:val="00A11F15"/>
    <w:rsid w:val="00A11FFB"/>
    <w:rsid w:val="00A12051"/>
    <w:rsid w:val="00A1214B"/>
    <w:rsid w:val="00A12160"/>
    <w:rsid w:val="00A1217F"/>
    <w:rsid w:val="00A1231A"/>
    <w:rsid w:val="00A1232D"/>
    <w:rsid w:val="00A1234D"/>
    <w:rsid w:val="00A1258F"/>
    <w:rsid w:val="00A12594"/>
    <w:rsid w:val="00A12619"/>
    <w:rsid w:val="00A1268E"/>
    <w:rsid w:val="00A12726"/>
    <w:rsid w:val="00A127A9"/>
    <w:rsid w:val="00A127F3"/>
    <w:rsid w:val="00A12820"/>
    <w:rsid w:val="00A1298D"/>
    <w:rsid w:val="00A129F9"/>
    <w:rsid w:val="00A12A30"/>
    <w:rsid w:val="00A12A61"/>
    <w:rsid w:val="00A12A8D"/>
    <w:rsid w:val="00A12B44"/>
    <w:rsid w:val="00A12BE1"/>
    <w:rsid w:val="00A12BEA"/>
    <w:rsid w:val="00A12C57"/>
    <w:rsid w:val="00A12C9F"/>
    <w:rsid w:val="00A12CE0"/>
    <w:rsid w:val="00A12D33"/>
    <w:rsid w:val="00A12D3F"/>
    <w:rsid w:val="00A12D49"/>
    <w:rsid w:val="00A12E43"/>
    <w:rsid w:val="00A12E69"/>
    <w:rsid w:val="00A12EB8"/>
    <w:rsid w:val="00A12F40"/>
    <w:rsid w:val="00A12F9D"/>
    <w:rsid w:val="00A12FF9"/>
    <w:rsid w:val="00A13177"/>
    <w:rsid w:val="00A131C0"/>
    <w:rsid w:val="00A13218"/>
    <w:rsid w:val="00A13220"/>
    <w:rsid w:val="00A13249"/>
    <w:rsid w:val="00A13254"/>
    <w:rsid w:val="00A13255"/>
    <w:rsid w:val="00A1327A"/>
    <w:rsid w:val="00A13295"/>
    <w:rsid w:val="00A132EE"/>
    <w:rsid w:val="00A133BB"/>
    <w:rsid w:val="00A1341E"/>
    <w:rsid w:val="00A1360F"/>
    <w:rsid w:val="00A1363E"/>
    <w:rsid w:val="00A13717"/>
    <w:rsid w:val="00A1385B"/>
    <w:rsid w:val="00A13942"/>
    <w:rsid w:val="00A1399C"/>
    <w:rsid w:val="00A139E6"/>
    <w:rsid w:val="00A13A61"/>
    <w:rsid w:val="00A13A69"/>
    <w:rsid w:val="00A13A6B"/>
    <w:rsid w:val="00A13B38"/>
    <w:rsid w:val="00A13D68"/>
    <w:rsid w:val="00A13D93"/>
    <w:rsid w:val="00A13DEF"/>
    <w:rsid w:val="00A13E36"/>
    <w:rsid w:val="00A13F04"/>
    <w:rsid w:val="00A13F8C"/>
    <w:rsid w:val="00A1401A"/>
    <w:rsid w:val="00A14103"/>
    <w:rsid w:val="00A1419A"/>
    <w:rsid w:val="00A14329"/>
    <w:rsid w:val="00A14371"/>
    <w:rsid w:val="00A1440E"/>
    <w:rsid w:val="00A14431"/>
    <w:rsid w:val="00A1448C"/>
    <w:rsid w:val="00A145E6"/>
    <w:rsid w:val="00A14694"/>
    <w:rsid w:val="00A1469B"/>
    <w:rsid w:val="00A146A7"/>
    <w:rsid w:val="00A146EA"/>
    <w:rsid w:val="00A147EF"/>
    <w:rsid w:val="00A14949"/>
    <w:rsid w:val="00A14A46"/>
    <w:rsid w:val="00A14A93"/>
    <w:rsid w:val="00A14B1B"/>
    <w:rsid w:val="00A14B69"/>
    <w:rsid w:val="00A14B78"/>
    <w:rsid w:val="00A14C7F"/>
    <w:rsid w:val="00A14C99"/>
    <w:rsid w:val="00A14D1A"/>
    <w:rsid w:val="00A14E25"/>
    <w:rsid w:val="00A14FD6"/>
    <w:rsid w:val="00A150EA"/>
    <w:rsid w:val="00A1516A"/>
    <w:rsid w:val="00A152FE"/>
    <w:rsid w:val="00A1531C"/>
    <w:rsid w:val="00A1531D"/>
    <w:rsid w:val="00A153F9"/>
    <w:rsid w:val="00A1556A"/>
    <w:rsid w:val="00A15575"/>
    <w:rsid w:val="00A155CD"/>
    <w:rsid w:val="00A155F0"/>
    <w:rsid w:val="00A157D9"/>
    <w:rsid w:val="00A1585D"/>
    <w:rsid w:val="00A15913"/>
    <w:rsid w:val="00A1594E"/>
    <w:rsid w:val="00A159D4"/>
    <w:rsid w:val="00A15CEA"/>
    <w:rsid w:val="00A15D12"/>
    <w:rsid w:val="00A15D6C"/>
    <w:rsid w:val="00A15D77"/>
    <w:rsid w:val="00A15E5E"/>
    <w:rsid w:val="00A15E8B"/>
    <w:rsid w:val="00A1606E"/>
    <w:rsid w:val="00A16071"/>
    <w:rsid w:val="00A160A2"/>
    <w:rsid w:val="00A1616B"/>
    <w:rsid w:val="00A161A4"/>
    <w:rsid w:val="00A1623A"/>
    <w:rsid w:val="00A162C1"/>
    <w:rsid w:val="00A163AB"/>
    <w:rsid w:val="00A16410"/>
    <w:rsid w:val="00A164BB"/>
    <w:rsid w:val="00A1652A"/>
    <w:rsid w:val="00A16582"/>
    <w:rsid w:val="00A165F1"/>
    <w:rsid w:val="00A16632"/>
    <w:rsid w:val="00A1666F"/>
    <w:rsid w:val="00A1680A"/>
    <w:rsid w:val="00A169BD"/>
    <w:rsid w:val="00A16AB0"/>
    <w:rsid w:val="00A16B34"/>
    <w:rsid w:val="00A16C37"/>
    <w:rsid w:val="00A16D05"/>
    <w:rsid w:val="00A16D18"/>
    <w:rsid w:val="00A16D79"/>
    <w:rsid w:val="00A16E8F"/>
    <w:rsid w:val="00A16F56"/>
    <w:rsid w:val="00A1705C"/>
    <w:rsid w:val="00A170FF"/>
    <w:rsid w:val="00A1717A"/>
    <w:rsid w:val="00A171ED"/>
    <w:rsid w:val="00A17206"/>
    <w:rsid w:val="00A17223"/>
    <w:rsid w:val="00A17329"/>
    <w:rsid w:val="00A17361"/>
    <w:rsid w:val="00A173FB"/>
    <w:rsid w:val="00A1741A"/>
    <w:rsid w:val="00A17460"/>
    <w:rsid w:val="00A174F0"/>
    <w:rsid w:val="00A1750A"/>
    <w:rsid w:val="00A1750B"/>
    <w:rsid w:val="00A17573"/>
    <w:rsid w:val="00A176AF"/>
    <w:rsid w:val="00A176B1"/>
    <w:rsid w:val="00A17754"/>
    <w:rsid w:val="00A1776B"/>
    <w:rsid w:val="00A1779C"/>
    <w:rsid w:val="00A177A7"/>
    <w:rsid w:val="00A177DF"/>
    <w:rsid w:val="00A177E7"/>
    <w:rsid w:val="00A17957"/>
    <w:rsid w:val="00A17A55"/>
    <w:rsid w:val="00A17B49"/>
    <w:rsid w:val="00A17B5C"/>
    <w:rsid w:val="00A17E4E"/>
    <w:rsid w:val="00A17E73"/>
    <w:rsid w:val="00A17F72"/>
    <w:rsid w:val="00A17F74"/>
    <w:rsid w:val="00A17FB7"/>
    <w:rsid w:val="00A17FF0"/>
    <w:rsid w:val="00A2001B"/>
    <w:rsid w:val="00A200B7"/>
    <w:rsid w:val="00A20123"/>
    <w:rsid w:val="00A20236"/>
    <w:rsid w:val="00A20364"/>
    <w:rsid w:val="00A204CB"/>
    <w:rsid w:val="00A206B3"/>
    <w:rsid w:val="00A20863"/>
    <w:rsid w:val="00A20866"/>
    <w:rsid w:val="00A209D4"/>
    <w:rsid w:val="00A20A54"/>
    <w:rsid w:val="00A20B0D"/>
    <w:rsid w:val="00A20B13"/>
    <w:rsid w:val="00A20B93"/>
    <w:rsid w:val="00A20C47"/>
    <w:rsid w:val="00A20C51"/>
    <w:rsid w:val="00A20E6D"/>
    <w:rsid w:val="00A20F07"/>
    <w:rsid w:val="00A20FDB"/>
    <w:rsid w:val="00A210A1"/>
    <w:rsid w:val="00A211DB"/>
    <w:rsid w:val="00A211DC"/>
    <w:rsid w:val="00A21295"/>
    <w:rsid w:val="00A212A5"/>
    <w:rsid w:val="00A2136D"/>
    <w:rsid w:val="00A2138F"/>
    <w:rsid w:val="00A214DA"/>
    <w:rsid w:val="00A21608"/>
    <w:rsid w:val="00A2160D"/>
    <w:rsid w:val="00A2165E"/>
    <w:rsid w:val="00A21681"/>
    <w:rsid w:val="00A217B7"/>
    <w:rsid w:val="00A21803"/>
    <w:rsid w:val="00A21859"/>
    <w:rsid w:val="00A21924"/>
    <w:rsid w:val="00A2193B"/>
    <w:rsid w:val="00A21A81"/>
    <w:rsid w:val="00A21AAC"/>
    <w:rsid w:val="00A21C13"/>
    <w:rsid w:val="00A21C3A"/>
    <w:rsid w:val="00A21E3C"/>
    <w:rsid w:val="00A21E91"/>
    <w:rsid w:val="00A21F96"/>
    <w:rsid w:val="00A220D1"/>
    <w:rsid w:val="00A22163"/>
    <w:rsid w:val="00A22272"/>
    <w:rsid w:val="00A22275"/>
    <w:rsid w:val="00A22478"/>
    <w:rsid w:val="00A225E1"/>
    <w:rsid w:val="00A225F9"/>
    <w:rsid w:val="00A226E1"/>
    <w:rsid w:val="00A2282C"/>
    <w:rsid w:val="00A22994"/>
    <w:rsid w:val="00A2299D"/>
    <w:rsid w:val="00A229C0"/>
    <w:rsid w:val="00A22A38"/>
    <w:rsid w:val="00A22AB1"/>
    <w:rsid w:val="00A22ADD"/>
    <w:rsid w:val="00A22B0D"/>
    <w:rsid w:val="00A22C63"/>
    <w:rsid w:val="00A22CD2"/>
    <w:rsid w:val="00A22F1D"/>
    <w:rsid w:val="00A22FCF"/>
    <w:rsid w:val="00A2302E"/>
    <w:rsid w:val="00A2303E"/>
    <w:rsid w:val="00A231F4"/>
    <w:rsid w:val="00A232C2"/>
    <w:rsid w:val="00A23341"/>
    <w:rsid w:val="00A233DE"/>
    <w:rsid w:val="00A23416"/>
    <w:rsid w:val="00A2352C"/>
    <w:rsid w:val="00A23552"/>
    <w:rsid w:val="00A2356D"/>
    <w:rsid w:val="00A235EF"/>
    <w:rsid w:val="00A23637"/>
    <w:rsid w:val="00A2373E"/>
    <w:rsid w:val="00A237EB"/>
    <w:rsid w:val="00A2387A"/>
    <w:rsid w:val="00A238C7"/>
    <w:rsid w:val="00A23916"/>
    <w:rsid w:val="00A23A67"/>
    <w:rsid w:val="00A23AAA"/>
    <w:rsid w:val="00A23B77"/>
    <w:rsid w:val="00A23C8F"/>
    <w:rsid w:val="00A23CB4"/>
    <w:rsid w:val="00A23CE4"/>
    <w:rsid w:val="00A23D0C"/>
    <w:rsid w:val="00A23DFE"/>
    <w:rsid w:val="00A23E24"/>
    <w:rsid w:val="00A23F3A"/>
    <w:rsid w:val="00A23F3E"/>
    <w:rsid w:val="00A24240"/>
    <w:rsid w:val="00A242DE"/>
    <w:rsid w:val="00A24361"/>
    <w:rsid w:val="00A2439C"/>
    <w:rsid w:val="00A243C2"/>
    <w:rsid w:val="00A243F7"/>
    <w:rsid w:val="00A244A2"/>
    <w:rsid w:val="00A2461E"/>
    <w:rsid w:val="00A2464F"/>
    <w:rsid w:val="00A24692"/>
    <w:rsid w:val="00A246E6"/>
    <w:rsid w:val="00A2472B"/>
    <w:rsid w:val="00A247B6"/>
    <w:rsid w:val="00A247BB"/>
    <w:rsid w:val="00A24857"/>
    <w:rsid w:val="00A2492B"/>
    <w:rsid w:val="00A249C4"/>
    <w:rsid w:val="00A249D5"/>
    <w:rsid w:val="00A249DF"/>
    <w:rsid w:val="00A249E4"/>
    <w:rsid w:val="00A249F4"/>
    <w:rsid w:val="00A24A7E"/>
    <w:rsid w:val="00A24ADC"/>
    <w:rsid w:val="00A24AF1"/>
    <w:rsid w:val="00A24B27"/>
    <w:rsid w:val="00A24BEF"/>
    <w:rsid w:val="00A24E88"/>
    <w:rsid w:val="00A24E96"/>
    <w:rsid w:val="00A24FD4"/>
    <w:rsid w:val="00A2503E"/>
    <w:rsid w:val="00A25148"/>
    <w:rsid w:val="00A251DE"/>
    <w:rsid w:val="00A25394"/>
    <w:rsid w:val="00A25470"/>
    <w:rsid w:val="00A2547F"/>
    <w:rsid w:val="00A256E0"/>
    <w:rsid w:val="00A25720"/>
    <w:rsid w:val="00A25793"/>
    <w:rsid w:val="00A2588C"/>
    <w:rsid w:val="00A258C2"/>
    <w:rsid w:val="00A258C5"/>
    <w:rsid w:val="00A25A86"/>
    <w:rsid w:val="00A25A88"/>
    <w:rsid w:val="00A25C59"/>
    <w:rsid w:val="00A25D12"/>
    <w:rsid w:val="00A25D58"/>
    <w:rsid w:val="00A25DC8"/>
    <w:rsid w:val="00A25F78"/>
    <w:rsid w:val="00A25FEC"/>
    <w:rsid w:val="00A2601D"/>
    <w:rsid w:val="00A26038"/>
    <w:rsid w:val="00A2604F"/>
    <w:rsid w:val="00A26108"/>
    <w:rsid w:val="00A26133"/>
    <w:rsid w:val="00A261FF"/>
    <w:rsid w:val="00A2620A"/>
    <w:rsid w:val="00A26235"/>
    <w:rsid w:val="00A2624F"/>
    <w:rsid w:val="00A26253"/>
    <w:rsid w:val="00A26273"/>
    <w:rsid w:val="00A26447"/>
    <w:rsid w:val="00A26545"/>
    <w:rsid w:val="00A2675E"/>
    <w:rsid w:val="00A26842"/>
    <w:rsid w:val="00A26905"/>
    <w:rsid w:val="00A26BEE"/>
    <w:rsid w:val="00A26C32"/>
    <w:rsid w:val="00A26C64"/>
    <w:rsid w:val="00A26C75"/>
    <w:rsid w:val="00A26C94"/>
    <w:rsid w:val="00A26D1C"/>
    <w:rsid w:val="00A26D4E"/>
    <w:rsid w:val="00A26D61"/>
    <w:rsid w:val="00A26DAF"/>
    <w:rsid w:val="00A26DEA"/>
    <w:rsid w:val="00A26E4C"/>
    <w:rsid w:val="00A26E67"/>
    <w:rsid w:val="00A26E70"/>
    <w:rsid w:val="00A27065"/>
    <w:rsid w:val="00A2738A"/>
    <w:rsid w:val="00A27431"/>
    <w:rsid w:val="00A27472"/>
    <w:rsid w:val="00A274B3"/>
    <w:rsid w:val="00A27846"/>
    <w:rsid w:val="00A27AD2"/>
    <w:rsid w:val="00A27AE9"/>
    <w:rsid w:val="00A27BF4"/>
    <w:rsid w:val="00A27C59"/>
    <w:rsid w:val="00A27C5D"/>
    <w:rsid w:val="00A27CA0"/>
    <w:rsid w:val="00A27D3F"/>
    <w:rsid w:val="00A27E39"/>
    <w:rsid w:val="00A27E99"/>
    <w:rsid w:val="00A27FD5"/>
    <w:rsid w:val="00A30088"/>
    <w:rsid w:val="00A3010C"/>
    <w:rsid w:val="00A301C9"/>
    <w:rsid w:val="00A301E5"/>
    <w:rsid w:val="00A3022D"/>
    <w:rsid w:val="00A3028E"/>
    <w:rsid w:val="00A302BC"/>
    <w:rsid w:val="00A303E3"/>
    <w:rsid w:val="00A303F5"/>
    <w:rsid w:val="00A30422"/>
    <w:rsid w:val="00A30433"/>
    <w:rsid w:val="00A30571"/>
    <w:rsid w:val="00A305C9"/>
    <w:rsid w:val="00A305EB"/>
    <w:rsid w:val="00A30647"/>
    <w:rsid w:val="00A30653"/>
    <w:rsid w:val="00A3074F"/>
    <w:rsid w:val="00A307D5"/>
    <w:rsid w:val="00A3083C"/>
    <w:rsid w:val="00A309BD"/>
    <w:rsid w:val="00A30A1C"/>
    <w:rsid w:val="00A30A73"/>
    <w:rsid w:val="00A30AE0"/>
    <w:rsid w:val="00A30B55"/>
    <w:rsid w:val="00A30D33"/>
    <w:rsid w:val="00A30D49"/>
    <w:rsid w:val="00A30D74"/>
    <w:rsid w:val="00A30E75"/>
    <w:rsid w:val="00A30FCB"/>
    <w:rsid w:val="00A3107E"/>
    <w:rsid w:val="00A31189"/>
    <w:rsid w:val="00A311C0"/>
    <w:rsid w:val="00A31258"/>
    <w:rsid w:val="00A31391"/>
    <w:rsid w:val="00A313A3"/>
    <w:rsid w:val="00A313DF"/>
    <w:rsid w:val="00A3146B"/>
    <w:rsid w:val="00A314F3"/>
    <w:rsid w:val="00A31572"/>
    <w:rsid w:val="00A3161F"/>
    <w:rsid w:val="00A3176C"/>
    <w:rsid w:val="00A31786"/>
    <w:rsid w:val="00A31787"/>
    <w:rsid w:val="00A317F8"/>
    <w:rsid w:val="00A318E4"/>
    <w:rsid w:val="00A319DD"/>
    <w:rsid w:val="00A31BA6"/>
    <w:rsid w:val="00A31C47"/>
    <w:rsid w:val="00A31C8E"/>
    <w:rsid w:val="00A31CAE"/>
    <w:rsid w:val="00A31D02"/>
    <w:rsid w:val="00A31D9B"/>
    <w:rsid w:val="00A31DB9"/>
    <w:rsid w:val="00A31E75"/>
    <w:rsid w:val="00A31EF9"/>
    <w:rsid w:val="00A31F4E"/>
    <w:rsid w:val="00A31F78"/>
    <w:rsid w:val="00A32028"/>
    <w:rsid w:val="00A32107"/>
    <w:rsid w:val="00A3220E"/>
    <w:rsid w:val="00A32258"/>
    <w:rsid w:val="00A32309"/>
    <w:rsid w:val="00A323CB"/>
    <w:rsid w:val="00A3247D"/>
    <w:rsid w:val="00A3255B"/>
    <w:rsid w:val="00A32691"/>
    <w:rsid w:val="00A326BA"/>
    <w:rsid w:val="00A326BF"/>
    <w:rsid w:val="00A3276C"/>
    <w:rsid w:val="00A32A10"/>
    <w:rsid w:val="00A32B26"/>
    <w:rsid w:val="00A32B45"/>
    <w:rsid w:val="00A32B48"/>
    <w:rsid w:val="00A32BA2"/>
    <w:rsid w:val="00A32BCA"/>
    <w:rsid w:val="00A32BCD"/>
    <w:rsid w:val="00A32BEA"/>
    <w:rsid w:val="00A32C1A"/>
    <w:rsid w:val="00A32CC2"/>
    <w:rsid w:val="00A32D45"/>
    <w:rsid w:val="00A32DA3"/>
    <w:rsid w:val="00A32E59"/>
    <w:rsid w:val="00A32E66"/>
    <w:rsid w:val="00A32E9B"/>
    <w:rsid w:val="00A32ED0"/>
    <w:rsid w:val="00A32EDD"/>
    <w:rsid w:val="00A32F2F"/>
    <w:rsid w:val="00A32FE6"/>
    <w:rsid w:val="00A33062"/>
    <w:rsid w:val="00A3308D"/>
    <w:rsid w:val="00A330BC"/>
    <w:rsid w:val="00A33196"/>
    <w:rsid w:val="00A332F5"/>
    <w:rsid w:val="00A33333"/>
    <w:rsid w:val="00A333DD"/>
    <w:rsid w:val="00A334F8"/>
    <w:rsid w:val="00A3360E"/>
    <w:rsid w:val="00A33629"/>
    <w:rsid w:val="00A338DE"/>
    <w:rsid w:val="00A33A8F"/>
    <w:rsid w:val="00A33AC1"/>
    <w:rsid w:val="00A33B7A"/>
    <w:rsid w:val="00A33C0B"/>
    <w:rsid w:val="00A33C5C"/>
    <w:rsid w:val="00A33CF4"/>
    <w:rsid w:val="00A33DAF"/>
    <w:rsid w:val="00A33DC0"/>
    <w:rsid w:val="00A33F39"/>
    <w:rsid w:val="00A33FE9"/>
    <w:rsid w:val="00A3407D"/>
    <w:rsid w:val="00A341EF"/>
    <w:rsid w:val="00A34274"/>
    <w:rsid w:val="00A342EC"/>
    <w:rsid w:val="00A342F2"/>
    <w:rsid w:val="00A343B2"/>
    <w:rsid w:val="00A343F0"/>
    <w:rsid w:val="00A34545"/>
    <w:rsid w:val="00A3465C"/>
    <w:rsid w:val="00A347BD"/>
    <w:rsid w:val="00A34865"/>
    <w:rsid w:val="00A34875"/>
    <w:rsid w:val="00A348F3"/>
    <w:rsid w:val="00A34900"/>
    <w:rsid w:val="00A34990"/>
    <w:rsid w:val="00A349F1"/>
    <w:rsid w:val="00A34B25"/>
    <w:rsid w:val="00A34C84"/>
    <w:rsid w:val="00A34D4B"/>
    <w:rsid w:val="00A34DA6"/>
    <w:rsid w:val="00A34E5A"/>
    <w:rsid w:val="00A34E5B"/>
    <w:rsid w:val="00A34E75"/>
    <w:rsid w:val="00A34ED6"/>
    <w:rsid w:val="00A34F29"/>
    <w:rsid w:val="00A34FD9"/>
    <w:rsid w:val="00A34FE5"/>
    <w:rsid w:val="00A35136"/>
    <w:rsid w:val="00A35161"/>
    <w:rsid w:val="00A351C3"/>
    <w:rsid w:val="00A351D8"/>
    <w:rsid w:val="00A352A3"/>
    <w:rsid w:val="00A35364"/>
    <w:rsid w:val="00A354DC"/>
    <w:rsid w:val="00A35554"/>
    <w:rsid w:val="00A356CE"/>
    <w:rsid w:val="00A35776"/>
    <w:rsid w:val="00A3584D"/>
    <w:rsid w:val="00A35954"/>
    <w:rsid w:val="00A359E4"/>
    <w:rsid w:val="00A35C30"/>
    <w:rsid w:val="00A35D76"/>
    <w:rsid w:val="00A35E34"/>
    <w:rsid w:val="00A3601C"/>
    <w:rsid w:val="00A360D1"/>
    <w:rsid w:val="00A360F0"/>
    <w:rsid w:val="00A3611B"/>
    <w:rsid w:val="00A3620B"/>
    <w:rsid w:val="00A36225"/>
    <w:rsid w:val="00A36250"/>
    <w:rsid w:val="00A36282"/>
    <w:rsid w:val="00A362B4"/>
    <w:rsid w:val="00A362BA"/>
    <w:rsid w:val="00A36343"/>
    <w:rsid w:val="00A3634B"/>
    <w:rsid w:val="00A363C4"/>
    <w:rsid w:val="00A363E9"/>
    <w:rsid w:val="00A36452"/>
    <w:rsid w:val="00A3648E"/>
    <w:rsid w:val="00A364E6"/>
    <w:rsid w:val="00A36620"/>
    <w:rsid w:val="00A3664D"/>
    <w:rsid w:val="00A36655"/>
    <w:rsid w:val="00A366DB"/>
    <w:rsid w:val="00A3670C"/>
    <w:rsid w:val="00A36769"/>
    <w:rsid w:val="00A367C9"/>
    <w:rsid w:val="00A36852"/>
    <w:rsid w:val="00A368EE"/>
    <w:rsid w:val="00A369B7"/>
    <w:rsid w:val="00A36A3D"/>
    <w:rsid w:val="00A36B52"/>
    <w:rsid w:val="00A36B70"/>
    <w:rsid w:val="00A36BAA"/>
    <w:rsid w:val="00A36C7D"/>
    <w:rsid w:val="00A36C99"/>
    <w:rsid w:val="00A36D37"/>
    <w:rsid w:val="00A36D40"/>
    <w:rsid w:val="00A36DE0"/>
    <w:rsid w:val="00A36EB8"/>
    <w:rsid w:val="00A36F2A"/>
    <w:rsid w:val="00A36F3F"/>
    <w:rsid w:val="00A36F54"/>
    <w:rsid w:val="00A3715B"/>
    <w:rsid w:val="00A371C3"/>
    <w:rsid w:val="00A37250"/>
    <w:rsid w:val="00A37474"/>
    <w:rsid w:val="00A374CE"/>
    <w:rsid w:val="00A37526"/>
    <w:rsid w:val="00A37554"/>
    <w:rsid w:val="00A375C8"/>
    <w:rsid w:val="00A3769D"/>
    <w:rsid w:val="00A376C2"/>
    <w:rsid w:val="00A376F3"/>
    <w:rsid w:val="00A37770"/>
    <w:rsid w:val="00A378A9"/>
    <w:rsid w:val="00A37950"/>
    <w:rsid w:val="00A3799C"/>
    <w:rsid w:val="00A379C7"/>
    <w:rsid w:val="00A37A56"/>
    <w:rsid w:val="00A37AA4"/>
    <w:rsid w:val="00A37B88"/>
    <w:rsid w:val="00A37C25"/>
    <w:rsid w:val="00A37DFC"/>
    <w:rsid w:val="00A37ED8"/>
    <w:rsid w:val="00A37F22"/>
    <w:rsid w:val="00A37FB9"/>
    <w:rsid w:val="00A37FDF"/>
    <w:rsid w:val="00A40047"/>
    <w:rsid w:val="00A40058"/>
    <w:rsid w:val="00A4013C"/>
    <w:rsid w:val="00A401CD"/>
    <w:rsid w:val="00A40232"/>
    <w:rsid w:val="00A4038C"/>
    <w:rsid w:val="00A40480"/>
    <w:rsid w:val="00A40547"/>
    <w:rsid w:val="00A405C7"/>
    <w:rsid w:val="00A405CB"/>
    <w:rsid w:val="00A405DB"/>
    <w:rsid w:val="00A406D8"/>
    <w:rsid w:val="00A40723"/>
    <w:rsid w:val="00A40874"/>
    <w:rsid w:val="00A4089E"/>
    <w:rsid w:val="00A408E7"/>
    <w:rsid w:val="00A40919"/>
    <w:rsid w:val="00A40987"/>
    <w:rsid w:val="00A40990"/>
    <w:rsid w:val="00A409DE"/>
    <w:rsid w:val="00A40AA5"/>
    <w:rsid w:val="00A40B6D"/>
    <w:rsid w:val="00A40BC9"/>
    <w:rsid w:val="00A40DAF"/>
    <w:rsid w:val="00A4128F"/>
    <w:rsid w:val="00A412C6"/>
    <w:rsid w:val="00A413C0"/>
    <w:rsid w:val="00A41485"/>
    <w:rsid w:val="00A414E1"/>
    <w:rsid w:val="00A41539"/>
    <w:rsid w:val="00A416A1"/>
    <w:rsid w:val="00A41716"/>
    <w:rsid w:val="00A4173A"/>
    <w:rsid w:val="00A417D6"/>
    <w:rsid w:val="00A417E8"/>
    <w:rsid w:val="00A417FD"/>
    <w:rsid w:val="00A4196B"/>
    <w:rsid w:val="00A41A52"/>
    <w:rsid w:val="00A41B97"/>
    <w:rsid w:val="00A41BA1"/>
    <w:rsid w:val="00A41C09"/>
    <w:rsid w:val="00A41CE8"/>
    <w:rsid w:val="00A41D02"/>
    <w:rsid w:val="00A41D38"/>
    <w:rsid w:val="00A41D85"/>
    <w:rsid w:val="00A41DDC"/>
    <w:rsid w:val="00A41FCE"/>
    <w:rsid w:val="00A420E0"/>
    <w:rsid w:val="00A42186"/>
    <w:rsid w:val="00A423AB"/>
    <w:rsid w:val="00A423BB"/>
    <w:rsid w:val="00A4255E"/>
    <w:rsid w:val="00A426E8"/>
    <w:rsid w:val="00A4279E"/>
    <w:rsid w:val="00A42854"/>
    <w:rsid w:val="00A428DF"/>
    <w:rsid w:val="00A428F0"/>
    <w:rsid w:val="00A42AA1"/>
    <w:rsid w:val="00A42B84"/>
    <w:rsid w:val="00A42C21"/>
    <w:rsid w:val="00A42CCC"/>
    <w:rsid w:val="00A42CF2"/>
    <w:rsid w:val="00A42D35"/>
    <w:rsid w:val="00A42D65"/>
    <w:rsid w:val="00A42EB6"/>
    <w:rsid w:val="00A42ED9"/>
    <w:rsid w:val="00A4304C"/>
    <w:rsid w:val="00A43131"/>
    <w:rsid w:val="00A43151"/>
    <w:rsid w:val="00A4329B"/>
    <w:rsid w:val="00A432E8"/>
    <w:rsid w:val="00A4333D"/>
    <w:rsid w:val="00A4335D"/>
    <w:rsid w:val="00A43426"/>
    <w:rsid w:val="00A43658"/>
    <w:rsid w:val="00A436F5"/>
    <w:rsid w:val="00A43746"/>
    <w:rsid w:val="00A43894"/>
    <w:rsid w:val="00A438BD"/>
    <w:rsid w:val="00A43B15"/>
    <w:rsid w:val="00A43B3E"/>
    <w:rsid w:val="00A43B4C"/>
    <w:rsid w:val="00A43B50"/>
    <w:rsid w:val="00A43B7C"/>
    <w:rsid w:val="00A43BEE"/>
    <w:rsid w:val="00A43C0D"/>
    <w:rsid w:val="00A43CD1"/>
    <w:rsid w:val="00A43CFC"/>
    <w:rsid w:val="00A43D41"/>
    <w:rsid w:val="00A43F62"/>
    <w:rsid w:val="00A44003"/>
    <w:rsid w:val="00A44030"/>
    <w:rsid w:val="00A441AD"/>
    <w:rsid w:val="00A4433D"/>
    <w:rsid w:val="00A444F4"/>
    <w:rsid w:val="00A445DC"/>
    <w:rsid w:val="00A446B8"/>
    <w:rsid w:val="00A447AB"/>
    <w:rsid w:val="00A447F4"/>
    <w:rsid w:val="00A44804"/>
    <w:rsid w:val="00A44858"/>
    <w:rsid w:val="00A448D8"/>
    <w:rsid w:val="00A4490C"/>
    <w:rsid w:val="00A4491B"/>
    <w:rsid w:val="00A44A09"/>
    <w:rsid w:val="00A44A67"/>
    <w:rsid w:val="00A44BB4"/>
    <w:rsid w:val="00A44BF9"/>
    <w:rsid w:val="00A44C34"/>
    <w:rsid w:val="00A44C3A"/>
    <w:rsid w:val="00A44C57"/>
    <w:rsid w:val="00A44CE1"/>
    <w:rsid w:val="00A44D6C"/>
    <w:rsid w:val="00A44DAF"/>
    <w:rsid w:val="00A44F65"/>
    <w:rsid w:val="00A44F8E"/>
    <w:rsid w:val="00A4509E"/>
    <w:rsid w:val="00A454DA"/>
    <w:rsid w:val="00A455AC"/>
    <w:rsid w:val="00A455E1"/>
    <w:rsid w:val="00A45636"/>
    <w:rsid w:val="00A45677"/>
    <w:rsid w:val="00A45877"/>
    <w:rsid w:val="00A45952"/>
    <w:rsid w:val="00A459CF"/>
    <w:rsid w:val="00A45A2E"/>
    <w:rsid w:val="00A45A79"/>
    <w:rsid w:val="00A45C53"/>
    <w:rsid w:val="00A45D4B"/>
    <w:rsid w:val="00A45E12"/>
    <w:rsid w:val="00A45E91"/>
    <w:rsid w:val="00A45F02"/>
    <w:rsid w:val="00A460DD"/>
    <w:rsid w:val="00A46150"/>
    <w:rsid w:val="00A4615F"/>
    <w:rsid w:val="00A46233"/>
    <w:rsid w:val="00A46281"/>
    <w:rsid w:val="00A46325"/>
    <w:rsid w:val="00A463CC"/>
    <w:rsid w:val="00A463DB"/>
    <w:rsid w:val="00A465EA"/>
    <w:rsid w:val="00A466E5"/>
    <w:rsid w:val="00A46777"/>
    <w:rsid w:val="00A467EF"/>
    <w:rsid w:val="00A4682B"/>
    <w:rsid w:val="00A468A3"/>
    <w:rsid w:val="00A468CB"/>
    <w:rsid w:val="00A468F7"/>
    <w:rsid w:val="00A46964"/>
    <w:rsid w:val="00A469EF"/>
    <w:rsid w:val="00A46A0B"/>
    <w:rsid w:val="00A46A2A"/>
    <w:rsid w:val="00A46B69"/>
    <w:rsid w:val="00A46B8E"/>
    <w:rsid w:val="00A46BB3"/>
    <w:rsid w:val="00A46BE5"/>
    <w:rsid w:val="00A46BFA"/>
    <w:rsid w:val="00A46DF8"/>
    <w:rsid w:val="00A46E7F"/>
    <w:rsid w:val="00A46E8D"/>
    <w:rsid w:val="00A46EF5"/>
    <w:rsid w:val="00A46F2A"/>
    <w:rsid w:val="00A47013"/>
    <w:rsid w:val="00A47105"/>
    <w:rsid w:val="00A471F7"/>
    <w:rsid w:val="00A47227"/>
    <w:rsid w:val="00A47258"/>
    <w:rsid w:val="00A473AF"/>
    <w:rsid w:val="00A4752C"/>
    <w:rsid w:val="00A4753A"/>
    <w:rsid w:val="00A47658"/>
    <w:rsid w:val="00A47814"/>
    <w:rsid w:val="00A47943"/>
    <w:rsid w:val="00A47A2B"/>
    <w:rsid w:val="00A47A3A"/>
    <w:rsid w:val="00A47AB3"/>
    <w:rsid w:val="00A47B5F"/>
    <w:rsid w:val="00A47BB2"/>
    <w:rsid w:val="00A47C26"/>
    <w:rsid w:val="00A47CA6"/>
    <w:rsid w:val="00A47D24"/>
    <w:rsid w:val="00A47E1B"/>
    <w:rsid w:val="00A47EDC"/>
    <w:rsid w:val="00A47F2A"/>
    <w:rsid w:val="00A47F2B"/>
    <w:rsid w:val="00A50083"/>
    <w:rsid w:val="00A50139"/>
    <w:rsid w:val="00A50312"/>
    <w:rsid w:val="00A5038D"/>
    <w:rsid w:val="00A50392"/>
    <w:rsid w:val="00A503BB"/>
    <w:rsid w:val="00A5041D"/>
    <w:rsid w:val="00A5045D"/>
    <w:rsid w:val="00A50477"/>
    <w:rsid w:val="00A50569"/>
    <w:rsid w:val="00A5063F"/>
    <w:rsid w:val="00A50792"/>
    <w:rsid w:val="00A507D8"/>
    <w:rsid w:val="00A507FB"/>
    <w:rsid w:val="00A508B8"/>
    <w:rsid w:val="00A509AE"/>
    <w:rsid w:val="00A50A1F"/>
    <w:rsid w:val="00A50A43"/>
    <w:rsid w:val="00A50A64"/>
    <w:rsid w:val="00A50A8B"/>
    <w:rsid w:val="00A50B37"/>
    <w:rsid w:val="00A50BE1"/>
    <w:rsid w:val="00A50BE3"/>
    <w:rsid w:val="00A50C09"/>
    <w:rsid w:val="00A50C27"/>
    <w:rsid w:val="00A50C29"/>
    <w:rsid w:val="00A50C95"/>
    <w:rsid w:val="00A50CAF"/>
    <w:rsid w:val="00A50CB3"/>
    <w:rsid w:val="00A50CBA"/>
    <w:rsid w:val="00A50D20"/>
    <w:rsid w:val="00A50DE4"/>
    <w:rsid w:val="00A50E76"/>
    <w:rsid w:val="00A5105A"/>
    <w:rsid w:val="00A510CC"/>
    <w:rsid w:val="00A511F4"/>
    <w:rsid w:val="00A51240"/>
    <w:rsid w:val="00A51266"/>
    <w:rsid w:val="00A51286"/>
    <w:rsid w:val="00A51347"/>
    <w:rsid w:val="00A51431"/>
    <w:rsid w:val="00A51480"/>
    <w:rsid w:val="00A514DD"/>
    <w:rsid w:val="00A5161A"/>
    <w:rsid w:val="00A51634"/>
    <w:rsid w:val="00A5177C"/>
    <w:rsid w:val="00A51862"/>
    <w:rsid w:val="00A518A4"/>
    <w:rsid w:val="00A518E3"/>
    <w:rsid w:val="00A519AD"/>
    <w:rsid w:val="00A51A88"/>
    <w:rsid w:val="00A51B06"/>
    <w:rsid w:val="00A51B32"/>
    <w:rsid w:val="00A51B74"/>
    <w:rsid w:val="00A51B88"/>
    <w:rsid w:val="00A51BFE"/>
    <w:rsid w:val="00A51C25"/>
    <w:rsid w:val="00A51E10"/>
    <w:rsid w:val="00A51E32"/>
    <w:rsid w:val="00A51FB5"/>
    <w:rsid w:val="00A51FC2"/>
    <w:rsid w:val="00A5200F"/>
    <w:rsid w:val="00A5209B"/>
    <w:rsid w:val="00A521CB"/>
    <w:rsid w:val="00A5236B"/>
    <w:rsid w:val="00A5278D"/>
    <w:rsid w:val="00A52999"/>
    <w:rsid w:val="00A529F9"/>
    <w:rsid w:val="00A52A01"/>
    <w:rsid w:val="00A52A23"/>
    <w:rsid w:val="00A52A9C"/>
    <w:rsid w:val="00A52BB7"/>
    <w:rsid w:val="00A52C9F"/>
    <w:rsid w:val="00A52CBE"/>
    <w:rsid w:val="00A52DED"/>
    <w:rsid w:val="00A52F6F"/>
    <w:rsid w:val="00A52FF2"/>
    <w:rsid w:val="00A5309A"/>
    <w:rsid w:val="00A530F8"/>
    <w:rsid w:val="00A53103"/>
    <w:rsid w:val="00A53121"/>
    <w:rsid w:val="00A53153"/>
    <w:rsid w:val="00A53192"/>
    <w:rsid w:val="00A531ED"/>
    <w:rsid w:val="00A5326F"/>
    <w:rsid w:val="00A53365"/>
    <w:rsid w:val="00A53383"/>
    <w:rsid w:val="00A53443"/>
    <w:rsid w:val="00A534C5"/>
    <w:rsid w:val="00A535E5"/>
    <w:rsid w:val="00A5364A"/>
    <w:rsid w:val="00A536BF"/>
    <w:rsid w:val="00A536DE"/>
    <w:rsid w:val="00A53708"/>
    <w:rsid w:val="00A5378C"/>
    <w:rsid w:val="00A539E3"/>
    <w:rsid w:val="00A53A7A"/>
    <w:rsid w:val="00A53AC2"/>
    <w:rsid w:val="00A53B09"/>
    <w:rsid w:val="00A53B18"/>
    <w:rsid w:val="00A53C9A"/>
    <w:rsid w:val="00A53CDF"/>
    <w:rsid w:val="00A53D95"/>
    <w:rsid w:val="00A53E17"/>
    <w:rsid w:val="00A53EF7"/>
    <w:rsid w:val="00A53FC6"/>
    <w:rsid w:val="00A53FE1"/>
    <w:rsid w:val="00A54025"/>
    <w:rsid w:val="00A54051"/>
    <w:rsid w:val="00A54098"/>
    <w:rsid w:val="00A540A0"/>
    <w:rsid w:val="00A540AF"/>
    <w:rsid w:val="00A540F3"/>
    <w:rsid w:val="00A541C5"/>
    <w:rsid w:val="00A54229"/>
    <w:rsid w:val="00A54326"/>
    <w:rsid w:val="00A543A3"/>
    <w:rsid w:val="00A5445E"/>
    <w:rsid w:val="00A544BE"/>
    <w:rsid w:val="00A5466F"/>
    <w:rsid w:val="00A547A5"/>
    <w:rsid w:val="00A5481A"/>
    <w:rsid w:val="00A5483B"/>
    <w:rsid w:val="00A548D2"/>
    <w:rsid w:val="00A549AD"/>
    <w:rsid w:val="00A54A0A"/>
    <w:rsid w:val="00A54A27"/>
    <w:rsid w:val="00A54AB5"/>
    <w:rsid w:val="00A54B55"/>
    <w:rsid w:val="00A54B5F"/>
    <w:rsid w:val="00A54CF7"/>
    <w:rsid w:val="00A54E31"/>
    <w:rsid w:val="00A54EF1"/>
    <w:rsid w:val="00A54F79"/>
    <w:rsid w:val="00A54FB2"/>
    <w:rsid w:val="00A5504D"/>
    <w:rsid w:val="00A55119"/>
    <w:rsid w:val="00A55227"/>
    <w:rsid w:val="00A5531B"/>
    <w:rsid w:val="00A55414"/>
    <w:rsid w:val="00A554C6"/>
    <w:rsid w:val="00A5551B"/>
    <w:rsid w:val="00A55575"/>
    <w:rsid w:val="00A55578"/>
    <w:rsid w:val="00A555A9"/>
    <w:rsid w:val="00A555B5"/>
    <w:rsid w:val="00A555DF"/>
    <w:rsid w:val="00A555F3"/>
    <w:rsid w:val="00A555F7"/>
    <w:rsid w:val="00A55736"/>
    <w:rsid w:val="00A557DB"/>
    <w:rsid w:val="00A55857"/>
    <w:rsid w:val="00A55943"/>
    <w:rsid w:val="00A559D7"/>
    <w:rsid w:val="00A559F1"/>
    <w:rsid w:val="00A55A24"/>
    <w:rsid w:val="00A55A36"/>
    <w:rsid w:val="00A55A76"/>
    <w:rsid w:val="00A55AEA"/>
    <w:rsid w:val="00A55AF3"/>
    <w:rsid w:val="00A55B86"/>
    <w:rsid w:val="00A55BE5"/>
    <w:rsid w:val="00A55C65"/>
    <w:rsid w:val="00A55D14"/>
    <w:rsid w:val="00A55D7E"/>
    <w:rsid w:val="00A55DE7"/>
    <w:rsid w:val="00A55F17"/>
    <w:rsid w:val="00A55F40"/>
    <w:rsid w:val="00A55F47"/>
    <w:rsid w:val="00A56014"/>
    <w:rsid w:val="00A561F5"/>
    <w:rsid w:val="00A56306"/>
    <w:rsid w:val="00A5641A"/>
    <w:rsid w:val="00A5651E"/>
    <w:rsid w:val="00A56581"/>
    <w:rsid w:val="00A56726"/>
    <w:rsid w:val="00A5675D"/>
    <w:rsid w:val="00A567DD"/>
    <w:rsid w:val="00A567ED"/>
    <w:rsid w:val="00A56867"/>
    <w:rsid w:val="00A56919"/>
    <w:rsid w:val="00A56A9D"/>
    <w:rsid w:val="00A56C36"/>
    <w:rsid w:val="00A56C87"/>
    <w:rsid w:val="00A56CD1"/>
    <w:rsid w:val="00A56DDE"/>
    <w:rsid w:val="00A56FDB"/>
    <w:rsid w:val="00A5701B"/>
    <w:rsid w:val="00A570D2"/>
    <w:rsid w:val="00A57241"/>
    <w:rsid w:val="00A5747E"/>
    <w:rsid w:val="00A574A4"/>
    <w:rsid w:val="00A57551"/>
    <w:rsid w:val="00A575A6"/>
    <w:rsid w:val="00A57648"/>
    <w:rsid w:val="00A576F6"/>
    <w:rsid w:val="00A5774B"/>
    <w:rsid w:val="00A57780"/>
    <w:rsid w:val="00A577AA"/>
    <w:rsid w:val="00A57836"/>
    <w:rsid w:val="00A5784D"/>
    <w:rsid w:val="00A57866"/>
    <w:rsid w:val="00A57888"/>
    <w:rsid w:val="00A578B1"/>
    <w:rsid w:val="00A57946"/>
    <w:rsid w:val="00A57972"/>
    <w:rsid w:val="00A57A08"/>
    <w:rsid w:val="00A57C8E"/>
    <w:rsid w:val="00A57CB1"/>
    <w:rsid w:val="00A57D7E"/>
    <w:rsid w:val="00A57D8A"/>
    <w:rsid w:val="00A57DAF"/>
    <w:rsid w:val="00A57E49"/>
    <w:rsid w:val="00A57E9C"/>
    <w:rsid w:val="00A57F3D"/>
    <w:rsid w:val="00A57F6C"/>
    <w:rsid w:val="00A60136"/>
    <w:rsid w:val="00A60176"/>
    <w:rsid w:val="00A601C1"/>
    <w:rsid w:val="00A603CE"/>
    <w:rsid w:val="00A6047B"/>
    <w:rsid w:val="00A60489"/>
    <w:rsid w:val="00A604B5"/>
    <w:rsid w:val="00A605A1"/>
    <w:rsid w:val="00A605CB"/>
    <w:rsid w:val="00A6062B"/>
    <w:rsid w:val="00A6067C"/>
    <w:rsid w:val="00A607EE"/>
    <w:rsid w:val="00A607F8"/>
    <w:rsid w:val="00A60885"/>
    <w:rsid w:val="00A608B0"/>
    <w:rsid w:val="00A6091F"/>
    <w:rsid w:val="00A60933"/>
    <w:rsid w:val="00A60952"/>
    <w:rsid w:val="00A60A17"/>
    <w:rsid w:val="00A60B0C"/>
    <w:rsid w:val="00A60B21"/>
    <w:rsid w:val="00A60BCB"/>
    <w:rsid w:val="00A60DE1"/>
    <w:rsid w:val="00A60E62"/>
    <w:rsid w:val="00A60EA4"/>
    <w:rsid w:val="00A61075"/>
    <w:rsid w:val="00A610E3"/>
    <w:rsid w:val="00A6122C"/>
    <w:rsid w:val="00A61230"/>
    <w:rsid w:val="00A61351"/>
    <w:rsid w:val="00A614E8"/>
    <w:rsid w:val="00A61578"/>
    <w:rsid w:val="00A615C7"/>
    <w:rsid w:val="00A6163F"/>
    <w:rsid w:val="00A618A9"/>
    <w:rsid w:val="00A61959"/>
    <w:rsid w:val="00A61AFE"/>
    <w:rsid w:val="00A61B98"/>
    <w:rsid w:val="00A61CC5"/>
    <w:rsid w:val="00A61D06"/>
    <w:rsid w:val="00A62019"/>
    <w:rsid w:val="00A62049"/>
    <w:rsid w:val="00A6216A"/>
    <w:rsid w:val="00A621C5"/>
    <w:rsid w:val="00A62237"/>
    <w:rsid w:val="00A622BB"/>
    <w:rsid w:val="00A62388"/>
    <w:rsid w:val="00A623B9"/>
    <w:rsid w:val="00A624F1"/>
    <w:rsid w:val="00A62588"/>
    <w:rsid w:val="00A62599"/>
    <w:rsid w:val="00A6260F"/>
    <w:rsid w:val="00A6268B"/>
    <w:rsid w:val="00A626B3"/>
    <w:rsid w:val="00A626FF"/>
    <w:rsid w:val="00A62847"/>
    <w:rsid w:val="00A628A5"/>
    <w:rsid w:val="00A628AF"/>
    <w:rsid w:val="00A6293B"/>
    <w:rsid w:val="00A629F2"/>
    <w:rsid w:val="00A62A47"/>
    <w:rsid w:val="00A62B36"/>
    <w:rsid w:val="00A62BBE"/>
    <w:rsid w:val="00A62BCE"/>
    <w:rsid w:val="00A62BEB"/>
    <w:rsid w:val="00A62D1A"/>
    <w:rsid w:val="00A62D7A"/>
    <w:rsid w:val="00A62ECF"/>
    <w:rsid w:val="00A62F30"/>
    <w:rsid w:val="00A62F48"/>
    <w:rsid w:val="00A62F71"/>
    <w:rsid w:val="00A630A5"/>
    <w:rsid w:val="00A6310B"/>
    <w:rsid w:val="00A63122"/>
    <w:rsid w:val="00A63144"/>
    <w:rsid w:val="00A63186"/>
    <w:rsid w:val="00A63187"/>
    <w:rsid w:val="00A631A2"/>
    <w:rsid w:val="00A63254"/>
    <w:rsid w:val="00A63392"/>
    <w:rsid w:val="00A633B6"/>
    <w:rsid w:val="00A633E6"/>
    <w:rsid w:val="00A63516"/>
    <w:rsid w:val="00A63522"/>
    <w:rsid w:val="00A635E5"/>
    <w:rsid w:val="00A63650"/>
    <w:rsid w:val="00A6367E"/>
    <w:rsid w:val="00A6372B"/>
    <w:rsid w:val="00A6379A"/>
    <w:rsid w:val="00A637B7"/>
    <w:rsid w:val="00A637E1"/>
    <w:rsid w:val="00A63853"/>
    <w:rsid w:val="00A63A11"/>
    <w:rsid w:val="00A63ABE"/>
    <w:rsid w:val="00A63BEF"/>
    <w:rsid w:val="00A63C5D"/>
    <w:rsid w:val="00A63C69"/>
    <w:rsid w:val="00A63DD9"/>
    <w:rsid w:val="00A63EFE"/>
    <w:rsid w:val="00A63FF4"/>
    <w:rsid w:val="00A6400D"/>
    <w:rsid w:val="00A640CB"/>
    <w:rsid w:val="00A64197"/>
    <w:rsid w:val="00A642A2"/>
    <w:rsid w:val="00A642EB"/>
    <w:rsid w:val="00A64321"/>
    <w:rsid w:val="00A6438D"/>
    <w:rsid w:val="00A643D2"/>
    <w:rsid w:val="00A64419"/>
    <w:rsid w:val="00A64442"/>
    <w:rsid w:val="00A6446F"/>
    <w:rsid w:val="00A64497"/>
    <w:rsid w:val="00A645F7"/>
    <w:rsid w:val="00A646A0"/>
    <w:rsid w:val="00A64AB8"/>
    <w:rsid w:val="00A64B44"/>
    <w:rsid w:val="00A64C03"/>
    <w:rsid w:val="00A64C26"/>
    <w:rsid w:val="00A64C49"/>
    <w:rsid w:val="00A64FA2"/>
    <w:rsid w:val="00A65088"/>
    <w:rsid w:val="00A650EA"/>
    <w:rsid w:val="00A6519D"/>
    <w:rsid w:val="00A652CA"/>
    <w:rsid w:val="00A65368"/>
    <w:rsid w:val="00A65434"/>
    <w:rsid w:val="00A65455"/>
    <w:rsid w:val="00A6547E"/>
    <w:rsid w:val="00A65496"/>
    <w:rsid w:val="00A654C6"/>
    <w:rsid w:val="00A6555F"/>
    <w:rsid w:val="00A6558D"/>
    <w:rsid w:val="00A655A6"/>
    <w:rsid w:val="00A6563E"/>
    <w:rsid w:val="00A65661"/>
    <w:rsid w:val="00A65676"/>
    <w:rsid w:val="00A656A3"/>
    <w:rsid w:val="00A656D2"/>
    <w:rsid w:val="00A656D3"/>
    <w:rsid w:val="00A65729"/>
    <w:rsid w:val="00A6573A"/>
    <w:rsid w:val="00A65930"/>
    <w:rsid w:val="00A659E1"/>
    <w:rsid w:val="00A65A04"/>
    <w:rsid w:val="00A65A47"/>
    <w:rsid w:val="00A65AC2"/>
    <w:rsid w:val="00A65ADF"/>
    <w:rsid w:val="00A65AE9"/>
    <w:rsid w:val="00A65AFC"/>
    <w:rsid w:val="00A65BE9"/>
    <w:rsid w:val="00A65CA4"/>
    <w:rsid w:val="00A65DD3"/>
    <w:rsid w:val="00A65DEF"/>
    <w:rsid w:val="00A65E77"/>
    <w:rsid w:val="00A65ECD"/>
    <w:rsid w:val="00A65EE0"/>
    <w:rsid w:val="00A66116"/>
    <w:rsid w:val="00A66195"/>
    <w:rsid w:val="00A66200"/>
    <w:rsid w:val="00A66250"/>
    <w:rsid w:val="00A6638D"/>
    <w:rsid w:val="00A666A3"/>
    <w:rsid w:val="00A666C6"/>
    <w:rsid w:val="00A66A18"/>
    <w:rsid w:val="00A66A4A"/>
    <w:rsid w:val="00A66ABB"/>
    <w:rsid w:val="00A66AC1"/>
    <w:rsid w:val="00A66DF2"/>
    <w:rsid w:val="00A66F52"/>
    <w:rsid w:val="00A66F77"/>
    <w:rsid w:val="00A66F8A"/>
    <w:rsid w:val="00A670E1"/>
    <w:rsid w:val="00A67144"/>
    <w:rsid w:val="00A67209"/>
    <w:rsid w:val="00A67381"/>
    <w:rsid w:val="00A674D5"/>
    <w:rsid w:val="00A6759C"/>
    <w:rsid w:val="00A67643"/>
    <w:rsid w:val="00A67655"/>
    <w:rsid w:val="00A677DC"/>
    <w:rsid w:val="00A67870"/>
    <w:rsid w:val="00A6787A"/>
    <w:rsid w:val="00A67887"/>
    <w:rsid w:val="00A6795A"/>
    <w:rsid w:val="00A67A3B"/>
    <w:rsid w:val="00A67A66"/>
    <w:rsid w:val="00A67A74"/>
    <w:rsid w:val="00A67ACC"/>
    <w:rsid w:val="00A67AFA"/>
    <w:rsid w:val="00A67B54"/>
    <w:rsid w:val="00A67B72"/>
    <w:rsid w:val="00A67C28"/>
    <w:rsid w:val="00A67C5E"/>
    <w:rsid w:val="00A67C70"/>
    <w:rsid w:val="00A67D16"/>
    <w:rsid w:val="00A67D93"/>
    <w:rsid w:val="00A67E5D"/>
    <w:rsid w:val="00A67F10"/>
    <w:rsid w:val="00A67F7B"/>
    <w:rsid w:val="00A700FF"/>
    <w:rsid w:val="00A7017D"/>
    <w:rsid w:val="00A7024B"/>
    <w:rsid w:val="00A702B7"/>
    <w:rsid w:val="00A70366"/>
    <w:rsid w:val="00A7041B"/>
    <w:rsid w:val="00A704F2"/>
    <w:rsid w:val="00A7053B"/>
    <w:rsid w:val="00A7061A"/>
    <w:rsid w:val="00A7063B"/>
    <w:rsid w:val="00A7066C"/>
    <w:rsid w:val="00A707E4"/>
    <w:rsid w:val="00A707E9"/>
    <w:rsid w:val="00A70898"/>
    <w:rsid w:val="00A708AE"/>
    <w:rsid w:val="00A70982"/>
    <w:rsid w:val="00A70CB8"/>
    <w:rsid w:val="00A70D47"/>
    <w:rsid w:val="00A70D56"/>
    <w:rsid w:val="00A70D64"/>
    <w:rsid w:val="00A70EBE"/>
    <w:rsid w:val="00A70EE7"/>
    <w:rsid w:val="00A70FC3"/>
    <w:rsid w:val="00A7124E"/>
    <w:rsid w:val="00A712DF"/>
    <w:rsid w:val="00A71497"/>
    <w:rsid w:val="00A71509"/>
    <w:rsid w:val="00A7153E"/>
    <w:rsid w:val="00A7159D"/>
    <w:rsid w:val="00A715DE"/>
    <w:rsid w:val="00A71845"/>
    <w:rsid w:val="00A7193E"/>
    <w:rsid w:val="00A71A12"/>
    <w:rsid w:val="00A71B1A"/>
    <w:rsid w:val="00A71B1B"/>
    <w:rsid w:val="00A71B37"/>
    <w:rsid w:val="00A71BB7"/>
    <w:rsid w:val="00A71CA8"/>
    <w:rsid w:val="00A71CEB"/>
    <w:rsid w:val="00A71D3D"/>
    <w:rsid w:val="00A71F59"/>
    <w:rsid w:val="00A71F67"/>
    <w:rsid w:val="00A7209B"/>
    <w:rsid w:val="00A720FF"/>
    <w:rsid w:val="00A72119"/>
    <w:rsid w:val="00A721AC"/>
    <w:rsid w:val="00A721F0"/>
    <w:rsid w:val="00A7229E"/>
    <w:rsid w:val="00A7232C"/>
    <w:rsid w:val="00A72355"/>
    <w:rsid w:val="00A72420"/>
    <w:rsid w:val="00A72495"/>
    <w:rsid w:val="00A724DF"/>
    <w:rsid w:val="00A725A4"/>
    <w:rsid w:val="00A72652"/>
    <w:rsid w:val="00A72698"/>
    <w:rsid w:val="00A7281A"/>
    <w:rsid w:val="00A728D5"/>
    <w:rsid w:val="00A72984"/>
    <w:rsid w:val="00A72A2C"/>
    <w:rsid w:val="00A72ABE"/>
    <w:rsid w:val="00A72C62"/>
    <w:rsid w:val="00A72C7A"/>
    <w:rsid w:val="00A72D33"/>
    <w:rsid w:val="00A72E2D"/>
    <w:rsid w:val="00A72F7B"/>
    <w:rsid w:val="00A72FAE"/>
    <w:rsid w:val="00A73063"/>
    <w:rsid w:val="00A730D9"/>
    <w:rsid w:val="00A73138"/>
    <w:rsid w:val="00A73169"/>
    <w:rsid w:val="00A731B0"/>
    <w:rsid w:val="00A731C5"/>
    <w:rsid w:val="00A731DF"/>
    <w:rsid w:val="00A7320B"/>
    <w:rsid w:val="00A732DA"/>
    <w:rsid w:val="00A73387"/>
    <w:rsid w:val="00A733B9"/>
    <w:rsid w:val="00A733D5"/>
    <w:rsid w:val="00A733E3"/>
    <w:rsid w:val="00A73412"/>
    <w:rsid w:val="00A73450"/>
    <w:rsid w:val="00A734B8"/>
    <w:rsid w:val="00A73587"/>
    <w:rsid w:val="00A73594"/>
    <w:rsid w:val="00A73605"/>
    <w:rsid w:val="00A73814"/>
    <w:rsid w:val="00A73864"/>
    <w:rsid w:val="00A7393C"/>
    <w:rsid w:val="00A739CD"/>
    <w:rsid w:val="00A739E1"/>
    <w:rsid w:val="00A73A22"/>
    <w:rsid w:val="00A73B4C"/>
    <w:rsid w:val="00A73B80"/>
    <w:rsid w:val="00A73BCE"/>
    <w:rsid w:val="00A73C3F"/>
    <w:rsid w:val="00A73C4B"/>
    <w:rsid w:val="00A73C64"/>
    <w:rsid w:val="00A73CC3"/>
    <w:rsid w:val="00A73CC4"/>
    <w:rsid w:val="00A73D70"/>
    <w:rsid w:val="00A73E2D"/>
    <w:rsid w:val="00A73E97"/>
    <w:rsid w:val="00A73EC3"/>
    <w:rsid w:val="00A73EC5"/>
    <w:rsid w:val="00A73F00"/>
    <w:rsid w:val="00A73F01"/>
    <w:rsid w:val="00A7407F"/>
    <w:rsid w:val="00A740CB"/>
    <w:rsid w:val="00A740D6"/>
    <w:rsid w:val="00A743E0"/>
    <w:rsid w:val="00A74489"/>
    <w:rsid w:val="00A74533"/>
    <w:rsid w:val="00A745B3"/>
    <w:rsid w:val="00A745F5"/>
    <w:rsid w:val="00A7460E"/>
    <w:rsid w:val="00A74674"/>
    <w:rsid w:val="00A747DB"/>
    <w:rsid w:val="00A7486D"/>
    <w:rsid w:val="00A748F3"/>
    <w:rsid w:val="00A74BAB"/>
    <w:rsid w:val="00A74BFE"/>
    <w:rsid w:val="00A74C2E"/>
    <w:rsid w:val="00A74CAB"/>
    <w:rsid w:val="00A74DE2"/>
    <w:rsid w:val="00A74E28"/>
    <w:rsid w:val="00A74E60"/>
    <w:rsid w:val="00A74EF1"/>
    <w:rsid w:val="00A74F67"/>
    <w:rsid w:val="00A74FD7"/>
    <w:rsid w:val="00A75003"/>
    <w:rsid w:val="00A75041"/>
    <w:rsid w:val="00A75063"/>
    <w:rsid w:val="00A7510B"/>
    <w:rsid w:val="00A75144"/>
    <w:rsid w:val="00A7523A"/>
    <w:rsid w:val="00A752D1"/>
    <w:rsid w:val="00A752DA"/>
    <w:rsid w:val="00A752ED"/>
    <w:rsid w:val="00A7542D"/>
    <w:rsid w:val="00A75496"/>
    <w:rsid w:val="00A75544"/>
    <w:rsid w:val="00A755FE"/>
    <w:rsid w:val="00A75721"/>
    <w:rsid w:val="00A757A4"/>
    <w:rsid w:val="00A75852"/>
    <w:rsid w:val="00A75882"/>
    <w:rsid w:val="00A758A2"/>
    <w:rsid w:val="00A758E7"/>
    <w:rsid w:val="00A759B8"/>
    <w:rsid w:val="00A75A2E"/>
    <w:rsid w:val="00A75AEC"/>
    <w:rsid w:val="00A75BD2"/>
    <w:rsid w:val="00A75C90"/>
    <w:rsid w:val="00A75CF1"/>
    <w:rsid w:val="00A75DF2"/>
    <w:rsid w:val="00A75F10"/>
    <w:rsid w:val="00A75FB4"/>
    <w:rsid w:val="00A76029"/>
    <w:rsid w:val="00A760CD"/>
    <w:rsid w:val="00A760D0"/>
    <w:rsid w:val="00A76105"/>
    <w:rsid w:val="00A761E5"/>
    <w:rsid w:val="00A76270"/>
    <w:rsid w:val="00A76351"/>
    <w:rsid w:val="00A76354"/>
    <w:rsid w:val="00A763C4"/>
    <w:rsid w:val="00A7645F"/>
    <w:rsid w:val="00A76467"/>
    <w:rsid w:val="00A76603"/>
    <w:rsid w:val="00A76654"/>
    <w:rsid w:val="00A76709"/>
    <w:rsid w:val="00A7671A"/>
    <w:rsid w:val="00A7671D"/>
    <w:rsid w:val="00A76776"/>
    <w:rsid w:val="00A767FF"/>
    <w:rsid w:val="00A76867"/>
    <w:rsid w:val="00A768CF"/>
    <w:rsid w:val="00A76905"/>
    <w:rsid w:val="00A7697B"/>
    <w:rsid w:val="00A76999"/>
    <w:rsid w:val="00A769A6"/>
    <w:rsid w:val="00A76B09"/>
    <w:rsid w:val="00A76B31"/>
    <w:rsid w:val="00A76B8A"/>
    <w:rsid w:val="00A76BF1"/>
    <w:rsid w:val="00A76D4F"/>
    <w:rsid w:val="00A76E0E"/>
    <w:rsid w:val="00A771F4"/>
    <w:rsid w:val="00A77491"/>
    <w:rsid w:val="00A77501"/>
    <w:rsid w:val="00A7750E"/>
    <w:rsid w:val="00A77521"/>
    <w:rsid w:val="00A7759A"/>
    <w:rsid w:val="00A77604"/>
    <w:rsid w:val="00A77654"/>
    <w:rsid w:val="00A776A2"/>
    <w:rsid w:val="00A776A7"/>
    <w:rsid w:val="00A776D0"/>
    <w:rsid w:val="00A77716"/>
    <w:rsid w:val="00A77799"/>
    <w:rsid w:val="00A7784D"/>
    <w:rsid w:val="00A77945"/>
    <w:rsid w:val="00A7794A"/>
    <w:rsid w:val="00A77950"/>
    <w:rsid w:val="00A77A9B"/>
    <w:rsid w:val="00A77B0C"/>
    <w:rsid w:val="00A77B3A"/>
    <w:rsid w:val="00A77C37"/>
    <w:rsid w:val="00A77CFB"/>
    <w:rsid w:val="00A77D22"/>
    <w:rsid w:val="00A77D9B"/>
    <w:rsid w:val="00A77DB3"/>
    <w:rsid w:val="00A77DCA"/>
    <w:rsid w:val="00A77E1D"/>
    <w:rsid w:val="00A77E27"/>
    <w:rsid w:val="00A80018"/>
    <w:rsid w:val="00A80157"/>
    <w:rsid w:val="00A801F3"/>
    <w:rsid w:val="00A802FE"/>
    <w:rsid w:val="00A8038E"/>
    <w:rsid w:val="00A803D0"/>
    <w:rsid w:val="00A803FB"/>
    <w:rsid w:val="00A804D7"/>
    <w:rsid w:val="00A80507"/>
    <w:rsid w:val="00A805FC"/>
    <w:rsid w:val="00A806C7"/>
    <w:rsid w:val="00A806DE"/>
    <w:rsid w:val="00A8070C"/>
    <w:rsid w:val="00A80759"/>
    <w:rsid w:val="00A809FC"/>
    <w:rsid w:val="00A80A60"/>
    <w:rsid w:val="00A80A9E"/>
    <w:rsid w:val="00A80B46"/>
    <w:rsid w:val="00A80C3D"/>
    <w:rsid w:val="00A80C4D"/>
    <w:rsid w:val="00A80C56"/>
    <w:rsid w:val="00A80C76"/>
    <w:rsid w:val="00A80CA7"/>
    <w:rsid w:val="00A80D6F"/>
    <w:rsid w:val="00A80E26"/>
    <w:rsid w:val="00A80EFD"/>
    <w:rsid w:val="00A810A6"/>
    <w:rsid w:val="00A810F2"/>
    <w:rsid w:val="00A810F5"/>
    <w:rsid w:val="00A81103"/>
    <w:rsid w:val="00A81124"/>
    <w:rsid w:val="00A811C7"/>
    <w:rsid w:val="00A812C0"/>
    <w:rsid w:val="00A81319"/>
    <w:rsid w:val="00A81387"/>
    <w:rsid w:val="00A813A0"/>
    <w:rsid w:val="00A8159C"/>
    <w:rsid w:val="00A815CF"/>
    <w:rsid w:val="00A8162F"/>
    <w:rsid w:val="00A816C9"/>
    <w:rsid w:val="00A8174E"/>
    <w:rsid w:val="00A81795"/>
    <w:rsid w:val="00A81BEC"/>
    <w:rsid w:val="00A81C06"/>
    <w:rsid w:val="00A81C94"/>
    <w:rsid w:val="00A81D08"/>
    <w:rsid w:val="00A81D2A"/>
    <w:rsid w:val="00A81D2C"/>
    <w:rsid w:val="00A81D35"/>
    <w:rsid w:val="00A81F75"/>
    <w:rsid w:val="00A81FC2"/>
    <w:rsid w:val="00A8219C"/>
    <w:rsid w:val="00A82289"/>
    <w:rsid w:val="00A822D9"/>
    <w:rsid w:val="00A82393"/>
    <w:rsid w:val="00A823C9"/>
    <w:rsid w:val="00A824B0"/>
    <w:rsid w:val="00A825AA"/>
    <w:rsid w:val="00A82665"/>
    <w:rsid w:val="00A82728"/>
    <w:rsid w:val="00A8274D"/>
    <w:rsid w:val="00A8285F"/>
    <w:rsid w:val="00A829A9"/>
    <w:rsid w:val="00A829E8"/>
    <w:rsid w:val="00A82A15"/>
    <w:rsid w:val="00A82ADA"/>
    <w:rsid w:val="00A82B06"/>
    <w:rsid w:val="00A82B2E"/>
    <w:rsid w:val="00A82B7E"/>
    <w:rsid w:val="00A82D46"/>
    <w:rsid w:val="00A82E21"/>
    <w:rsid w:val="00A83008"/>
    <w:rsid w:val="00A83479"/>
    <w:rsid w:val="00A835D5"/>
    <w:rsid w:val="00A836CD"/>
    <w:rsid w:val="00A836DB"/>
    <w:rsid w:val="00A83708"/>
    <w:rsid w:val="00A83808"/>
    <w:rsid w:val="00A8393A"/>
    <w:rsid w:val="00A83946"/>
    <w:rsid w:val="00A839A3"/>
    <w:rsid w:val="00A839E7"/>
    <w:rsid w:val="00A83A31"/>
    <w:rsid w:val="00A83AF6"/>
    <w:rsid w:val="00A83AFF"/>
    <w:rsid w:val="00A83B69"/>
    <w:rsid w:val="00A83BFA"/>
    <w:rsid w:val="00A83C6D"/>
    <w:rsid w:val="00A83DCE"/>
    <w:rsid w:val="00A83EAE"/>
    <w:rsid w:val="00A83ECC"/>
    <w:rsid w:val="00A83FA6"/>
    <w:rsid w:val="00A84097"/>
    <w:rsid w:val="00A8411F"/>
    <w:rsid w:val="00A8412F"/>
    <w:rsid w:val="00A84143"/>
    <w:rsid w:val="00A84149"/>
    <w:rsid w:val="00A84237"/>
    <w:rsid w:val="00A842DC"/>
    <w:rsid w:val="00A84393"/>
    <w:rsid w:val="00A843B3"/>
    <w:rsid w:val="00A845A1"/>
    <w:rsid w:val="00A845F7"/>
    <w:rsid w:val="00A8477F"/>
    <w:rsid w:val="00A847FD"/>
    <w:rsid w:val="00A84990"/>
    <w:rsid w:val="00A84AB2"/>
    <w:rsid w:val="00A84ADC"/>
    <w:rsid w:val="00A84BF7"/>
    <w:rsid w:val="00A84CC2"/>
    <w:rsid w:val="00A84D0F"/>
    <w:rsid w:val="00A84D22"/>
    <w:rsid w:val="00A84F0F"/>
    <w:rsid w:val="00A84F1C"/>
    <w:rsid w:val="00A84F27"/>
    <w:rsid w:val="00A84F41"/>
    <w:rsid w:val="00A85137"/>
    <w:rsid w:val="00A851C7"/>
    <w:rsid w:val="00A85251"/>
    <w:rsid w:val="00A8529F"/>
    <w:rsid w:val="00A85432"/>
    <w:rsid w:val="00A85445"/>
    <w:rsid w:val="00A854E0"/>
    <w:rsid w:val="00A854FE"/>
    <w:rsid w:val="00A85585"/>
    <w:rsid w:val="00A8568C"/>
    <w:rsid w:val="00A856A9"/>
    <w:rsid w:val="00A85729"/>
    <w:rsid w:val="00A857AD"/>
    <w:rsid w:val="00A8584C"/>
    <w:rsid w:val="00A85882"/>
    <w:rsid w:val="00A8599D"/>
    <w:rsid w:val="00A859F5"/>
    <w:rsid w:val="00A85A2E"/>
    <w:rsid w:val="00A85A81"/>
    <w:rsid w:val="00A85AE5"/>
    <w:rsid w:val="00A85B21"/>
    <w:rsid w:val="00A85B35"/>
    <w:rsid w:val="00A85B4A"/>
    <w:rsid w:val="00A85BAD"/>
    <w:rsid w:val="00A85C06"/>
    <w:rsid w:val="00A85CAE"/>
    <w:rsid w:val="00A85D13"/>
    <w:rsid w:val="00A85D40"/>
    <w:rsid w:val="00A85DEF"/>
    <w:rsid w:val="00A85EBB"/>
    <w:rsid w:val="00A85F26"/>
    <w:rsid w:val="00A860F0"/>
    <w:rsid w:val="00A8611C"/>
    <w:rsid w:val="00A86207"/>
    <w:rsid w:val="00A86516"/>
    <w:rsid w:val="00A86538"/>
    <w:rsid w:val="00A8658D"/>
    <w:rsid w:val="00A866E2"/>
    <w:rsid w:val="00A86726"/>
    <w:rsid w:val="00A86764"/>
    <w:rsid w:val="00A86AEF"/>
    <w:rsid w:val="00A86B02"/>
    <w:rsid w:val="00A86B8F"/>
    <w:rsid w:val="00A86BCF"/>
    <w:rsid w:val="00A86D65"/>
    <w:rsid w:val="00A86E31"/>
    <w:rsid w:val="00A86E3D"/>
    <w:rsid w:val="00A86E6F"/>
    <w:rsid w:val="00A86EA8"/>
    <w:rsid w:val="00A86F00"/>
    <w:rsid w:val="00A86F67"/>
    <w:rsid w:val="00A8713F"/>
    <w:rsid w:val="00A87187"/>
    <w:rsid w:val="00A872BF"/>
    <w:rsid w:val="00A872F9"/>
    <w:rsid w:val="00A87358"/>
    <w:rsid w:val="00A874CC"/>
    <w:rsid w:val="00A874D5"/>
    <w:rsid w:val="00A875DD"/>
    <w:rsid w:val="00A876DA"/>
    <w:rsid w:val="00A87830"/>
    <w:rsid w:val="00A879B5"/>
    <w:rsid w:val="00A879F7"/>
    <w:rsid w:val="00A87C1A"/>
    <w:rsid w:val="00A87C57"/>
    <w:rsid w:val="00A87D57"/>
    <w:rsid w:val="00A87DEF"/>
    <w:rsid w:val="00A87E18"/>
    <w:rsid w:val="00A87EAF"/>
    <w:rsid w:val="00A87F9F"/>
    <w:rsid w:val="00A9003C"/>
    <w:rsid w:val="00A900CC"/>
    <w:rsid w:val="00A900D6"/>
    <w:rsid w:val="00A90148"/>
    <w:rsid w:val="00A90156"/>
    <w:rsid w:val="00A902C3"/>
    <w:rsid w:val="00A90315"/>
    <w:rsid w:val="00A905AA"/>
    <w:rsid w:val="00A9060A"/>
    <w:rsid w:val="00A9062A"/>
    <w:rsid w:val="00A90674"/>
    <w:rsid w:val="00A906C9"/>
    <w:rsid w:val="00A9074D"/>
    <w:rsid w:val="00A9080B"/>
    <w:rsid w:val="00A90904"/>
    <w:rsid w:val="00A9095B"/>
    <w:rsid w:val="00A9095F"/>
    <w:rsid w:val="00A909C8"/>
    <w:rsid w:val="00A909CB"/>
    <w:rsid w:val="00A909E8"/>
    <w:rsid w:val="00A90B87"/>
    <w:rsid w:val="00A90D5E"/>
    <w:rsid w:val="00A90E17"/>
    <w:rsid w:val="00A910A8"/>
    <w:rsid w:val="00A9111C"/>
    <w:rsid w:val="00A91174"/>
    <w:rsid w:val="00A9117C"/>
    <w:rsid w:val="00A91199"/>
    <w:rsid w:val="00A913BB"/>
    <w:rsid w:val="00A913C3"/>
    <w:rsid w:val="00A9141F"/>
    <w:rsid w:val="00A91512"/>
    <w:rsid w:val="00A91549"/>
    <w:rsid w:val="00A915A7"/>
    <w:rsid w:val="00A916A9"/>
    <w:rsid w:val="00A916B3"/>
    <w:rsid w:val="00A916D7"/>
    <w:rsid w:val="00A9174D"/>
    <w:rsid w:val="00A91812"/>
    <w:rsid w:val="00A918A6"/>
    <w:rsid w:val="00A91B6E"/>
    <w:rsid w:val="00A91C8D"/>
    <w:rsid w:val="00A91E3A"/>
    <w:rsid w:val="00A91E46"/>
    <w:rsid w:val="00A91EF3"/>
    <w:rsid w:val="00A92033"/>
    <w:rsid w:val="00A92059"/>
    <w:rsid w:val="00A9208B"/>
    <w:rsid w:val="00A92104"/>
    <w:rsid w:val="00A922AF"/>
    <w:rsid w:val="00A92326"/>
    <w:rsid w:val="00A92346"/>
    <w:rsid w:val="00A92427"/>
    <w:rsid w:val="00A92484"/>
    <w:rsid w:val="00A92486"/>
    <w:rsid w:val="00A92517"/>
    <w:rsid w:val="00A925C0"/>
    <w:rsid w:val="00A92791"/>
    <w:rsid w:val="00A92846"/>
    <w:rsid w:val="00A9289F"/>
    <w:rsid w:val="00A92903"/>
    <w:rsid w:val="00A92A8A"/>
    <w:rsid w:val="00A92B93"/>
    <w:rsid w:val="00A92C74"/>
    <w:rsid w:val="00A92DB7"/>
    <w:rsid w:val="00A92E81"/>
    <w:rsid w:val="00A92F65"/>
    <w:rsid w:val="00A92FFC"/>
    <w:rsid w:val="00A93080"/>
    <w:rsid w:val="00A93110"/>
    <w:rsid w:val="00A931ED"/>
    <w:rsid w:val="00A93218"/>
    <w:rsid w:val="00A932A2"/>
    <w:rsid w:val="00A932DC"/>
    <w:rsid w:val="00A93323"/>
    <w:rsid w:val="00A93369"/>
    <w:rsid w:val="00A933EC"/>
    <w:rsid w:val="00A93425"/>
    <w:rsid w:val="00A9343C"/>
    <w:rsid w:val="00A934AE"/>
    <w:rsid w:val="00A935F8"/>
    <w:rsid w:val="00A9367E"/>
    <w:rsid w:val="00A93693"/>
    <w:rsid w:val="00A93862"/>
    <w:rsid w:val="00A938CC"/>
    <w:rsid w:val="00A93938"/>
    <w:rsid w:val="00A93989"/>
    <w:rsid w:val="00A93A0E"/>
    <w:rsid w:val="00A93A86"/>
    <w:rsid w:val="00A93AB5"/>
    <w:rsid w:val="00A93BE8"/>
    <w:rsid w:val="00A93CC5"/>
    <w:rsid w:val="00A93D14"/>
    <w:rsid w:val="00A93DC3"/>
    <w:rsid w:val="00A93DD6"/>
    <w:rsid w:val="00A93DE3"/>
    <w:rsid w:val="00A93E4F"/>
    <w:rsid w:val="00A93EE9"/>
    <w:rsid w:val="00A93F70"/>
    <w:rsid w:val="00A9408D"/>
    <w:rsid w:val="00A940EB"/>
    <w:rsid w:val="00A9419D"/>
    <w:rsid w:val="00A94222"/>
    <w:rsid w:val="00A94348"/>
    <w:rsid w:val="00A9434C"/>
    <w:rsid w:val="00A94423"/>
    <w:rsid w:val="00A9459E"/>
    <w:rsid w:val="00A945BD"/>
    <w:rsid w:val="00A945E2"/>
    <w:rsid w:val="00A9467E"/>
    <w:rsid w:val="00A94747"/>
    <w:rsid w:val="00A94751"/>
    <w:rsid w:val="00A947EC"/>
    <w:rsid w:val="00A9490F"/>
    <w:rsid w:val="00A9491B"/>
    <w:rsid w:val="00A94A35"/>
    <w:rsid w:val="00A94A36"/>
    <w:rsid w:val="00A94AC9"/>
    <w:rsid w:val="00A94AD9"/>
    <w:rsid w:val="00A94BE2"/>
    <w:rsid w:val="00A94D10"/>
    <w:rsid w:val="00A94D5D"/>
    <w:rsid w:val="00A94E2B"/>
    <w:rsid w:val="00A94E38"/>
    <w:rsid w:val="00A94E3B"/>
    <w:rsid w:val="00A94F2E"/>
    <w:rsid w:val="00A94F52"/>
    <w:rsid w:val="00A95061"/>
    <w:rsid w:val="00A950EC"/>
    <w:rsid w:val="00A9519F"/>
    <w:rsid w:val="00A95303"/>
    <w:rsid w:val="00A95376"/>
    <w:rsid w:val="00A953A8"/>
    <w:rsid w:val="00A95467"/>
    <w:rsid w:val="00A95486"/>
    <w:rsid w:val="00A95542"/>
    <w:rsid w:val="00A95553"/>
    <w:rsid w:val="00A9556F"/>
    <w:rsid w:val="00A95714"/>
    <w:rsid w:val="00A9577C"/>
    <w:rsid w:val="00A957F0"/>
    <w:rsid w:val="00A95890"/>
    <w:rsid w:val="00A958D3"/>
    <w:rsid w:val="00A95987"/>
    <w:rsid w:val="00A959B5"/>
    <w:rsid w:val="00A959B8"/>
    <w:rsid w:val="00A95ACC"/>
    <w:rsid w:val="00A95BE6"/>
    <w:rsid w:val="00A95C94"/>
    <w:rsid w:val="00A95E3F"/>
    <w:rsid w:val="00A95E54"/>
    <w:rsid w:val="00A95F0D"/>
    <w:rsid w:val="00A95F32"/>
    <w:rsid w:val="00A9602D"/>
    <w:rsid w:val="00A961F6"/>
    <w:rsid w:val="00A96224"/>
    <w:rsid w:val="00A96291"/>
    <w:rsid w:val="00A96373"/>
    <w:rsid w:val="00A963DC"/>
    <w:rsid w:val="00A96414"/>
    <w:rsid w:val="00A96419"/>
    <w:rsid w:val="00A96484"/>
    <w:rsid w:val="00A964F2"/>
    <w:rsid w:val="00A96563"/>
    <w:rsid w:val="00A96604"/>
    <w:rsid w:val="00A966FF"/>
    <w:rsid w:val="00A96898"/>
    <w:rsid w:val="00A968DF"/>
    <w:rsid w:val="00A9692F"/>
    <w:rsid w:val="00A96A44"/>
    <w:rsid w:val="00A96C28"/>
    <w:rsid w:val="00A96C52"/>
    <w:rsid w:val="00A96C72"/>
    <w:rsid w:val="00A96C7C"/>
    <w:rsid w:val="00A96E6F"/>
    <w:rsid w:val="00A9704C"/>
    <w:rsid w:val="00A97050"/>
    <w:rsid w:val="00A970E6"/>
    <w:rsid w:val="00A97143"/>
    <w:rsid w:val="00A971E4"/>
    <w:rsid w:val="00A97262"/>
    <w:rsid w:val="00A972B3"/>
    <w:rsid w:val="00A972B7"/>
    <w:rsid w:val="00A973FE"/>
    <w:rsid w:val="00A97538"/>
    <w:rsid w:val="00A975D7"/>
    <w:rsid w:val="00A976FA"/>
    <w:rsid w:val="00A97783"/>
    <w:rsid w:val="00A9789C"/>
    <w:rsid w:val="00A9792F"/>
    <w:rsid w:val="00A97A24"/>
    <w:rsid w:val="00A97ACF"/>
    <w:rsid w:val="00A97C27"/>
    <w:rsid w:val="00A97C47"/>
    <w:rsid w:val="00A97C67"/>
    <w:rsid w:val="00A97C7B"/>
    <w:rsid w:val="00A97DA6"/>
    <w:rsid w:val="00A97EAC"/>
    <w:rsid w:val="00A97EDE"/>
    <w:rsid w:val="00A97F21"/>
    <w:rsid w:val="00A97FE6"/>
    <w:rsid w:val="00AA006C"/>
    <w:rsid w:val="00AA02CA"/>
    <w:rsid w:val="00AA03A0"/>
    <w:rsid w:val="00AA03A1"/>
    <w:rsid w:val="00AA03EF"/>
    <w:rsid w:val="00AA054F"/>
    <w:rsid w:val="00AA0631"/>
    <w:rsid w:val="00AA06DE"/>
    <w:rsid w:val="00AA06F7"/>
    <w:rsid w:val="00AA070D"/>
    <w:rsid w:val="00AA0745"/>
    <w:rsid w:val="00AA07B3"/>
    <w:rsid w:val="00AA08FB"/>
    <w:rsid w:val="00AA0922"/>
    <w:rsid w:val="00AA0931"/>
    <w:rsid w:val="00AA09FB"/>
    <w:rsid w:val="00AA0A59"/>
    <w:rsid w:val="00AA0AB2"/>
    <w:rsid w:val="00AA0AC8"/>
    <w:rsid w:val="00AA0BD6"/>
    <w:rsid w:val="00AA0C73"/>
    <w:rsid w:val="00AA0CE8"/>
    <w:rsid w:val="00AA0D1D"/>
    <w:rsid w:val="00AA0EB0"/>
    <w:rsid w:val="00AA1022"/>
    <w:rsid w:val="00AA103D"/>
    <w:rsid w:val="00AA1093"/>
    <w:rsid w:val="00AA1119"/>
    <w:rsid w:val="00AA1210"/>
    <w:rsid w:val="00AA1216"/>
    <w:rsid w:val="00AA127B"/>
    <w:rsid w:val="00AA12B9"/>
    <w:rsid w:val="00AA1354"/>
    <w:rsid w:val="00AA1375"/>
    <w:rsid w:val="00AA1450"/>
    <w:rsid w:val="00AA15BA"/>
    <w:rsid w:val="00AA1647"/>
    <w:rsid w:val="00AA171D"/>
    <w:rsid w:val="00AA17B4"/>
    <w:rsid w:val="00AA1810"/>
    <w:rsid w:val="00AA183D"/>
    <w:rsid w:val="00AA1B01"/>
    <w:rsid w:val="00AA1C73"/>
    <w:rsid w:val="00AA1C88"/>
    <w:rsid w:val="00AA1DC1"/>
    <w:rsid w:val="00AA1E43"/>
    <w:rsid w:val="00AA1E5B"/>
    <w:rsid w:val="00AA1EB3"/>
    <w:rsid w:val="00AA1F8B"/>
    <w:rsid w:val="00AA1FA7"/>
    <w:rsid w:val="00AA21A8"/>
    <w:rsid w:val="00AA21DE"/>
    <w:rsid w:val="00AA2246"/>
    <w:rsid w:val="00AA2293"/>
    <w:rsid w:val="00AA2311"/>
    <w:rsid w:val="00AA2316"/>
    <w:rsid w:val="00AA23E8"/>
    <w:rsid w:val="00AA242F"/>
    <w:rsid w:val="00AA24DF"/>
    <w:rsid w:val="00AA24F6"/>
    <w:rsid w:val="00AA251A"/>
    <w:rsid w:val="00AA2652"/>
    <w:rsid w:val="00AA276F"/>
    <w:rsid w:val="00AA27C2"/>
    <w:rsid w:val="00AA27C7"/>
    <w:rsid w:val="00AA27F4"/>
    <w:rsid w:val="00AA28AC"/>
    <w:rsid w:val="00AA296C"/>
    <w:rsid w:val="00AA2977"/>
    <w:rsid w:val="00AA299F"/>
    <w:rsid w:val="00AA29BF"/>
    <w:rsid w:val="00AA2BA3"/>
    <w:rsid w:val="00AA2C32"/>
    <w:rsid w:val="00AA2C81"/>
    <w:rsid w:val="00AA2CFB"/>
    <w:rsid w:val="00AA2DF9"/>
    <w:rsid w:val="00AA2ECE"/>
    <w:rsid w:val="00AA2EE5"/>
    <w:rsid w:val="00AA2FA3"/>
    <w:rsid w:val="00AA2FD4"/>
    <w:rsid w:val="00AA30B1"/>
    <w:rsid w:val="00AA3121"/>
    <w:rsid w:val="00AA3137"/>
    <w:rsid w:val="00AA318D"/>
    <w:rsid w:val="00AA34BC"/>
    <w:rsid w:val="00AA34CB"/>
    <w:rsid w:val="00AA34E3"/>
    <w:rsid w:val="00AA3785"/>
    <w:rsid w:val="00AA38D9"/>
    <w:rsid w:val="00AA3A0A"/>
    <w:rsid w:val="00AA3A55"/>
    <w:rsid w:val="00AA3B2D"/>
    <w:rsid w:val="00AA3BBE"/>
    <w:rsid w:val="00AA3CDD"/>
    <w:rsid w:val="00AA3DA2"/>
    <w:rsid w:val="00AA3E26"/>
    <w:rsid w:val="00AA3F12"/>
    <w:rsid w:val="00AA3F16"/>
    <w:rsid w:val="00AA3FDB"/>
    <w:rsid w:val="00AA4030"/>
    <w:rsid w:val="00AA40F6"/>
    <w:rsid w:val="00AA41CD"/>
    <w:rsid w:val="00AA44AC"/>
    <w:rsid w:val="00AA44C4"/>
    <w:rsid w:val="00AA4548"/>
    <w:rsid w:val="00AA4583"/>
    <w:rsid w:val="00AA4649"/>
    <w:rsid w:val="00AA470E"/>
    <w:rsid w:val="00AA4713"/>
    <w:rsid w:val="00AA4817"/>
    <w:rsid w:val="00AA4905"/>
    <w:rsid w:val="00AA490C"/>
    <w:rsid w:val="00AA490D"/>
    <w:rsid w:val="00AA4910"/>
    <w:rsid w:val="00AA4A15"/>
    <w:rsid w:val="00AA4B4B"/>
    <w:rsid w:val="00AA4FF2"/>
    <w:rsid w:val="00AA5018"/>
    <w:rsid w:val="00AA5178"/>
    <w:rsid w:val="00AA51A5"/>
    <w:rsid w:val="00AA5223"/>
    <w:rsid w:val="00AA5363"/>
    <w:rsid w:val="00AA53D2"/>
    <w:rsid w:val="00AA53FA"/>
    <w:rsid w:val="00AA540D"/>
    <w:rsid w:val="00AA54B5"/>
    <w:rsid w:val="00AA5663"/>
    <w:rsid w:val="00AA5676"/>
    <w:rsid w:val="00AA57AA"/>
    <w:rsid w:val="00AA57FC"/>
    <w:rsid w:val="00AA590C"/>
    <w:rsid w:val="00AA5A6A"/>
    <w:rsid w:val="00AA5AE4"/>
    <w:rsid w:val="00AA5AEF"/>
    <w:rsid w:val="00AA5B13"/>
    <w:rsid w:val="00AA5B59"/>
    <w:rsid w:val="00AA5C15"/>
    <w:rsid w:val="00AA5C4D"/>
    <w:rsid w:val="00AA5C4E"/>
    <w:rsid w:val="00AA5C7C"/>
    <w:rsid w:val="00AA5D07"/>
    <w:rsid w:val="00AA5D52"/>
    <w:rsid w:val="00AA5D9B"/>
    <w:rsid w:val="00AA5E23"/>
    <w:rsid w:val="00AA5E8F"/>
    <w:rsid w:val="00AA5F1B"/>
    <w:rsid w:val="00AA5F38"/>
    <w:rsid w:val="00AA60D6"/>
    <w:rsid w:val="00AA612F"/>
    <w:rsid w:val="00AA6210"/>
    <w:rsid w:val="00AA621D"/>
    <w:rsid w:val="00AA62DC"/>
    <w:rsid w:val="00AA63A1"/>
    <w:rsid w:val="00AA63CF"/>
    <w:rsid w:val="00AA641A"/>
    <w:rsid w:val="00AA64B6"/>
    <w:rsid w:val="00AA650C"/>
    <w:rsid w:val="00AA6595"/>
    <w:rsid w:val="00AA65A8"/>
    <w:rsid w:val="00AA6681"/>
    <w:rsid w:val="00AA669F"/>
    <w:rsid w:val="00AA66CB"/>
    <w:rsid w:val="00AA66CD"/>
    <w:rsid w:val="00AA6749"/>
    <w:rsid w:val="00AA6751"/>
    <w:rsid w:val="00AA67D6"/>
    <w:rsid w:val="00AA67F0"/>
    <w:rsid w:val="00AA680A"/>
    <w:rsid w:val="00AA6826"/>
    <w:rsid w:val="00AA6961"/>
    <w:rsid w:val="00AA69C4"/>
    <w:rsid w:val="00AA6A12"/>
    <w:rsid w:val="00AA6A8E"/>
    <w:rsid w:val="00AA6AC8"/>
    <w:rsid w:val="00AA6AF2"/>
    <w:rsid w:val="00AA6B22"/>
    <w:rsid w:val="00AA6D2D"/>
    <w:rsid w:val="00AA6DB1"/>
    <w:rsid w:val="00AA6DDC"/>
    <w:rsid w:val="00AA6E30"/>
    <w:rsid w:val="00AA6EEB"/>
    <w:rsid w:val="00AA70A6"/>
    <w:rsid w:val="00AA70B3"/>
    <w:rsid w:val="00AA70F1"/>
    <w:rsid w:val="00AA715B"/>
    <w:rsid w:val="00AA71D1"/>
    <w:rsid w:val="00AA7218"/>
    <w:rsid w:val="00AA7248"/>
    <w:rsid w:val="00AA73ED"/>
    <w:rsid w:val="00AA74C2"/>
    <w:rsid w:val="00AA75D5"/>
    <w:rsid w:val="00AA7721"/>
    <w:rsid w:val="00AA782F"/>
    <w:rsid w:val="00AA7944"/>
    <w:rsid w:val="00AA7951"/>
    <w:rsid w:val="00AA7AF4"/>
    <w:rsid w:val="00AA7B10"/>
    <w:rsid w:val="00AA7B37"/>
    <w:rsid w:val="00AA7BA1"/>
    <w:rsid w:val="00AA7D42"/>
    <w:rsid w:val="00AA7D45"/>
    <w:rsid w:val="00AA7D5E"/>
    <w:rsid w:val="00AB001E"/>
    <w:rsid w:val="00AB003B"/>
    <w:rsid w:val="00AB0161"/>
    <w:rsid w:val="00AB01E3"/>
    <w:rsid w:val="00AB0460"/>
    <w:rsid w:val="00AB0615"/>
    <w:rsid w:val="00AB076A"/>
    <w:rsid w:val="00AB0784"/>
    <w:rsid w:val="00AB07C2"/>
    <w:rsid w:val="00AB0823"/>
    <w:rsid w:val="00AB098C"/>
    <w:rsid w:val="00AB09B0"/>
    <w:rsid w:val="00AB0A41"/>
    <w:rsid w:val="00AB0A95"/>
    <w:rsid w:val="00AB0AB8"/>
    <w:rsid w:val="00AB0B75"/>
    <w:rsid w:val="00AB0BAA"/>
    <w:rsid w:val="00AB0BBE"/>
    <w:rsid w:val="00AB0BC2"/>
    <w:rsid w:val="00AB0BCA"/>
    <w:rsid w:val="00AB0CF5"/>
    <w:rsid w:val="00AB0D88"/>
    <w:rsid w:val="00AB0DA7"/>
    <w:rsid w:val="00AB0E63"/>
    <w:rsid w:val="00AB0EB8"/>
    <w:rsid w:val="00AB0EE4"/>
    <w:rsid w:val="00AB0FF6"/>
    <w:rsid w:val="00AB1060"/>
    <w:rsid w:val="00AB10A9"/>
    <w:rsid w:val="00AB10E4"/>
    <w:rsid w:val="00AB10FC"/>
    <w:rsid w:val="00AB117E"/>
    <w:rsid w:val="00AB11E0"/>
    <w:rsid w:val="00AB12BD"/>
    <w:rsid w:val="00AB12FF"/>
    <w:rsid w:val="00AB1385"/>
    <w:rsid w:val="00AB1456"/>
    <w:rsid w:val="00AB145D"/>
    <w:rsid w:val="00AB1543"/>
    <w:rsid w:val="00AB1617"/>
    <w:rsid w:val="00AB1665"/>
    <w:rsid w:val="00AB16B5"/>
    <w:rsid w:val="00AB1773"/>
    <w:rsid w:val="00AB17D5"/>
    <w:rsid w:val="00AB1818"/>
    <w:rsid w:val="00AB182C"/>
    <w:rsid w:val="00AB1851"/>
    <w:rsid w:val="00AB1853"/>
    <w:rsid w:val="00AB188A"/>
    <w:rsid w:val="00AB193A"/>
    <w:rsid w:val="00AB19D3"/>
    <w:rsid w:val="00AB1A75"/>
    <w:rsid w:val="00AB1B39"/>
    <w:rsid w:val="00AB1B3C"/>
    <w:rsid w:val="00AB1CAD"/>
    <w:rsid w:val="00AB1D74"/>
    <w:rsid w:val="00AB1D93"/>
    <w:rsid w:val="00AB1DBF"/>
    <w:rsid w:val="00AB1E0E"/>
    <w:rsid w:val="00AB1EAE"/>
    <w:rsid w:val="00AB1F3C"/>
    <w:rsid w:val="00AB1FAC"/>
    <w:rsid w:val="00AB20C5"/>
    <w:rsid w:val="00AB21E5"/>
    <w:rsid w:val="00AB21E7"/>
    <w:rsid w:val="00AB242F"/>
    <w:rsid w:val="00AB2460"/>
    <w:rsid w:val="00AB2551"/>
    <w:rsid w:val="00AB27E1"/>
    <w:rsid w:val="00AB2AC5"/>
    <w:rsid w:val="00AB2CE9"/>
    <w:rsid w:val="00AB2CEE"/>
    <w:rsid w:val="00AB2DB4"/>
    <w:rsid w:val="00AB2DD2"/>
    <w:rsid w:val="00AB2E36"/>
    <w:rsid w:val="00AB2E3C"/>
    <w:rsid w:val="00AB2EC2"/>
    <w:rsid w:val="00AB30F6"/>
    <w:rsid w:val="00AB320B"/>
    <w:rsid w:val="00AB326E"/>
    <w:rsid w:val="00AB3293"/>
    <w:rsid w:val="00AB32A9"/>
    <w:rsid w:val="00AB32F3"/>
    <w:rsid w:val="00AB3318"/>
    <w:rsid w:val="00AB3438"/>
    <w:rsid w:val="00AB3639"/>
    <w:rsid w:val="00AB3653"/>
    <w:rsid w:val="00AB3762"/>
    <w:rsid w:val="00AB3868"/>
    <w:rsid w:val="00AB3910"/>
    <w:rsid w:val="00AB3B01"/>
    <w:rsid w:val="00AB3B98"/>
    <w:rsid w:val="00AB3BA0"/>
    <w:rsid w:val="00AB3BDD"/>
    <w:rsid w:val="00AB3C01"/>
    <w:rsid w:val="00AB3C18"/>
    <w:rsid w:val="00AB3CBA"/>
    <w:rsid w:val="00AB3D03"/>
    <w:rsid w:val="00AB3DD5"/>
    <w:rsid w:val="00AB3E6B"/>
    <w:rsid w:val="00AB3F38"/>
    <w:rsid w:val="00AB3FE9"/>
    <w:rsid w:val="00AB4356"/>
    <w:rsid w:val="00AB4387"/>
    <w:rsid w:val="00AB43F4"/>
    <w:rsid w:val="00AB441B"/>
    <w:rsid w:val="00AB445E"/>
    <w:rsid w:val="00AB4550"/>
    <w:rsid w:val="00AB45BC"/>
    <w:rsid w:val="00AB4658"/>
    <w:rsid w:val="00AB465B"/>
    <w:rsid w:val="00AB472F"/>
    <w:rsid w:val="00AB4770"/>
    <w:rsid w:val="00AB49B5"/>
    <w:rsid w:val="00AB4A27"/>
    <w:rsid w:val="00AB4A80"/>
    <w:rsid w:val="00AB4C3B"/>
    <w:rsid w:val="00AB4C8D"/>
    <w:rsid w:val="00AB4EB6"/>
    <w:rsid w:val="00AB5067"/>
    <w:rsid w:val="00AB50A6"/>
    <w:rsid w:val="00AB50C9"/>
    <w:rsid w:val="00AB522C"/>
    <w:rsid w:val="00AB536F"/>
    <w:rsid w:val="00AB5465"/>
    <w:rsid w:val="00AB5564"/>
    <w:rsid w:val="00AB58D9"/>
    <w:rsid w:val="00AB5A2A"/>
    <w:rsid w:val="00AB5B16"/>
    <w:rsid w:val="00AB5B84"/>
    <w:rsid w:val="00AB5C30"/>
    <w:rsid w:val="00AB5C78"/>
    <w:rsid w:val="00AB5E62"/>
    <w:rsid w:val="00AB5F45"/>
    <w:rsid w:val="00AB61AE"/>
    <w:rsid w:val="00AB62C3"/>
    <w:rsid w:val="00AB63F8"/>
    <w:rsid w:val="00AB643E"/>
    <w:rsid w:val="00AB64BA"/>
    <w:rsid w:val="00AB652F"/>
    <w:rsid w:val="00AB6534"/>
    <w:rsid w:val="00AB65DF"/>
    <w:rsid w:val="00AB664A"/>
    <w:rsid w:val="00AB6679"/>
    <w:rsid w:val="00AB6681"/>
    <w:rsid w:val="00AB66FB"/>
    <w:rsid w:val="00AB6741"/>
    <w:rsid w:val="00AB67F4"/>
    <w:rsid w:val="00AB683D"/>
    <w:rsid w:val="00AB6890"/>
    <w:rsid w:val="00AB691A"/>
    <w:rsid w:val="00AB6A5C"/>
    <w:rsid w:val="00AB6B98"/>
    <w:rsid w:val="00AB6BFF"/>
    <w:rsid w:val="00AB6C58"/>
    <w:rsid w:val="00AB6CCA"/>
    <w:rsid w:val="00AB6CCE"/>
    <w:rsid w:val="00AB6D2F"/>
    <w:rsid w:val="00AB6D6E"/>
    <w:rsid w:val="00AB6DE2"/>
    <w:rsid w:val="00AB6E88"/>
    <w:rsid w:val="00AB7017"/>
    <w:rsid w:val="00AB70A7"/>
    <w:rsid w:val="00AB711B"/>
    <w:rsid w:val="00AB71CF"/>
    <w:rsid w:val="00AB71E3"/>
    <w:rsid w:val="00AB735E"/>
    <w:rsid w:val="00AB73FE"/>
    <w:rsid w:val="00AB743E"/>
    <w:rsid w:val="00AB748F"/>
    <w:rsid w:val="00AB74E2"/>
    <w:rsid w:val="00AB7559"/>
    <w:rsid w:val="00AB75A7"/>
    <w:rsid w:val="00AB777A"/>
    <w:rsid w:val="00AB7880"/>
    <w:rsid w:val="00AB78D1"/>
    <w:rsid w:val="00AB79E0"/>
    <w:rsid w:val="00AB7A99"/>
    <w:rsid w:val="00AB7AD5"/>
    <w:rsid w:val="00AB7CC7"/>
    <w:rsid w:val="00AB7E27"/>
    <w:rsid w:val="00AB7E40"/>
    <w:rsid w:val="00AB7E4E"/>
    <w:rsid w:val="00AB7E96"/>
    <w:rsid w:val="00AB7F3B"/>
    <w:rsid w:val="00AB7FE1"/>
    <w:rsid w:val="00AC00D2"/>
    <w:rsid w:val="00AC02AA"/>
    <w:rsid w:val="00AC0309"/>
    <w:rsid w:val="00AC03C5"/>
    <w:rsid w:val="00AC03C7"/>
    <w:rsid w:val="00AC03D2"/>
    <w:rsid w:val="00AC0449"/>
    <w:rsid w:val="00AC05CB"/>
    <w:rsid w:val="00AC05E7"/>
    <w:rsid w:val="00AC0798"/>
    <w:rsid w:val="00AC07F6"/>
    <w:rsid w:val="00AC0806"/>
    <w:rsid w:val="00AC098E"/>
    <w:rsid w:val="00AC09B5"/>
    <w:rsid w:val="00AC0B72"/>
    <w:rsid w:val="00AC0C27"/>
    <w:rsid w:val="00AC0D05"/>
    <w:rsid w:val="00AC0DE8"/>
    <w:rsid w:val="00AC0E2B"/>
    <w:rsid w:val="00AC0EAF"/>
    <w:rsid w:val="00AC0F8E"/>
    <w:rsid w:val="00AC102C"/>
    <w:rsid w:val="00AC1065"/>
    <w:rsid w:val="00AC10E6"/>
    <w:rsid w:val="00AC10EE"/>
    <w:rsid w:val="00AC1137"/>
    <w:rsid w:val="00AC1224"/>
    <w:rsid w:val="00AC128A"/>
    <w:rsid w:val="00AC12BB"/>
    <w:rsid w:val="00AC12D7"/>
    <w:rsid w:val="00AC1326"/>
    <w:rsid w:val="00AC13D1"/>
    <w:rsid w:val="00AC1596"/>
    <w:rsid w:val="00AC15F6"/>
    <w:rsid w:val="00AC162F"/>
    <w:rsid w:val="00AC171A"/>
    <w:rsid w:val="00AC1907"/>
    <w:rsid w:val="00AC1929"/>
    <w:rsid w:val="00AC1B23"/>
    <w:rsid w:val="00AC1B44"/>
    <w:rsid w:val="00AC1B51"/>
    <w:rsid w:val="00AC1C99"/>
    <w:rsid w:val="00AC1CF9"/>
    <w:rsid w:val="00AC1D94"/>
    <w:rsid w:val="00AC1E04"/>
    <w:rsid w:val="00AC1E5F"/>
    <w:rsid w:val="00AC1E9D"/>
    <w:rsid w:val="00AC1ECA"/>
    <w:rsid w:val="00AC1FB0"/>
    <w:rsid w:val="00AC2081"/>
    <w:rsid w:val="00AC2088"/>
    <w:rsid w:val="00AC20B2"/>
    <w:rsid w:val="00AC222B"/>
    <w:rsid w:val="00AC2240"/>
    <w:rsid w:val="00AC22BA"/>
    <w:rsid w:val="00AC22F2"/>
    <w:rsid w:val="00AC23D8"/>
    <w:rsid w:val="00AC25BF"/>
    <w:rsid w:val="00AC2617"/>
    <w:rsid w:val="00AC2664"/>
    <w:rsid w:val="00AC2686"/>
    <w:rsid w:val="00AC26AB"/>
    <w:rsid w:val="00AC286B"/>
    <w:rsid w:val="00AC28AF"/>
    <w:rsid w:val="00AC294A"/>
    <w:rsid w:val="00AC29F8"/>
    <w:rsid w:val="00AC2A3A"/>
    <w:rsid w:val="00AC2ABB"/>
    <w:rsid w:val="00AC2B6B"/>
    <w:rsid w:val="00AC2BC4"/>
    <w:rsid w:val="00AC2C3C"/>
    <w:rsid w:val="00AC2C41"/>
    <w:rsid w:val="00AC2DC1"/>
    <w:rsid w:val="00AC2DC7"/>
    <w:rsid w:val="00AC2E1C"/>
    <w:rsid w:val="00AC30D4"/>
    <w:rsid w:val="00AC3141"/>
    <w:rsid w:val="00AC316F"/>
    <w:rsid w:val="00AC3313"/>
    <w:rsid w:val="00AC3320"/>
    <w:rsid w:val="00AC338A"/>
    <w:rsid w:val="00AC34A8"/>
    <w:rsid w:val="00AC34EE"/>
    <w:rsid w:val="00AC35E0"/>
    <w:rsid w:val="00AC3699"/>
    <w:rsid w:val="00AC36F1"/>
    <w:rsid w:val="00AC36F4"/>
    <w:rsid w:val="00AC3781"/>
    <w:rsid w:val="00AC37F4"/>
    <w:rsid w:val="00AC384E"/>
    <w:rsid w:val="00AC399B"/>
    <w:rsid w:val="00AC3A64"/>
    <w:rsid w:val="00AC3A7D"/>
    <w:rsid w:val="00AC3AFC"/>
    <w:rsid w:val="00AC3BD8"/>
    <w:rsid w:val="00AC3C35"/>
    <w:rsid w:val="00AC3CF6"/>
    <w:rsid w:val="00AC3E22"/>
    <w:rsid w:val="00AC3F2D"/>
    <w:rsid w:val="00AC3FAF"/>
    <w:rsid w:val="00AC3FF8"/>
    <w:rsid w:val="00AC4152"/>
    <w:rsid w:val="00AC43DE"/>
    <w:rsid w:val="00AC449C"/>
    <w:rsid w:val="00AC4693"/>
    <w:rsid w:val="00AC46AC"/>
    <w:rsid w:val="00AC46BF"/>
    <w:rsid w:val="00AC46C1"/>
    <w:rsid w:val="00AC475C"/>
    <w:rsid w:val="00AC478D"/>
    <w:rsid w:val="00AC487F"/>
    <w:rsid w:val="00AC48D0"/>
    <w:rsid w:val="00AC4972"/>
    <w:rsid w:val="00AC4AA0"/>
    <w:rsid w:val="00AC4BCA"/>
    <w:rsid w:val="00AC4BE9"/>
    <w:rsid w:val="00AC4D0A"/>
    <w:rsid w:val="00AC4D13"/>
    <w:rsid w:val="00AC4D57"/>
    <w:rsid w:val="00AC4D8A"/>
    <w:rsid w:val="00AC4DCB"/>
    <w:rsid w:val="00AC4F78"/>
    <w:rsid w:val="00AC4FBF"/>
    <w:rsid w:val="00AC50A8"/>
    <w:rsid w:val="00AC50AE"/>
    <w:rsid w:val="00AC5155"/>
    <w:rsid w:val="00AC516E"/>
    <w:rsid w:val="00AC5285"/>
    <w:rsid w:val="00AC53B4"/>
    <w:rsid w:val="00AC53D2"/>
    <w:rsid w:val="00AC53F1"/>
    <w:rsid w:val="00AC5469"/>
    <w:rsid w:val="00AC55E1"/>
    <w:rsid w:val="00AC55F5"/>
    <w:rsid w:val="00AC561D"/>
    <w:rsid w:val="00AC5911"/>
    <w:rsid w:val="00AC5912"/>
    <w:rsid w:val="00AC5967"/>
    <w:rsid w:val="00AC5993"/>
    <w:rsid w:val="00AC59AF"/>
    <w:rsid w:val="00AC59BC"/>
    <w:rsid w:val="00AC5A21"/>
    <w:rsid w:val="00AC5A95"/>
    <w:rsid w:val="00AC5B9E"/>
    <w:rsid w:val="00AC5C1A"/>
    <w:rsid w:val="00AC5C38"/>
    <w:rsid w:val="00AC5D68"/>
    <w:rsid w:val="00AC5E6C"/>
    <w:rsid w:val="00AC5F7A"/>
    <w:rsid w:val="00AC6066"/>
    <w:rsid w:val="00AC6125"/>
    <w:rsid w:val="00AC61D0"/>
    <w:rsid w:val="00AC6212"/>
    <w:rsid w:val="00AC622F"/>
    <w:rsid w:val="00AC6326"/>
    <w:rsid w:val="00AC637B"/>
    <w:rsid w:val="00AC63C7"/>
    <w:rsid w:val="00AC64E4"/>
    <w:rsid w:val="00AC64F0"/>
    <w:rsid w:val="00AC653C"/>
    <w:rsid w:val="00AC6542"/>
    <w:rsid w:val="00AC6689"/>
    <w:rsid w:val="00AC66B1"/>
    <w:rsid w:val="00AC67A5"/>
    <w:rsid w:val="00AC689F"/>
    <w:rsid w:val="00AC69F7"/>
    <w:rsid w:val="00AC6A22"/>
    <w:rsid w:val="00AC6C11"/>
    <w:rsid w:val="00AC6C16"/>
    <w:rsid w:val="00AC6D19"/>
    <w:rsid w:val="00AC6D72"/>
    <w:rsid w:val="00AC6D92"/>
    <w:rsid w:val="00AC6D97"/>
    <w:rsid w:val="00AC6F1F"/>
    <w:rsid w:val="00AC6FCF"/>
    <w:rsid w:val="00AC7042"/>
    <w:rsid w:val="00AC71A4"/>
    <w:rsid w:val="00AC71C1"/>
    <w:rsid w:val="00AC71F8"/>
    <w:rsid w:val="00AC7325"/>
    <w:rsid w:val="00AC7332"/>
    <w:rsid w:val="00AC738D"/>
    <w:rsid w:val="00AC73CD"/>
    <w:rsid w:val="00AC73D4"/>
    <w:rsid w:val="00AC74C0"/>
    <w:rsid w:val="00AC74C5"/>
    <w:rsid w:val="00AC7562"/>
    <w:rsid w:val="00AC7615"/>
    <w:rsid w:val="00AC762E"/>
    <w:rsid w:val="00AC77EB"/>
    <w:rsid w:val="00AC7834"/>
    <w:rsid w:val="00AC784F"/>
    <w:rsid w:val="00AC7A6B"/>
    <w:rsid w:val="00AC7B0E"/>
    <w:rsid w:val="00AC7BF8"/>
    <w:rsid w:val="00AC7CBC"/>
    <w:rsid w:val="00AC7CC1"/>
    <w:rsid w:val="00AC7D90"/>
    <w:rsid w:val="00AC7E31"/>
    <w:rsid w:val="00AC7E49"/>
    <w:rsid w:val="00AC7E71"/>
    <w:rsid w:val="00AD011A"/>
    <w:rsid w:val="00AD0130"/>
    <w:rsid w:val="00AD020F"/>
    <w:rsid w:val="00AD028E"/>
    <w:rsid w:val="00AD029E"/>
    <w:rsid w:val="00AD02CE"/>
    <w:rsid w:val="00AD0311"/>
    <w:rsid w:val="00AD041B"/>
    <w:rsid w:val="00AD0478"/>
    <w:rsid w:val="00AD051A"/>
    <w:rsid w:val="00AD0555"/>
    <w:rsid w:val="00AD065A"/>
    <w:rsid w:val="00AD06E8"/>
    <w:rsid w:val="00AD08BC"/>
    <w:rsid w:val="00AD09ED"/>
    <w:rsid w:val="00AD0B06"/>
    <w:rsid w:val="00AD0B73"/>
    <w:rsid w:val="00AD0B9C"/>
    <w:rsid w:val="00AD0C16"/>
    <w:rsid w:val="00AD0CC1"/>
    <w:rsid w:val="00AD0DAF"/>
    <w:rsid w:val="00AD0EA9"/>
    <w:rsid w:val="00AD0F7C"/>
    <w:rsid w:val="00AD0FF6"/>
    <w:rsid w:val="00AD109F"/>
    <w:rsid w:val="00AD10DC"/>
    <w:rsid w:val="00AD1169"/>
    <w:rsid w:val="00AD13EE"/>
    <w:rsid w:val="00AD1459"/>
    <w:rsid w:val="00AD14B3"/>
    <w:rsid w:val="00AD14B6"/>
    <w:rsid w:val="00AD14B8"/>
    <w:rsid w:val="00AD152B"/>
    <w:rsid w:val="00AD153C"/>
    <w:rsid w:val="00AD1575"/>
    <w:rsid w:val="00AD168D"/>
    <w:rsid w:val="00AD16BF"/>
    <w:rsid w:val="00AD1706"/>
    <w:rsid w:val="00AD173C"/>
    <w:rsid w:val="00AD1755"/>
    <w:rsid w:val="00AD188A"/>
    <w:rsid w:val="00AD18F1"/>
    <w:rsid w:val="00AD18FF"/>
    <w:rsid w:val="00AD1A5E"/>
    <w:rsid w:val="00AD1CE2"/>
    <w:rsid w:val="00AD1D1B"/>
    <w:rsid w:val="00AD1E5A"/>
    <w:rsid w:val="00AD1F57"/>
    <w:rsid w:val="00AD20E1"/>
    <w:rsid w:val="00AD21FB"/>
    <w:rsid w:val="00AD2307"/>
    <w:rsid w:val="00AD240F"/>
    <w:rsid w:val="00AD2518"/>
    <w:rsid w:val="00AD2580"/>
    <w:rsid w:val="00AD25AD"/>
    <w:rsid w:val="00AD25EB"/>
    <w:rsid w:val="00AD2662"/>
    <w:rsid w:val="00AD271E"/>
    <w:rsid w:val="00AD273C"/>
    <w:rsid w:val="00AD2772"/>
    <w:rsid w:val="00AD280C"/>
    <w:rsid w:val="00AD28F4"/>
    <w:rsid w:val="00AD2929"/>
    <w:rsid w:val="00AD297A"/>
    <w:rsid w:val="00AD29A1"/>
    <w:rsid w:val="00AD2AF7"/>
    <w:rsid w:val="00AD2B0F"/>
    <w:rsid w:val="00AD2BA1"/>
    <w:rsid w:val="00AD2BC4"/>
    <w:rsid w:val="00AD2D02"/>
    <w:rsid w:val="00AD2EED"/>
    <w:rsid w:val="00AD2F16"/>
    <w:rsid w:val="00AD2F71"/>
    <w:rsid w:val="00AD2FB1"/>
    <w:rsid w:val="00AD3112"/>
    <w:rsid w:val="00AD31E4"/>
    <w:rsid w:val="00AD32D1"/>
    <w:rsid w:val="00AD354B"/>
    <w:rsid w:val="00AD3561"/>
    <w:rsid w:val="00AD362B"/>
    <w:rsid w:val="00AD37ED"/>
    <w:rsid w:val="00AD3912"/>
    <w:rsid w:val="00AD3A23"/>
    <w:rsid w:val="00AD3A41"/>
    <w:rsid w:val="00AD3B20"/>
    <w:rsid w:val="00AD3B6B"/>
    <w:rsid w:val="00AD3C52"/>
    <w:rsid w:val="00AD3C65"/>
    <w:rsid w:val="00AD3CFE"/>
    <w:rsid w:val="00AD3D19"/>
    <w:rsid w:val="00AD3D37"/>
    <w:rsid w:val="00AD3D44"/>
    <w:rsid w:val="00AD3FB8"/>
    <w:rsid w:val="00AD3FCB"/>
    <w:rsid w:val="00AD40CF"/>
    <w:rsid w:val="00AD4142"/>
    <w:rsid w:val="00AD4174"/>
    <w:rsid w:val="00AD41AC"/>
    <w:rsid w:val="00AD43A7"/>
    <w:rsid w:val="00AD43FD"/>
    <w:rsid w:val="00AD4409"/>
    <w:rsid w:val="00AD441E"/>
    <w:rsid w:val="00AD450C"/>
    <w:rsid w:val="00AD451C"/>
    <w:rsid w:val="00AD4560"/>
    <w:rsid w:val="00AD4586"/>
    <w:rsid w:val="00AD45C3"/>
    <w:rsid w:val="00AD45E8"/>
    <w:rsid w:val="00AD465E"/>
    <w:rsid w:val="00AD46CF"/>
    <w:rsid w:val="00AD4709"/>
    <w:rsid w:val="00AD4717"/>
    <w:rsid w:val="00AD4748"/>
    <w:rsid w:val="00AD487E"/>
    <w:rsid w:val="00AD49AE"/>
    <w:rsid w:val="00AD49F1"/>
    <w:rsid w:val="00AD4A4B"/>
    <w:rsid w:val="00AD4A7C"/>
    <w:rsid w:val="00AD4AAF"/>
    <w:rsid w:val="00AD4B05"/>
    <w:rsid w:val="00AD4B1E"/>
    <w:rsid w:val="00AD4C70"/>
    <w:rsid w:val="00AD4C9E"/>
    <w:rsid w:val="00AD4E1A"/>
    <w:rsid w:val="00AD4E2F"/>
    <w:rsid w:val="00AD504C"/>
    <w:rsid w:val="00AD50AB"/>
    <w:rsid w:val="00AD50DC"/>
    <w:rsid w:val="00AD5119"/>
    <w:rsid w:val="00AD5153"/>
    <w:rsid w:val="00AD5234"/>
    <w:rsid w:val="00AD52EA"/>
    <w:rsid w:val="00AD5338"/>
    <w:rsid w:val="00AD53D0"/>
    <w:rsid w:val="00AD54BA"/>
    <w:rsid w:val="00AD559D"/>
    <w:rsid w:val="00AD55F6"/>
    <w:rsid w:val="00AD56C4"/>
    <w:rsid w:val="00AD572A"/>
    <w:rsid w:val="00AD576F"/>
    <w:rsid w:val="00AD5816"/>
    <w:rsid w:val="00AD585B"/>
    <w:rsid w:val="00AD5A31"/>
    <w:rsid w:val="00AD5A61"/>
    <w:rsid w:val="00AD5A7D"/>
    <w:rsid w:val="00AD5B9F"/>
    <w:rsid w:val="00AD5BF1"/>
    <w:rsid w:val="00AD5C73"/>
    <w:rsid w:val="00AD5CCA"/>
    <w:rsid w:val="00AD5CEE"/>
    <w:rsid w:val="00AD5CF1"/>
    <w:rsid w:val="00AD5DDA"/>
    <w:rsid w:val="00AD5DEF"/>
    <w:rsid w:val="00AD5F6E"/>
    <w:rsid w:val="00AD5FC6"/>
    <w:rsid w:val="00AD601F"/>
    <w:rsid w:val="00AD6056"/>
    <w:rsid w:val="00AD6059"/>
    <w:rsid w:val="00AD6245"/>
    <w:rsid w:val="00AD6264"/>
    <w:rsid w:val="00AD62BE"/>
    <w:rsid w:val="00AD62E0"/>
    <w:rsid w:val="00AD62EB"/>
    <w:rsid w:val="00AD62F6"/>
    <w:rsid w:val="00AD634C"/>
    <w:rsid w:val="00AD6377"/>
    <w:rsid w:val="00AD6451"/>
    <w:rsid w:val="00AD670C"/>
    <w:rsid w:val="00AD6767"/>
    <w:rsid w:val="00AD67AA"/>
    <w:rsid w:val="00AD6B0D"/>
    <w:rsid w:val="00AD6B65"/>
    <w:rsid w:val="00AD6C5D"/>
    <w:rsid w:val="00AD6D5E"/>
    <w:rsid w:val="00AD6D8D"/>
    <w:rsid w:val="00AD6E16"/>
    <w:rsid w:val="00AD6F37"/>
    <w:rsid w:val="00AD6F56"/>
    <w:rsid w:val="00AD7088"/>
    <w:rsid w:val="00AD71A7"/>
    <w:rsid w:val="00AD71EA"/>
    <w:rsid w:val="00AD7316"/>
    <w:rsid w:val="00AD7365"/>
    <w:rsid w:val="00AD7373"/>
    <w:rsid w:val="00AD73B5"/>
    <w:rsid w:val="00AD73EB"/>
    <w:rsid w:val="00AD7446"/>
    <w:rsid w:val="00AD7474"/>
    <w:rsid w:val="00AD759D"/>
    <w:rsid w:val="00AD75A3"/>
    <w:rsid w:val="00AD75BA"/>
    <w:rsid w:val="00AD75FA"/>
    <w:rsid w:val="00AD765D"/>
    <w:rsid w:val="00AD7684"/>
    <w:rsid w:val="00AD7743"/>
    <w:rsid w:val="00AD7791"/>
    <w:rsid w:val="00AD77A1"/>
    <w:rsid w:val="00AD7804"/>
    <w:rsid w:val="00AD7829"/>
    <w:rsid w:val="00AD790E"/>
    <w:rsid w:val="00AD7941"/>
    <w:rsid w:val="00AD79CE"/>
    <w:rsid w:val="00AD7A63"/>
    <w:rsid w:val="00AD7A82"/>
    <w:rsid w:val="00AD7AC5"/>
    <w:rsid w:val="00AD7AD9"/>
    <w:rsid w:val="00AD7C18"/>
    <w:rsid w:val="00AD7CEF"/>
    <w:rsid w:val="00AD7D15"/>
    <w:rsid w:val="00AD7D8A"/>
    <w:rsid w:val="00AD7DC0"/>
    <w:rsid w:val="00AD7E86"/>
    <w:rsid w:val="00AD7E97"/>
    <w:rsid w:val="00AD7E9A"/>
    <w:rsid w:val="00AD7F8B"/>
    <w:rsid w:val="00AE0091"/>
    <w:rsid w:val="00AE0096"/>
    <w:rsid w:val="00AE010A"/>
    <w:rsid w:val="00AE01DA"/>
    <w:rsid w:val="00AE0267"/>
    <w:rsid w:val="00AE02DD"/>
    <w:rsid w:val="00AE02EF"/>
    <w:rsid w:val="00AE035D"/>
    <w:rsid w:val="00AE0391"/>
    <w:rsid w:val="00AE05D9"/>
    <w:rsid w:val="00AE078B"/>
    <w:rsid w:val="00AE07B2"/>
    <w:rsid w:val="00AE0907"/>
    <w:rsid w:val="00AE0943"/>
    <w:rsid w:val="00AE094C"/>
    <w:rsid w:val="00AE0951"/>
    <w:rsid w:val="00AE095C"/>
    <w:rsid w:val="00AE0B6C"/>
    <w:rsid w:val="00AE0C91"/>
    <w:rsid w:val="00AE0CBA"/>
    <w:rsid w:val="00AE0E5B"/>
    <w:rsid w:val="00AE0ED8"/>
    <w:rsid w:val="00AE0EDA"/>
    <w:rsid w:val="00AE0F03"/>
    <w:rsid w:val="00AE0F3E"/>
    <w:rsid w:val="00AE0F8C"/>
    <w:rsid w:val="00AE0FC7"/>
    <w:rsid w:val="00AE0FE0"/>
    <w:rsid w:val="00AE11D9"/>
    <w:rsid w:val="00AE12AB"/>
    <w:rsid w:val="00AE1356"/>
    <w:rsid w:val="00AE13B6"/>
    <w:rsid w:val="00AE13EF"/>
    <w:rsid w:val="00AE13F6"/>
    <w:rsid w:val="00AE14BA"/>
    <w:rsid w:val="00AE166C"/>
    <w:rsid w:val="00AE1677"/>
    <w:rsid w:val="00AE1761"/>
    <w:rsid w:val="00AE17A1"/>
    <w:rsid w:val="00AE182B"/>
    <w:rsid w:val="00AE1836"/>
    <w:rsid w:val="00AE197B"/>
    <w:rsid w:val="00AE1AB1"/>
    <w:rsid w:val="00AE1B34"/>
    <w:rsid w:val="00AE1B4E"/>
    <w:rsid w:val="00AE1B7C"/>
    <w:rsid w:val="00AE1D65"/>
    <w:rsid w:val="00AE1E61"/>
    <w:rsid w:val="00AE1EDF"/>
    <w:rsid w:val="00AE1F5A"/>
    <w:rsid w:val="00AE201C"/>
    <w:rsid w:val="00AE20E8"/>
    <w:rsid w:val="00AE22CD"/>
    <w:rsid w:val="00AE2396"/>
    <w:rsid w:val="00AE2452"/>
    <w:rsid w:val="00AE250B"/>
    <w:rsid w:val="00AE25DC"/>
    <w:rsid w:val="00AE2731"/>
    <w:rsid w:val="00AE2796"/>
    <w:rsid w:val="00AE27CE"/>
    <w:rsid w:val="00AE2833"/>
    <w:rsid w:val="00AE283E"/>
    <w:rsid w:val="00AE28B9"/>
    <w:rsid w:val="00AE2905"/>
    <w:rsid w:val="00AE2969"/>
    <w:rsid w:val="00AE297C"/>
    <w:rsid w:val="00AE2998"/>
    <w:rsid w:val="00AE2AC1"/>
    <w:rsid w:val="00AE2B27"/>
    <w:rsid w:val="00AE2BF4"/>
    <w:rsid w:val="00AE2C10"/>
    <w:rsid w:val="00AE2C39"/>
    <w:rsid w:val="00AE2E46"/>
    <w:rsid w:val="00AE3013"/>
    <w:rsid w:val="00AE30C9"/>
    <w:rsid w:val="00AE314F"/>
    <w:rsid w:val="00AE31BB"/>
    <w:rsid w:val="00AE321F"/>
    <w:rsid w:val="00AE32A2"/>
    <w:rsid w:val="00AE32D4"/>
    <w:rsid w:val="00AE332B"/>
    <w:rsid w:val="00AE3520"/>
    <w:rsid w:val="00AE359B"/>
    <w:rsid w:val="00AE371D"/>
    <w:rsid w:val="00AE3735"/>
    <w:rsid w:val="00AE37B9"/>
    <w:rsid w:val="00AE3945"/>
    <w:rsid w:val="00AE39DD"/>
    <w:rsid w:val="00AE3ABF"/>
    <w:rsid w:val="00AE3B3A"/>
    <w:rsid w:val="00AE3B4C"/>
    <w:rsid w:val="00AE3B7D"/>
    <w:rsid w:val="00AE3BC4"/>
    <w:rsid w:val="00AE3D05"/>
    <w:rsid w:val="00AE3D54"/>
    <w:rsid w:val="00AE3D71"/>
    <w:rsid w:val="00AE3D86"/>
    <w:rsid w:val="00AE3E3E"/>
    <w:rsid w:val="00AE3F11"/>
    <w:rsid w:val="00AE3F4B"/>
    <w:rsid w:val="00AE3F55"/>
    <w:rsid w:val="00AE400F"/>
    <w:rsid w:val="00AE416A"/>
    <w:rsid w:val="00AE42DC"/>
    <w:rsid w:val="00AE4341"/>
    <w:rsid w:val="00AE4352"/>
    <w:rsid w:val="00AE435B"/>
    <w:rsid w:val="00AE4447"/>
    <w:rsid w:val="00AE4514"/>
    <w:rsid w:val="00AE455D"/>
    <w:rsid w:val="00AE45C7"/>
    <w:rsid w:val="00AE4695"/>
    <w:rsid w:val="00AE473D"/>
    <w:rsid w:val="00AE481C"/>
    <w:rsid w:val="00AE49AB"/>
    <w:rsid w:val="00AE49AF"/>
    <w:rsid w:val="00AE49ED"/>
    <w:rsid w:val="00AE4ABF"/>
    <w:rsid w:val="00AE4C50"/>
    <w:rsid w:val="00AE4D9C"/>
    <w:rsid w:val="00AE4E00"/>
    <w:rsid w:val="00AE4F14"/>
    <w:rsid w:val="00AE4F61"/>
    <w:rsid w:val="00AE4FA8"/>
    <w:rsid w:val="00AE5101"/>
    <w:rsid w:val="00AE514B"/>
    <w:rsid w:val="00AE5165"/>
    <w:rsid w:val="00AE51CF"/>
    <w:rsid w:val="00AE51E7"/>
    <w:rsid w:val="00AE5218"/>
    <w:rsid w:val="00AE52B8"/>
    <w:rsid w:val="00AE52CD"/>
    <w:rsid w:val="00AE52E7"/>
    <w:rsid w:val="00AE52F9"/>
    <w:rsid w:val="00AE533F"/>
    <w:rsid w:val="00AE5349"/>
    <w:rsid w:val="00AE53E5"/>
    <w:rsid w:val="00AE54BA"/>
    <w:rsid w:val="00AE555C"/>
    <w:rsid w:val="00AE56A6"/>
    <w:rsid w:val="00AE56BE"/>
    <w:rsid w:val="00AE5722"/>
    <w:rsid w:val="00AE597F"/>
    <w:rsid w:val="00AE5A3D"/>
    <w:rsid w:val="00AE5BA7"/>
    <w:rsid w:val="00AE5BC3"/>
    <w:rsid w:val="00AE5BEC"/>
    <w:rsid w:val="00AE5C6C"/>
    <w:rsid w:val="00AE5CD2"/>
    <w:rsid w:val="00AE5CE4"/>
    <w:rsid w:val="00AE5CEE"/>
    <w:rsid w:val="00AE5CFF"/>
    <w:rsid w:val="00AE5E7A"/>
    <w:rsid w:val="00AE5F72"/>
    <w:rsid w:val="00AE5F7E"/>
    <w:rsid w:val="00AE60E4"/>
    <w:rsid w:val="00AE6300"/>
    <w:rsid w:val="00AE63D9"/>
    <w:rsid w:val="00AE64B6"/>
    <w:rsid w:val="00AE64D4"/>
    <w:rsid w:val="00AE6500"/>
    <w:rsid w:val="00AE6526"/>
    <w:rsid w:val="00AE6558"/>
    <w:rsid w:val="00AE658B"/>
    <w:rsid w:val="00AE659E"/>
    <w:rsid w:val="00AE6606"/>
    <w:rsid w:val="00AE6659"/>
    <w:rsid w:val="00AE6672"/>
    <w:rsid w:val="00AE66A5"/>
    <w:rsid w:val="00AE66DB"/>
    <w:rsid w:val="00AE673B"/>
    <w:rsid w:val="00AE67C8"/>
    <w:rsid w:val="00AE68B9"/>
    <w:rsid w:val="00AE68E5"/>
    <w:rsid w:val="00AE68F4"/>
    <w:rsid w:val="00AE692C"/>
    <w:rsid w:val="00AE693A"/>
    <w:rsid w:val="00AE69B6"/>
    <w:rsid w:val="00AE6A0C"/>
    <w:rsid w:val="00AE6A59"/>
    <w:rsid w:val="00AE6A82"/>
    <w:rsid w:val="00AE6A8B"/>
    <w:rsid w:val="00AE6A8F"/>
    <w:rsid w:val="00AE6AC2"/>
    <w:rsid w:val="00AE6AE2"/>
    <w:rsid w:val="00AE6BA5"/>
    <w:rsid w:val="00AE6BEA"/>
    <w:rsid w:val="00AE6C35"/>
    <w:rsid w:val="00AE6C40"/>
    <w:rsid w:val="00AE6EA0"/>
    <w:rsid w:val="00AE6EB3"/>
    <w:rsid w:val="00AE6F83"/>
    <w:rsid w:val="00AE7054"/>
    <w:rsid w:val="00AE70AE"/>
    <w:rsid w:val="00AE710A"/>
    <w:rsid w:val="00AE7136"/>
    <w:rsid w:val="00AE719E"/>
    <w:rsid w:val="00AE72CA"/>
    <w:rsid w:val="00AE72F2"/>
    <w:rsid w:val="00AE7311"/>
    <w:rsid w:val="00AE736E"/>
    <w:rsid w:val="00AE74DC"/>
    <w:rsid w:val="00AE750B"/>
    <w:rsid w:val="00AE758D"/>
    <w:rsid w:val="00AE76D2"/>
    <w:rsid w:val="00AE772D"/>
    <w:rsid w:val="00AE7748"/>
    <w:rsid w:val="00AE774D"/>
    <w:rsid w:val="00AE7960"/>
    <w:rsid w:val="00AE79B7"/>
    <w:rsid w:val="00AE7A5F"/>
    <w:rsid w:val="00AE7A71"/>
    <w:rsid w:val="00AE7B0A"/>
    <w:rsid w:val="00AE7BBE"/>
    <w:rsid w:val="00AE7C04"/>
    <w:rsid w:val="00AE7CA6"/>
    <w:rsid w:val="00AE7D12"/>
    <w:rsid w:val="00AE7D41"/>
    <w:rsid w:val="00AE7D6C"/>
    <w:rsid w:val="00AE7D6D"/>
    <w:rsid w:val="00AE7D78"/>
    <w:rsid w:val="00AE7E1F"/>
    <w:rsid w:val="00AE7E35"/>
    <w:rsid w:val="00AE7E61"/>
    <w:rsid w:val="00AE7EE6"/>
    <w:rsid w:val="00AF007E"/>
    <w:rsid w:val="00AF019F"/>
    <w:rsid w:val="00AF03D3"/>
    <w:rsid w:val="00AF0422"/>
    <w:rsid w:val="00AF04C0"/>
    <w:rsid w:val="00AF057E"/>
    <w:rsid w:val="00AF05EC"/>
    <w:rsid w:val="00AF0601"/>
    <w:rsid w:val="00AF066F"/>
    <w:rsid w:val="00AF0679"/>
    <w:rsid w:val="00AF06D7"/>
    <w:rsid w:val="00AF07B3"/>
    <w:rsid w:val="00AF083E"/>
    <w:rsid w:val="00AF0868"/>
    <w:rsid w:val="00AF08DF"/>
    <w:rsid w:val="00AF08FC"/>
    <w:rsid w:val="00AF0908"/>
    <w:rsid w:val="00AF09A0"/>
    <w:rsid w:val="00AF0A01"/>
    <w:rsid w:val="00AF0A1B"/>
    <w:rsid w:val="00AF0A80"/>
    <w:rsid w:val="00AF0B64"/>
    <w:rsid w:val="00AF0B75"/>
    <w:rsid w:val="00AF0C22"/>
    <w:rsid w:val="00AF0CF6"/>
    <w:rsid w:val="00AF0D7E"/>
    <w:rsid w:val="00AF0E32"/>
    <w:rsid w:val="00AF0E3A"/>
    <w:rsid w:val="00AF0E5D"/>
    <w:rsid w:val="00AF0E7D"/>
    <w:rsid w:val="00AF0F0A"/>
    <w:rsid w:val="00AF0F76"/>
    <w:rsid w:val="00AF0FD8"/>
    <w:rsid w:val="00AF0FFC"/>
    <w:rsid w:val="00AF116E"/>
    <w:rsid w:val="00AF1238"/>
    <w:rsid w:val="00AF1380"/>
    <w:rsid w:val="00AF13A3"/>
    <w:rsid w:val="00AF1503"/>
    <w:rsid w:val="00AF15DE"/>
    <w:rsid w:val="00AF16C8"/>
    <w:rsid w:val="00AF16DC"/>
    <w:rsid w:val="00AF1997"/>
    <w:rsid w:val="00AF1A43"/>
    <w:rsid w:val="00AF1A4C"/>
    <w:rsid w:val="00AF1AEC"/>
    <w:rsid w:val="00AF1B6A"/>
    <w:rsid w:val="00AF1C3E"/>
    <w:rsid w:val="00AF1C6F"/>
    <w:rsid w:val="00AF1CE3"/>
    <w:rsid w:val="00AF1D32"/>
    <w:rsid w:val="00AF1DC8"/>
    <w:rsid w:val="00AF1EDA"/>
    <w:rsid w:val="00AF1F03"/>
    <w:rsid w:val="00AF1F04"/>
    <w:rsid w:val="00AF1F3F"/>
    <w:rsid w:val="00AF1F43"/>
    <w:rsid w:val="00AF20E1"/>
    <w:rsid w:val="00AF2133"/>
    <w:rsid w:val="00AF2158"/>
    <w:rsid w:val="00AF2178"/>
    <w:rsid w:val="00AF2185"/>
    <w:rsid w:val="00AF24A6"/>
    <w:rsid w:val="00AF2569"/>
    <w:rsid w:val="00AF274B"/>
    <w:rsid w:val="00AF27D3"/>
    <w:rsid w:val="00AF28E8"/>
    <w:rsid w:val="00AF2A01"/>
    <w:rsid w:val="00AF2A31"/>
    <w:rsid w:val="00AF2A4C"/>
    <w:rsid w:val="00AF2B00"/>
    <w:rsid w:val="00AF2B47"/>
    <w:rsid w:val="00AF2B4D"/>
    <w:rsid w:val="00AF2B63"/>
    <w:rsid w:val="00AF2B9F"/>
    <w:rsid w:val="00AF2BE4"/>
    <w:rsid w:val="00AF2C2F"/>
    <w:rsid w:val="00AF2CB5"/>
    <w:rsid w:val="00AF2D39"/>
    <w:rsid w:val="00AF2DFD"/>
    <w:rsid w:val="00AF2E15"/>
    <w:rsid w:val="00AF2E33"/>
    <w:rsid w:val="00AF2E88"/>
    <w:rsid w:val="00AF2EE6"/>
    <w:rsid w:val="00AF3085"/>
    <w:rsid w:val="00AF30B6"/>
    <w:rsid w:val="00AF30D6"/>
    <w:rsid w:val="00AF3177"/>
    <w:rsid w:val="00AF3190"/>
    <w:rsid w:val="00AF3205"/>
    <w:rsid w:val="00AF3302"/>
    <w:rsid w:val="00AF33DD"/>
    <w:rsid w:val="00AF34A3"/>
    <w:rsid w:val="00AF34C2"/>
    <w:rsid w:val="00AF367A"/>
    <w:rsid w:val="00AF3691"/>
    <w:rsid w:val="00AF38E8"/>
    <w:rsid w:val="00AF38E9"/>
    <w:rsid w:val="00AF39F0"/>
    <w:rsid w:val="00AF3AE3"/>
    <w:rsid w:val="00AF3AED"/>
    <w:rsid w:val="00AF3AF5"/>
    <w:rsid w:val="00AF3BAD"/>
    <w:rsid w:val="00AF3CC1"/>
    <w:rsid w:val="00AF3D44"/>
    <w:rsid w:val="00AF3D73"/>
    <w:rsid w:val="00AF3DCD"/>
    <w:rsid w:val="00AF3E3B"/>
    <w:rsid w:val="00AF3FC3"/>
    <w:rsid w:val="00AF3FF9"/>
    <w:rsid w:val="00AF4091"/>
    <w:rsid w:val="00AF40C4"/>
    <w:rsid w:val="00AF4251"/>
    <w:rsid w:val="00AF4296"/>
    <w:rsid w:val="00AF42BC"/>
    <w:rsid w:val="00AF42ED"/>
    <w:rsid w:val="00AF441C"/>
    <w:rsid w:val="00AF4499"/>
    <w:rsid w:val="00AF44E9"/>
    <w:rsid w:val="00AF4519"/>
    <w:rsid w:val="00AF4643"/>
    <w:rsid w:val="00AF46C4"/>
    <w:rsid w:val="00AF46EB"/>
    <w:rsid w:val="00AF4841"/>
    <w:rsid w:val="00AF485E"/>
    <w:rsid w:val="00AF4944"/>
    <w:rsid w:val="00AF4978"/>
    <w:rsid w:val="00AF498C"/>
    <w:rsid w:val="00AF4A0F"/>
    <w:rsid w:val="00AF4B60"/>
    <w:rsid w:val="00AF4C2A"/>
    <w:rsid w:val="00AF4C60"/>
    <w:rsid w:val="00AF4C61"/>
    <w:rsid w:val="00AF4C6F"/>
    <w:rsid w:val="00AF4E5F"/>
    <w:rsid w:val="00AF4EEE"/>
    <w:rsid w:val="00AF4F63"/>
    <w:rsid w:val="00AF4F8F"/>
    <w:rsid w:val="00AF4FB1"/>
    <w:rsid w:val="00AF507B"/>
    <w:rsid w:val="00AF50C3"/>
    <w:rsid w:val="00AF519A"/>
    <w:rsid w:val="00AF521B"/>
    <w:rsid w:val="00AF5293"/>
    <w:rsid w:val="00AF5387"/>
    <w:rsid w:val="00AF548F"/>
    <w:rsid w:val="00AF551D"/>
    <w:rsid w:val="00AF554A"/>
    <w:rsid w:val="00AF55FA"/>
    <w:rsid w:val="00AF5758"/>
    <w:rsid w:val="00AF577A"/>
    <w:rsid w:val="00AF5A52"/>
    <w:rsid w:val="00AF5A7D"/>
    <w:rsid w:val="00AF5CC5"/>
    <w:rsid w:val="00AF5CD8"/>
    <w:rsid w:val="00AF5E19"/>
    <w:rsid w:val="00AF5FDD"/>
    <w:rsid w:val="00AF600F"/>
    <w:rsid w:val="00AF6037"/>
    <w:rsid w:val="00AF6189"/>
    <w:rsid w:val="00AF61EA"/>
    <w:rsid w:val="00AF63B0"/>
    <w:rsid w:val="00AF6459"/>
    <w:rsid w:val="00AF6597"/>
    <w:rsid w:val="00AF65B5"/>
    <w:rsid w:val="00AF66F4"/>
    <w:rsid w:val="00AF6778"/>
    <w:rsid w:val="00AF6A77"/>
    <w:rsid w:val="00AF6B12"/>
    <w:rsid w:val="00AF6BB9"/>
    <w:rsid w:val="00AF6CDE"/>
    <w:rsid w:val="00AF6D24"/>
    <w:rsid w:val="00AF6D5B"/>
    <w:rsid w:val="00AF6DA0"/>
    <w:rsid w:val="00AF6DA9"/>
    <w:rsid w:val="00AF6DF4"/>
    <w:rsid w:val="00AF6FAC"/>
    <w:rsid w:val="00AF6FB2"/>
    <w:rsid w:val="00AF6FDE"/>
    <w:rsid w:val="00AF708E"/>
    <w:rsid w:val="00AF71B7"/>
    <w:rsid w:val="00AF7285"/>
    <w:rsid w:val="00AF7324"/>
    <w:rsid w:val="00AF73F9"/>
    <w:rsid w:val="00AF74E0"/>
    <w:rsid w:val="00AF758D"/>
    <w:rsid w:val="00AF75EA"/>
    <w:rsid w:val="00AF766F"/>
    <w:rsid w:val="00AF768F"/>
    <w:rsid w:val="00AF771B"/>
    <w:rsid w:val="00AF7783"/>
    <w:rsid w:val="00AF782F"/>
    <w:rsid w:val="00AF79AF"/>
    <w:rsid w:val="00AF79D4"/>
    <w:rsid w:val="00AF79EB"/>
    <w:rsid w:val="00AF7B51"/>
    <w:rsid w:val="00AF7C60"/>
    <w:rsid w:val="00AF7CA6"/>
    <w:rsid w:val="00AF7D77"/>
    <w:rsid w:val="00AF7DAF"/>
    <w:rsid w:val="00AF7DFA"/>
    <w:rsid w:val="00AF7EA0"/>
    <w:rsid w:val="00B0007C"/>
    <w:rsid w:val="00B00106"/>
    <w:rsid w:val="00B00151"/>
    <w:rsid w:val="00B00176"/>
    <w:rsid w:val="00B002AD"/>
    <w:rsid w:val="00B003D7"/>
    <w:rsid w:val="00B004D0"/>
    <w:rsid w:val="00B0053F"/>
    <w:rsid w:val="00B00556"/>
    <w:rsid w:val="00B00783"/>
    <w:rsid w:val="00B0090F"/>
    <w:rsid w:val="00B00A78"/>
    <w:rsid w:val="00B00AAE"/>
    <w:rsid w:val="00B00B0F"/>
    <w:rsid w:val="00B00B7D"/>
    <w:rsid w:val="00B00C32"/>
    <w:rsid w:val="00B00D66"/>
    <w:rsid w:val="00B00DE7"/>
    <w:rsid w:val="00B00E52"/>
    <w:rsid w:val="00B00EC4"/>
    <w:rsid w:val="00B00FC6"/>
    <w:rsid w:val="00B0108A"/>
    <w:rsid w:val="00B011B4"/>
    <w:rsid w:val="00B012AA"/>
    <w:rsid w:val="00B012C1"/>
    <w:rsid w:val="00B014C3"/>
    <w:rsid w:val="00B015D5"/>
    <w:rsid w:val="00B01601"/>
    <w:rsid w:val="00B01678"/>
    <w:rsid w:val="00B01796"/>
    <w:rsid w:val="00B017C3"/>
    <w:rsid w:val="00B01817"/>
    <w:rsid w:val="00B01916"/>
    <w:rsid w:val="00B019C9"/>
    <w:rsid w:val="00B01A1F"/>
    <w:rsid w:val="00B01A35"/>
    <w:rsid w:val="00B01B4F"/>
    <w:rsid w:val="00B01BE0"/>
    <w:rsid w:val="00B01BED"/>
    <w:rsid w:val="00B01F15"/>
    <w:rsid w:val="00B01F3D"/>
    <w:rsid w:val="00B020D4"/>
    <w:rsid w:val="00B020E4"/>
    <w:rsid w:val="00B020E7"/>
    <w:rsid w:val="00B02275"/>
    <w:rsid w:val="00B022E0"/>
    <w:rsid w:val="00B02362"/>
    <w:rsid w:val="00B0242A"/>
    <w:rsid w:val="00B0254F"/>
    <w:rsid w:val="00B02587"/>
    <w:rsid w:val="00B0263F"/>
    <w:rsid w:val="00B028D9"/>
    <w:rsid w:val="00B02AE6"/>
    <w:rsid w:val="00B02C08"/>
    <w:rsid w:val="00B02CC2"/>
    <w:rsid w:val="00B02D13"/>
    <w:rsid w:val="00B02D57"/>
    <w:rsid w:val="00B02D6E"/>
    <w:rsid w:val="00B02E68"/>
    <w:rsid w:val="00B03024"/>
    <w:rsid w:val="00B0312A"/>
    <w:rsid w:val="00B031E5"/>
    <w:rsid w:val="00B0335A"/>
    <w:rsid w:val="00B033FC"/>
    <w:rsid w:val="00B03460"/>
    <w:rsid w:val="00B03536"/>
    <w:rsid w:val="00B0365B"/>
    <w:rsid w:val="00B03781"/>
    <w:rsid w:val="00B037D5"/>
    <w:rsid w:val="00B0389D"/>
    <w:rsid w:val="00B0393B"/>
    <w:rsid w:val="00B03B3A"/>
    <w:rsid w:val="00B03BB3"/>
    <w:rsid w:val="00B03C94"/>
    <w:rsid w:val="00B03CF5"/>
    <w:rsid w:val="00B03D6A"/>
    <w:rsid w:val="00B03DED"/>
    <w:rsid w:val="00B03E5B"/>
    <w:rsid w:val="00B03E9F"/>
    <w:rsid w:val="00B03F43"/>
    <w:rsid w:val="00B03F77"/>
    <w:rsid w:val="00B0412D"/>
    <w:rsid w:val="00B0417F"/>
    <w:rsid w:val="00B041D3"/>
    <w:rsid w:val="00B04201"/>
    <w:rsid w:val="00B042AD"/>
    <w:rsid w:val="00B0432B"/>
    <w:rsid w:val="00B043F3"/>
    <w:rsid w:val="00B04713"/>
    <w:rsid w:val="00B04809"/>
    <w:rsid w:val="00B04856"/>
    <w:rsid w:val="00B048E4"/>
    <w:rsid w:val="00B048E8"/>
    <w:rsid w:val="00B048F2"/>
    <w:rsid w:val="00B0499B"/>
    <w:rsid w:val="00B04A47"/>
    <w:rsid w:val="00B04B35"/>
    <w:rsid w:val="00B04BAE"/>
    <w:rsid w:val="00B04BEF"/>
    <w:rsid w:val="00B04D68"/>
    <w:rsid w:val="00B04DEE"/>
    <w:rsid w:val="00B04E0F"/>
    <w:rsid w:val="00B04EF5"/>
    <w:rsid w:val="00B04F9D"/>
    <w:rsid w:val="00B04FE3"/>
    <w:rsid w:val="00B05073"/>
    <w:rsid w:val="00B05198"/>
    <w:rsid w:val="00B051AE"/>
    <w:rsid w:val="00B051B4"/>
    <w:rsid w:val="00B0522B"/>
    <w:rsid w:val="00B052EA"/>
    <w:rsid w:val="00B053C9"/>
    <w:rsid w:val="00B054A0"/>
    <w:rsid w:val="00B0559A"/>
    <w:rsid w:val="00B055B1"/>
    <w:rsid w:val="00B05716"/>
    <w:rsid w:val="00B05882"/>
    <w:rsid w:val="00B058FA"/>
    <w:rsid w:val="00B0592F"/>
    <w:rsid w:val="00B0597C"/>
    <w:rsid w:val="00B05A93"/>
    <w:rsid w:val="00B05AC8"/>
    <w:rsid w:val="00B05B40"/>
    <w:rsid w:val="00B05BEF"/>
    <w:rsid w:val="00B05CE3"/>
    <w:rsid w:val="00B05D3E"/>
    <w:rsid w:val="00B05DBA"/>
    <w:rsid w:val="00B05E83"/>
    <w:rsid w:val="00B05F98"/>
    <w:rsid w:val="00B05FAE"/>
    <w:rsid w:val="00B06068"/>
    <w:rsid w:val="00B0608C"/>
    <w:rsid w:val="00B061D9"/>
    <w:rsid w:val="00B061EE"/>
    <w:rsid w:val="00B06304"/>
    <w:rsid w:val="00B0635F"/>
    <w:rsid w:val="00B0640D"/>
    <w:rsid w:val="00B06439"/>
    <w:rsid w:val="00B06578"/>
    <w:rsid w:val="00B0660D"/>
    <w:rsid w:val="00B06697"/>
    <w:rsid w:val="00B0676A"/>
    <w:rsid w:val="00B067BC"/>
    <w:rsid w:val="00B0681A"/>
    <w:rsid w:val="00B06851"/>
    <w:rsid w:val="00B0693A"/>
    <w:rsid w:val="00B06979"/>
    <w:rsid w:val="00B069CA"/>
    <w:rsid w:val="00B06A2F"/>
    <w:rsid w:val="00B06A39"/>
    <w:rsid w:val="00B06A5A"/>
    <w:rsid w:val="00B06AA2"/>
    <w:rsid w:val="00B06AE5"/>
    <w:rsid w:val="00B06B1B"/>
    <w:rsid w:val="00B06BB3"/>
    <w:rsid w:val="00B06CC6"/>
    <w:rsid w:val="00B06E8B"/>
    <w:rsid w:val="00B06F62"/>
    <w:rsid w:val="00B07025"/>
    <w:rsid w:val="00B0706E"/>
    <w:rsid w:val="00B0708E"/>
    <w:rsid w:val="00B07093"/>
    <w:rsid w:val="00B0710E"/>
    <w:rsid w:val="00B0713C"/>
    <w:rsid w:val="00B07158"/>
    <w:rsid w:val="00B07161"/>
    <w:rsid w:val="00B071CB"/>
    <w:rsid w:val="00B072A8"/>
    <w:rsid w:val="00B07303"/>
    <w:rsid w:val="00B0730C"/>
    <w:rsid w:val="00B0732B"/>
    <w:rsid w:val="00B07333"/>
    <w:rsid w:val="00B07370"/>
    <w:rsid w:val="00B0737E"/>
    <w:rsid w:val="00B073EE"/>
    <w:rsid w:val="00B074DB"/>
    <w:rsid w:val="00B07554"/>
    <w:rsid w:val="00B07571"/>
    <w:rsid w:val="00B076D1"/>
    <w:rsid w:val="00B076DB"/>
    <w:rsid w:val="00B077E5"/>
    <w:rsid w:val="00B07812"/>
    <w:rsid w:val="00B079EF"/>
    <w:rsid w:val="00B07BD7"/>
    <w:rsid w:val="00B07C28"/>
    <w:rsid w:val="00B07C53"/>
    <w:rsid w:val="00B07D4E"/>
    <w:rsid w:val="00B07D7E"/>
    <w:rsid w:val="00B07DC4"/>
    <w:rsid w:val="00B07DDF"/>
    <w:rsid w:val="00B07E60"/>
    <w:rsid w:val="00B07E99"/>
    <w:rsid w:val="00B07FD8"/>
    <w:rsid w:val="00B1019C"/>
    <w:rsid w:val="00B10219"/>
    <w:rsid w:val="00B1028C"/>
    <w:rsid w:val="00B10309"/>
    <w:rsid w:val="00B10342"/>
    <w:rsid w:val="00B1035E"/>
    <w:rsid w:val="00B10364"/>
    <w:rsid w:val="00B1037A"/>
    <w:rsid w:val="00B103E8"/>
    <w:rsid w:val="00B10465"/>
    <w:rsid w:val="00B105B4"/>
    <w:rsid w:val="00B106BE"/>
    <w:rsid w:val="00B10843"/>
    <w:rsid w:val="00B10855"/>
    <w:rsid w:val="00B1093B"/>
    <w:rsid w:val="00B10B08"/>
    <w:rsid w:val="00B10B69"/>
    <w:rsid w:val="00B10C4C"/>
    <w:rsid w:val="00B10DC6"/>
    <w:rsid w:val="00B10E5B"/>
    <w:rsid w:val="00B10ECE"/>
    <w:rsid w:val="00B10F82"/>
    <w:rsid w:val="00B10F86"/>
    <w:rsid w:val="00B10F98"/>
    <w:rsid w:val="00B110FC"/>
    <w:rsid w:val="00B11173"/>
    <w:rsid w:val="00B1123F"/>
    <w:rsid w:val="00B112BD"/>
    <w:rsid w:val="00B11326"/>
    <w:rsid w:val="00B1149C"/>
    <w:rsid w:val="00B11544"/>
    <w:rsid w:val="00B11565"/>
    <w:rsid w:val="00B115B6"/>
    <w:rsid w:val="00B1167F"/>
    <w:rsid w:val="00B11698"/>
    <w:rsid w:val="00B1169A"/>
    <w:rsid w:val="00B1178B"/>
    <w:rsid w:val="00B1196F"/>
    <w:rsid w:val="00B11973"/>
    <w:rsid w:val="00B11BAB"/>
    <w:rsid w:val="00B11C6C"/>
    <w:rsid w:val="00B11CC5"/>
    <w:rsid w:val="00B11CCD"/>
    <w:rsid w:val="00B11D40"/>
    <w:rsid w:val="00B11D6D"/>
    <w:rsid w:val="00B11E7F"/>
    <w:rsid w:val="00B11EB2"/>
    <w:rsid w:val="00B11EC1"/>
    <w:rsid w:val="00B11F33"/>
    <w:rsid w:val="00B120C1"/>
    <w:rsid w:val="00B12136"/>
    <w:rsid w:val="00B121C3"/>
    <w:rsid w:val="00B122C9"/>
    <w:rsid w:val="00B12346"/>
    <w:rsid w:val="00B1236E"/>
    <w:rsid w:val="00B123BD"/>
    <w:rsid w:val="00B1242D"/>
    <w:rsid w:val="00B12566"/>
    <w:rsid w:val="00B12593"/>
    <w:rsid w:val="00B125B8"/>
    <w:rsid w:val="00B125F2"/>
    <w:rsid w:val="00B12661"/>
    <w:rsid w:val="00B126F9"/>
    <w:rsid w:val="00B12764"/>
    <w:rsid w:val="00B1281C"/>
    <w:rsid w:val="00B12C1A"/>
    <w:rsid w:val="00B12D7F"/>
    <w:rsid w:val="00B12DA6"/>
    <w:rsid w:val="00B12DB1"/>
    <w:rsid w:val="00B12DBF"/>
    <w:rsid w:val="00B12EB8"/>
    <w:rsid w:val="00B12FF4"/>
    <w:rsid w:val="00B130E2"/>
    <w:rsid w:val="00B130E5"/>
    <w:rsid w:val="00B13405"/>
    <w:rsid w:val="00B135D5"/>
    <w:rsid w:val="00B1362B"/>
    <w:rsid w:val="00B1375F"/>
    <w:rsid w:val="00B1377C"/>
    <w:rsid w:val="00B138F7"/>
    <w:rsid w:val="00B1391B"/>
    <w:rsid w:val="00B13AAB"/>
    <w:rsid w:val="00B13BC7"/>
    <w:rsid w:val="00B13C85"/>
    <w:rsid w:val="00B13CBD"/>
    <w:rsid w:val="00B13D9A"/>
    <w:rsid w:val="00B13E7E"/>
    <w:rsid w:val="00B13EB7"/>
    <w:rsid w:val="00B13FBD"/>
    <w:rsid w:val="00B142CC"/>
    <w:rsid w:val="00B14325"/>
    <w:rsid w:val="00B14468"/>
    <w:rsid w:val="00B14588"/>
    <w:rsid w:val="00B1466A"/>
    <w:rsid w:val="00B14713"/>
    <w:rsid w:val="00B14721"/>
    <w:rsid w:val="00B1476F"/>
    <w:rsid w:val="00B14825"/>
    <w:rsid w:val="00B14BDC"/>
    <w:rsid w:val="00B14C8C"/>
    <w:rsid w:val="00B14CDF"/>
    <w:rsid w:val="00B14CE7"/>
    <w:rsid w:val="00B14D7D"/>
    <w:rsid w:val="00B14DE9"/>
    <w:rsid w:val="00B14E1D"/>
    <w:rsid w:val="00B14F66"/>
    <w:rsid w:val="00B150DC"/>
    <w:rsid w:val="00B1515C"/>
    <w:rsid w:val="00B1538C"/>
    <w:rsid w:val="00B15478"/>
    <w:rsid w:val="00B156EC"/>
    <w:rsid w:val="00B15842"/>
    <w:rsid w:val="00B15894"/>
    <w:rsid w:val="00B158DD"/>
    <w:rsid w:val="00B15A10"/>
    <w:rsid w:val="00B15A20"/>
    <w:rsid w:val="00B15B60"/>
    <w:rsid w:val="00B15C1B"/>
    <w:rsid w:val="00B15C58"/>
    <w:rsid w:val="00B15CFF"/>
    <w:rsid w:val="00B15D23"/>
    <w:rsid w:val="00B15D71"/>
    <w:rsid w:val="00B15E05"/>
    <w:rsid w:val="00B15E9B"/>
    <w:rsid w:val="00B15EAC"/>
    <w:rsid w:val="00B15FEB"/>
    <w:rsid w:val="00B160AC"/>
    <w:rsid w:val="00B161E4"/>
    <w:rsid w:val="00B1620F"/>
    <w:rsid w:val="00B1636C"/>
    <w:rsid w:val="00B16635"/>
    <w:rsid w:val="00B16637"/>
    <w:rsid w:val="00B1663B"/>
    <w:rsid w:val="00B1676C"/>
    <w:rsid w:val="00B1687B"/>
    <w:rsid w:val="00B168CE"/>
    <w:rsid w:val="00B168E0"/>
    <w:rsid w:val="00B169A7"/>
    <w:rsid w:val="00B16A38"/>
    <w:rsid w:val="00B16BF4"/>
    <w:rsid w:val="00B16C97"/>
    <w:rsid w:val="00B16CBE"/>
    <w:rsid w:val="00B16F1E"/>
    <w:rsid w:val="00B16F7E"/>
    <w:rsid w:val="00B16FB6"/>
    <w:rsid w:val="00B16FF0"/>
    <w:rsid w:val="00B1707D"/>
    <w:rsid w:val="00B17083"/>
    <w:rsid w:val="00B170C2"/>
    <w:rsid w:val="00B170D2"/>
    <w:rsid w:val="00B17123"/>
    <w:rsid w:val="00B17290"/>
    <w:rsid w:val="00B172CB"/>
    <w:rsid w:val="00B173B6"/>
    <w:rsid w:val="00B1742A"/>
    <w:rsid w:val="00B174A8"/>
    <w:rsid w:val="00B17544"/>
    <w:rsid w:val="00B175B5"/>
    <w:rsid w:val="00B175C8"/>
    <w:rsid w:val="00B175D4"/>
    <w:rsid w:val="00B1766A"/>
    <w:rsid w:val="00B176A4"/>
    <w:rsid w:val="00B176C3"/>
    <w:rsid w:val="00B17834"/>
    <w:rsid w:val="00B17AA3"/>
    <w:rsid w:val="00B17D41"/>
    <w:rsid w:val="00B17D79"/>
    <w:rsid w:val="00B17DC8"/>
    <w:rsid w:val="00B20001"/>
    <w:rsid w:val="00B20039"/>
    <w:rsid w:val="00B20042"/>
    <w:rsid w:val="00B2013B"/>
    <w:rsid w:val="00B201FA"/>
    <w:rsid w:val="00B202DC"/>
    <w:rsid w:val="00B2038F"/>
    <w:rsid w:val="00B205E7"/>
    <w:rsid w:val="00B2068F"/>
    <w:rsid w:val="00B20803"/>
    <w:rsid w:val="00B2087B"/>
    <w:rsid w:val="00B209E0"/>
    <w:rsid w:val="00B209FE"/>
    <w:rsid w:val="00B20AA7"/>
    <w:rsid w:val="00B20BD9"/>
    <w:rsid w:val="00B20D57"/>
    <w:rsid w:val="00B20DAE"/>
    <w:rsid w:val="00B20E03"/>
    <w:rsid w:val="00B20EA1"/>
    <w:rsid w:val="00B20EA6"/>
    <w:rsid w:val="00B20F65"/>
    <w:rsid w:val="00B20F7D"/>
    <w:rsid w:val="00B21001"/>
    <w:rsid w:val="00B2105A"/>
    <w:rsid w:val="00B210B3"/>
    <w:rsid w:val="00B210C6"/>
    <w:rsid w:val="00B21139"/>
    <w:rsid w:val="00B2120D"/>
    <w:rsid w:val="00B212EB"/>
    <w:rsid w:val="00B2130F"/>
    <w:rsid w:val="00B214B0"/>
    <w:rsid w:val="00B214B5"/>
    <w:rsid w:val="00B21654"/>
    <w:rsid w:val="00B216AE"/>
    <w:rsid w:val="00B217FC"/>
    <w:rsid w:val="00B21814"/>
    <w:rsid w:val="00B218D1"/>
    <w:rsid w:val="00B219B0"/>
    <w:rsid w:val="00B21BA0"/>
    <w:rsid w:val="00B21BEB"/>
    <w:rsid w:val="00B21D03"/>
    <w:rsid w:val="00B21D2C"/>
    <w:rsid w:val="00B21D99"/>
    <w:rsid w:val="00B21E21"/>
    <w:rsid w:val="00B21E3C"/>
    <w:rsid w:val="00B21EF6"/>
    <w:rsid w:val="00B21F07"/>
    <w:rsid w:val="00B21F5C"/>
    <w:rsid w:val="00B21FB4"/>
    <w:rsid w:val="00B220C8"/>
    <w:rsid w:val="00B22170"/>
    <w:rsid w:val="00B22318"/>
    <w:rsid w:val="00B223C4"/>
    <w:rsid w:val="00B223EF"/>
    <w:rsid w:val="00B22417"/>
    <w:rsid w:val="00B22460"/>
    <w:rsid w:val="00B22503"/>
    <w:rsid w:val="00B2257A"/>
    <w:rsid w:val="00B225BB"/>
    <w:rsid w:val="00B225C4"/>
    <w:rsid w:val="00B2267F"/>
    <w:rsid w:val="00B227E1"/>
    <w:rsid w:val="00B22901"/>
    <w:rsid w:val="00B22A22"/>
    <w:rsid w:val="00B22ADF"/>
    <w:rsid w:val="00B22BAB"/>
    <w:rsid w:val="00B22BDD"/>
    <w:rsid w:val="00B22D0B"/>
    <w:rsid w:val="00B22DFD"/>
    <w:rsid w:val="00B230C2"/>
    <w:rsid w:val="00B23165"/>
    <w:rsid w:val="00B2319C"/>
    <w:rsid w:val="00B231AA"/>
    <w:rsid w:val="00B232E8"/>
    <w:rsid w:val="00B23328"/>
    <w:rsid w:val="00B233BE"/>
    <w:rsid w:val="00B233EB"/>
    <w:rsid w:val="00B23471"/>
    <w:rsid w:val="00B23474"/>
    <w:rsid w:val="00B23502"/>
    <w:rsid w:val="00B23579"/>
    <w:rsid w:val="00B2361D"/>
    <w:rsid w:val="00B2364B"/>
    <w:rsid w:val="00B23683"/>
    <w:rsid w:val="00B236A8"/>
    <w:rsid w:val="00B237B7"/>
    <w:rsid w:val="00B238D2"/>
    <w:rsid w:val="00B238EF"/>
    <w:rsid w:val="00B23ACD"/>
    <w:rsid w:val="00B23B42"/>
    <w:rsid w:val="00B23BBA"/>
    <w:rsid w:val="00B23D2E"/>
    <w:rsid w:val="00B23DA4"/>
    <w:rsid w:val="00B23DAE"/>
    <w:rsid w:val="00B23DE9"/>
    <w:rsid w:val="00B23E4F"/>
    <w:rsid w:val="00B23F0E"/>
    <w:rsid w:val="00B23FB5"/>
    <w:rsid w:val="00B23FC8"/>
    <w:rsid w:val="00B24055"/>
    <w:rsid w:val="00B2408C"/>
    <w:rsid w:val="00B2412F"/>
    <w:rsid w:val="00B241A0"/>
    <w:rsid w:val="00B241E0"/>
    <w:rsid w:val="00B24222"/>
    <w:rsid w:val="00B2427B"/>
    <w:rsid w:val="00B2434A"/>
    <w:rsid w:val="00B243D5"/>
    <w:rsid w:val="00B24581"/>
    <w:rsid w:val="00B245D3"/>
    <w:rsid w:val="00B2462A"/>
    <w:rsid w:val="00B2463D"/>
    <w:rsid w:val="00B24675"/>
    <w:rsid w:val="00B24835"/>
    <w:rsid w:val="00B248B9"/>
    <w:rsid w:val="00B24A14"/>
    <w:rsid w:val="00B24A5C"/>
    <w:rsid w:val="00B24B87"/>
    <w:rsid w:val="00B24BEC"/>
    <w:rsid w:val="00B24CB2"/>
    <w:rsid w:val="00B24CBF"/>
    <w:rsid w:val="00B24D55"/>
    <w:rsid w:val="00B24DDA"/>
    <w:rsid w:val="00B24ECA"/>
    <w:rsid w:val="00B24F53"/>
    <w:rsid w:val="00B25046"/>
    <w:rsid w:val="00B2510F"/>
    <w:rsid w:val="00B25136"/>
    <w:rsid w:val="00B25177"/>
    <w:rsid w:val="00B251E6"/>
    <w:rsid w:val="00B25284"/>
    <w:rsid w:val="00B252AE"/>
    <w:rsid w:val="00B252BF"/>
    <w:rsid w:val="00B252D7"/>
    <w:rsid w:val="00B25367"/>
    <w:rsid w:val="00B25387"/>
    <w:rsid w:val="00B253A1"/>
    <w:rsid w:val="00B254BB"/>
    <w:rsid w:val="00B2551F"/>
    <w:rsid w:val="00B25638"/>
    <w:rsid w:val="00B2565B"/>
    <w:rsid w:val="00B25761"/>
    <w:rsid w:val="00B25794"/>
    <w:rsid w:val="00B25A1E"/>
    <w:rsid w:val="00B25A1F"/>
    <w:rsid w:val="00B25A41"/>
    <w:rsid w:val="00B25BD3"/>
    <w:rsid w:val="00B25C10"/>
    <w:rsid w:val="00B25D9A"/>
    <w:rsid w:val="00B25E27"/>
    <w:rsid w:val="00B25EAF"/>
    <w:rsid w:val="00B25ECA"/>
    <w:rsid w:val="00B25ED5"/>
    <w:rsid w:val="00B25F3D"/>
    <w:rsid w:val="00B26099"/>
    <w:rsid w:val="00B260B4"/>
    <w:rsid w:val="00B260F2"/>
    <w:rsid w:val="00B26143"/>
    <w:rsid w:val="00B261C1"/>
    <w:rsid w:val="00B2620E"/>
    <w:rsid w:val="00B2625C"/>
    <w:rsid w:val="00B262AB"/>
    <w:rsid w:val="00B264A2"/>
    <w:rsid w:val="00B26770"/>
    <w:rsid w:val="00B267A9"/>
    <w:rsid w:val="00B26D22"/>
    <w:rsid w:val="00B26D34"/>
    <w:rsid w:val="00B27035"/>
    <w:rsid w:val="00B27038"/>
    <w:rsid w:val="00B271CF"/>
    <w:rsid w:val="00B27200"/>
    <w:rsid w:val="00B27423"/>
    <w:rsid w:val="00B27444"/>
    <w:rsid w:val="00B27565"/>
    <w:rsid w:val="00B27581"/>
    <w:rsid w:val="00B27639"/>
    <w:rsid w:val="00B27764"/>
    <w:rsid w:val="00B27847"/>
    <w:rsid w:val="00B279B8"/>
    <w:rsid w:val="00B279E1"/>
    <w:rsid w:val="00B27A47"/>
    <w:rsid w:val="00B27AB4"/>
    <w:rsid w:val="00B27BEE"/>
    <w:rsid w:val="00B27C77"/>
    <w:rsid w:val="00B27CAE"/>
    <w:rsid w:val="00B27DEC"/>
    <w:rsid w:val="00B27F14"/>
    <w:rsid w:val="00B27FA3"/>
    <w:rsid w:val="00B27FB7"/>
    <w:rsid w:val="00B300E7"/>
    <w:rsid w:val="00B30319"/>
    <w:rsid w:val="00B303BD"/>
    <w:rsid w:val="00B303CF"/>
    <w:rsid w:val="00B305D3"/>
    <w:rsid w:val="00B306BC"/>
    <w:rsid w:val="00B3075B"/>
    <w:rsid w:val="00B30780"/>
    <w:rsid w:val="00B30799"/>
    <w:rsid w:val="00B3092C"/>
    <w:rsid w:val="00B30B3B"/>
    <w:rsid w:val="00B30B40"/>
    <w:rsid w:val="00B30B43"/>
    <w:rsid w:val="00B30B5A"/>
    <w:rsid w:val="00B30B72"/>
    <w:rsid w:val="00B30D74"/>
    <w:rsid w:val="00B30DB4"/>
    <w:rsid w:val="00B30E8E"/>
    <w:rsid w:val="00B30EA5"/>
    <w:rsid w:val="00B31065"/>
    <w:rsid w:val="00B311DE"/>
    <w:rsid w:val="00B31319"/>
    <w:rsid w:val="00B31355"/>
    <w:rsid w:val="00B3138E"/>
    <w:rsid w:val="00B313C8"/>
    <w:rsid w:val="00B31479"/>
    <w:rsid w:val="00B31480"/>
    <w:rsid w:val="00B314EA"/>
    <w:rsid w:val="00B31503"/>
    <w:rsid w:val="00B315E9"/>
    <w:rsid w:val="00B316DC"/>
    <w:rsid w:val="00B3174B"/>
    <w:rsid w:val="00B317B4"/>
    <w:rsid w:val="00B318D7"/>
    <w:rsid w:val="00B31A4A"/>
    <w:rsid w:val="00B31A9B"/>
    <w:rsid w:val="00B31ADD"/>
    <w:rsid w:val="00B31BB7"/>
    <w:rsid w:val="00B31C22"/>
    <w:rsid w:val="00B31C48"/>
    <w:rsid w:val="00B31C6D"/>
    <w:rsid w:val="00B31CD1"/>
    <w:rsid w:val="00B31CD5"/>
    <w:rsid w:val="00B31CF8"/>
    <w:rsid w:val="00B31D65"/>
    <w:rsid w:val="00B31D8E"/>
    <w:rsid w:val="00B31E13"/>
    <w:rsid w:val="00B31FFE"/>
    <w:rsid w:val="00B322D4"/>
    <w:rsid w:val="00B322D7"/>
    <w:rsid w:val="00B323E8"/>
    <w:rsid w:val="00B323EF"/>
    <w:rsid w:val="00B32452"/>
    <w:rsid w:val="00B324DC"/>
    <w:rsid w:val="00B3258A"/>
    <w:rsid w:val="00B32791"/>
    <w:rsid w:val="00B327B7"/>
    <w:rsid w:val="00B327BE"/>
    <w:rsid w:val="00B327CA"/>
    <w:rsid w:val="00B327FC"/>
    <w:rsid w:val="00B328C0"/>
    <w:rsid w:val="00B32BAC"/>
    <w:rsid w:val="00B32BCC"/>
    <w:rsid w:val="00B32C88"/>
    <w:rsid w:val="00B32C8B"/>
    <w:rsid w:val="00B32CBC"/>
    <w:rsid w:val="00B32D22"/>
    <w:rsid w:val="00B32DD9"/>
    <w:rsid w:val="00B32DDC"/>
    <w:rsid w:val="00B32E37"/>
    <w:rsid w:val="00B32F89"/>
    <w:rsid w:val="00B330E7"/>
    <w:rsid w:val="00B33159"/>
    <w:rsid w:val="00B33178"/>
    <w:rsid w:val="00B331C8"/>
    <w:rsid w:val="00B3333A"/>
    <w:rsid w:val="00B33426"/>
    <w:rsid w:val="00B3343B"/>
    <w:rsid w:val="00B33574"/>
    <w:rsid w:val="00B33599"/>
    <w:rsid w:val="00B3362C"/>
    <w:rsid w:val="00B33755"/>
    <w:rsid w:val="00B338D7"/>
    <w:rsid w:val="00B33980"/>
    <w:rsid w:val="00B339DD"/>
    <w:rsid w:val="00B339EA"/>
    <w:rsid w:val="00B339F0"/>
    <w:rsid w:val="00B33A4A"/>
    <w:rsid w:val="00B33AE8"/>
    <w:rsid w:val="00B33AFB"/>
    <w:rsid w:val="00B33BCF"/>
    <w:rsid w:val="00B33BE5"/>
    <w:rsid w:val="00B33BFF"/>
    <w:rsid w:val="00B33C7C"/>
    <w:rsid w:val="00B33CB7"/>
    <w:rsid w:val="00B33D96"/>
    <w:rsid w:val="00B33DC9"/>
    <w:rsid w:val="00B33DCE"/>
    <w:rsid w:val="00B33DED"/>
    <w:rsid w:val="00B33E19"/>
    <w:rsid w:val="00B33E88"/>
    <w:rsid w:val="00B33EAC"/>
    <w:rsid w:val="00B33FCE"/>
    <w:rsid w:val="00B340B5"/>
    <w:rsid w:val="00B340BF"/>
    <w:rsid w:val="00B341FC"/>
    <w:rsid w:val="00B341FE"/>
    <w:rsid w:val="00B34261"/>
    <w:rsid w:val="00B343D0"/>
    <w:rsid w:val="00B3440E"/>
    <w:rsid w:val="00B34434"/>
    <w:rsid w:val="00B34471"/>
    <w:rsid w:val="00B34473"/>
    <w:rsid w:val="00B345EB"/>
    <w:rsid w:val="00B346D8"/>
    <w:rsid w:val="00B34758"/>
    <w:rsid w:val="00B347D4"/>
    <w:rsid w:val="00B348DE"/>
    <w:rsid w:val="00B34A35"/>
    <w:rsid w:val="00B34A7B"/>
    <w:rsid w:val="00B34AA5"/>
    <w:rsid w:val="00B34AC9"/>
    <w:rsid w:val="00B34AD2"/>
    <w:rsid w:val="00B34AFE"/>
    <w:rsid w:val="00B34B59"/>
    <w:rsid w:val="00B34BC2"/>
    <w:rsid w:val="00B34BD0"/>
    <w:rsid w:val="00B34DB1"/>
    <w:rsid w:val="00B34F30"/>
    <w:rsid w:val="00B34F9B"/>
    <w:rsid w:val="00B34FF1"/>
    <w:rsid w:val="00B35001"/>
    <w:rsid w:val="00B35094"/>
    <w:rsid w:val="00B3510B"/>
    <w:rsid w:val="00B35113"/>
    <w:rsid w:val="00B351C1"/>
    <w:rsid w:val="00B352FA"/>
    <w:rsid w:val="00B35346"/>
    <w:rsid w:val="00B35360"/>
    <w:rsid w:val="00B3538E"/>
    <w:rsid w:val="00B35399"/>
    <w:rsid w:val="00B35470"/>
    <w:rsid w:val="00B35518"/>
    <w:rsid w:val="00B356DB"/>
    <w:rsid w:val="00B356F7"/>
    <w:rsid w:val="00B357D7"/>
    <w:rsid w:val="00B35856"/>
    <w:rsid w:val="00B35871"/>
    <w:rsid w:val="00B358EE"/>
    <w:rsid w:val="00B3590A"/>
    <w:rsid w:val="00B359D8"/>
    <w:rsid w:val="00B35A71"/>
    <w:rsid w:val="00B35C2E"/>
    <w:rsid w:val="00B35CA1"/>
    <w:rsid w:val="00B35CC8"/>
    <w:rsid w:val="00B35D76"/>
    <w:rsid w:val="00B35D8B"/>
    <w:rsid w:val="00B35F66"/>
    <w:rsid w:val="00B35F89"/>
    <w:rsid w:val="00B3605E"/>
    <w:rsid w:val="00B36076"/>
    <w:rsid w:val="00B360AF"/>
    <w:rsid w:val="00B360E9"/>
    <w:rsid w:val="00B36123"/>
    <w:rsid w:val="00B3625A"/>
    <w:rsid w:val="00B3628D"/>
    <w:rsid w:val="00B363BF"/>
    <w:rsid w:val="00B36554"/>
    <w:rsid w:val="00B3661A"/>
    <w:rsid w:val="00B36715"/>
    <w:rsid w:val="00B3678E"/>
    <w:rsid w:val="00B368A2"/>
    <w:rsid w:val="00B368B5"/>
    <w:rsid w:val="00B36A20"/>
    <w:rsid w:val="00B36A5C"/>
    <w:rsid w:val="00B36B15"/>
    <w:rsid w:val="00B36B5C"/>
    <w:rsid w:val="00B36BF1"/>
    <w:rsid w:val="00B36C3C"/>
    <w:rsid w:val="00B36C4A"/>
    <w:rsid w:val="00B36D31"/>
    <w:rsid w:val="00B36D4A"/>
    <w:rsid w:val="00B36DB2"/>
    <w:rsid w:val="00B36E62"/>
    <w:rsid w:val="00B36E77"/>
    <w:rsid w:val="00B36F42"/>
    <w:rsid w:val="00B36FEE"/>
    <w:rsid w:val="00B36FFF"/>
    <w:rsid w:val="00B37062"/>
    <w:rsid w:val="00B371B4"/>
    <w:rsid w:val="00B371DC"/>
    <w:rsid w:val="00B37334"/>
    <w:rsid w:val="00B373B6"/>
    <w:rsid w:val="00B373E4"/>
    <w:rsid w:val="00B37400"/>
    <w:rsid w:val="00B37503"/>
    <w:rsid w:val="00B37507"/>
    <w:rsid w:val="00B37611"/>
    <w:rsid w:val="00B37627"/>
    <w:rsid w:val="00B3762F"/>
    <w:rsid w:val="00B3771F"/>
    <w:rsid w:val="00B37939"/>
    <w:rsid w:val="00B3797F"/>
    <w:rsid w:val="00B37995"/>
    <w:rsid w:val="00B37A1E"/>
    <w:rsid w:val="00B37ADF"/>
    <w:rsid w:val="00B37B82"/>
    <w:rsid w:val="00B37B9B"/>
    <w:rsid w:val="00B37BA8"/>
    <w:rsid w:val="00B37C83"/>
    <w:rsid w:val="00B37E54"/>
    <w:rsid w:val="00B37F73"/>
    <w:rsid w:val="00B400BB"/>
    <w:rsid w:val="00B40165"/>
    <w:rsid w:val="00B401BF"/>
    <w:rsid w:val="00B4021B"/>
    <w:rsid w:val="00B4021C"/>
    <w:rsid w:val="00B402B7"/>
    <w:rsid w:val="00B4036D"/>
    <w:rsid w:val="00B403CA"/>
    <w:rsid w:val="00B4046E"/>
    <w:rsid w:val="00B405A1"/>
    <w:rsid w:val="00B405AE"/>
    <w:rsid w:val="00B40614"/>
    <w:rsid w:val="00B406DB"/>
    <w:rsid w:val="00B4085D"/>
    <w:rsid w:val="00B4088E"/>
    <w:rsid w:val="00B40947"/>
    <w:rsid w:val="00B40B02"/>
    <w:rsid w:val="00B40B24"/>
    <w:rsid w:val="00B40B62"/>
    <w:rsid w:val="00B40B7D"/>
    <w:rsid w:val="00B40B7E"/>
    <w:rsid w:val="00B40BF0"/>
    <w:rsid w:val="00B40C42"/>
    <w:rsid w:val="00B40CF0"/>
    <w:rsid w:val="00B40E82"/>
    <w:rsid w:val="00B40ED8"/>
    <w:rsid w:val="00B40ED9"/>
    <w:rsid w:val="00B41124"/>
    <w:rsid w:val="00B4114D"/>
    <w:rsid w:val="00B411A6"/>
    <w:rsid w:val="00B411E3"/>
    <w:rsid w:val="00B4127B"/>
    <w:rsid w:val="00B413B7"/>
    <w:rsid w:val="00B413CA"/>
    <w:rsid w:val="00B4144D"/>
    <w:rsid w:val="00B41587"/>
    <w:rsid w:val="00B41599"/>
    <w:rsid w:val="00B41603"/>
    <w:rsid w:val="00B41738"/>
    <w:rsid w:val="00B41776"/>
    <w:rsid w:val="00B41800"/>
    <w:rsid w:val="00B41879"/>
    <w:rsid w:val="00B418FB"/>
    <w:rsid w:val="00B41AED"/>
    <w:rsid w:val="00B41D44"/>
    <w:rsid w:val="00B41DE7"/>
    <w:rsid w:val="00B41EC1"/>
    <w:rsid w:val="00B41ED0"/>
    <w:rsid w:val="00B41F72"/>
    <w:rsid w:val="00B42058"/>
    <w:rsid w:val="00B420E6"/>
    <w:rsid w:val="00B42139"/>
    <w:rsid w:val="00B42158"/>
    <w:rsid w:val="00B422DB"/>
    <w:rsid w:val="00B42491"/>
    <w:rsid w:val="00B4252F"/>
    <w:rsid w:val="00B425D7"/>
    <w:rsid w:val="00B42611"/>
    <w:rsid w:val="00B4268C"/>
    <w:rsid w:val="00B426AC"/>
    <w:rsid w:val="00B426EB"/>
    <w:rsid w:val="00B427E0"/>
    <w:rsid w:val="00B429EC"/>
    <w:rsid w:val="00B42A4E"/>
    <w:rsid w:val="00B42B46"/>
    <w:rsid w:val="00B42BD3"/>
    <w:rsid w:val="00B42C3E"/>
    <w:rsid w:val="00B42D40"/>
    <w:rsid w:val="00B42E5D"/>
    <w:rsid w:val="00B42EB0"/>
    <w:rsid w:val="00B42EE8"/>
    <w:rsid w:val="00B43020"/>
    <w:rsid w:val="00B43146"/>
    <w:rsid w:val="00B43175"/>
    <w:rsid w:val="00B4340F"/>
    <w:rsid w:val="00B434BD"/>
    <w:rsid w:val="00B434FB"/>
    <w:rsid w:val="00B4360C"/>
    <w:rsid w:val="00B43635"/>
    <w:rsid w:val="00B43662"/>
    <w:rsid w:val="00B43671"/>
    <w:rsid w:val="00B43687"/>
    <w:rsid w:val="00B436C2"/>
    <w:rsid w:val="00B436F2"/>
    <w:rsid w:val="00B43722"/>
    <w:rsid w:val="00B437C6"/>
    <w:rsid w:val="00B439A2"/>
    <w:rsid w:val="00B43B2D"/>
    <w:rsid w:val="00B43DC4"/>
    <w:rsid w:val="00B43DD2"/>
    <w:rsid w:val="00B43EBC"/>
    <w:rsid w:val="00B43F4C"/>
    <w:rsid w:val="00B43F69"/>
    <w:rsid w:val="00B440B6"/>
    <w:rsid w:val="00B440DF"/>
    <w:rsid w:val="00B44154"/>
    <w:rsid w:val="00B4417B"/>
    <w:rsid w:val="00B441D6"/>
    <w:rsid w:val="00B4422F"/>
    <w:rsid w:val="00B4425F"/>
    <w:rsid w:val="00B44379"/>
    <w:rsid w:val="00B443F9"/>
    <w:rsid w:val="00B44444"/>
    <w:rsid w:val="00B446CA"/>
    <w:rsid w:val="00B44773"/>
    <w:rsid w:val="00B44797"/>
    <w:rsid w:val="00B44874"/>
    <w:rsid w:val="00B448BB"/>
    <w:rsid w:val="00B448CC"/>
    <w:rsid w:val="00B448F7"/>
    <w:rsid w:val="00B44905"/>
    <w:rsid w:val="00B449C9"/>
    <w:rsid w:val="00B44A28"/>
    <w:rsid w:val="00B44D90"/>
    <w:rsid w:val="00B44D9E"/>
    <w:rsid w:val="00B44DB7"/>
    <w:rsid w:val="00B44E6C"/>
    <w:rsid w:val="00B4503D"/>
    <w:rsid w:val="00B45070"/>
    <w:rsid w:val="00B45113"/>
    <w:rsid w:val="00B451C8"/>
    <w:rsid w:val="00B45349"/>
    <w:rsid w:val="00B45351"/>
    <w:rsid w:val="00B45389"/>
    <w:rsid w:val="00B453D7"/>
    <w:rsid w:val="00B45405"/>
    <w:rsid w:val="00B4540D"/>
    <w:rsid w:val="00B455B7"/>
    <w:rsid w:val="00B4565D"/>
    <w:rsid w:val="00B45771"/>
    <w:rsid w:val="00B45884"/>
    <w:rsid w:val="00B458EC"/>
    <w:rsid w:val="00B4593F"/>
    <w:rsid w:val="00B45A3E"/>
    <w:rsid w:val="00B45A50"/>
    <w:rsid w:val="00B45B02"/>
    <w:rsid w:val="00B45B3D"/>
    <w:rsid w:val="00B45BA2"/>
    <w:rsid w:val="00B45BAE"/>
    <w:rsid w:val="00B45BF6"/>
    <w:rsid w:val="00B45C06"/>
    <w:rsid w:val="00B45C3D"/>
    <w:rsid w:val="00B45CA9"/>
    <w:rsid w:val="00B45D1A"/>
    <w:rsid w:val="00B45D36"/>
    <w:rsid w:val="00B45DAB"/>
    <w:rsid w:val="00B45F27"/>
    <w:rsid w:val="00B45F37"/>
    <w:rsid w:val="00B45F67"/>
    <w:rsid w:val="00B45FFE"/>
    <w:rsid w:val="00B46026"/>
    <w:rsid w:val="00B4609D"/>
    <w:rsid w:val="00B46182"/>
    <w:rsid w:val="00B461A0"/>
    <w:rsid w:val="00B461DF"/>
    <w:rsid w:val="00B46264"/>
    <w:rsid w:val="00B462B9"/>
    <w:rsid w:val="00B463A5"/>
    <w:rsid w:val="00B4641A"/>
    <w:rsid w:val="00B46462"/>
    <w:rsid w:val="00B464C3"/>
    <w:rsid w:val="00B464DC"/>
    <w:rsid w:val="00B4663E"/>
    <w:rsid w:val="00B466DC"/>
    <w:rsid w:val="00B467D7"/>
    <w:rsid w:val="00B467DE"/>
    <w:rsid w:val="00B467EE"/>
    <w:rsid w:val="00B46852"/>
    <w:rsid w:val="00B46969"/>
    <w:rsid w:val="00B469D9"/>
    <w:rsid w:val="00B469F0"/>
    <w:rsid w:val="00B46D54"/>
    <w:rsid w:val="00B46DB3"/>
    <w:rsid w:val="00B46E42"/>
    <w:rsid w:val="00B46F2B"/>
    <w:rsid w:val="00B46FA4"/>
    <w:rsid w:val="00B46FDB"/>
    <w:rsid w:val="00B46FEA"/>
    <w:rsid w:val="00B46FEE"/>
    <w:rsid w:val="00B4718D"/>
    <w:rsid w:val="00B4718F"/>
    <w:rsid w:val="00B471A5"/>
    <w:rsid w:val="00B47201"/>
    <w:rsid w:val="00B473B7"/>
    <w:rsid w:val="00B473C9"/>
    <w:rsid w:val="00B4757C"/>
    <w:rsid w:val="00B4759E"/>
    <w:rsid w:val="00B477EE"/>
    <w:rsid w:val="00B4788C"/>
    <w:rsid w:val="00B47A1D"/>
    <w:rsid w:val="00B47A66"/>
    <w:rsid w:val="00B47A81"/>
    <w:rsid w:val="00B47A89"/>
    <w:rsid w:val="00B47AA4"/>
    <w:rsid w:val="00B47ADA"/>
    <w:rsid w:val="00B47CD6"/>
    <w:rsid w:val="00B47D1E"/>
    <w:rsid w:val="00B47DA6"/>
    <w:rsid w:val="00B47F63"/>
    <w:rsid w:val="00B47FB9"/>
    <w:rsid w:val="00B47FD3"/>
    <w:rsid w:val="00B50087"/>
    <w:rsid w:val="00B501F0"/>
    <w:rsid w:val="00B5020E"/>
    <w:rsid w:val="00B5042B"/>
    <w:rsid w:val="00B50500"/>
    <w:rsid w:val="00B505A2"/>
    <w:rsid w:val="00B505AF"/>
    <w:rsid w:val="00B5061F"/>
    <w:rsid w:val="00B507CA"/>
    <w:rsid w:val="00B50805"/>
    <w:rsid w:val="00B50895"/>
    <w:rsid w:val="00B508CF"/>
    <w:rsid w:val="00B5096A"/>
    <w:rsid w:val="00B509FF"/>
    <w:rsid w:val="00B50A60"/>
    <w:rsid w:val="00B50A81"/>
    <w:rsid w:val="00B50A87"/>
    <w:rsid w:val="00B50A8D"/>
    <w:rsid w:val="00B50B2D"/>
    <w:rsid w:val="00B50BC8"/>
    <w:rsid w:val="00B50BDF"/>
    <w:rsid w:val="00B50BE6"/>
    <w:rsid w:val="00B50E1B"/>
    <w:rsid w:val="00B50EA5"/>
    <w:rsid w:val="00B50EF2"/>
    <w:rsid w:val="00B50F6A"/>
    <w:rsid w:val="00B51055"/>
    <w:rsid w:val="00B5106F"/>
    <w:rsid w:val="00B51126"/>
    <w:rsid w:val="00B51165"/>
    <w:rsid w:val="00B511AD"/>
    <w:rsid w:val="00B51256"/>
    <w:rsid w:val="00B51380"/>
    <w:rsid w:val="00B514F6"/>
    <w:rsid w:val="00B51561"/>
    <w:rsid w:val="00B515BC"/>
    <w:rsid w:val="00B51849"/>
    <w:rsid w:val="00B5190B"/>
    <w:rsid w:val="00B51937"/>
    <w:rsid w:val="00B51A2A"/>
    <w:rsid w:val="00B51A84"/>
    <w:rsid w:val="00B51B55"/>
    <w:rsid w:val="00B51C0C"/>
    <w:rsid w:val="00B51CCC"/>
    <w:rsid w:val="00B51D70"/>
    <w:rsid w:val="00B51D9C"/>
    <w:rsid w:val="00B51DB1"/>
    <w:rsid w:val="00B51E19"/>
    <w:rsid w:val="00B51E8B"/>
    <w:rsid w:val="00B51EA9"/>
    <w:rsid w:val="00B51F15"/>
    <w:rsid w:val="00B51F83"/>
    <w:rsid w:val="00B51FF4"/>
    <w:rsid w:val="00B52051"/>
    <w:rsid w:val="00B5209E"/>
    <w:rsid w:val="00B520B9"/>
    <w:rsid w:val="00B520C7"/>
    <w:rsid w:val="00B5210F"/>
    <w:rsid w:val="00B52299"/>
    <w:rsid w:val="00B52483"/>
    <w:rsid w:val="00B524BE"/>
    <w:rsid w:val="00B5252F"/>
    <w:rsid w:val="00B52604"/>
    <w:rsid w:val="00B52685"/>
    <w:rsid w:val="00B526E7"/>
    <w:rsid w:val="00B52747"/>
    <w:rsid w:val="00B527DE"/>
    <w:rsid w:val="00B52867"/>
    <w:rsid w:val="00B5286A"/>
    <w:rsid w:val="00B528BE"/>
    <w:rsid w:val="00B52911"/>
    <w:rsid w:val="00B52946"/>
    <w:rsid w:val="00B52BF4"/>
    <w:rsid w:val="00B52CDC"/>
    <w:rsid w:val="00B52D4E"/>
    <w:rsid w:val="00B52DE9"/>
    <w:rsid w:val="00B52F41"/>
    <w:rsid w:val="00B52FA9"/>
    <w:rsid w:val="00B52FB8"/>
    <w:rsid w:val="00B5309D"/>
    <w:rsid w:val="00B53202"/>
    <w:rsid w:val="00B53205"/>
    <w:rsid w:val="00B53261"/>
    <w:rsid w:val="00B533D0"/>
    <w:rsid w:val="00B533E1"/>
    <w:rsid w:val="00B533F5"/>
    <w:rsid w:val="00B53468"/>
    <w:rsid w:val="00B534BE"/>
    <w:rsid w:val="00B534EC"/>
    <w:rsid w:val="00B53564"/>
    <w:rsid w:val="00B53597"/>
    <w:rsid w:val="00B535B8"/>
    <w:rsid w:val="00B535E8"/>
    <w:rsid w:val="00B53649"/>
    <w:rsid w:val="00B5369F"/>
    <w:rsid w:val="00B53806"/>
    <w:rsid w:val="00B53897"/>
    <w:rsid w:val="00B538DF"/>
    <w:rsid w:val="00B538F7"/>
    <w:rsid w:val="00B53AD1"/>
    <w:rsid w:val="00B53B58"/>
    <w:rsid w:val="00B53BB7"/>
    <w:rsid w:val="00B53C0C"/>
    <w:rsid w:val="00B53D0F"/>
    <w:rsid w:val="00B53D4F"/>
    <w:rsid w:val="00B53D86"/>
    <w:rsid w:val="00B53E2A"/>
    <w:rsid w:val="00B53E6A"/>
    <w:rsid w:val="00B53F34"/>
    <w:rsid w:val="00B5403B"/>
    <w:rsid w:val="00B540F5"/>
    <w:rsid w:val="00B54134"/>
    <w:rsid w:val="00B54178"/>
    <w:rsid w:val="00B541AB"/>
    <w:rsid w:val="00B541C8"/>
    <w:rsid w:val="00B541FF"/>
    <w:rsid w:val="00B542C2"/>
    <w:rsid w:val="00B54320"/>
    <w:rsid w:val="00B5435E"/>
    <w:rsid w:val="00B5443B"/>
    <w:rsid w:val="00B54608"/>
    <w:rsid w:val="00B5463F"/>
    <w:rsid w:val="00B546B3"/>
    <w:rsid w:val="00B546BE"/>
    <w:rsid w:val="00B546E0"/>
    <w:rsid w:val="00B54775"/>
    <w:rsid w:val="00B54793"/>
    <w:rsid w:val="00B5479B"/>
    <w:rsid w:val="00B5479F"/>
    <w:rsid w:val="00B54996"/>
    <w:rsid w:val="00B54B46"/>
    <w:rsid w:val="00B54B4D"/>
    <w:rsid w:val="00B54B89"/>
    <w:rsid w:val="00B54CAE"/>
    <w:rsid w:val="00B54D24"/>
    <w:rsid w:val="00B54DEF"/>
    <w:rsid w:val="00B54DF7"/>
    <w:rsid w:val="00B54E9D"/>
    <w:rsid w:val="00B54FE7"/>
    <w:rsid w:val="00B5500C"/>
    <w:rsid w:val="00B5505F"/>
    <w:rsid w:val="00B55092"/>
    <w:rsid w:val="00B550A5"/>
    <w:rsid w:val="00B55159"/>
    <w:rsid w:val="00B551DF"/>
    <w:rsid w:val="00B553AF"/>
    <w:rsid w:val="00B554B1"/>
    <w:rsid w:val="00B554DE"/>
    <w:rsid w:val="00B55605"/>
    <w:rsid w:val="00B55685"/>
    <w:rsid w:val="00B5568A"/>
    <w:rsid w:val="00B5574F"/>
    <w:rsid w:val="00B5577E"/>
    <w:rsid w:val="00B5579D"/>
    <w:rsid w:val="00B5582C"/>
    <w:rsid w:val="00B5582D"/>
    <w:rsid w:val="00B558E1"/>
    <w:rsid w:val="00B558E2"/>
    <w:rsid w:val="00B55A84"/>
    <w:rsid w:val="00B55A89"/>
    <w:rsid w:val="00B55A92"/>
    <w:rsid w:val="00B55AE0"/>
    <w:rsid w:val="00B55AFC"/>
    <w:rsid w:val="00B55BDB"/>
    <w:rsid w:val="00B55C32"/>
    <w:rsid w:val="00B55C7F"/>
    <w:rsid w:val="00B55E76"/>
    <w:rsid w:val="00B55E91"/>
    <w:rsid w:val="00B55EA1"/>
    <w:rsid w:val="00B5603C"/>
    <w:rsid w:val="00B56081"/>
    <w:rsid w:val="00B5608F"/>
    <w:rsid w:val="00B560E0"/>
    <w:rsid w:val="00B56185"/>
    <w:rsid w:val="00B561AE"/>
    <w:rsid w:val="00B561D8"/>
    <w:rsid w:val="00B56302"/>
    <w:rsid w:val="00B56384"/>
    <w:rsid w:val="00B563FC"/>
    <w:rsid w:val="00B5642C"/>
    <w:rsid w:val="00B565C4"/>
    <w:rsid w:val="00B5666D"/>
    <w:rsid w:val="00B5672A"/>
    <w:rsid w:val="00B56797"/>
    <w:rsid w:val="00B56864"/>
    <w:rsid w:val="00B568C3"/>
    <w:rsid w:val="00B568C5"/>
    <w:rsid w:val="00B56A1B"/>
    <w:rsid w:val="00B56A62"/>
    <w:rsid w:val="00B56AF6"/>
    <w:rsid w:val="00B56BAF"/>
    <w:rsid w:val="00B56BE5"/>
    <w:rsid w:val="00B56C7E"/>
    <w:rsid w:val="00B56DA4"/>
    <w:rsid w:val="00B56DAE"/>
    <w:rsid w:val="00B56DBA"/>
    <w:rsid w:val="00B56DC3"/>
    <w:rsid w:val="00B56E1B"/>
    <w:rsid w:val="00B56E88"/>
    <w:rsid w:val="00B56EE8"/>
    <w:rsid w:val="00B56F41"/>
    <w:rsid w:val="00B56FCA"/>
    <w:rsid w:val="00B5701E"/>
    <w:rsid w:val="00B5706F"/>
    <w:rsid w:val="00B570A0"/>
    <w:rsid w:val="00B570DB"/>
    <w:rsid w:val="00B571B9"/>
    <w:rsid w:val="00B57275"/>
    <w:rsid w:val="00B572C1"/>
    <w:rsid w:val="00B5740A"/>
    <w:rsid w:val="00B5744A"/>
    <w:rsid w:val="00B574AD"/>
    <w:rsid w:val="00B5752A"/>
    <w:rsid w:val="00B57539"/>
    <w:rsid w:val="00B5759B"/>
    <w:rsid w:val="00B57609"/>
    <w:rsid w:val="00B57667"/>
    <w:rsid w:val="00B576F8"/>
    <w:rsid w:val="00B577B2"/>
    <w:rsid w:val="00B577C2"/>
    <w:rsid w:val="00B578A3"/>
    <w:rsid w:val="00B579B5"/>
    <w:rsid w:val="00B57E80"/>
    <w:rsid w:val="00B6007C"/>
    <w:rsid w:val="00B602A2"/>
    <w:rsid w:val="00B602A5"/>
    <w:rsid w:val="00B60377"/>
    <w:rsid w:val="00B6038B"/>
    <w:rsid w:val="00B60397"/>
    <w:rsid w:val="00B604A1"/>
    <w:rsid w:val="00B604D5"/>
    <w:rsid w:val="00B605DE"/>
    <w:rsid w:val="00B606F7"/>
    <w:rsid w:val="00B60707"/>
    <w:rsid w:val="00B60839"/>
    <w:rsid w:val="00B608C6"/>
    <w:rsid w:val="00B60A65"/>
    <w:rsid w:val="00B60B6D"/>
    <w:rsid w:val="00B60B85"/>
    <w:rsid w:val="00B60D46"/>
    <w:rsid w:val="00B60D88"/>
    <w:rsid w:val="00B60DE5"/>
    <w:rsid w:val="00B60E1C"/>
    <w:rsid w:val="00B60E7A"/>
    <w:rsid w:val="00B60EC2"/>
    <w:rsid w:val="00B61039"/>
    <w:rsid w:val="00B61040"/>
    <w:rsid w:val="00B61242"/>
    <w:rsid w:val="00B612E6"/>
    <w:rsid w:val="00B617CD"/>
    <w:rsid w:val="00B61962"/>
    <w:rsid w:val="00B61A08"/>
    <w:rsid w:val="00B61A10"/>
    <w:rsid w:val="00B61C2C"/>
    <w:rsid w:val="00B61D19"/>
    <w:rsid w:val="00B61E0E"/>
    <w:rsid w:val="00B61E27"/>
    <w:rsid w:val="00B61F65"/>
    <w:rsid w:val="00B6205D"/>
    <w:rsid w:val="00B622B2"/>
    <w:rsid w:val="00B62327"/>
    <w:rsid w:val="00B624AF"/>
    <w:rsid w:val="00B62577"/>
    <w:rsid w:val="00B626BF"/>
    <w:rsid w:val="00B62743"/>
    <w:rsid w:val="00B627D9"/>
    <w:rsid w:val="00B627DA"/>
    <w:rsid w:val="00B627F2"/>
    <w:rsid w:val="00B62813"/>
    <w:rsid w:val="00B6281D"/>
    <w:rsid w:val="00B6287B"/>
    <w:rsid w:val="00B628F1"/>
    <w:rsid w:val="00B62A7B"/>
    <w:rsid w:val="00B62AA8"/>
    <w:rsid w:val="00B62B06"/>
    <w:rsid w:val="00B62B61"/>
    <w:rsid w:val="00B62B6F"/>
    <w:rsid w:val="00B62BB8"/>
    <w:rsid w:val="00B62C0F"/>
    <w:rsid w:val="00B62C70"/>
    <w:rsid w:val="00B62DBF"/>
    <w:rsid w:val="00B62DF4"/>
    <w:rsid w:val="00B62E30"/>
    <w:rsid w:val="00B62F7B"/>
    <w:rsid w:val="00B630DF"/>
    <w:rsid w:val="00B6318F"/>
    <w:rsid w:val="00B6323C"/>
    <w:rsid w:val="00B63322"/>
    <w:rsid w:val="00B633CE"/>
    <w:rsid w:val="00B634A9"/>
    <w:rsid w:val="00B635A4"/>
    <w:rsid w:val="00B635B3"/>
    <w:rsid w:val="00B63755"/>
    <w:rsid w:val="00B63963"/>
    <w:rsid w:val="00B639F8"/>
    <w:rsid w:val="00B63A09"/>
    <w:rsid w:val="00B63C12"/>
    <w:rsid w:val="00B63C3F"/>
    <w:rsid w:val="00B63C54"/>
    <w:rsid w:val="00B63C6C"/>
    <w:rsid w:val="00B63E3B"/>
    <w:rsid w:val="00B63FCE"/>
    <w:rsid w:val="00B63FEA"/>
    <w:rsid w:val="00B640C9"/>
    <w:rsid w:val="00B6414A"/>
    <w:rsid w:val="00B641AE"/>
    <w:rsid w:val="00B641BB"/>
    <w:rsid w:val="00B64275"/>
    <w:rsid w:val="00B645BC"/>
    <w:rsid w:val="00B64710"/>
    <w:rsid w:val="00B647AB"/>
    <w:rsid w:val="00B647C9"/>
    <w:rsid w:val="00B64886"/>
    <w:rsid w:val="00B6494A"/>
    <w:rsid w:val="00B64A04"/>
    <w:rsid w:val="00B64A70"/>
    <w:rsid w:val="00B64ABD"/>
    <w:rsid w:val="00B64B55"/>
    <w:rsid w:val="00B64BC2"/>
    <w:rsid w:val="00B64C94"/>
    <w:rsid w:val="00B64C97"/>
    <w:rsid w:val="00B64F1E"/>
    <w:rsid w:val="00B64F9A"/>
    <w:rsid w:val="00B64FF2"/>
    <w:rsid w:val="00B65011"/>
    <w:rsid w:val="00B6511B"/>
    <w:rsid w:val="00B65180"/>
    <w:rsid w:val="00B6520E"/>
    <w:rsid w:val="00B654E2"/>
    <w:rsid w:val="00B65510"/>
    <w:rsid w:val="00B658DB"/>
    <w:rsid w:val="00B65987"/>
    <w:rsid w:val="00B65A3E"/>
    <w:rsid w:val="00B65A8C"/>
    <w:rsid w:val="00B65CE6"/>
    <w:rsid w:val="00B65D15"/>
    <w:rsid w:val="00B65D39"/>
    <w:rsid w:val="00B65FFE"/>
    <w:rsid w:val="00B66042"/>
    <w:rsid w:val="00B661EF"/>
    <w:rsid w:val="00B6629A"/>
    <w:rsid w:val="00B662FD"/>
    <w:rsid w:val="00B66302"/>
    <w:rsid w:val="00B6630E"/>
    <w:rsid w:val="00B66331"/>
    <w:rsid w:val="00B663E6"/>
    <w:rsid w:val="00B663E8"/>
    <w:rsid w:val="00B66476"/>
    <w:rsid w:val="00B664A2"/>
    <w:rsid w:val="00B66572"/>
    <w:rsid w:val="00B665E8"/>
    <w:rsid w:val="00B66693"/>
    <w:rsid w:val="00B666AA"/>
    <w:rsid w:val="00B667A6"/>
    <w:rsid w:val="00B668D2"/>
    <w:rsid w:val="00B66983"/>
    <w:rsid w:val="00B669E3"/>
    <w:rsid w:val="00B66A02"/>
    <w:rsid w:val="00B66A05"/>
    <w:rsid w:val="00B66A39"/>
    <w:rsid w:val="00B66AFA"/>
    <w:rsid w:val="00B66B36"/>
    <w:rsid w:val="00B66BC2"/>
    <w:rsid w:val="00B66C09"/>
    <w:rsid w:val="00B66D15"/>
    <w:rsid w:val="00B66D80"/>
    <w:rsid w:val="00B66E68"/>
    <w:rsid w:val="00B66E9E"/>
    <w:rsid w:val="00B66EC3"/>
    <w:rsid w:val="00B66F17"/>
    <w:rsid w:val="00B66F45"/>
    <w:rsid w:val="00B66F6D"/>
    <w:rsid w:val="00B66F7A"/>
    <w:rsid w:val="00B67150"/>
    <w:rsid w:val="00B672CE"/>
    <w:rsid w:val="00B67465"/>
    <w:rsid w:val="00B6759F"/>
    <w:rsid w:val="00B675A6"/>
    <w:rsid w:val="00B6766F"/>
    <w:rsid w:val="00B6767D"/>
    <w:rsid w:val="00B6771D"/>
    <w:rsid w:val="00B67753"/>
    <w:rsid w:val="00B678DB"/>
    <w:rsid w:val="00B678F2"/>
    <w:rsid w:val="00B679ED"/>
    <w:rsid w:val="00B67B0D"/>
    <w:rsid w:val="00B67CB5"/>
    <w:rsid w:val="00B67CBA"/>
    <w:rsid w:val="00B67D2C"/>
    <w:rsid w:val="00B67D47"/>
    <w:rsid w:val="00B67EF3"/>
    <w:rsid w:val="00B7000D"/>
    <w:rsid w:val="00B700A6"/>
    <w:rsid w:val="00B7016B"/>
    <w:rsid w:val="00B701EF"/>
    <w:rsid w:val="00B702B0"/>
    <w:rsid w:val="00B702ED"/>
    <w:rsid w:val="00B7031B"/>
    <w:rsid w:val="00B7033D"/>
    <w:rsid w:val="00B7044C"/>
    <w:rsid w:val="00B70ABC"/>
    <w:rsid w:val="00B70AC2"/>
    <w:rsid w:val="00B70ACA"/>
    <w:rsid w:val="00B70BAC"/>
    <w:rsid w:val="00B70BF6"/>
    <w:rsid w:val="00B70C37"/>
    <w:rsid w:val="00B70C8E"/>
    <w:rsid w:val="00B70E00"/>
    <w:rsid w:val="00B70E2D"/>
    <w:rsid w:val="00B70E78"/>
    <w:rsid w:val="00B70FB4"/>
    <w:rsid w:val="00B70FC0"/>
    <w:rsid w:val="00B7112F"/>
    <w:rsid w:val="00B711EB"/>
    <w:rsid w:val="00B71240"/>
    <w:rsid w:val="00B712C7"/>
    <w:rsid w:val="00B712F1"/>
    <w:rsid w:val="00B712F2"/>
    <w:rsid w:val="00B713CE"/>
    <w:rsid w:val="00B71539"/>
    <w:rsid w:val="00B715AC"/>
    <w:rsid w:val="00B715AE"/>
    <w:rsid w:val="00B715D2"/>
    <w:rsid w:val="00B715FC"/>
    <w:rsid w:val="00B71612"/>
    <w:rsid w:val="00B71626"/>
    <w:rsid w:val="00B716D3"/>
    <w:rsid w:val="00B717B2"/>
    <w:rsid w:val="00B717CB"/>
    <w:rsid w:val="00B719B8"/>
    <w:rsid w:val="00B719F6"/>
    <w:rsid w:val="00B71A18"/>
    <w:rsid w:val="00B71A7C"/>
    <w:rsid w:val="00B71B06"/>
    <w:rsid w:val="00B71B38"/>
    <w:rsid w:val="00B71C18"/>
    <w:rsid w:val="00B71E07"/>
    <w:rsid w:val="00B71EB1"/>
    <w:rsid w:val="00B71EC7"/>
    <w:rsid w:val="00B71EF6"/>
    <w:rsid w:val="00B71F9F"/>
    <w:rsid w:val="00B72028"/>
    <w:rsid w:val="00B720B0"/>
    <w:rsid w:val="00B7224A"/>
    <w:rsid w:val="00B72271"/>
    <w:rsid w:val="00B723F3"/>
    <w:rsid w:val="00B7241D"/>
    <w:rsid w:val="00B72473"/>
    <w:rsid w:val="00B724B0"/>
    <w:rsid w:val="00B724B7"/>
    <w:rsid w:val="00B72559"/>
    <w:rsid w:val="00B725C7"/>
    <w:rsid w:val="00B725F3"/>
    <w:rsid w:val="00B72710"/>
    <w:rsid w:val="00B72761"/>
    <w:rsid w:val="00B727A5"/>
    <w:rsid w:val="00B72823"/>
    <w:rsid w:val="00B72986"/>
    <w:rsid w:val="00B72A76"/>
    <w:rsid w:val="00B72AD8"/>
    <w:rsid w:val="00B72B45"/>
    <w:rsid w:val="00B72B95"/>
    <w:rsid w:val="00B72CFF"/>
    <w:rsid w:val="00B72E0B"/>
    <w:rsid w:val="00B72E95"/>
    <w:rsid w:val="00B72F63"/>
    <w:rsid w:val="00B72F6C"/>
    <w:rsid w:val="00B72FAF"/>
    <w:rsid w:val="00B72FB5"/>
    <w:rsid w:val="00B730DE"/>
    <w:rsid w:val="00B7311B"/>
    <w:rsid w:val="00B731FC"/>
    <w:rsid w:val="00B73445"/>
    <w:rsid w:val="00B73455"/>
    <w:rsid w:val="00B7347C"/>
    <w:rsid w:val="00B734B6"/>
    <w:rsid w:val="00B73520"/>
    <w:rsid w:val="00B7352C"/>
    <w:rsid w:val="00B7362A"/>
    <w:rsid w:val="00B736C6"/>
    <w:rsid w:val="00B73730"/>
    <w:rsid w:val="00B73766"/>
    <w:rsid w:val="00B738B5"/>
    <w:rsid w:val="00B7395F"/>
    <w:rsid w:val="00B7397F"/>
    <w:rsid w:val="00B73A22"/>
    <w:rsid w:val="00B73A4B"/>
    <w:rsid w:val="00B73A50"/>
    <w:rsid w:val="00B73B23"/>
    <w:rsid w:val="00B73CB2"/>
    <w:rsid w:val="00B73D6D"/>
    <w:rsid w:val="00B73DC9"/>
    <w:rsid w:val="00B73E54"/>
    <w:rsid w:val="00B74043"/>
    <w:rsid w:val="00B74063"/>
    <w:rsid w:val="00B74065"/>
    <w:rsid w:val="00B740CE"/>
    <w:rsid w:val="00B742B4"/>
    <w:rsid w:val="00B74472"/>
    <w:rsid w:val="00B744B0"/>
    <w:rsid w:val="00B7461A"/>
    <w:rsid w:val="00B74652"/>
    <w:rsid w:val="00B74695"/>
    <w:rsid w:val="00B74745"/>
    <w:rsid w:val="00B747BB"/>
    <w:rsid w:val="00B74A50"/>
    <w:rsid w:val="00B74B22"/>
    <w:rsid w:val="00B74D5D"/>
    <w:rsid w:val="00B74EF8"/>
    <w:rsid w:val="00B74FA4"/>
    <w:rsid w:val="00B7520C"/>
    <w:rsid w:val="00B752C2"/>
    <w:rsid w:val="00B75413"/>
    <w:rsid w:val="00B75481"/>
    <w:rsid w:val="00B754BB"/>
    <w:rsid w:val="00B754CA"/>
    <w:rsid w:val="00B75539"/>
    <w:rsid w:val="00B75561"/>
    <w:rsid w:val="00B75584"/>
    <w:rsid w:val="00B7563B"/>
    <w:rsid w:val="00B75717"/>
    <w:rsid w:val="00B757FE"/>
    <w:rsid w:val="00B75835"/>
    <w:rsid w:val="00B759DE"/>
    <w:rsid w:val="00B75A54"/>
    <w:rsid w:val="00B75A5E"/>
    <w:rsid w:val="00B75C0C"/>
    <w:rsid w:val="00B75C1A"/>
    <w:rsid w:val="00B75D4A"/>
    <w:rsid w:val="00B75D7A"/>
    <w:rsid w:val="00B75EC5"/>
    <w:rsid w:val="00B75ED1"/>
    <w:rsid w:val="00B75ED8"/>
    <w:rsid w:val="00B75F09"/>
    <w:rsid w:val="00B75F54"/>
    <w:rsid w:val="00B76015"/>
    <w:rsid w:val="00B7601A"/>
    <w:rsid w:val="00B7602B"/>
    <w:rsid w:val="00B760D0"/>
    <w:rsid w:val="00B76105"/>
    <w:rsid w:val="00B7613E"/>
    <w:rsid w:val="00B76153"/>
    <w:rsid w:val="00B76317"/>
    <w:rsid w:val="00B76345"/>
    <w:rsid w:val="00B7634D"/>
    <w:rsid w:val="00B763A9"/>
    <w:rsid w:val="00B76412"/>
    <w:rsid w:val="00B764FD"/>
    <w:rsid w:val="00B7657A"/>
    <w:rsid w:val="00B765ED"/>
    <w:rsid w:val="00B76604"/>
    <w:rsid w:val="00B76611"/>
    <w:rsid w:val="00B7666E"/>
    <w:rsid w:val="00B7667E"/>
    <w:rsid w:val="00B76729"/>
    <w:rsid w:val="00B7680A"/>
    <w:rsid w:val="00B7683C"/>
    <w:rsid w:val="00B7684D"/>
    <w:rsid w:val="00B76915"/>
    <w:rsid w:val="00B7695B"/>
    <w:rsid w:val="00B76982"/>
    <w:rsid w:val="00B769DC"/>
    <w:rsid w:val="00B76A0D"/>
    <w:rsid w:val="00B76A8B"/>
    <w:rsid w:val="00B76AF5"/>
    <w:rsid w:val="00B76BB3"/>
    <w:rsid w:val="00B76BFE"/>
    <w:rsid w:val="00B76C28"/>
    <w:rsid w:val="00B76C75"/>
    <w:rsid w:val="00B76D0B"/>
    <w:rsid w:val="00B76D97"/>
    <w:rsid w:val="00B76E4D"/>
    <w:rsid w:val="00B76E7C"/>
    <w:rsid w:val="00B76EE8"/>
    <w:rsid w:val="00B76F61"/>
    <w:rsid w:val="00B76F88"/>
    <w:rsid w:val="00B76FEF"/>
    <w:rsid w:val="00B77021"/>
    <w:rsid w:val="00B770D4"/>
    <w:rsid w:val="00B77140"/>
    <w:rsid w:val="00B77204"/>
    <w:rsid w:val="00B772C6"/>
    <w:rsid w:val="00B774AF"/>
    <w:rsid w:val="00B774B6"/>
    <w:rsid w:val="00B774DB"/>
    <w:rsid w:val="00B77595"/>
    <w:rsid w:val="00B7767B"/>
    <w:rsid w:val="00B776D5"/>
    <w:rsid w:val="00B777FD"/>
    <w:rsid w:val="00B778B7"/>
    <w:rsid w:val="00B77951"/>
    <w:rsid w:val="00B77A94"/>
    <w:rsid w:val="00B77AE1"/>
    <w:rsid w:val="00B77C8A"/>
    <w:rsid w:val="00B77CC6"/>
    <w:rsid w:val="00B77D5C"/>
    <w:rsid w:val="00B77D67"/>
    <w:rsid w:val="00B77E0B"/>
    <w:rsid w:val="00B77E1F"/>
    <w:rsid w:val="00B77E81"/>
    <w:rsid w:val="00B77E99"/>
    <w:rsid w:val="00B77EE7"/>
    <w:rsid w:val="00B80110"/>
    <w:rsid w:val="00B8012C"/>
    <w:rsid w:val="00B8026D"/>
    <w:rsid w:val="00B8027C"/>
    <w:rsid w:val="00B80280"/>
    <w:rsid w:val="00B802B6"/>
    <w:rsid w:val="00B802D0"/>
    <w:rsid w:val="00B8031B"/>
    <w:rsid w:val="00B8033A"/>
    <w:rsid w:val="00B803B0"/>
    <w:rsid w:val="00B8048F"/>
    <w:rsid w:val="00B805E0"/>
    <w:rsid w:val="00B805E5"/>
    <w:rsid w:val="00B80859"/>
    <w:rsid w:val="00B80967"/>
    <w:rsid w:val="00B80986"/>
    <w:rsid w:val="00B80A2E"/>
    <w:rsid w:val="00B80A6B"/>
    <w:rsid w:val="00B80AA0"/>
    <w:rsid w:val="00B80AD0"/>
    <w:rsid w:val="00B80AE2"/>
    <w:rsid w:val="00B80B78"/>
    <w:rsid w:val="00B80BEE"/>
    <w:rsid w:val="00B80C59"/>
    <w:rsid w:val="00B80C6A"/>
    <w:rsid w:val="00B80C6D"/>
    <w:rsid w:val="00B80D9C"/>
    <w:rsid w:val="00B80DB6"/>
    <w:rsid w:val="00B80DBB"/>
    <w:rsid w:val="00B80DC6"/>
    <w:rsid w:val="00B80DD3"/>
    <w:rsid w:val="00B80DEE"/>
    <w:rsid w:val="00B80E41"/>
    <w:rsid w:val="00B80EEC"/>
    <w:rsid w:val="00B81040"/>
    <w:rsid w:val="00B81062"/>
    <w:rsid w:val="00B81076"/>
    <w:rsid w:val="00B81089"/>
    <w:rsid w:val="00B810C5"/>
    <w:rsid w:val="00B81169"/>
    <w:rsid w:val="00B8128E"/>
    <w:rsid w:val="00B812B1"/>
    <w:rsid w:val="00B8131F"/>
    <w:rsid w:val="00B81475"/>
    <w:rsid w:val="00B81563"/>
    <w:rsid w:val="00B81622"/>
    <w:rsid w:val="00B8163B"/>
    <w:rsid w:val="00B816F4"/>
    <w:rsid w:val="00B8170F"/>
    <w:rsid w:val="00B81816"/>
    <w:rsid w:val="00B81902"/>
    <w:rsid w:val="00B81906"/>
    <w:rsid w:val="00B81911"/>
    <w:rsid w:val="00B8193C"/>
    <w:rsid w:val="00B81A39"/>
    <w:rsid w:val="00B81B46"/>
    <w:rsid w:val="00B81B5E"/>
    <w:rsid w:val="00B81BF9"/>
    <w:rsid w:val="00B81C77"/>
    <w:rsid w:val="00B81DC8"/>
    <w:rsid w:val="00B81E1F"/>
    <w:rsid w:val="00B81E21"/>
    <w:rsid w:val="00B81E3A"/>
    <w:rsid w:val="00B81EE8"/>
    <w:rsid w:val="00B81F1F"/>
    <w:rsid w:val="00B82063"/>
    <w:rsid w:val="00B8207F"/>
    <w:rsid w:val="00B8211E"/>
    <w:rsid w:val="00B82212"/>
    <w:rsid w:val="00B82288"/>
    <w:rsid w:val="00B822D4"/>
    <w:rsid w:val="00B82347"/>
    <w:rsid w:val="00B8251B"/>
    <w:rsid w:val="00B825FE"/>
    <w:rsid w:val="00B826B2"/>
    <w:rsid w:val="00B826E3"/>
    <w:rsid w:val="00B82733"/>
    <w:rsid w:val="00B82755"/>
    <w:rsid w:val="00B82816"/>
    <w:rsid w:val="00B82852"/>
    <w:rsid w:val="00B82C11"/>
    <w:rsid w:val="00B82C67"/>
    <w:rsid w:val="00B82EA5"/>
    <w:rsid w:val="00B82EC3"/>
    <w:rsid w:val="00B82F44"/>
    <w:rsid w:val="00B82F91"/>
    <w:rsid w:val="00B83016"/>
    <w:rsid w:val="00B83054"/>
    <w:rsid w:val="00B83072"/>
    <w:rsid w:val="00B8309A"/>
    <w:rsid w:val="00B830D4"/>
    <w:rsid w:val="00B833AC"/>
    <w:rsid w:val="00B834DE"/>
    <w:rsid w:val="00B83510"/>
    <w:rsid w:val="00B836D4"/>
    <w:rsid w:val="00B83796"/>
    <w:rsid w:val="00B837DE"/>
    <w:rsid w:val="00B837FF"/>
    <w:rsid w:val="00B83878"/>
    <w:rsid w:val="00B8390F"/>
    <w:rsid w:val="00B83938"/>
    <w:rsid w:val="00B839BC"/>
    <w:rsid w:val="00B83A4E"/>
    <w:rsid w:val="00B83C6B"/>
    <w:rsid w:val="00B83C99"/>
    <w:rsid w:val="00B83D19"/>
    <w:rsid w:val="00B83DD5"/>
    <w:rsid w:val="00B83E4C"/>
    <w:rsid w:val="00B83E99"/>
    <w:rsid w:val="00B8410F"/>
    <w:rsid w:val="00B841BB"/>
    <w:rsid w:val="00B84256"/>
    <w:rsid w:val="00B84292"/>
    <w:rsid w:val="00B842ED"/>
    <w:rsid w:val="00B8442C"/>
    <w:rsid w:val="00B844E8"/>
    <w:rsid w:val="00B8454C"/>
    <w:rsid w:val="00B8457B"/>
    <w:rsid w:val="00B846CF"/>
    <w:rsid w:val="00B846E6"/>
    <w:rsid w:val="00B84750"/>
    <w:rsid w:val="00B84757"/>
    <w:rsid w:val="00B8480B"/>
    <w:rsid w:val="00B84879"/>
    <w:rsid w:val="00B849A6"/>
    <w:rsid w:val="00B84AD1"/>
    <w:rsid w:val="00B84BA8"/>
    <w:rsid w:val="00B84CDB"/>
    <w:rsid w:val="00B84CFF"/>
    <w:rsid w:val="00B84D14"/>
    <w:rsid w:val="00B84E06"/>
    <w:rsid w:val="00B84F0A"/>
    <w:rsid w:val="00B84F3A"/>
    <w:rsid w:val="00B84FD6"/>
    <w:rsid w:val="00B85360"/>
    <w:rsid w:val="00B853D7"/>
    <w:rsid w:val="00B853FF"/>
    <w:rsid w:val="00B8547C"/>
    <w:rsid w:val="00B85507"/>
    <w:rsid w:val="00B8550F"/>
    <w:rsid w:val="00B85554"/>
    <w:rsid w:val="00B85572"/>
    <w:rsid w:val="00B8559B"/>
    <w:rsid w:val="00B8561E"/>
    <w:rsid w:val="00B8578C"/>
    <w:rsid w:val="00B85801"/>
    <w:rsid w:val="00B859DF"/>
    <w:rsid w:val="00B85A26"/>
    <w:rsid w:val="00B85A47"/>
    <w:rsid w:val="00B85AFB"/>
    <w:rsid w:val="00B85B55"/>
    <w:rsid w:val="00B85B80"/>
    <w:rsid w:val="00B85BB9"/>
    <w:rsid w:val="00B85BE4"/>
    <w:rsid w:val="00B85BE8"/>
    <w:rsid w:val="00B85CCC"/>
    <w:rsid w:val="00B85CD7"/>
    <w:rsid w:val="00B85D14"/>
    <w:rsid w:val="00B85D2D"/>
    <w:rsid w:val="00B85D94"/>
    <w:rsid w:val="00B85E46"/>
    <w:rsid w:val="00B85E6B"/>
    <w:rsid w:val="00B85F03"/>
    <w:rsid w:val="00B860AF"/>
    <w:rsid w:val="00B86211"/>
    <w:rsid w:val="00B86252"/>
    <w:rsid w:val="00B862E6"/>
    <w:rsid w:val="00B8639E"/>
    <w:rsid w:val="00B86592"/>
    <w:rsid w:val="00B865E3"/>
    <w:rsid w:val="00B86670"/>
    <w:rsid w:val="00B86704"/>
    <w:rsid w:val="00B86725"/>
    <w:rsid w:val="00B86834"/>
    <w:rsid w:val="00B868E5"/>
    <w:rsid w:val="00B86963"/>
    <w:rsid w:val="00B86A85"/>
    <w:rsid w:val="00B86A96"/>
    <w:rsid w:val="00B86AB4"/>
    <w:rsid w:val="00B86B27"/>
    <w:rsid w:val="00B86B37"/>
    <w:rsid w:val="00B86B91"/>
    <w:rsid w:val="00B86C7B"/>
    <w:rsid w:val="00B86D4D"/>
    <w:rsid w:val="00B86DDE"/>
    <w:rsid w:val="00B86E19"/>
    <w:rsid w:val="00B86E46"/>
    <w:rsid w:val="00B86E72"/>
    <w:rsid w:val="00B86E85"/>
    <w:rsid w:val="00B86FFA"/>
    <w:rsid w:val="00B87019"/>
    <w:rsid w:val="00B8708D"/>
    <w:rsid w:val="00B870D2"/>
    <w:rsid w:val="00B87153"/>
    <w:rsid w:val="00B871F9"/>
    <w:rsid w:val="00B872CD"/>
    <w:rsid w:val="00B8738D"/>
    <w:rsid w:val="00B8738F"/>
    <w:rsid w:val="00B873EC"/>
    <w:rsid w:val="00B87491"/>
    <w:rsid w:val="00B87507"/>
    <w:rsid w:val="00B87542"/>
    <w:rsid w:val="00B8754D"/>
    <w:rsid w:val="00B879A8"/>
    <w:rsid w:val="00B87A17"/>
    <w:rsid w:val="00B87AF3"/>
    <w:rsid w:val="00B87B40"/>
    <w:rsid w:val="00B87B7F"/>
    <w:rsid w:val="00B87BCB"/>
    <w:rsid w:val="00B87BE3"/>
    <w:rsid w:val="00B87C0A"/>
    <w:rsid w:val="00B87C5E"/>
    <w:rsid w:val="00B87D07"/>
    <w:rsid w:val="00B87D9C"/>
    <w:rsid w:val="00B87DC8"/>
    <w:rsid w:val="00B87EEF"/>
    <w:rsid w:val="00B87F56"/>
    <w:rsid w:val="00B87F75"/>
    <w:rsid w:val="00B90011"/>
    <w:rsid w:val="00B901C4"/>
    <w:rsid w:val="00B901DB"/>
    <w:rsid w:val="00B901E6"/>
    <w:rsid w:val="00B902A7"/>
    <w:rsid w:val="00B903AF"/>
    <w:rsid w:val="00B903E0"/>
    <w:rsid w:val="00B90488"/>
    <w:rsid w:val="00B904D6"/>
    <w:rsid w:val="00B9056C"/>
    <w:rsid w:val="00B9081A"/>
    <w:rsid w:val="00B90888"/>
    <w:rsid w:val="00B90941"/>
    <w:rsid w:val="00B90967"/>
    <w:rsid w:val="00B9096B"/>
    <w:rsid w:val="00B90990"/>
    <w:rsid w:val="00B909B7"/>
    <w:rsid w:val="00B909EA"/>
    <w:rsid w:val="00B90A49"/>
    <w:rsid w:val="00B90A7D"/>
    <w:rsid w:val="00B90B86"/>
    <w:rsid w:val="00B90C19"/>
    <w:rsid w:val="00B90C2B"/>
    <w:rsid w:val="00B90C3D"/>
    <w:rsid w:val="00B90D44"/>
    <w:rsid w:val="00B90D71"/>
    <w:rsid w:val="00B90E47"/>
    <w:rsid w:val="00B91001"/>
    <w:rsid w:val="00B9104D"/>
    <w:rsid w:val="00B91245"/>
    <w:rsid w:val="00B912CF"/>
    <w:rsid w:val="00B913D3"/>
    <w:rsid w:val="00B913D6"/>
    <w:rsid w:val="00B9145A"/>
    <w:rsid w:val="00B91475"/>
    <w:rsid w:val="00B914B8"/>
    <w:rsid w:val="00B9171B"/>
    <w:rsid w:val="00B91730"/>
    <w:rsid w:val="00B9174B"/>
    <w:rsid w:val="00B91932"/>
    <w:rsid w:val="00B9195C"/>
    <w:rsid w:val="00B91A0B"/>
    <w:rsid w:val="00B91B67"/>
    <w:rsid w:val="00B91B98"/>
    <w:rsid w:val="00B91C43"/>
    <w:rsid w:val="00B91CEE"/>
    <w:rsid w:val="00B91D03"/>
    <w:rsid w:val="00B91D0C"/>
    <w:rsid w:val="00B91D14"/>
    <w:rsid w:val="00B91DBB"/>
    <w:rsid w:val="00B91FF5"/>
    <w:rsid w:val="00B92068"/>
    <w:rsid w:val="00B920EE"/>
    <w:rsid w:val="00B9213A"/>
    <w:rsid w:val="00B92171"/>
    <w:rsid w:val="00B9217D"/>
    <w:rsid w:val="00B92241"/>
    <w:rsid w:val="00B92273"/>
    <w:rsid w:val="00B92320"/>
    <w:rsid w:val="00B923C5"/>
    <w:rsid w:val="00B9241F"/>
    <w:rsid w:val="00B9244E"/>
    <w:rsid w:val="00B92519"/>
    <w:rsid w:val="00B9252D"/>
    <w:rsid w:val="00B92534"/>
    <w:rsid w:val="00B926F2"/>
    <w:rsid w:val="00B927BC"/>
    <w:rsid w:val="00B92964"/>
    <w:rsid w:val="00B92979"/>
    <w:rsid w:val="00B92B3C"/>
    <w:rsid w:val="00B92B43"/>
    <w:rsid w:val="00B92B55"/>
    <w:rsid w:val="00B92B8E"/>
    <w:rsid w:val="00B92BDE"/>
    <w:rsid w:val="00B92D92"/>
    <w:rsid w:val="00B92E41"/>
    <w:rsid w:val="00B92E69"/>
    <w:rsid w:val="00B92F74"/>
    <w:rsid w:val="00B92FC9"/>
    <w:rsid w:val="00B930D2"/>
    <w:rsid w:val="00B93364"/>
    <w:rsid w:val="00B933B2"/>
    <w:rsid w:val="00B9342B"/>
    <w:rsid w:val="00B9346A"/>
    <w:rsid w:val="00B9349E"/>
    <w:rsid w:val="00B934F6"/>
    <w:rsid w:val="00B93687"/>
    <w:rsid w:val="00B937E1"/>
    <w:rsid w:val="00B93903"/>
    <w:rsid w:val="00B93910"/>
    <w:rsid w:val="00B93C2E"/>
    <w:rsid w:val="00B93C9D"/>
    <w:rsid w:val="00B93E5A"/>
    <w:rsid w:val="00B93FCD"/>
    <w:rsid w:val="00B93FD1"/>
    <w:rsid w:val="00B94061"/>
    <w:rsid w:val="00B94184"/>
    <w:rsid w:val="00B9450A"/>
    <w:rsid w:val="00B9456C"/>
    <w:rsid w:val="00B9462D"/>
    <w:rsid w:val="00B946C3"/>
    <w:rsid w:val="00B9474A"/>
    <w:rsid w:val="00B9475A"/>
    <w:rsid w:val="00B94792"/>
    <w:rsid w:val="00B947E5"/>
    <w:rsid w:val="00B94822"/>
    <w:rsid w:val="00B9495A"/>
    <w:rsid w:val="00B9498C"/>
    <w:rsid w:val="00B94A67"/>
    <w:rsid w:val="00B94B30"/>
    <w:rsid w:val="00B94C55"/>
    <w:rsid w:val="00B94D6D"/>
    <w:rsid w:val="00B94E4D"/>
    <w:rsid w:val="00B94E59"/>
    <w:rsid w:val="00B94FBB"/>
    <w:rsid w:val="00B9506E"/>
    <w:rsid w:val="00B95180"/>
    <w:rsid w:val="00B954AE"/>
    <w:rsid w:val="00B954B5"/>
    <w:rsid w:val="00B954E8"/>
    <w:rsid w:val="00B955FF"/>
    <w:rsid w:val="00B9562E"/>
    <w:rsid w:val="00B9567D"/>
    <w:rsid w:val="00B95953"/>
    <w:rsid w:val="00B95A58"/>
    <w:rsid w:val="00B95A8E"/>
    <w:rsid w:val="00B95AF7"/>
    <w:rsid w:val="00B95AFF"/>
    <w:rsid w:val="00B95D0B"/>
    <w:rsid w:val="00B95D84"/>
    <w:rsid w:val="00B95FF1"/>
    <w:rsid w:val="00B960A7"/>
    <w:rsid w:val="00B962CB"/>
    <w:rsid w:val="00B962CF"/>
    <w:rsid w:val="00B96382"/>
    <w:rsid w:val="00B963E3"/>
    <w:rsid w:val="00B9642F"/>
    <w:rsid w:val="00B96439"/>
    <w:rsid w:val="00B964DB"/>
    <w:rsid w:val="00B964FB"/>
    <w:rsid w:val="00B966A4"/>
    <w:rsid w:val="00B9674C"/>
    <w:rsid w:val="00B96753"/>
    <w:rsid w:val="00B96772"/>
    <w:rsid w:val="00B9677B"/>
    <w:rsid w:val="00B96784"/>
    <w:rsid w:val="00B967A6"/>
    <w:rsid w:val="00B967DA"/>
    <w:rsid w:val="00B96804"/>
    <w:rsid w:val="00B96805"/>
    <w:rsid w:val="00B968D3"/>
    <w:rsid w:val="00B968FD"/>
    <w:rsid w:val="00B9692A"/>
    <w:rsid w:val="00B9697A"/>
    <w:rsid w:val="00B9699A"/>
    <w:rsid w:val="00B96B13"/>
    <w:rsid w:val="00B96B24"/>
    <w:rsid w:val="00B96B33"/>
    <w:rsid w:val="00B96BCC"/>
    <w:rsid w:val="00B96BEA"/>
    <w:rsid w:val="00B96C38"/>
    <w:rsid w:val="00B96CD2"/>
    <w:rsid w:val="00B96E3B"/>
    <w:rsid w:val="00B96E50"/>
    <w:rsid w:val="00B96EA6"/>
    <w:rsid w:val="00B96EEE"/>
    <w:rsid w:val="00B97027"/>
    <w:rsid w:val="00B9702E"/>
    <w:rsid w:val="00B970D9"/>
    <w:rsid w:val="00B97231"/>
    <w:rsid w:val="00B972AB"/>
    <w:rsid w:val="00B9779E"/>
    <w:rsid w:val="00B977CC"/>
    <w:rsid w:val="00B9787C"/>
    <w:rsid w:val="00B978BA"/>
    <w:rsid w:val="00B978C7"/>
    <w:rsid w:val="00B978E9"/>
    <w:rsid w:val="00B979B3"/>
    <w:rsid w:val="00B97D3C"/>
    <w:rsid w:val="00B97E79"/>
    <w:rsid w:val="00B97EBC"/>
    <w:rsid w:val="00B97EC7"/>
    <w:rsid w:val="00B97F27"/>
    <w:rsid w:val="00B97F29"/>
    <w:rsid w:val="00B97F6F"/>
    <w:rsid w:val="00B97F98"/>
    <w:rsid w:val="00BA0033"/>
    <w:rsid w:val="00BA00A0"/>
    <w:rsid w:val="00BA0158"/>
    <w:rsid w:val="00BA01C9"/>
    <w:rsid w:val="00BA02BF"/>
    <w:rsid w:val="00BA02EC"/>
    <w:rsid w:val="00BA03EB"/>
    <w:rsid w:val="00BA04C2"/>
    <w:rsid w:val="00BA04DB"/>
    <w:rsid w:val="00BA04FC"/>
    <w:rsid w:val="00BA052A"/>
    <w:rsid w:val="00BA05C4"/>
    <w:rsid w:val="00BA05DB"/>
    <w:rsid w:val="00BA0667"/>
    <w:rsid w:val="00BA0698"/>
    <w:rsid w:val="00BA07F0"/>
    <w:rsid w:val="00BA0876"/>
    <w:rsid w:val="00BA08D2"/>
    <w:rsid w:val="00BA0956"/>
    <w:rsid w:val="00BA09D2"/>
    <w:rsid w:val="00BA0A1D"/>
    <w:rsid w:val="00BA0AF6"/>
    <w:rsid w:val="00BA0B83"/>
    <w:rsid w:val="00BA0BF0"/>
    <w:rsid w:val="00BA0C35"/>
    <w:rsid w:val="00BA0C53"/>
    <w:rsid w:val="00BA0CF4"/>
    <w:rsid w:val="00BA0DD6"/>
    <w:rsid w:val="00BA0F01"/>
    <w:rsid w:val="00BA0F0F"/>
    <w:rsid w:val="00BA0FDA"/>
    <w:rsid w:val="00BA0FED"/>
    <w:rsid w:val="00BA1186"/>
    <w:rsid w:val="00BA1307"/>
    <w:rsid w:val="00BA134D"/>
    <w:rsid w:val="00BA160F"/>
    <w:rsid w:val="00BA161F"/>
    <w:rsid w:val="00BA17A2"/>
    <w:rsid w:val="00BA17BA"/>
    <w:rsid w:val="00BA1915"/>
    <w:rsid w:val="00BA1960"/>
    <w:rsid w:val="00BA1B4F"/>
    <w:rsid w:val="00BA1C4E"/>
    <w:rsid w:val="00BA1C6B"/>
    <w:rsid w:val="00BA1D43"/>
    <w:rsid w:val="00BA1DB0"/>
    <w:rsid w:val="00BA1EFE"/>
    <w:rsid w:val="00BA1F91"/>
    <w:rsid w:val="00BA1FEA"/>
    <w:rsid w:val="00BA2169"/>
    <w:rsid w:val="00BA21F6"/>
    <w:rsid w:val="00BA2347"/>
    <w:rsid w:val="00BA2393"/>
    <w:rsid w:val="00BA24F8"/>
    <w:rsid w:val="00BA264D"/>
    <w:rsid w:val="00BA265F"/>
    <w:rsid w:val="00BA266C"/>
    <w:rsid w:val="00BA2783"/>
    <w:rsid w:val="00BA27F4"/>
    <w:rsid w:val="00BA28D3"/>
    <w:rsid w:val="00BA2A4A"/>
    <w:rsid w:val="00BA2AF5"/>
    <w:rsid w:val="00BA2B38"/>
    <w:rsid w:val="00BA2B8D"/>
    <w:rsid w:val="00BA2BFE"/>
    <w:rsid w:val="00BA2C66"/>
    <w:rsid w:val="00BA2C72"/>
    <w:rsid w:val="00BA2C9C"/>
    <w:rsid w:val="00BA2D35"/>
    <w:rsid w:val="00BA2EE6"/>
    <w:rsid w:val="00BA2F88"/>
    <w:rsid w:val="00BA309C"/>
    <w:rsid w:val="00BA3139"/>
    <w:rsid w:val="00BA314E"/>
    <w:rsid w:val="00BA328D"/>
    <w:rsid w:val="00BA32FF"/>
    <w:rsid w:val="00BA3337"/>
    <w:rsid w:val="00BA3367"/>
    <w:rsid w:val="00BA3414"/>
    <w:rsid w:val="00BA3469"/>
    <w:rsid w:val="00BA35A6"/>
    <w:rsid w:val="00BA3653"/>
    <w:rsid w:val="00BA365E"/>
    <w:rsid w:val="00BA36DE"/>
    <w:rsid w:val="00BA3763"/>
    <w:rsid w:val="00BA3786"/>
    <w:rsid w:val="00BA382D"/>
    <w:rsid w:val="00BA39A4"/>
    <w:rsid w:val="00BA39E0"/>
    <w:rsid w:val="00BA3A52"/>
    <w:rsid w:val="00BA3A6E"/>
    <w:rsid w:val="00BA3B62"/>
    <w:rsid w:val="00BA3B95"/>
    <w:rsid w:val="00BA3BD8"/>
    <w:rsid w:val="00BA3C28"/>
    <w:rsid w:val="00BA3C8A"/>
    <w:rsid w:val="00BA3CB0"/>
    <w:rsid w:val="00BA3D62"/>
    <w:rsid w:val="00BA3D6B"/>
    <w:rsid w:val="00BA3D9F"/>
    <w:rsid w:val="00BA3DB9"/>
    <w:rsid w:val="00BA3E7F"/>
    <w:rsid w:val="00BA3E8E"/>
    <w:rsid w:val="00BA3E92"/>
    <w:rsid w:val="00BA3E93"/>
    <w:rsid w:val="00BA3F34"/>
    <w:rsid w:val="00BA3FF7"/>
    <w:rsid w:val="00BA4055"/>
    <w:rsid w:val="00BA40BE"/>
    <w:rsid w:val="00BA4162"/>
    <w:rsid w:val="00BA451B"/>
    <w:rsid w:val="00BA457C"/>
    <w:rsid w:val="00BA468A"/>
    <w:rsid w:val="00BA4762"/>
    <w:rsid w:val="00BA4814"/>
    <w:rsid w:val="00BA4820"/>
    <w:rsid w:val="00BA4844"/>
    <w:rsid w:val="00BA4965"/>
    <w:rsid w:val="00BA4A12"/>
    <w:rsid w:val="00BA4A13"/>
    <w:rsid w:val="00BA4A42"/>
    <w:rsid w:val="00BA4B58"/>
    <w:rsid w:val="00BA4CC0"/>
    <w:rsid w:val="00BA4CC5"/>
    <w:rsid w:val="00BA4DAE"/>
    <w:rsid w:val="00BA4DCE"/>
    <w:rsid w:val="00BA4DEB"/>
    <w:rsid w:val="00BA4DF7"/>
    <w:rsid w:val="00BA4E04"/>
    <w:rsid w:val="00BA4E3F"/>
    <w:rsid w:val="00BA4EEB"/>
    <w:rsid w:val="00BA4FF9"/>
    <w:rsid w:val="00BA510D"/>
    <w:rsid w:val="00BA5140"/>
    <w:rsid w:val="00BA51A5"/>
    <w:rsid w:val="00BA520A"/>
    <w:rsid w:val="00BA53DC"/>
    <w:rsid w:val="00BA53F3"/>
    <w:rsid w:val="00BA547F"/>
    <w:rsid w:val="00BA54A1"/>
    <w:rsid w:val="00BA554D"/>
    <w:rsid w:val="00BA556E"/>
    <w:rsid w:val="00BA56C3"/>
    <w:rsid w:val="00BA5715"/>
    <w:rsid w:val="00BA5826"/>
    <w:rsid w:val="00BA584B"/>
    <w:rsid w:val="00BA5910"/>
    <w:rsid w:val="00BA5952"/>
    <w:rsid w:val="00BA5996"/>
    <w:rsid w:val="00BA59D1"/>
    <w:rsid w:val="00BA59EF"/>
    <w:rsid w:val="00BA5C2C"/>
    <w:rsid w:val="00BA5CFE"/>
    <w:rsid w:val="00BA5D12"/>
    <w:rsid w:val="00BA5D6A"/>
    <w:rsid w:val="00BA5D8A"/>
    <w:rsid w:val="00BA5DB5"/>
    <w:rsid w:val="00BA5DF7"/>
    <w:rsid w:val="00BA5E48"/>
    <w:rsid w:val="00BA5EC2"/>
    <w:rsid w:val="00BA5FF6"/>
    <w:rsid w:val="00BA6025"/>
    <w:rsid w:val="00BA60A6"/>
    <w:rsid w:val="00BA60FD"/>
    <w:rsid w:val="00BA6252"/>
    <w:rsid w:val="00BA62AC"/>
    <w:rsid w:val="00BA6543"/>
    <w:rsid w:val="00BA65B7"/>
    <w:rsid w:val="00BA65C8"/>
    <w:rsid w:val="00BA6635"/>
    <w:rsid w:val="00BA6651"/>
    <w:rsid w:val="00BA665E"/>
    <w:rsid w:val="00BA6698"/>
    <w:rsid w:val="00BA66BA"/>
    <w:rsid w:val="00BA6713"/>
    <w:rsid w:val="00BA67FD"/>
    <w:rsid w:val="00BA6920"/>
    <w:rsid w:val="00BA6984"/>
    <w:rsid w:val="00BA6992"/>
    <w:rsid w:val="00BA69E7"/>
    <w:rsid w:val="00BA69FA"/>
    <w:rsid w:val="00BA6AE5"/>
    <w:rsid w:val="00BA6BCC"/>
    <w:rsid w:val="00BA6C34"/>
    <w:rsid w:val="00BA6CE2"/>
    <w:rsid w:val="00BA6D0B"/>
    <w:rsid w:val="00BA6D12"/>
    <w:rsid w:val="00BA6E5F"/>
    <w:rsid w:val="00BA6E9F"/>
    <w:rsid w:val="00BA6F25"/>
    <w:rsid w:val="00BA6FE7"/>
    <w:rsid w:val="00BA7017"/>
    <w:rsid w:val="00BA7092"/>
    <w:rsid w:val="00BA7135"/>
    <w:rsid w:val="00BA72AE"/>
    <w:rsid w:val="00BA7431"/>
    <w:rsid w:val="00BA7553"/>
    <w:rsid w:val="00BA7673"/>
    <w:rsid w:val="00BA77A6"/>
    <w:rsid w:val="00BA77E6"/>
    <w:rsid w:val="00BA7802"/>
    <w:rsid w:val="00BA790C"/>
    <w:rsid w:val="00BA792F"/>
    <w:rsid w:val="00BA7956"/>
    <w:rsid w:val="00BA7A1C"/>
    <w:rsid w:val="00BA7A73"/>
    <w:rsid w:val="00BA7ABF"/>
    <w:rsid w:val="00BA7B72"/>
    <w:rsid w:val="00BA7DCC"/>
    <w:rsid w:val="00BA7EEF"/>
    <w:rsid w:val="00BA7EFA"/>
    <w:rsid w:val="00BB000D"/>
    <w:rsid w:val="00BB0057"/>
    <w:rsid w:val="00BB00DF"/>
    <w:rsid w:val="00BB0135"/>
    <w:rsid w:val="00BB0169"/>
    <w:rsid w:val="00BB02A3"/>
    <w:rsid w:val="00BB02E4"/>
    <w:rsid w:val="00BB03C0"/>
    <w:rsid w:val="00BB03EB"/>
    <w:rsid w:val="00BB048F"/>
    <w:rsid w:val="00BB05A2"/>
    <w:rsid w:val="00BB0674"/>
    <w:rsid w:val="00BB074B"/>
    <w:rsid w:val="00BB0CBB"/>
    <w:rsid w:val="00BB0D61"/>
    <w:rsid w:val="00BB0E38"/>
    <w:rsid w:val="00BB0EF2"/>
    <w:rsid w:val="00BB0FA5"/>
    <w:rsid w:val="00BB1031"/>
    <w:rsid w:val="00BB10C5"/>
    <w:rsid w:val="00BB10DA"/>
    <w:rsid w:val="00BB1278"/>
    <w:rsid w:val="00BB12A7"/>
    <w:rsid w:val="00BB12BC"/>
    <w:rsid w:val="00BB1349"/>
    <w:rsid w:val="00BB14B4"/>
    <w:rsid w:val="00BB162D"/>
    <w:rsid w:val="00BB1748"/>
    <w:rsid w:val="00BB176A"/>
    <w:rsid w:val="00BB1797"/>
    <w:rsid w:val="00BB1910"/>
    <w:rsid w:val="00BB19F0"/>
    <w:rsid w:val="00BB1A26"/>
    <w:rsid w:val="00BB1B7D"/>
    <w:rsid w:val="00BB1C26"/>
    <w:rsid w:val="00BB1C50"/>
    <w:rsid w:val="00BB1CD7"/>
    <w:rsid w:val="00BB1D66"/>
    <w:rsid w:val="00BB1D92"/>
    <w:rsid w:val="00BB1DEE"/>
    <w:rsid w:val="00BB1E47"/>
    <w:rsid w:val="00BB1ED1"/>
    <w:rsid w:val="00BB1EF5"/>
    <w:rsid w:val="00BB1FD6"/>
    <w:rsid w:val="00BB220E"/>
    <w:rsid w:val="00BB2211"/>
    <w:rsid w:val="00BB225D"/>
    <w:rsid w:val="00BB227C"/>
    <w:rsid w:val="00BB22AF"/>
    <w:rsid w:val="00BB232A"/>
    <w:rsid w:val="00BB2384"/>
    <w:rsid w:val="00BB23A1"/>
    <w:rsid w:val="00BB249F"/>
    <w:rsid w:val="00BB24EF"/>
    <w:rsid w:val="00BB2522"/>
    <w:rsid w:val="00BB259A"/>
    <w:rsid w:val="00BB280A"/>
    <w:rsid w:val="00BB2886"/>
    <w:rsid w:val="00BB2993"/>
    <w:rsid w:val="00BB2A67"/>
    <w:rsid w:val="00BB2D1D"/>
    <w:rsid w:val="00BB2D2E"/>
    <w:rsid w:val="00BB2D97"/>
    <w:rsid w:val="00BB2DC2"/>
    <w:rsid w:val="00BB2E6A"/>
    <w:rsid w:val="00BB2E6D"/>
    <w:rsid w:val="00BB2F04"/>
    <w:rsid w:val="00BB2F23"/>
    <w:rsid w:val="00BB2F90"/>
    <w:rsid w:val="00BB2FB4"/>
    <w:rsid w:val="00BB30EE"/>
    <w:rsid w:val="00BB3151"/>
    <w:rsid w:val="00BB31E5"/>
    <w:rsid w:val="00BB3257"/>
    <w:rsid w:val="00BB3367"/>
    <w:rsid w:val="00BB34FA"/>
    <w:rsid w:val="00BB350F"/>
    <w:rsid w:val="00BB35B3"/>
    <w:rsid w:val="00BB3692"/>
    <w:rsid w:val="00BB36D2"/>
    <w:rsid w:val="00BB3739"/>
    <w:rsid w:val="00BB3766"/>
    <w:rsid w:val="00BB38CE"/>
    <w:rsid w:val="00BB3963"/>
    <w:rsid w:val="00BB39C6"/>
    <w:rsid w:val="00BB3A43"/>
    <w:rsid w:val="00BB3B23"/>
    <w:rsid w:val="00BB3B54"/>
    <w:rsid w:val="00BB3C10"/>
    <w:rsid w:val="00BB3C6E"/>
    <w:rsid w:val="00BB3D4B"/>
    <w:rsid w:val="00BB4046"/>
    <w:rsid w:val="00BB426E"/>
    <w:rsid w:val="00BB432C"/>
    <w:rsid w:val="00BB44A8"/>
    <w:rsid w:val="00BB44BB"/>
    <w:rsid w:val="00BB45A5"/>
    <w:rsid w:val="00BB461C"/>
    <w:rsid w:val="00BB4764"/>
    <w:rsid w:val="00BB477D"/>
    <w:rsid w:val="00BB4A7A"/>
    <w:rsid w:val="00BB4B33"/>
    <w:rsid w:val="00BB4B3D"/>
    <w:rsid w:val="00BB4B6E"/>
    <w:rsid w:val="00BB4B71"/>
    <w:rsid w:val="00BB4B7D"/>
    <w:rsid w:val="00BB4C44"/>
    <w:rsid w:val="00BB4CBD"/>
    <w:rsid w:val="00BB4FBD"/>
    <w:rsid w:val="00BB5027"/>
    <w:rsid w:val="00BB50BB"/>
    <w:rsid w:val="00BB50D7"/>
    <w:rsid w:val="00BB51BD"/>
    <w:rsid w:val="00BB5298"/>
    <w:rsid w:val="00BB5371"/>
    <w:rsid w:val="00BB53AA"/>
    <w:rsid w:val="00BB5474"/>
    <w:rsid w:val="00BB558F"/>
    <w:rsid w:val="00BB55B5"/>
    <w:rsid w:val="00BB55DE"/>
    <w:rsid w:val="00BB570B"/>
    <w:rsid w:val="00BB5761"/>
    <w:rsid w:val="00BB57F7"/>
    <w:rsid w:val="00BB58A3"/>
    <w:rsid w:val="00BB5AF0"/>
    <w:rsid w:val="00BB5B1F"/>
    <w:rsid w:val="00BB5B2E"/>
    <w:rsid w:val="00BB5BB5"/>
    <w:rsid w:val="00BB5C07"/>
    <w:rsid w:val="00BB5D06"/>
    <w:rsid w:val="00BB5ED2"/>
    <w:rsid w:val="00BB5F54"/>
    <w:rsid w:val="00BB5F83"/>
    <w:rsid w:val="00BB5F91"/>
    <w:rsid w:val="00BB60B9"/>
    <w:rsid w:val="00BB619E"/>
    <w:rsid w:val="00BB61F6"/>
    <w:rsid w:val="00BB622F"/>
    <w:rsid w:val="00BB634C"/>
    <w:rsid w:val="00BB636C"/>
    <w:rsid w:val="00BB6376"/>
    <w:rsid w:val="00BB654C"/>
    <w:rsid w:val="00BB65C5"/>
    <w:rsid w:val="00BB671F"/>
    <w:rsid w:val="00BB6751"/>
    <w:rsid w:val="00BB6840"/>
    <w:rsid w:val="00BB6884"/>
    <w:rsid w:val="00BB6A0F"/>
    <w:rsid w:val="00BB6B1F"/>
    <w:rsid w:val="00BB6C2F"/>
    <w:rsid w:val="00BB6CB3"/>
    <w:rsid w:val="00BB6D14"/>
    <w:rsid w:val="00BB6D54"/>
    <w:rsid w:val="00BB6DC8"/>
    <w:rsid w:val="00BB6EB3"/>
    <w:rsid w:val="00BB6EFA"/>
    <w:rsid w:val="00BB6FC0"/>
    <w:rsid w:val="00BB7036"/>
    <w:rsid w:val="00BB7086"/>
    <w:rsid w:val="00BB70B1"/>
    <w:rsid w:val="00BB70C6"/>
    <w:rsid w:val="00BB718A"/>
    <w:rsid w:val="00BB72E8"/>
    <w:rsid w:val="00BB7359"/>
    <w:rsid w:val="00BB73AF"/>
    <w:rsid w:val="00BB7403"/>
    <w:rsid w:val="00BB744D"/>
    <w:rsid w:val="00BB74E3"/>
    <w:rsid w:val="00BB7501"/>
    <w:rsid w:val="00BB7514"/>
    <w:rsid w:val="00BB75E5"/>
    <w:rsid w:val="00BB7605"/>
    <w:rsid w:val="00BB7711"/>
    <w:rsid w:val="00BB7736"/>
    <w:rsid w:val="00BB782B"/>
    <w:rsid w:val="00BB78AE"/>
    <w:rsid w:val="00BB7B00"/>
    <w:rsid w:val="00BB7B5A"/>
    <w:rsid w:val="00BB7BDB"/>
    <w:rsid w:val="00BB7CE8"/>
    <w:rsid w:val="00BB7D7E"/>
    <w:rsid w:val="00BB7E89"/>
    <w:rsid w:val="00BB7F5D"/>
    <w:rsid w:val="00BC0047"/>
    <w:rsid w:val="00BC005F"/>
    <w:rsid w:val="00BC0140"/>
    <w:rsid w:val="00BC0388"/>
    <w:rsid w:val="00BC0389"/>
    <w:rsid w:val="00BC0417"/>
    <w:rsid w:val="00BC05EE"/>
    <w:rsid w:val="00BC0750"/>
    <w:rsid w:val="00BC0825"/>
    <w:rsid w:val="00BC0836"/>
    <w:rsid w:val="00BC08F7"/>
    <w:rsid w:val="00BC0933"/>
    <w:rsid w:val="00BC09ED"/>
    <w:rsid w:val="00BC0A23"/>
    <w:rsid w:val="00BC0BE3"/>
    <w:rsid w:val="00BC0EEB"/>
    <w:rsid w:val="00BC0EFB"/>
    <w:rsid w:val="00BC0F2B"/>
    <w:rsid w:val="00BC0F2D"/>
    <w:rsid w:val="00BC11A9"/>
    <w:rsid w:val="00BC1225"/>
    <w:rsid w:val="00BC1263"/>
    <w:rsid w:val="00BC1285"/>
    <w:rsid w:val="00BC1323"/>
    <w:rsid w:val="00BC136D"/>
    <w:rsid w:val="00BC1370"/>
    <w:rsid w:val="00BC13AC"/>
    <w:rsid w:val="00BC14C2"/>
    <w:rsid w:val="00BC14E8"/>
    <w:rsid w:val="00BC1501"/>
    <w:rsid w:val="00BC16CB"/>
    <w:rsid w:val="00BC1751"/>
    <w:rsid w:val="00BC19A4"/>
    <w:rsid w:val="00BC19DB"/>
    <w:rsid w:val="00BC1A20"/>
    <w:rsid w:val="00BC1A6D"/>
    <w:rsid w:val="00BC1AE0"/>
    <w:rsid w:val="00BC1B41"/>
    <w:rsid w:val="00BC1B63"/>
    <w:rsid w:val="00BC1B6C"/>
    <w:rsid w:val="00BC1BFA"/>
    <w:rsid w:val="00BC1C7C"/>
    <w:rsid w:val="00BC1CD0"/>
    <w:rsid w:val="00BC1E90"/>
    <w:rsid w:val="00BC1E9A"/>
    <w:rsid w:val="00BC1F55"/>
    <w:rsid w:val="00BC1F7E"/>
    <w:rsid w:val="00BC1F88"/>
    <w:rsid w:val="00BC1F97"/>
    <w:rsid w:val="00BC1FC1"/>
    <w:rsid w:val="00BC206A"/>
    <w:rsid w:val="00BC20AE"/>
    <w:rsid w:val="00BC2157"/>
    <w:rsid w:val="00BC2223"/>
    <w:rsid w:val="00BC229C"/>
    <w:rsid w:val="00BC250F"/>
    <w:rsid w:val="00BC255B"/>
    <w:rsid w:val="00BC25DE"/>
    <w:rsid w:val="00BC25F3"/>
    <w:rsid w:val="00BC266F"/>
    <w:rsid w:val="00BC267B"/>
    <w:rsid w:val="00BC271C"/>
    <w:rsid w:val="00BC2762"/>
    <w:rsid w:val="00BC27A5"/>
    <w:rsid w:val="00BC29C2"/>
    <w:rsid w:val="00BC2AD0"/>
    <w:rsid w:val="00BC2B54"/>
    <w:rsid w:val="00BC2C2E"/>
    <w:rsid w:val="00BC2C46"/>
    <w:rsid w:val="00BC2CC1"/>
    <w:rsid w:val="00BC2CC6"/>
    <w:rsid w:val="00BC2CCE"/>
    <w:rsid w:val="00BC2E5B"/>
    <w:rsid w:val="00BC2E72"/>
    <w:rsid w:val="00BC2E83"/>
    <w:rsid w:val="00BC2F0F"/>
    <w:rsid w:val="00BC2F3F"/>
    <w:rsid w:val="00BC30BA"/>
    <w:rsid w:val="00BC3114"/>
    <w:rsid w:val="00BC3159"/>
    <w:rsid w:val="00BC31B3"/>
    <w:rsid w:val="00BC31B6"/>
    <w:rsid w:val="00BC31D0"/>
    <w:rsid w:val="00BC3347"/>
    <w:rsid w:val="00BC33E4"/>
    <w:rsid w:val="00BC34ED"/>
    <w:rsid w:val="00BC351E"/>
    <w:rsid w:val="00BC37EB"/>
    <w:rsid w:val="00BC387F"/>
    <w:rsid w:val="00BC392A"/>
    <w:rsid w:val="00BC3A83"/>
    <w:rsid w:val="00BC3AB0"/>
    <w:rsid w:val="00BC3AC5"/>
    <w:rsid w:val="00BC3C82"/>
    <w:rsid w:val="00BC3C96"/>
    <w:rsid w:val="00BC3CC2"/>
    <w:rsid w:val="00BC3F4B"/>
    <w:rsid w:val="00BC4115"/>
    <w:rsid w:val="00BC422D"/>
    <w:rsid w:val="00BC4273"/>
    <w:rsid w:val="00BC4363"/>
    <w:rsid w:val="00BC44B3"/>
    <w:rsid w:val="00BC4525"/>
    <w:rsid w:val="00BC454A"/>
    <w:rsid w:val="00BC472F"/>
    <w:rsid w:val="00BC47D9"/>
    <w:rsid w:val="00BC4972"/>
    <w:rsid w:val="00BC49D5"/>
    <w:rsid w:val="00BC4B25"/>
    <w:rsid w:val="00BC4B6A"/>
    <w:rsid w:val="00BC4BB6"/>
    <w:rsid w:val="00BC4BE2"/>
    <w:rsid w:val="00BC4C27"/>
    <w:rsid w:val="00BC4D40"/>
    <w:rsid w:val="00BC4D76"/>
    <w:rsid w:val="00BC4DA1"/>
    <w:rsid w:val="00BC4E1A"/>
    <w:rsid w:val="00BC4EA5"/>
    <w:rsid w:val="00BC4F2E"/>
    <w:rsid w:val="00BC50DC"/>
    <w:rsid w:val="00BC518C"/>
    <w:rsid w:val="00BC51DA"/>
    <w:rsid w:val="00BC533F"/>
    <w:rsid w:val="00BC5385"/>
    <w:rsid w:val="00BC53B0"/>
    <w:rsid w:val="00BC545A"/>
    <w:rsid w:val="00BC5558"/>
    <w:rsid w:val="00BC55B7"/>
    <w:rsid w:val="00BC5729"/>
    <w:rsid w:val="00BC5750"/>
    <w:rsid w:val="00BC57A0"/>
    <w:rsid w:val="00BC57D3"/>
    <w:rsid w:val="00BC57E3"/>
    <w:rsid w:val="00BC5876"/>
    <w:rsid w:val="00BC5993"/>
    <w:rsid w:val="00BC59C4"/>
    <w:rsid w:val="00BC5A14"/>
    <w:rsid w:val="00BC5A76"/>
    <w:rsid w:val="00BC5A83"/>
    <w:rsid w:val="00BC5AE0"/>
    <w:rsid w:val="00BC5C23"/>
    <w:rsid w:val="00BC5C78"/>
    <w:rsid w:val="00BC5CC9"/>
    <w:rsid w:val="00BC5CFE"/>
    <w:rsid w:val="00BC5EA0"/>
    <w:rsid w:val="00BC5ED5"/>
    <w:rsid w:val="00BC5EDF"/>
    <w:rsid w:val="00BC5F44"/>
    <w:rsid w:val="00BC5FDD"/>
    <w:rsid w:val="00BC6057"/>
    <w:rsid w:val="00BC6178"/>
    <w:rsid w:val="00BC6301"/>
    <w:rsid w:val="00BC6356"/>
    <w:rsid w:val="00BC6385"/>
    <w:rsid w:val="00BC63FB"/>
    <w:rsid w:val="00BC6578"/>
    <w:rsid w:val="00BC65A5"/>
    <w:rsid w:val="00BC66C3"/>
    <w:rsid w:val="00BC678F"/>
    <w:rsid w:val="00BC68A0"/>
    <w:rsid w:val="00BC69E5"/>
    <w:rsid w:val="00BC6A10"/>
    <w:rsid w:val="00BC6A98"/>
    <w:rsid w:val="00BC6AB1"/>
    <w:rsid w:val="00BC6B9F"/>
    <w:rsid w:val="00BC6BC3"/>
    <w:rsid w:val="00BC6BF6"/>
    <w:rsid w:val="00BC6C88"/>
    <w:rsid w:val="00BC6CC5"/>
    <w:rsid w:val="00BC6D36"/>
    <w:rsid w:val="00BC6E95"/>
    <w:rsid w:val="00BC6EA1"/>
    <w:rsid w:val="00BC6ECE"/>
    <w:rsid w:val="00BC6FB7"/>
    <w:rsid w:val="00BC702B"/>
    <w:rsid w:val="00BC7100"/>
    <w:rsid w:val="00BC728F"/>
    <w:rsid w:val="00BC7341"/>
    <w:rsid w:val="00BC739C"/>
    <w:rsid w:val="00BC73E9"/>
    <w:rsid w:val="00BC7499"/>
    <w:rsid w:val="00BC760D"/>
    <w:rsid w:val="00BC764D"/>
    <w:rsid w:val="00BC7653"/>
    <w:rsid w:val="00BC769F"/>
    <w:rsid w:val="00BC7782"/>
    <w:rsid w:val="00BC77FE"/>
    <w:rsid w:val="00BC7924"/>
    <w:rsid w:val="00BC7B06"/>
    <w:rsid w:val="00BC7B47"/>
    <w:rsid w:val="00BC7C2C"/>
    <w:rsid w:val="00BC7C71"/>
    <w:rsid w:val="00BC7CB6"/>
    <w:rsid w:val="00BC7EC7"/>
    <w:rsid w:val="00BD00FC"/>
    <w:rsid w:val="00BD0163"/>
    <w:rsid w:val="00BD0176"/>
    <w:rsid w:val="00BD029B"/>
    <w:rsid w:val="00BD02D0"/>
    <w:rsid w:val="00BD031B"/>
    <w:rsid w:val="00BD037D"/>
    <w:rsid w:val="00BD04C7"/>
    <w:rsid w:val="00BD05AD"/>
    <w:rsid w:val="00BD0743"/>
    <w:rsid w:val="00BD0800"/>
    <w:rsid w:val="00BD0845"/>
    <w:rsid w:val="00BD08DA"/>
    <w:rsid w:val="00BD0943"/>
    <w:rsid w:val="00BD096E"/>
    <w:rsid w:val="00BD0A4E"/>
    <w:rsid w:val="00BD0A4F"/>
    <w:rsid w:val="00BD0BF1"/>
    <w:rsid w:val="00BD0C3B"/>
    <w:rsid w:val="00BD0C81"/>
    <w:rsid w:val="00BD0D12"/>
    <w:rsid w:val="00BD12A4"/>
    <w:rsid w:val="00BD13AE"/>
    <w:rsid w:val="00BD143F"/>
    <w:rsid w:val="00BD14B7"/>
    <w:rsid w:val="00BD162F"/>
    <w:rsid w:val="00BD164A"/>
    <w:rsid w:val="00BD18A0"/>
    <w:rsid w:val="00BD1913"/>
    <w:rsid w:val="00BD1983"/>
    <w:rsid w:val="00BD1B51"/>
    <w:rsid w:val="00BD1B66"/>
    <w:rsid w:val="00BD1B77"/>
    <w:rsid w:val="00BD1B93"/>
    <w:rsid w:val="00BD1C08"/>
    <w:rsid w:val="00BD1C16"/>
    <w:rsid w:val="00BD1D8A"/>
    <w:rsid w:val="00BD1DDF"/>
    <w:rsid w:val="00BD1E7A"/>
    <w:rsid w:val="00BD1F1B"/>
    <w:rsid w:val="00BD1F45"/>
    <w:rsid w:val="00BD1F8B"/>
    <w:rsid w:val="00BD2037"/>
    <w:rsid w:val="00BD2093"/>
    <w:rsid w:val="00BD22A9"/>
    <w:rsid w:val="00BD22BC"/>
    <w:rsid w:val="00BD230D"/>
    <w:rsid w:val="00BD2557"/>
    <w:rsid w:val="00BD2591"/>
    <w:rsid w:val="00BD25CB"/>
    <w:rsid w:val="00BD26A1"/>
    <w:rsid w:val="00BD26C8"/>
    <w:rsid w:val="00BD27C0"/>
    <w:rsid w:val="00BD2810"/>
    <w:rsid w:val="00BD284D"/>
    <w:rsid w:val="00BD28A4"/>
    <w:rsid w:val="00BD28EF"/>
    <w:rsid w:val="00BD2AE1"/>
    <w:rsid w:val="00BD2AF2"/>
    <w:rsid w:val="00BD2AFE"/>
    <w:rsid w:val="00BD2B6E"/>
    <w:rsid w:val="00BD2C4F"/>
    <w:rsid w:val="00BD2C60"/>
    <w:rsid w:val="00BD2C73"/>
    <w:rsid w:val="00BD2EFF"/>
    <w:rsid w:val="00BD2F17"/>
    <w:rsid w:val="00BD300E"/>
    <w:rsid w:val="00BD3042"/>
    <w:rsid w:val="00BD307C"/>
    <w:rsid w:val="00BD3093"/>
    <w:rsid w:val="00BD30CA"/>
    <w:rsid w:val="00BD311C"/>
    <w:rsid w:val="00BD315A"/>
    <w:rsid w:val="00BD3167"/>
    <w:rsid w:val="00BD31CB"/>
    <w:rsid w:val="00BD3444"/>
    <w:rsid w:val="00BD3460"/>
    <w:rsid w:val="00BD34A9"/>
    <w:rsid w:val="00BD34C0"/>
    <w:rsid w:val="00BD3673"/>
    <w:rsid w:val="00BD36DD"/>
    <w:rsid w:val="00BD3759"/>
    <w:rsid w:val="00BD3859"/>
    <w:rsid w:val="00BD3870"/>
    <w:rsid w:val="00BD38CF"/>
    <w:rsid w:val="00BD3914"/>
    <w:rsid w:val="00BD3A5A"/>
    <w:rsid w:val="00BD3A7C"/>
    <w:rsid w:val="00BD3C39"/>
    <w:rsid w:val="00BD3C82"/>
    <w:rsid w:val="00BD3DB9"/>
    <w:rsid w:val="00BD3FE0"/>
    <w:rsid w:val="00BD3FF1"/>
    <w:rsid w:val="00BD40AC"/>
    <w:rsid w:val="00BD4113"/>
    <w:rsid w:val="00BD4126"/>
    <w:rsid w:val="00BD41FD"/>
    <w:rsid w:val="00BD4349"/>
    <w:rsid w:val="00BD434E"/>
    <w:rsid w:val="00BD43CD"/>
    <w:rsid w:val="00BD4512"/>
    <w:rsid w:val="00BD451B"/>
    <w:rsid w:val="00BD4526"/>
    <w:rsid w:val="00BD455B"/>
    <w:rsid w:val="00BD45AB"/>
    <w:rsid w:val="00BD460E"/>
    <w:rsid w:val="00BD464E"/>
    <w:rsid w:val="00BD46E2"/>
    <w:rsid w:val="00BD47F6"/>
    <w:rsid w:val="00BD4872"/>
    <w:rsid w:val="00BD48C9"/>
    <w:rsid w:val="00BD48F0"/>
    <w:rsid w:val="00BD4A17"/>
    <w:rsid w:val="00BD4A7C"/>
    <w:rsid w:val="00BD4B24"/>
    <w:rsid w:val="00BD4D0D"/>
    <w:rsid w:val="00BD4E45"/>
    <w:rsid w:val="00BD4E7E"/>
    <w:rsid w:val="00BD4EB0"/>
    <w:rsid w:val="00BD4ECA"/>
    <w:rsid w:val="00BD4F56"/>
    <w:rsid w:val="00BD4FAB"/>
    <w:rsid w:val="00BD503A"/>
    <w:rsid w:val="00BD514A"/>
    <w:rsid w:val="00BD51B6"/>
    <w:rsid w:val="00BD52F6"/>
    <w:rsid w:val="00BD53B3"/>
    <w:rsid w:val="00BD557F"/>
    <w:rsid w:val="00BD55E6"/>
    <w:rsid w:val="00BD55EC"/>
    <w:rsid w:val="00BD564E"/>
    <w:rsid w:val="00BD5774"/>
    <w:rsid w:val="00BD584B"/>
    <w:rsid w:val="00BD598E"/>
    <w:rsid w:val="00BD59C1"/>
    <w:rsid w:val="00BD5A55"/>
    <w:rsid w:val="00BD5B2B"/>
    <w:rsid w:val="00BD5B31"/>
    <w:rsid w:val="00BD5BC0"/>
    <w:rsid w:val="00BD5C1F"/>
    <w:rsid w:val="00BD5D79"/>
    <w:rsid w:val="00BD5E0E"/>
    <w:rsid w:val="00BD5E40"/>
    <w:rsid w:val="00BD5E96"/>
    <w:rsid w:val="00BD5F78"/>
    <w:rsid w:val="00BD5FF9"/>
    <w:rsid w:val="00BD60F2"/>
    <w:rsid w:val="00BD6125"/>
    <w:rsid w:val="00BD6175"/>
    <w:rsid w:val="00BD6231"/>
    <w:rsid w:val="00BD6237"/>
    <w:rsid w:val="00BD628E"/>
    <w:rsid w:val="00BD629D"/>
    <w:rsid w:val="00BD6309"/>
    <w:rsid w:val="00BD6397"/>
    <w:rsid w:val="00BD63BF"/>
    <w:rsid w:val="00BD63E6"/>
    <w:rsid w:val="00BD6437"/>
    <w:rsid w:val="00BD6442"/>
    <w:rsid w:val="00BD64C6"/>
    <w:rsid w:val="00BD65A4"/>
    <w:rsid w:val="00BD65C3"/>
    <w:rsid w:val="00BD65DF"/>
    <w:rsid w:val="00BD6648"/>
    <w:rsid w:val="00BD66A2"/>
    <w:rsid w:val="00BD6756"/>
    <w:rsid w:val="00BD6887"/>
    <w:rsid w:val="00BD68D2"/>
    <w:rsid w:val="00BD6971"/>
    <w:rsid w:val="00BD6976"/>
    <w:rsid w:val="00BD69DA"/>
    <w:rsid w:val="00BD69FB"/>
    <w:rsid w:val="00BD6A90"/>
    <w:rsid w:val="00BD6BA2"/>
    <w:rsid w:val="00BD6BC5"/>
    <w:rsid w:val="00BD6BE5"/>
    <w:rsid w:val="00BD6C14"/>
    <w:rsid w:val="00BD6D37"/>
    <w:rsid w:val="00BD6E3E"/>
    <w:rsid w:val="00BD6ED2"/>
    <w:rsid w:val="00BD6F14"/>
    <w:rsid w:val="00BD6F61"/>
    <w:rsid w:val="00BD6F9E"/>
    <w:rsid w:val="00BD6FB3"/>
    <w:rsid w:val="00BD708C"/>
    <w:rsid w:val="00BD7090"/>
    <w:rsid w:val="00BD70CD"/>
    <w:rsid w:val="00BD7274"/>
    <w:rsid w:val="00BD72F2"/>
    <w:rsid w:val="00BD72F5"/>
    <w:rsid w:val="00BD736B"/>
    <w:rsid w:val="00BD74FE"/>
    <w:rsid w:val="00BD76EB"/>
    <w:rsid w:val="00BD7733"/>
    <w:rsid w:val="00BD7762"/>
    <w:rsid w:val="00BD79A0"/>
    <w:rsid w:val="00BD79CB"/>
    <w:rsid w:val="00BD79E7"/>
    <w:rsid w:val="00BD7B3C"/>
    <w:rsid w:val="00BD7B80"/>
    <w:rsid w:val="00BD7BC8"/>
    <w:rsid w:val="00BD7BD7"/>
    <w:rsid w:val="00BD7C28"/>
    <w:rsid w:val="00BD7CAF"/>
    <w:rsid w:val="00BD7D51"/>
    <w:rsid w:val="00BD7DD0"/>
    <w:rsid w:val="00BD7DE1"/>
    <w:rsid w:val="00BD7E41"/>
    <w:rsid w:val="00BD7E9A"/>
    <w:rsid w:val="00BD7EB2"/>
    <w:rsid w:val="00BD7EF1"/>
    <w:rsid w:val="00BD7FF5"/>
    <w:rsid w:val="00BE0350"/>
    <w:rsid w:val="00BE0354"/>
    <w:rsid w:val="00BE0382"/>
    <w:rsid w:val="00BE0393"/>
    <w:rsid w:val="00BE03DA"/>
    <w:rsid w:val="00BE03E3"/>
    <w:rsid w:val="00BE043D"/>
    <w:rsid w:val="00BE04B7"/>
    <w:rsid w:val="00BE04FB"/>
    <w:rsid w:val="00BE0704"/>
    <w:rsid w:val="00BE0720"/>
    <w:rsid w:val="00BE077B"/>
    <w:rsid w:val="00BE085B"/>
    <w:rsid w:val="00BE0904"/>
    <w:rsid w:val="00BE0981"/>
    <w:rsid w:val="00BE09C9"/>
    <w:rsid w:val="00BE0A19"/>
    <w:rsid w:val="00BE0B52"/>
    <w:rsid w:val="00BE0BCA"/>
    <w:rsid w:val="00BE0C5C"/>
    <w:rsid w:val="00BE0D93"/>
    <w:rsid w:val="00BE0ED1"/>
    <w:rsid w:val="00BE0EE5"/>
    <w:rsid w:val="00BE0F18"/>
    <w:rsid w:val="00BE0F40"/>
    <w:rsid w:val="00BE102A"/>
    <w:rsid w:val="00BE118D"/>
    <w:rsid w:val="00BE1190"/>
    <w:rsid w:val="00BE131C"/>
    <w:rsid w:val="00BE1450"/>
    <w:rsid w:val="00BE1575"/>
    <w:rsid w:val="00BE159D"/>
    <w:rsid w:val="00BE1642"/>
    <w:rsid w:val="00BE16D6"/>
    <w:rsid w:val="00BE1791"/>
    <w:rsid w:val="00BE186A"/>
    <w:rsid w:val="00BE18A4"/>
    <w:rsid w:val="00BE1910"/>
    <w:rsid w:val="00BE196D"/>
    <w:rsid w:val="00BE1A62"/>
    <w:rsid w:val="00BE1A70"/>
    <w:rsid w:val="00BE1B21"/>
    <w:rsid w:val="00BE1C1F"/>
    <w:rsid w:val="00BE1D42"/>
    <w:rsid w:val="00BE1EFC"/>
    <w:rsid w:val="00BE1FC9"/>
    <w:rsid w:val="00BE200B"/>
    <w:rsid w:val="00BE20E9"/>
    <w:rsid w:val="00BE227E"/>
    <w:rsid w:val="00BE228F"/>
    <w:rsid w:val="00BE22AB"/>
    <w:rsid w:val="00BE2356"/>
    <w:rsid w:val="00BE23B3"/>
    <w:rsid w:val="00BE23FE"/>
    <w:rsid w:val="00BE24B8"/>
    <w:rsid w:val="00BE254A"/>
    <w:rsid w:val="00BE2559"/>
    <w:rsid w:val="00BE259E"/>
    <w:rsid w:val="00BE2682"/>
    <w:rsid w:val="00BE291A"/>
    <w:rsid w:val="00BE2A74"/>
    <w:rsid w:val="00BE2AC7"/>
    <w:rsid w:val="00BE2B17"/>
    <w:rsid w:val="00BE2B86"/>
    <w:rsid w:val="00BE2E3D"/>
    <w:rsid w:val="00BE2E43"/>
    <w:rsid w:val="00BE2EB2"/>
    <w:rsid w:val="00BE30CC"/>
    <w:rsid w:val="00BE30DC"/>
    <w:rsid w:val="00BE3115"/>
    <w:rsid w:val="00BE31F9"/>
    <w:rsid w:val="00BE3209"/>
    <w:rsid w:val="00BE326F"/>
    <w:rsid w:val="00BE32BB"/>
    <w:rsid w:val="00BE3367"/>
    <w:rsid w:val="00BE3393"/>
    <w:rsid w:val="00BE3426"/>
    <w:rsid w:val="00BE34E9"/>
    <w:rsid w:val="00BE355C"/>
    <w:rsid w:val="00BE360E"/>
    <w:rsid w:val="00BE3618"/>
    <w:rsid w:val="00BE3621"/>
    <w:rsid w:val="00BE3666"/>
    <w:rsid w:val="00BE368B"/>
    <w:rsid w:val="00BE3742"/>
    <w:rsid w:val="00BE37B2"/>
    <w:rsid w:val="00BE37FB"/>
    <w:rsid w:val="00BE3834"/>
    <w:rsid w:val="00BE3848"/>
    <w:rsid w:val="00BE3988"/>
    <w:rsid w:val="00BE399A"/>
    <w:rsid w:val="00BE3A44"/>
    <w:rsid w:val="00BE3B93"/>
    <w:rsid w:val="00BE3C1F"/>
    <w:rsid w:val="00BE3C48"/>
    <w:rsid w:val="00BE3C60"/>
    <w:rsid w:val="00BE3C68"/>
    <w:rsid w:val="00BE3CB8"/>
    <w:rsid w:val="00BE3CCA"/>
    <w:rsid w:val="00BE3DB2"/>
    <w:rsid w:val="00BE3DD2"/>
    <w:rsid w:val="00BE3E4D"/>
    <w:rsid w:val="00BE3E65"/>
    <w:rsid w:val="00BE3F0C"/>
    <w:rsid w:val="00BE4029"/>
    <w:rsid w:val="00BE41C2"/>
    <w:rsid w:val="00BE4235"/>
    <w:rsid w:val="00BE423E"/>
    <w:rsid w:val="00BE429E"/>
    <w:rsid w:val="00BE42C9"/>
    <w:rsid w:val="00BE432D"/>
    <w:rsid w:val="00BE433E"/>
    <w:rsid w:val="00BE4366"/>
    <w:rsid w:val="00BE4431"/>
    <w:rsid w:val="00BE4530"/>
    <w:rsid w:val="00BE4693"/>
    <w:rsid w:val="00BE4694"/>
    <w:rsid w:val="00BE47CE"/>
    <w:rsid w:val="00BE4879"/>
    <w:rsid w:val="00BE48D2"/>
    <w:rsid w:val="00BE4918"/>
    <w:rsid w:val="00BE4A44"/>
    <w:rsid w:val="00BE4A4B"/>
    <w:rsid w:val="00BE4A7F"/>
    <w:rsid w:val="00BE4AE5"/>
    <w:rsid w:val="00BE4AE7"/>
    <w:rsid w:val="00BE4BB5"/>
    <w:rsid w:val="00BE4BEF"/>
    <w:rsid w:val="00BE4C22"/>
    <w:rsid w:val="00BE4D68"/>
    <w:rsid w:val="00BE4D70"/>
    <w:rsid w:val="00BE4DD8"/>
    <w:rsid w:val="00BE4E14"/>
    <w:rsid w:val="00BE4EE2"/>
    <w:rsid w:val="00BE4F23"/>
    <w:rsid w:val="00BE4F49"/>
    <w:rsid w:val="00BE4F5A"/>
    <w:rsid w:val="00BE5095"/>
    <w:rsid w:val="00BE50E1"/>
    <w:rsid w:val="00BE5111"/>
    <w:rsid w:val="00BE512E"/>
    <w:rsid w:val="00BE515A"/>
    <w:rsid w:val="00BE5205"/>
    <w:rsid w:val="00BE525A"/>
    <w:rsid w:val="00BE52C8"/>
    <w:rsid w:val="00BE532B"/>
    <w:rsid w:val="00BE54F8"/>
    <w:rsid w:val="00BE550E"/>
    <w:rsid w:val="00BE55E4"/>
    <w:rsid w:val="00BE5649"/>
    <w:rsid w:val="00BE57B0"/>
    <w:rsid w:val="00BE593C"/>
    <w:rsid w:val="00BE5A4D"/>
    <w:rsid w:val="00BE5B7B"/>
    <w:rsid w:val="00BE5CCF"/>
    <w:rsid w:val="00BE5CDE"/>
    <w:rsid w:val="00BE5D45"/>
    <w:rsid w:val="00BE5E33"/>
    <w:rsid w:val="00BE6022"/>
    <w:rsid w:val="00BE6172"/>
    <w:rsid w:val="00BE6290"/>
    <w:rsid w:val="00BE6344"/>
    <w:rsid w:val="00BE6388"/>
    <w:rsid w:val="00BE63FE"/>
    <w:rsid w:val="00BE642F"/>
    <w:rsid w:val="00BE655C"/>
    <w:rsid w:val="00BE66C0"/>
    <w:rsid w:val="00BE6712"/>
    <w:rsid w:val="00BE676C"/>
    <w:rsid w:val="00BE6777"/>
    <w:rsid w:val="00BE67B8"/>
    <w:rsid w:val="00BE67CC"/>
    <w:rsid w:val="00BE6973"/>
    <w:rsid w:val="00BE698C"/>
    <w:rsid w:val="00BE6A79"/>
    <w:rsid w:val="00BE6B1D"/>
    <w:rsid w:val="00BE6BB7"/>
    <w:rsid w:val="00BE6C3D"/>
    <w:rsid w:val="00BE6CA8"/>
    <w:rsid w:val="00BE6D9F"/>
    <w:rsid w:val="00BE6E11"/>
    <w:rsid w:val="00BE6E14"/>
    <w:rsid w:val="00BE6E79"/>
    <w:rsid w:val="00BE6FAC"/>
    <w:rsid w:val="00BE6FCA"/>
    <w:rsid w:val="00BE6FE7"/>
    <w:rsid w:val="00BE7072"/>
    <w:rsid w:val="00BE7102"/>
    <w:rsid w:val="00BE725F"/>
    <w:rsid w:val="00BE7263"/>
    <w:rsid w:val="00BE72AD"/>
    <w:rsid w:val="00BE72D3"/>
    <w:rsid w:val="00BE740D"/>
    <w:rsid w:val="00BE74B4"/>
    <w:rsid w:val="00BE7716"/>
    <w:rsid w:val="00BE7727"/>
    <w:rsid w:val="00BE7773"/>
    <w:rsid w:val="00BE77B1"/>
    <w:rsid w:val="00BE77DD"/>
    <w:rsid w:val="00BE7984"/>
    <w:rsid w:val="00BE7997"/>
    <w:rsid w:val="00BE7AF8"/>
    <w:rsid w:val="00BE7B0A"/>
    <w:rsid w:val="00BE7B96"/>
    <w:rsid w:val="00BE7C0D"/>
    <w:rsid w:val="00BE7D81"/>
    <w:rsid w:val="00BE7DEF"/>
    <w:rsid w:val="00BE7FBE"/>
    <w:rsid w:val="00BF008C"/>
    <w:rsid w:val="00BF00E0"/>
    <w:rsid w:val="00BF0200"/>
    <w:rsid w:val="00BF03AD"/>
    <w:rsid w:val="00BF0510"/>
    <w:rsid w:val="00BF0756"/>
    <w:rsid w:val="00BF09B5"/>
    <w:rsid w:val="00BF09BE"/>
    <w:rsid w:val="00BF09D4"/>
    <w:rsid w:val="00BF09FA"/>
    <w:rsid w:val="00BF0BE9"/>
    <w:rsid w:val="00BF0DBA"/>
    <w:rsid w:val="00BF0E09"/>
    <w:rsid w:val="00BF0E2E"/>
    <w:rsid w:val="00BF0EAA"/>
    <w:rsid w:val="00BF0EB1"/>
    <w:rsid w:val="00BF0F5D"/>
    <w:rsid w:val="00BF0FBA"/>
    <w:rsid w:val="00BF0FDC"/>
    <w:rsid w:val="00BF0FE1"/>
    <w:rsid w:val="00BF1004"/>
    <w:rsid w:val="00BF1023"/>
    <w:rsid w:val="00BF10ED"/>
    <w:rsid w:val="00BF1285"/>
    <w:rsid w:val="00BF12B2"/>
    <w:rsid w:val="00BF13ED"/>
    <w:rsid w:val="00BF140B"/>
    <w:rsid w:val="00BF14CD"/>
    <w:rsid w:val="00BF1640"/>
    <w:rsid w:val="00BF18E1"/>
    <w:rsid w:val="00BF197E"/>
    <w:rsid w:val="00BF199F"/>
    <w:rsid w:val="00BF19AD"/>
    <w:rsid w:val="00BF1A19"/>
    <w:rsid w:val="00BF1A3F"/>
    <w:rsid w:val="00BF1A87"/>
    <w:rsid w:val="00BF1C0C"/>
    <w:rsid w:val="00BF1CE9"/>
    <w:rsid w:val="00BF1F96"/>
    <w:rsid w:val="00BF1FAE"/>
    <w:rsid w:val="00BF230E"/>
    <w:rsid w:val="00BF23B6"/>
    <w:rsid w:val="00BF243E"/>
    <w:rsid w:val="00BF24C4"/>
    <w:rsid w:val="00BF2620"/>
    <w:rsid w:val="00BF26A2"/>
    <w:rsid w:val="00BF26AE"/>
    <w:rsid w:val="00BF26F2"/>
    <w:rsid w:val="00BF272D"/>
    <w:rsid w:val="00BF2745"/>
    <w:rsid w:val="00BF27C6"/>
    <w:rsid w:val="00BF2A9E"/>
    <w:rsid w:val="00BF2D02"/>
    <w:rsid w:val="00BF2D6A"/>
    <w:rsid w:val="00BF2D82"/>
    <w:rsid w:val="00BF2E00"/>
    <w:rsid w:val="00BF2F0F"/>
    <w:rsid w:val="00BF30FD"/>
    <w:rsid w:val="00BF30FE"/>
    <w:rsid w:val="00BF3238"/>
    <w:rsid w:val="00BF3260"/>
    <w:rsid w:val="00BF340D"/>
    <w:rsid w:val="00BF3485"/>
    <w:rsid w:val="00BF35BF"/>
    <w:rsid w:val="00BF3694"/>
    <w:rsid w:val="00BF3775"/>
    <w:rsid w:val="00BF37AD"/>
    <w:rsid w:val="00BF37F4"/>
    <w:rsid w:val="00BF38FA"/>
    <w:rsid w:val="00BF3912"/>
    <w:rsid w:val="00BF3925"/>
    <w:rsid w:val="00BF3937"/>
    <w:rsid w:val="00BF3B42"/>
    <w:rsid w:val="00BF3B89"/>
    <w:rsid w:val="00BF3BE6"/>
    <w:rsid w:val="00BF3DD5"/>
    <w:rsid w:val="00BF3E2D"/>
    <w:rsid w:val="00BF3EB8"/>
    <w:rsid w:val="00BF403D"/>
    <w:rsid w:val="00BF4044"/>
    <w:rsid w:val="00BF408F"/>
    <w:rsid w:val="00BF418B"/>
    <w:rsid w:val="00BF41D7"/>
    <w:rsid w:val="00BF4216"/>
    <w:rsid w:val="00BF42BA"/>
    <w:rsid w:val="00BF4407"/>
    <w:rsid w:val="00BF4534"/>
    <w:rsid w:val="00BF454E"/>
    <w:rsid w:val="00BF45B7"/>
    <w:rsid w:val="00BF45C8"/>
    <w:rsid w:val="00BF46CF"/>
    <w:rsid w:val="00BF4724"/>
    <w:rsid w:val="00BF48C9"/>
    <w:rsid w:val="00BF48EE"/>
    <w:rsid w:val="00BF4B4A"/>
    <w:rsid w:val="00BF4B6A"/>
    <w:rsid w:val="00BF4C1B"/>
    <w:rsid w:val="00BF4C73"/>
    <w:rsid w:val="00BF4D13"/>
    <w:rsid w:val="00BF4D6B"/>
    <w:rsid w:val="00BF4DB7"/>
    <w:rsid w:val="00BF4E1A"/>
    <w:rsid w:val="00BF4EA5"/>
    <w:rsid w:val="00BF4EAD"/>
    <w:rsid w:val="00BF50B7"/>
    <w:rsid w:val="00BF5180"/>
    <w:rsid w:val="00BF5203"/>
    <w:rsid w:val="00BF5212"/>
    <w:rsid w:val="00BF522F"/>
    <w:rsid w:val="00BF5563"/>
    <w:rsid w:val="00BF5608"/>
    <w:rsid w:val="00BF5916"/>
    <w:rsid w:val="00BF59A6"/>
    <w:rsid w:val="00BF59DE"/>
    <w:rsid w:val="00BF5B37"/>
    <w:rsid w:val="00BF5BAB"/>
    <w:rsid w:val="00BF5BC3"/>
    <w:rsid w:val="00BF5C82"/>
    <w:rsid w:val="00BF5DE2"/>
    <w:rsid w:val="00BF5E37"/>
    <w:rsid w:val="00BF5E96"/>
    <w:rsid w:val="00BF5ECC"/>
    <w:rsid w:val="00BF601E"/>
    <w:rsid w:val="00BF610A"/>
    <w:rsid w:val="00BF61C6"/>
    <w:rsid w:val="00BF6210"/>
    <w:rsid w:val="00BF6292"/>
    <w:rsid w:val="00BF62B1"/>
    <w:rsid w:val="00BF62D8"/>
    <w:rsid w:val="00BF6444"/>
    <w:rsid w:val="00BF6464"/>
    <w:rsid w:val="00BF66AE"/>
    <w:rsid w:val="00BF6776"/>
    <w:rsid w:val="00BF67BB"/>
    <w:rsid w:val="00BF67E3"/>
    <w:rsid w:val="00BF67EE"/>
    <w:rsid w:val="00BF68E8"/>
    <w:rsid w:val="00BF6920"/>
    <w:rsid w:val="00BF6936"/>
    <w:rsid w:val="00BF6AFE"/>
    <w:rsid w:val="00BF6B2A"/>
    <w:rsid w:val="00BF6B3F"/>
    <w:rsid w:val="00BF6B73"/>
    <w:rsid w:val="00BF6BEE"/>
    <w:rsid w:val="00BF6C2E"/>
    <w:rsid w:val="00BF6C30"/>
    <w:rsid w:val="00BF6C3A"/>
    <w:rsid w:val="00BF6D72"/>
    <w:rsid w:val="00BF6DB6"/>
    <w:rsid w:val="00BF6DF9"/>
    <w:rsid w:val="00BF6E6F"/>
    <w:rsid w:val="00BF6E76"/>
    <w:rsid w:val="00BF6F8B"/>
    <w:rsid w:val="00BF6FF2"/>
    <w:rsid w:val="00BF7057"/>
    <w:rsid w:val="00BF705F"/>
    <w:rsid w:val="00BF7126"/>
    <w:rsid w:val="00BF715E"/>
    <w:rsid w:val="00BF71A0"/>
    <w:rsid w:val="00BF72E7"/>
    <w:rsid w:val="00BF733B"/>
    <w:rsid w:val="00BF7392"/>
    <w:rsid w:val="00BF739B"/>
    <w:rsid w:val="00BF7597"/>
    <w:rsid w:val="00BF75F7"/>
    <w:rsid w:val="00BF7637"/>
    <w:rsid w:val="00BF781F"/>
    <w:rsid w:val="00BF7828"/>
    <w:rsid w:val="00BF784F"/>
    <w:rsid w:val="00BF78DE"/>
    <w:rsid w:val="00BF78F1"/>
    <w:rsid w:val="00BF791C"/>
    <w:rsid w:val="00BF79A5"/>
    <w:rsid w:val="00BF7A30"/>
    <w:rsid w:val="00BF7B4F"/>
    <w:rsid w:val="00BF7BAC"/>
    <w:rsid w:val="00BF7E76"/>
    <w:rsid w:val="00BF7F1F"/>
    <w:rsid w:val="00C00052"/>
    <w:rsid w:val="00C000A7"/>
    <w:rsid w:val="00C00151"/>
    <w:rsid w:val="00C00211"/>
    <w:rsid w:val="00C00277"/>
    <w:rsid w:val="00C002C5"/>
    <w:rsid w:val="00C00304"/>
    <w:rsid w:val="00C00371"/>
    <w:rsid w:val="00C00373"/>
    <w:rsid w:val="00C0045E"/>
    <w:rsid w:val="00C006CB"/>
    <w:rsid w:val="00C0070B"/>
    <w:rsid w:val="00C00809"/>
    <w:rsid w:val="00C00AA6"/>
    <w:rsid w:val="00C00AC1"/>
    <w:rsid w:val="00C00B5A"/>
    <w:rsid w:val="00C00DB2"/>
    <w:rsid w:val="00C00ECC"/>
    <w:rsid w:val="00C00FB2"/>
    <w:rsid w:val="00C00FC1"/>
    <w:rsid w:val="00C0110B"/>
    <w:rsid w:val="00C01135"/>
    <w:rsid w:val="00C01185"/>
    <w:rsid w:val="00C011D9"/>
    <w:rsid w:val="00C0135E"/>
    <w:rsid w:val="00C013B0"/>
    <w:rsid w:val="00C013C5"/>
    <w:rsid w:val="00C013E9"/>
    <w:rsid w:val="00C0142C"/>
    <w:rsid w:val="00C01446"/>
    <w:rsid w:val="00C0157C"/>
    <w:rsid w:val="00C01655"/>
    <w:rsid w:val="00C0167F"/>
    <w:rsid w:val="00C01823"/>
    <w:rsid w:val="00C018D1"/>
    <w:rsid w:val="00C01B4E"/>
    <w:rsid w:val="00C01B7A"/>
    <w:rsid w:val="00C01B99"/>
    <w:rsid w:val="00C01CDD"/>
    <w:rsid w:val="00C01DA5"/>
    <w:rsid w:val="00C01E10"/>
    <w:rsid w:val="00C01EF4"/>
    <w:rsid w:val="00C01FFF"/>
    <w:rsid w:val="00C02014"/>
    <w:rsid w:val="00C02090"/>
    <w:rsid w:val="00C020D2"/>
    <w:rsid w:val="00C020E7"/>
    <w:rsid w:val="00C022C1"/>
    <w:rsid w:val="00C02318"/>
    <w:rsid w:val="00C02341"/>
    <w:rsid w:val="00C0234A"/>
    <w:rsid w:val="00C02356"/>
    <w:rsid w:val="00C023A4"/>
    <w:rsid w:val="00C023E0"/>
    <w:rsid w:val="00C02483"/>
    <w:rsid w:val="00C02550"/>
    <w:rsid w:val="00C02557"/>
    <w:rsid w:val="00C02561"/>
    <w:rsid w:val="00C02578"/>
    <w:rsid w:val="00C02603"/>
    <w:rsid w:val="00C02644"/>
    <w:rsid w:val="00C027DD"/>
    <w:rsid w:val="00C0287C"/>
    <w:rsid w:val="00C02942"/>
    <w:rsid w:val="00C029B5"/>
    <w:rsid w:val="00C02A7A"/>
    <w:rsid w:val="00C02B57"/>
    <w:rsid w:val="00C02C01"/>
    <w:rsid w:val="00C02CAC"/>
    <w:rsid w:val="00C02D38"/>
    <w:rsid w:val="00C02D44"/>
    <w:rsid w:val="00C02D74"/>
    <w:rsid w:val="00C02D85"/>
    <w:rsid w:val="00C02DAC"/>
    <w:rsid w:val="00C0306C"/>
    <w:rsid w:val="00C0311B"/>
    <w:rsid w:val="00C031A5"/>
    <w:rsid w:val="00C031B6"/>
    <w:rsid w:val="00C0344C"/>
    <w:rsid w:val="00C034DE"/>
    <w:rsid w:val="00C03546"/>
    <w:rsid w:val="00C036A7"/>
    <w:rsid w:val="00C037B0"/>
    <w:rsid w:val="00C037E3"/>
    <w:rsid w:val="00C03826"/>
    <w:rsid w:val="00C038A9"/>
    <w:rsid w:val="00C038FE"/>
    <w:rsid w:val="00C03928"/>
    <w:rsid w:val="00C03A57"/>
    <w:rsid w:val="00C03A7E"/>
    <w:rsid w:val="00C03AA8"/>
    <w:rsid w:val="00C03B0F"/>
    <w:rsid w:val="00C03CCC"/>
    <w:rsid w:val="00C03D66"/>
    <w:rsid w:val="00C03DB1"/>
    <w:rsid w:val="00C03DFE"/>
    <w:rsid w:val="00C03E59"/>
    <w:rsid w:val="00C03EC1"/>
    <w:rsid w:val="00C042B9"/>
    <w:rsid w:val="00C04493"/>
    <w:rsid w:val="00C045B8"/>
    <w:rsid w:val="00C045EA"/>
    <w:rsid w:val="00C0467C"/>
    <w:rsid w:val="00C04748"/>
    <w:rsid w:val="00C047C0"/>
    <w:rsid w:val="00C047CD"/>
    <w:rsid w:val="00C047F6"/>
    <w:rsid w:val="00C049BA"/>
    <w:rsid w:val="00C04A52"/>
    <w:rsid w:val="00C04B39"/>
    <w:rsid w:val="00C04BEF"/>
    <w:rsid w:val="00C04CEB"/>
    <w:rsid w:val="00C04DCF"/>
    <w:rsid w:val="00C04E63"/>
    <w:rsid w:val="00C04ED2"/>
    <w:rsid w:val="00C04F2C"/>
    <w:rsid w:val="00C04F37"/>
    <w:rsid w:val="00C05039"/>
    <w:rsid w:val="00C05040"/>
    <w:rsid w:val="00C051D9"/>
    <w:rsid w:val="00C053E3"/>
    <w:rsid w:val="00C054B9"/>
    <w:rsid w:val="00C057A6"/>
    <w:rsid w:val="00C057C7"/>
    <w:rsid w:val="00C057D2"/>
    <w:rsid w:val="00C0581F"/>
    <w:rsid w:val="00C058AC"/>
    <w:rsid w:val="00C058C5"/>
    <w:rsid w:val="00C058ED"/>
    <w:rsid w:val="00C05922"/>
    <w:rsid w:val="00C05A6A"/>
    <w:rsid w:val="00C05B10"/>
    <w:rsid w:val="00C05BA9"/>
    <w:rsid w:val="00C05C07"/>
    <w:rsid w:val="00C05C0B"/>
    <w:rsid w:val="00C05C49"/>
    <w:rsid w:val="00C05C61"/>
    <w:rsid w:val="00C05CDA"/>
    <w:rsid w:val="00C05D00"/>
    <w:rsid w:val="00C05DAD"/>
    <w:rsid w:val="00C06177"/>
    <w:rsid w:val="00C061C0"/>
    <w:rsid w:val="00C0621E"/>
    <w:rsid w:val="00C06230"/>
    <w:rsid w:val="00C06264"/>
    <w:rsid w:val="00C062B5"/>
    <w:rsid w:val="00C062FD"/>
    <w:rsid w:val="00C063A0"/>
    <w:rsid w:val="00C0643B"/>
    <w:rsid w:val="00C06470"/>
    <w:rsid w:val="00C06507"/>
    <w:rsid w:val="00C0656B"/>
    <w:rsid w:val="00C066E3"/>
    <w:rsid w:val="00C069A2"/>
    <w:rsid w:val="00C069AB"/>
    <w:rsid w:val="00C06A2B"/>
    <w:rsid w:val="00C06A56"/>
    <w:rsid w:val="00C06AAA"/>
    <w:rsid w:val="00C06AB1"/>
    <w:rsid w:val="00C06AE6"/>
    <w:rsid w:val="00C06B64"/>
    <w:rsid w:val="00C06C1B"/>
    <w:rsid w:val="00C06C33"/>
    <w:rsid w:val="00C06D35"/>
    <w:rsid w:val="00C0702A"/>
    <w:rsid w:val="00C0703A"/>
    <w:rsid w:val="00C070AB"/>
    <w:rsid w:val="00C070ED"/>
    <w:rsid w:val="00C07109"/>
    <w:rsid w:val="00C0717B"/>
    <w:rsid w:val="00C071A7"/>
    <w:rsid w:val="00C071F1"/>
    <w:rsid w:val="00C07228"/>
    <w:rsid w:val="00C07277"/>
    <w:rsid w:val="00C0746A"/>
    <w:rsid w:val="00C075AF"/>
    <w:rsid w:val="00C075CB"/>
    <w:rsid w:val="00C075EA"/>
    <w:rsid w:val="00C07656"/>
    <w:rsid w:val="00C076D2"/>
    <w:rsid w:val="00C0772E"/>
    <w:rsid w:val="00C077A2"/>
    <w:rsid w:val="00C0783B"/>
    <w:rsid w:val="00C078AA"/>
    <w:rsid w:val="00C078AF"/>
    <w:rsid w:val="00C0798F"/>
    <w:rsid w:val="00C07A26"/>
    <w:rsid w:val="00C07A49"/>
    <w:rsid w:val="00C07A6D"/>
    <w:rsid w:val="00C07BF0"/>
    <w:rsid w:val="00C07C48"/>
    <w:rsid w:val="00C07C58"/>
    <w:rsid w:val="00C07D0D"/>
    <w:rsid w:val="00C07DB6"/>
    <w:rsid w:val="00C07E53"/>
    <w:rsid w:val="00C07E8B"/>
    <w:rsid w:val="00C07EFD"/>
    <w:rsid w:val="00C07F47"/>
    <w:rsid w:val="00C07F5A"/>
    <w:rsid w:val="00C10022"/>
    <w:rsid w:val="00C10124"/>
    <w:rsid w:val="00C10163"/>
    <w:rsid w:val="00C101CB"/>
    <w:rsid w:val="00C1022F"/>
    <w:rsid w:val="00C10388"/>
    <w:rsid w:val="00C10402"/>
    <w:rsid w:val="00C10456"/>
    <w:rsid w:val="00C104F7"/>
    <w:rsid w:val="00C105C5"/>
    <w:rsid w:val="00C105E9"/>
    <w:rsid w:val="00C10671"/>
    <w:rsid w:val="00C1067F"/>
    <w:rsid w:val="00C106DC"/>
    <w:rsid w:val="00C106FB"/>
    <w:rsid w:val="00C10722"/>
    <w:rsid w:val="00C107E1"/>
    <w:rsid w:val="00C108E9"/>
    <w:rsid w:val="00C10917"/>
    <w:rsid w:val="00C10A00"/>
    <w:rsid w:val="00C10A53"/>
    <w:rsid w:val="00C10A80"/>
    <w:rsid w:val="00C10AC3"/>
    <w:rsid w:val="00C10AFA"/>
    <w:rsid w:val="00C10B2C"/>
    <w:rsid w:val="00C10BCC"/>
    <w:rsid w:val="00C10CD6"/>
    <w:rsid w:val="00C10D2B"/>
    <w:rsid w:val="00C10D5F"/>
    <w:rsid w:val="00C10D65"/>
    <w:rsid w:val="00C10F30"/>
    <w:rsid w:val="00C10F88"/>
    <w:rsid w:val="00C11041"/>
    <w:rsid w:val="00C111AC"/>
    <w:rsid w:val="00C11243"/>
    <w:rsid w:val="00C1124F"/>
    <w:rsid w:val="00C1128C"/>
    <w:rsid w:val="00C113F0"/>
    <w:rsid w:val="00C115A7"/>
    <w:rsid w:val="00C11739"/>
    <w:rsid w:val="00C117AA"/>
    <w:rsid w:val="00C117B9"/>
    <w:rsid w:val="00C117F8"/>
    <w:rsid w:val="00C11805"/>
    <w:rsid w:val="00C11939"/>
    <w:rsid w:val="00C11AF3"/>
    <w:rsid w:val="00C11AFC"/>
    <w:rsid w:val="00C11B1E"/>
    <w:rsid w:val="00C11BAB"/>
    <w:rsid w:val="00C11C19"/>
    <w:rsid w:val="00C11C2B"/>
    <w:rsid w:val="00C11C83"/>
    <w:rsid w:val="00C11CA0"/>
    <w:rsid w:val="00C11EC1"/>
    <w:rsid w:val="00C11ECE"/>
    <w:rsid w:val="00C11F4E"/>
    <w:rsid w:val="00C12025"/>
    <w:rsid w:val="00C1203B"/>
    <w:rsid w:val="00C12045"/>
    <w:rsid w:val="00C12067"/>
    <w:rsid w:val="00C12113"/>
    <w:rsid w:val="00C1219D"/>
    <w:rsid w:val="00C121C7"/>
    <w:rsid w:val="00C121D6"/>
    <w:rsid w:val="00C12212"/>
    <w:rsid w:val="00C1226E"/>
    <w:rsid w:val="00C122E8"/>
    <w:rsid w:val="00C122F3"/>
    <w:rsid w:val="00C1232D"/>
    <w:rsid w:val="00C12337"/>
    <w:rsid w:val="00C12353"/>
    <w:rsid w:val="00C1240D"/>
    <w:rsid w:val="00C12418"/>
    <w:rsid w:val="00C124D0"/>
    <w:rsid w:val="00C1257F"/>
    <w:rsid w:val="00C127F6"/>
    <w:rsid w:val="00C12802"/>
    <w:rsid w:val="00C128C9"/>
    <w:rsid w:val="00C1290F"/>
    <w:rsid w:val="00C12994"/>
    <w:rsid w:val="00C12A55"/>
    <w:rsid w:val="00C12A5A"/>
    <w:rsid w:val="00C12A74"/>
    <w:rsid w:val="00C12ABB"/>
    <w:rsid w:val="00C12B06"/>
    <w:rsid w:val="00C12B41"/>
    <w:rsid w:val="00C12C1F"/>
    <w:rsid w:val="00C12C2F"/>
    <w:rsid w:val="00C12D66"/>
    <w:rsid w:val="00C12DC1"/>
    <w:rsid w:val="00C12EAE"/>
    <w:rsid w:val="00C12FF4"/>
    <w:rsid w:val="00C1306D"/>
    <w:rsid w:val="00C130C0"/>
    <w:rsid w:val="00C130FA"/>
    <w:rsid w:val="00C13154"/>
    <w:rsid w:val="00C1315C"/>
    <w:rsid w:val="00C131EF"/>
    <w:rsid w:val="00C1333D"/>
    <w:rsid w:val="00C13345"/>
    <w:rsid w:val="00C13350"/>
    <w:rsid w:val="00C1339E"/>
    <w:rsid w:val="00C13418"/>
    <w:rsid w:val="00C13514"/>
    <w:rsid w:val="00C13552"/>
    <w:rsid w:val="00C13568"/>
    <w:rsid w:val="00C13599"/>
    <w:rsid w:val="00C13771"/>
    <w:rsid w:val="00C138ED"/>
    <w:rsid w:val="00C13A20"/>
    <w:rsid w:val="00C13AC0"/>
    <w:rsid w:val="00C13B96"/>
    <w:rsid w:val="00C13C92"/>
    <w:rsid w:val="00C13D6C"/>
    <w:rsid w:val="00C13D80"/>
    <w:rsid w:val="00C13D89"/>
    <w:rsid w:val="00C13F3C"/>
    <w:rsid w:val="00C13F54"/>
    <w:rsid w:val="00C13F86"/>
    <w:rsid w:val="00C13FA5"/>
    <w:rsid w:val="00C140B7"/>
    <w:rsid w:val="00C140CB"/>
    <w:rsid w:val="00C141A4"/>
    <w:rsid w:val="00C141FB"/>
    <w:rsid w:val="00C1430D"/>
    <w:rsid w:val="00C1430F"/>
    <w:rsid w:val="00C14319"/>
    <w:rsid w:val="00C14381"/>
    <w:rsid w:val="00C143AA"/>
    <w:rsid w:val="00C143BA"/>
    <w:rsid w:val="00C144C7"/>
    <w:rsid w:val="00C14583"/>
    <w:rsid w:val="00C14640"/>
    <w:rsid w:val="00C147DA"/>
    <w:rsid w:val="00C1481E"/>
    <w:rsid w:val="00C1485A"/>
    <w:rsid w:val="00C14875"/>
    <w:rsid w:val="00C148D6"/>
    <w:rsid w:val="00C1492D"/>
    <w:rsid w:val="00C149B5"/>
    <w:rsid w:val="00C149D5"/>
    <w:rsid w:val="00C14BFE"/>
    <w:rsid w:val="00C14C61"/>
    <w:rsid w:val="00C14D02"/>
    <w:rsid w:val="00C14D98"/>
    <w:rsid w:val="00C14FE1"/>
    <w:rsid w:val="00C1506E"/>
    <w:rsid w:val="00C150C3"/>
    <w:rsid w:val="00C150F4"/>
    <w:rsid w:val="00C15198"/>
    <w:rsid w:val="00C15232"/>
    <w:rsid w:val="00C1523C"/>
    <w:rsid w:val="00C15299"/>
    <w:rsid w:val="00C1538A"/>
    <w:rsid w:val="00C153B6"/>
    <w:rsid w:val="00C1541C"/>
    <w:rsid w:val="00C15441"/>
    <w:rsid w:val="00C154E0"/>
    <w:rsid w:val="00C1556D"/>
    <w:rsid w:val="00C155AD"/>
    <w:rsid w:val="00C155F4"/>
    <w:rsid w:val="00C157B2"/>
    <w:rsid w:val="00C157C0"/>
    <w:rsid w:val="00C1585B"/>
    <w:rsid w:val="00C158DA"/>
    <w:rsid w:val="00C1596F"/>
    <w:rsid w:val="00C159D7"/>
    <w:rsid w:val="00C159FC"/>
    <w:rsid w:val="00C15A48"/>
    <w:rsid w:val="00C15AEF"/>
    <w:rsid w:val="00C15B7D"/>
    <w:rsid w:val="00C15BCF"/>
    <w:rsid w:val="00C15D31"/>
    <w:rsid w:val="00C15DB2"/>
    <w:rsid w:val="00C15E06"/>
    <w:rsid w:val="00C15E37"/>
    <w:rsid w:val="00C15F04"/>
    <w:rsid w:val="00C160B9"/>
    <w:rsid w:val="00C160DC"/>
    <w:rsid w:val="00C16287"/>
    <w:rsid w:val="00C162ED"/>
    <w:rsid w:val="00C162EF"/>
    <w:rsid w:val="00C16319"/>
    <w:rsid w:val="00C16329"/>
    <w:rsid w:val="00C16376"/>
    <w:rsid w:val="00C164EC"/>
    <w:rsid w:val="00C165D1"/>
    <w:rsid w:val="00C165E3"/>
    <w:rsid w:val="00C1660A"/>
    <w:rsid w:val="00C1668D"/>
    <w:rsid w:val="00C16727"/>
    <w:rsid w:val="00C16812"/>
    <w:rsid w:val="00C1684A"/>
    <w:rsid w:val="00C16852"/>
    <w:rsid w:val="00C16903"/>
    <w:rsid w:val="00C16AB4"/>
    <w:rsid w:val="00C16C96"/>
    <w:rsid w:val="00C16DAA"/>
    <w:rsid w:val="00C16E40"/>
    <w:rsid w:val="00C16EC0"/>
    <w:rsid w:val="00C16F66"/>
    <w:rsid w:val="00C16F6D"/>
    <w:rsid w:val="00C1722E"/>
    <w:rsid w:val="00C1727B"/>
    <w:rsid w:val="00C172A2"/>
    <w:rsid w:val="00C172F3"/>
    <w:rsid w:val="00C1737B"/>
    <w:rsid w:val="00C17453"/>
    <w:rsid w:val="00C17513"/>
    <w:rsid w:val="00C1754F"/>
    <w:rsid w:val="00C1765C"/>
    <w:rsid w:val="00C17713"/>
    <w:rsid w:val="00C177DC"/>
    <w:rsid w:val="00C17924"/>
    <w:rsid w:val="00C179E6"/>
    <w:rsid w:val="00C17A8E"/>
    <w:rsid w:val="00C17C1D"/>
    <w:rsid w:val="00C17DAD"/>
    <w:rsid w:val="00C17E0C"/>
    <w:rsid w:val="00C17E19"/>
    <w:rsid w:val="00C17F52"/>
    <w:rsid w:val="00C20034"/>
    <w:rsid w:val="00C2006F"/>
    <w:rsid w:val="00C200A8"/>
    <w:rsid w:val="00C200ED"/>
    <w:rsid w:val="00C2045B"/>
    <w:rsid w:val="00C204CB"/>
    <w:rsid w:val="00C20554"/>
    <w:rsid w:val="00C206FE"/>
    <w:rsid w:val="00C2071A"/>
    <w:rsid w:val="00C208F8"/>
    <w:rsid w:val="00C2094F"/>
    <w:rsid w:val="00C209EA"/>
    <w:rsid w:val="00C20A4A"/>
    <w:rsid w:val="00C20A62"/>
    <w:rsid w:val="00C20B2A"/>
    <w:rsid w:val="00C20B7B"/>
    <w:rsid w:val="00C20C9C"/>
    <w:rsid w:val="00C20D94"/>
    <w:rsid w:val="00C20F5F"/>
    <w:rsid w:val="00C20FCA"/>
    <w:rsid w:val="00C210F8"/>
    <w:rsid w:val="00C2111D"/>
    <w:rsid w:val="00C2114F"/>
    <w:rsid w:val="00C212E6"/>
    <w:rsid w:val="00C21337"/>
    <w:rsid w:val="00C213AF"/>
    <w:rsid w:val="00C214C6"/>
    <w:rsid w:val="00C21559"/>
    <w:rsid w:val="00C2156A"/>
    <w:rsid w:val="00C215D5"/>
    <w:rsid w:val="00C21622"/>
    <w:rsid w:val="00C218F2"/>
    <w:rsid w:val="00C21952"/>
    <w:rsid w:val="00C219C2"/>
    <w:rsid w:val="00C21ABE"/>
    <w:rsid w:val="00C21CD6"/>
    <w:rsid w:val="00C21CFC"/>
    <w:rsid w:val="00C21D0C"/>
    <w:rsid w:val="00C21E92"/>
    <w:rsid w:val="00C21EE1"/>
    <w:rsid w:val="00C21F90"/>
    <w:rsid w:val="00C21FDE"/>
    <w:rsid w:val="00C22086"/>
    <w:rsid w:val="00C221CB"/>
    <w:rsid w:val="00C22206"/>
    <w:rsid w:val="00C2225D"/>
    <w:rsid w:val="00C2232B"/>
    <w:rsid w:val="00C22372"/>
    <w:rsid w:val="00C223BE"/>
    <w:rsid w:val="00C223E8"/>
    <w:rsid w:val="00C22440"/>
    <w:rsid w:val="00C22466"/>
    <w:rsid w:val="00C22492"/>
    <w:rsid w:val="00C2251C"/>
    <w:rsid w:val="00C22572"/>
    <w:rsid w:val="00C225BF"/>
    <w:rsid w:val="00C22651"/>
    <w:rsid w:val="00C226C5"/>
    <w:rsid w:val="00C22913"/>
    <w:rsid w:val="00C2298E"/>
    <w:rsid w:val="00C229E7"/>
    <w:rsid w:val="00C22A07"/>
    <w:rsid w:val="00C22A11"/>
    <w:rsid w:val="00C22AC0"/>
    <w:rsid w:val="00C22D4A"/>
    <w:rsid w:val="00C22D92"/>
    <w:rsid w:val="00C22F4D"/>
    <w:rsid w:val="00C22F82"/>
    <w:rsid w:val="00C23067"/>
    <w:rsid w:val="00C2309F"/>
    <w:rsid w:val="00C230BF"/>
    <w:rsid w:val="00C23111"/>
    <w:rsid w:val="00C2315F"/>
    <w:rsid w:val="00C231D2"/>
    <w:rsid w:val="00C2320D"/>
    <w:rsid w:val="00C2322A"/>
    <w:rsid w:val="00C2329B"/>
    <w:rsid w:val="00C23392"/>
    <w:rsid w:val="00C2339A"/>
    <w:rsid w:val="00C2339E"/>
    <w:rsid w:val="00C234A9"/>
    <w:rsid w:val="00C234B6"/>
    <w:rsid w:val="00C23544"/>
    <w:rsid w:val="00C2354E"/>
    <w:rsid w:val="00C23570"/>
    <w:rsid w:val="00C235CF"/>
    <w:rsid w:val="00C235FA"/>
    <w:rsid w:val="00C2376F"/>
    <w:rsid w:val="00C2393C"/>
    <w:rsid w:val="00C23944"/>
    <w:rsid w:val="00C23990"/>
    <w:rsid w:val="00C23A47"/>
    <w:rsid w:val="00C23BA1"/>
    <w:rsid w:val="00C23BBF"/>
    <w:rsid w:val="00C23C72"/>
    <w:rsid w:val="00C23CDC"/>
    <w:rsid w:val="00C23D7D"/>
    <w:rsid w:val="00C23E44"/>
    <w:rsid w:val="00C23E4B"/>
    <w:rsid w:val="00C23E79"/>
    <w:rsid w:val="00C23EBD"/>
    <w:rsid w:val="00C23F7F"/>
    <w:rsid w:val="00C240A5"/>
    <w:rsid w:val="00C240CF"/>
    <w:rsid w:val="00C240D9"/>
    <w:rsid w:val="00C241D1"/>
    <w:rsid w:val="00C242C8"/>
    <w:rsid w:val="00C242D1"/>
    <w:rsid w:val="00C24357"/>
    <w:rsid w:val="00C243E2"/>
    <w:rsid w:val="00C2444A"/>
    <w:rsid w:val="00C24607"/>
    <w:rsid w:val="00C24707"/>
    <w:rsid w:val="00C247D5"/>
    <w:rsid w:val="00C248B2"/>
    <w:rsid w:val="00C248B5"/>
    <w:rsid w:val="00C24A35"/>
    <w:rsid w:val="00C24B7F"/>
    <w:rsid w:val="00C24BC3"/>
    <w:rsid w:val="00C24CC3"/>
    <w:rsid w:val="00C24E2B"/>
    <w:rsid w:val="00C24F1F"/>
    <w:rsid w:val="00C24FBE"/>
    <w:rsid w:val="00C2501A"/>
    <w:rsid w:val="00C251CA"/>
    <w:rsid w:val="00C251D2"/>
    <w:rsid w:val="00C25253"/>
    <w:rsid w:val="00C25431"/>
    <w:rsid w:val="00C2547B"/>
    <w:rsid w:val="00C25550"/>
    <w:rsid w:val="00C2557D"/>
    <w:rsid w:val="00C255C9"/>
    <w:rsid w:val="00C2567A"/>
    <w:rsid w:val="00C25715"/>
    <w:rsid w:val="00C257B2"/>
    <w:rsid w:val="00C25909"/>
    <w:rsid w:val="00C25926"/>
    <w:rsid w:val="00C25936"/>
    <w:rsid w:val="00C25A00"/>
    <w:rsid w:val="00C25A1C"/>
    <w:rsid w:val="00C25BDD"/>
    <w:rsid w:val="00C25DF6"/>
    <w:rsid w:val="00C25EC1"/>
    <w:rsid w:val="00C25EE2"/>
    <w:rsid w:val="00C25FDA"/>
    <w:rsid w:val="00C260C2"/>
    <w:rsid w:val="00C2618B"/>
    <w:rsid w:val="00C2620B"/>
    <w:rsid w:val="00C2626D"/>
    <w:rsid w:val="00C262E0"/>
    <w:rsid w:val="00C262FE"/>
    <w:rsid w:val="00C263B8"/>
    <w:rsid w:val="00C2640A"/>
    <w:rsid w:val="00C2644F"/>
    <w:rsid w:val="00C26521"/>
    <w:rsid w:val="00C26561"/>
    <w:rsid w:val="00C26611"/>
    <w:rsid w:val="00C26648"/>
    <w:rsid w:val="00C26845"/>
    <w:rsid w:val="00C2685B"/>
    <w:rsid w:val="00C26A4D"/>
    <w:rsid w:val="00C26AA9"/>
    <w:rsid w:val="00C26AFF"/>
    <w:rsid w:val="00C26B1A"/>
    <w:rsid w:val="00C26B90"/>
    <w:rsid w:val="00C26BEB"/>
    <w:rsid w:val="00C26C84"/>
    <w:rsid w:val="00C26D9E"/>
    <w:rsid w:val="00C26DA2"/>
    <w:rsid w:val="00C26DD1"/>
    <w:rsid w:val="00C26E9F"/>
    <w:rsid w:val="00C26EA2"/>
    <w:rsid w:val="00C26EE3"/>
    <w:rsid w:val="00C26FFC"/>
    <w:rsid w:val="00C27059"/>
    <w:rsid w:val="00C2705A"/>
    <w:rsid w:val="00C270F3"/>
    <w:rsid w:val="00C273CD"/>
    <w:rsid w:val="00C2745F"/>
    <w:rsid w:val="00C275E5"/>
    <w:rsid w:val="00C27736"/>
    <w:rsid w:val="00C27763"/>
    <w:rsid w:val="00C27A54"/>
    <w:rsid w:val="00C27BF5"/>
    <w:rsid w:val="00C27C1A"/>
    <w:rsid w:val="00C27EFF"/>
    <w:rsid w:val="00C27F58"/>
    <w:rsid w:val="00C27F75"/>
    <w:rsid w:val="00C27FD9"/>
    <w:rsid w:val="00C27FE5"/>
    <w:rsid w:val="00C30045"/>
    <w:rsid w:val="00C30112"/>
    <w:rsid w:val="00C301E0"/>
    <w:rsid w:val="00C30261"/>
    <w:rsid w:val="00C3029B"/>
    <w:rsid w:val="00C302F2"/>
    <w:rsid w:val="00C30304"/>
    <w:rsid w:val="00C3034F"/>
    <w:rsid w:val="00C30398"/>
    <w:rsid w:val="00C303A3"/>
    <w:rsid w:val="00C30422"/>
    <w:rsid w:val="00C304A0"/>
    <w:rsid w:val="00C304DC"/>
    <w:rsid w:val="00C30548"/>
    <w:rsid w:val="00C305C0"/>
    <w:rsid w:val="00C3062B"/>
    <w:rsid w:val="00C306DF"/>
    <w:rsid w:val="00C30863"/>
    <w:rsid w:val="00C3096E"/>
    <w:rsid w:val="00C30978"/>
    <w:rsid w:val="00C30B9E"/>
    <w:rsid w:val="00C30BCD"/>
    <w:rsid w:val="00C30BE5"/>
    <w:rsid w:val="00C30BF9"/>
    <w:rsid w:val="00C30CA8"/>
    <w:rsid w:val="00C30D04"/>
    <w:rsid w:val="00C30D4C"/>
    <w:rsid w:val="00C30D62"/>
    <w:rsid w:val="00C30DF3"/>
    <w:rsid w:val="00C31020"/>
    <w:rsid w:val="00C3115A"/>
    <w:rsid w:val="00C3131A"/>
    <w:rsid w:val="00C31342"/>
    <w:rsid w:val="00C313D9"/>
    <w:rsid w:val="00C313F1"/>
    <w:rsid w:val="00C313F7"/>
    <w:rsid w:val="00C31408"/>
    <w:rsid w:val="00C314AA"/>
    <w:rsid w:val="00C315CB"/>
    <w:rsid w:val="00C31648"/>
    <w:rsid w:val="00C316F1"/>
    <w:rsid w:val="00C31731"/>
    <w:rsid w:val="00C31761"/>
    <w:rsid w:val="00C317D1"/>
    <w:rsid w:val="00C31820"/>
    <w:rsid w:val="00C3182D"/>
    <w:rsid w:val="00C31931"/>
    <w:rsid w:val="00C3196A"/>
    <w:rsid w:val="00C319D7"/>
    <w:rsid w:val="00C31A26"/>
    <w:rsid w:val="00C31AB4"/>
    <w:rsid w:val="00C31C7A"/>
    <w:rsid w:val="00C32021"/>
    <w:rsid w:val="00C3209A"/>
    <w:rsid w:val="00C320F6"/>
    <w:rsid w:val="00C32111"/>
    <w:rsid w:val="00C32131"/>
    <w:rsid w:val="00C32174"/>
    <w:rsid w:val="00C32180"/>
    <w:rsid w:val="00C32235"/>
    <w:rsid w:val="00C322BA"/>
    <w:rsid w:val="00C322BC"/>
    <w:rsid w:val="00C322E5"/>
    <w:rsid w:val="00C3237A"/>
    <w:rsid w:val="00C323E1"/>
    <w:rsid w:val="00C32435"/>
    <w:rsid w:val="00C324A3"/>
    <w:rsid w:val="00C325E4"/>
    <w:rsid w:val="00C325F1"/>
    <w:rsid w:val="00C32644"/>
    <w:rsid w:val="00C3269A"/>
    <w:rsid w:val="00C326C7"/>
    <w:rsid w:val="00C327D2"/>
    <w:rsid w:val="00C328C4"/>
    <w:rsid w:val="00C32984"/>
    <w:rsid w:val="00C32ACE"/>
    <w:rsid w:val="00C32BD4"/>
    <w:rsid w:val="00C32BFE"/>
    <w:rsid w:val="00C32C2B"/>
    <w:rsid w:val="00C32D84"/>
    <w:rsid w:val="00C32DA2"/>
    <w:rsid w:val="00C32E32"/>
    <w:rsid w:val="00C32E78"/>
    <w:rsid w:val="00C32F15"/>
    <w:rsid w:val="00C33024"/>
    <w:rsid w:val="00C33042"/>
    <w:rsid w:val="00C330A1"/>
    <w:rsid w:val="00C330B5"/>
    <w:rsid w:val="00C330F0"/>
    <w:rsid w:val="00C3323A"/>
    <w:rsid w:val="00C3326A"/>
    <w:rsid w:val="00C332FB"/>
    <w:rsid w:val="00C333A3"/>
    <w:rsid w:val="00C334C8"/>
    <w:rsid w:val="00C33551"/>
    <w:rsid w:val="00C3362D"/>
    <w:rsid w:val="00C33655"/>
    <w:rsid w:val="00C33720"/>
    <w:rsid w:val="00C338FF"/>
    <w:rsid w:val="00C3393B"/>
    <w:rsid w:val="00C33AB9"/>
    <w:rsid w:val="00C33BB4"/>
    <w:rsid w:val="00C33C1C"/>
    <w:rsid w:val="00C33C20"/>
    <w:rsid w:val="00C33CF9"/>
    <w:rsid w:val="00C33E56"/>
    <w:rsid w:val="00C33E6A"/>
    <w:rsid w:val="00C33F18"/>
    <w:rsid w:val="00C33F25"/>
    <w:rsid w:val="00C33F42"/>
    <w:rsid w:val="00C340BB"/>
    <w:rsid w:val="00C34196"/>
    <w:rsid w:val="00C34241"/>
    <w:rsid w:val="00C34260"/>
    <w:rsid w:val="00C342A0"/>
    <w:rsid w:val="00C3432A"/>
    <w:rsid w:val="00C34408"/>
    <w:rsid w:val="00C34477"/>
    <w:rsid w:val="00C34478"/>
    <w:rsid w:val="00C34520"/>
    <w:rsid w:val="00C345B7"/>
    <w:rsid w:val="00C34645"/>
    <w:rsid w:val="00C346B9"/>
    <w:rsid w:val="00C346DA"/>
    <w:rsid w:val="00C34783"/>
    <w:rsid w:val="00C347FB"/>
    <w:rsid w:val="00C34817"/>
    <w:rsid w:val="00C34979"/>
    <w:rsid w:val="00C349BE"/>
    <w:rsid w:val="00C34AB9"/>
    <w:rsid w:val="00C34B73"/>
    <w:rsid w:val="00C34BB1"/>
    <w:rsid w:val="00C34C41"/>
    <w:rsid w:val="00C34C43"/>
    <w:rsid w:val="00C34CED"/>
    <w:rsid w:val="00C34DBB"/>
    <w:rsid w:val="00C34E5C"/>
    <w:rsid w:val="00C34FC2"/>
    <w:rsid w:val="00C34FC4"/>
    <w:rsid w:val="00C350C5"/>
    <w:rsid w:val="00C351C8"/>
    <w:rsid w:val="00C35381"/>
    <w:rsid w:val="00C35446"/>
    <w:rsid w:val="00C35466"/>
    <w:rsid w:val="00C3555F"/>
    <w:rsid w:val="00C35656"/>
    <w:rsid w:val="00C3598B"/>
    <w:rsid w:val="00C35A09"/>
    <w:rsid w:val="00C35A2B"/>
    <w:rsid w:val="00C35A46"/>
    <w:rsid w:val="00C35B8A"/>
    <w:rsid w:val="00C35B9A"/>
    <w:rsid w:val="00C35C2E"/>
    <w:rsid w:val="00C35D99"/>
    <w:rsid w:val="00C35DD5"/>
    <w:rsid w:val="00C35E2D"/>
    <w:rsid w:val="00C35EEA"/>
    <w:rsid w:val="00C3600E"/>
    <w:rsid w:val="00C360EE"/>
    <w:rsid w:val="00C3618F"/>
    <w:rsid w:val="00C362A6"/>
    <w:rsid w:val="00C362F3"/>
    <w:rsid w:val="00C36304"/>
    <w:rsid w:val="00C36378"/>
    <w:rsid w:val="00C3645B"/>
    <w:rsid w:val="00C36496"/>
    <w:rsid w:val="00C364C1"/>
    <w:rsid w:val="00C36527"/>
    <w:rsid w:val="00C3656B"/>
    <w:rsid w:val="00C365C8"/>
    <w:rsid w:val="00C365FD"/>
    <w:rsid w:val="00C36645"/>
    <w:rsid w:val="00C3665C"/>
    <w:rsid w:val="00C366DA"/>
    <w:rsid w:val="00C3670D"/>
    <w:rsid w:val="00C3672D"/>
    <w:rsid w:val="00C368AB"/>
    <w:rsid w:val="00C368D5"/>
    <w:rsid w:val="00C36959"/>
    <w:rsid w:val="00C3696E"/>
    <w:rsid w:val="00C369EB"/>
    <w:rsid w:val="00C36A42"/>
    <w:rsid w:val="00C36A9F"/>
    <w:rsid w:val="00C36BD3"/>
    <w:rsid w:val="00C36BDB"/>
    <w:rsid w:val="00C36C06"/>
    <w:rsid w:val="00C36CE7"/>
    <w:rsid w:val="00C36D10"/>
    <w:rsid w:val="00C36D1D"/>
    <w:rsid w:val="00C36D7B"/>
    <w:rsid w:val="00C36DF7"/>
    <w:rsid w:val="00C36E44"/>
    <w:rsid w:val="00C36F2D"/>
    <w:rsid w:val="00C36F6E"/>
    <w:rsid w:val="00C36FED"/>
    <w:rsid w:val="00C3704C"/>
    <w:rsid w:val="00C37093"/>
    <w:rsid w:val="00C370B0"/>
    <w:rsid w:val="00C370EA"/>
    <w:rsid w:val="00C371B4"/>
    <w:rsid w:val="00C371C3"/>
    <w:rsid w:val="00C3726B"/>
    <w:rsid w:val="00C372F3"/>
    <w:rsid w:val="00C3740B"/>
    <w:rsid w:val="00C374C4"/>
    <w:rsid w:val="00C374DE"/>
    <w:rsid w:val="00C3753E"/>
    <w:rsid w:val="00C3759A"/>
    <w:rsid w:val="00C37626"/>
    <w:rsid w:val="00C3768E"/>
    <w:rsid w:val="00C3771F"/>
    <w:rsid w:val="00C37770"/>
    <w:rsid w:val="00C37773"/>
    <w:rsid w:val="00C378CC"/>
    <w:rsid w:val="00C379C2"/>
    <w:rsid w:val="00C379C3"/>
    <w:rsid w:val="00C37B9D"/>
    <w:rsid w:val="00C37C6D"/>
    <w:rsid w:val="00C37CA8"/>
    <w:rsid w:val="00C37DB1"/>
    <w:rsid w:val="00C37E3F"/>
    <w:rsid w:val="00C37FC2"/>
    <w:rsid w:val="00C400A5"/>
    <w:rsid w:val="00C40133"/>
    <w:rsid w:val="00C4018D"/>
    <w:rsid w:val="00C40312"/>
    <w:rsid w:val="00C4046D"/>
    <w:rsid w:val="00C404A0"/>
    <w:rsid w:val="00C40619"/>
    <w:rsid w:val="00C40728"/>
    <w:rsid w:val="00C4072F"/>
    <w:rsid w:val="00C4073F"/>
    <w:rsid w:val="00C40835"/>
    <w:rsid w:val="00C40933"/>
    <w:rsid w:val="00C409E2"/>
    <w:rsid w:val="00C40ABD"/>
    <w:rsid w:val="00C40DD1"/>
    <w:rsid w:val="00C40E5A"/>
    <w:rsid w:val="00C40E9B"/>
    <w:rsid w:val="00C40ED6"/>
    <w:rsid w:val="00C40F88"/>
    <w:rsid w:val="00C41020"/>
    <w:rsid w:val="00C41240"/>
    <w:rsid w:val="00C4126A"/>
    <w:rsid w:val="00C412B7"/>
    <w:rsid w:val="00C4139B"/>
    <w:rsid w:val="00C41418"/>
    <w:rsid w:val="00C4143C"/>
    <w:rsid w:val="00C41464"/>
    <w:rsid w:val="00C41489"/>
    <w:rsid w:val="00C41495"/>
    <w:rsid w:val="00C414C6"/>
    <w:rsid w:val="00C41609"/>
    <w:rsid w:val="00C41628"/>
    <w:rsid w:val="00C4162D"/>
    <w:rsid w:val="00C41701"/>
    <w:rsid w:val="00C41862"/>
    <w:rsid w:val="00C41A95"/>
    <w:rsid w:val="00C41AD7"/>
    <w:rsid w:val="00C41BEB"/>
    <w:rsid w:val="00C41C39"/>
    <w:rsid w:val="00C41C86"/>
    <w:rsid w:val="00C41D29"/>
    <w:rsid w:val="00C41DEF"/>
    <w:rsid w:val="00C41DF3"/>
    <w:rsid w:val="00C41E2A"/>
    <w:rsid w:val="00C41F2F"/>
    <w:rsid w:val="00C41F62"/>
    <w:rsid w:val="00C41FB6"/>
    <w:rsid w:val="00C4203F"/>
    <w:rsid w:val="00C420BF"/>
    <w:rsid w:val="00C42132"/>
    <w:rsid w:val="00C4213A"/>
    <w:rsid w:val="00C4213F"/>
    <w:rsid w:val="00C42199"/>
    <w:rsid w:val="00C421CD"/>
    <w:rsid w:val="00C421D6"/>
    <w:rsid w:val="00C422EC"/>
    <w:rsid w:val="00C4231A"/>
    <w:rsid w:val="00C42361"/>
    <w:rsid w:val="00C42473"/>
    <w:rsid w:val="00C424F8"/>
    <w:rsid w:val="00C4264E"/>
    <w:rsid w:val="00C426D2"/>
    <w:rsid w:val="00C42744"/>
    <w:rsid w:val="00C4280A"/>
    <w:rsid w:val="00C428D0"/>
    <w:rsid w:val="00C42939"/>
    <w:rsid w:val="00C429EC"/>
    <w:rsid w:val="00C42BAC"/>
    <w:rsid w:val="00C42E4F"/>
    <w:rsid w:val="00C42F6F"/>
    <w:rsid w:val="00C42F9C"/>
    <w:rsid w:val="00C42FC7"/>
    <w:rsid w:val="00C4308B"/>
    <w:rsid w:val="00C430A0"/>
    <w:rsid w:val="00C430DF"/>
    <w:rsid w:val="00C43151"/>
    <w:rsid w:val="00C43169"/>
    <w:rsid w:val="00C431DB"/>
    <w:rsid w:val="00C4326D"/>
    <w:rsid w:val="00C433AD"/>
    <w:rsid w:val="00C43430"/>
    <w:rsid w:val="00C4344C"/>
    <w:rsid w:val="00C4352F"/>
    <w:rsid w:val="00C43539"/>
    <w:rsid w:val="00C4355D"/>
    <w:rsid w:val="00C436F4"/>
    <w:rsid w:val="00C4371A"/>
    <w:rsid w:val="00C437AA"/>
    <w:rsid w:val="00C437EA"/>
    <w:rsid w:val="00C43822"/>
    <w:rsid w:val="00C43879"/>
    <w:rsid w:val="00C438BF"/>
    <w:rsid w:val="00C4391A"/>
    <w:rsid w:val="00C43A98"/>
    <w:rsid w:val="00C43AB5"/>
    <w:rsid w:val="00C43B66"/>
    <w:rsid w:val="00C43E1D"/>
    <w:rsid w:val="00C43F1A"/>
    <w:rsid w:val="00C44111"/>
    <w:rsid w:val="00C44141"/>
    <w:rsid w:val="00C4426B"/>
    <w:rsid w:val="00C44293"/>
    <w:rsid w:val="00C442F6"/>
    <w:rsid w:val="00C44470"/>
    <w:rsid w:val="00C4487C"/>
    <w:rsid w:val="00C44AD9"/>
    <w:rsid w:val="00C44B40"/>
    <w:rsid w:val="00C44B97"/>
    <w:rsid w:val="00C44BB6"/>
    <w:rsid w:val="00C44BD2"/>
    <w:rsid w:val="00C44C0C"/>
    <w:rsid w:val="00C44C1A"/>
    <w:rsid w:val="00C44D27"/>
    <w:rsid w:val="00C44DFC"/>
    <w:rsid w:val="00C44E47"/>
    <w:rsid w:val="00C44E79"/>
    <w:rsid w:val="00C44EAD"/>
    <w:rsid w:val="00C44F17"/>
    <w:rsid w:val="00C44F2A"/>
    <w:rsid w:val="00C44F7A"/>
    <w:rsid w:val="00C4521A"/>
    <w:rsid w:val="00C45436"/>
    <w:rsid w:val="00C4546A"/>
    <w:rsid w:val="00C45499"/>
    <w:rsid w:val="00C454C4"/>
    <w:rsid w:val="00C454CE"/>
    <w:rsid w:val="00C45507"/>
    <w:rsid w:val="00C4553C"/>
    <w:rsid w:val="00C455B3"/>
    <w:rsid w:val="00C45601"/>
    <w:rsid w:val="00C45692"/>
    <w:rsid w:val="00C4570D"/>
    <w:rsid w:val="00C45728"/>
    <w:rsid w:val="00C457AA"/>
    <w:rsid w:val="00C4581B"/>
    <w:rsid w:val="00C45949"/>
    <w:rsid w:val="00C45966"/>
    <w:rsid w:val="00C45970"/>
    <w:rsid w:val="00C45B72"/>
    <w:rsid w:val="00C45C12"/>
    <w:rsid w:val="00C45C78"/>
    <w:rsid w:val="00C45CA0"/>
    <w:rsid w:val="00C45F2F"/>
    <w:rsid w:val="00C45F5A"/>
    <w:rsid w:val="00C45FC4"/>
    <w:rsid w:val="00C46011"/>
    <w:rsid w:val="00C4603A"/>
    <w:rsid w:val="00C4607D"/>
    <w:rsid w:val="00C461D0"/>
    <w:rsid w:val="00C46251"/>
    <w:rsid w:val="00C46259"/>
    <w:rsid w:val="00C46261"/>
    <w:rsid w:val="00C4634F"/>
    <w:rsid w:val="00C463EE"/>
    <w:rsid w:val="00C4643F"/>
    <w:rsid w:val="00C46526"/>
    <w:rsid w:val="00C465E3"/>
    <w:rsid w:val="00C465EB"/>
    <w:rsid w:val="00C4669C"/>
    <w:rsid w:val="00C4673A"/>
    <w:rsid w:val="00C46765"/>
    <w:rsid w:val="00C4681F"/>
    <w:rsid w:val="00C46993"/>
    <w:rsid w:val="00C469C9"/>
    <w:rsid w:val="00C46A42"/>
    <w:rsid w:val="00C46A61"/>
    <w:rsid w:val="00C46A82"/>
    <w:rsid w:val="00C46AE0"/>
    <w:rsid w:val="00C46BB1"/>
    <w:rsid w:val="00C46C06"/>
    <w:rsid w:val="00C46D18"/>
    <w:rsid w:val="00C46D1F"/>
    <w:rsid w:val="00C46EB0"/>
    <w:rsid w:val="00C46F62"/>
    <w:rsid w:val="00C47295"/>
    <w:rsid w:val="00C472EE"/>
    <w:rsid w:val="00C4732E"/>
    <w:rsid w:val="00C47426"/>
    <w:rsid w:val="00C474C5"/>
    <w:rsid w:val="00C4752C"/>
    <w:rsid w:val="00C47534"/>
    <w:rsid w:val="00C47550"/>
    <w:rsid w:val="00C47578"/>
    <w:rsid w:val="00C47588"/>
    <w:rsid w:val="00C475E9"/>
    <w:rsid w:val="00C475ED"/>
    <w:rsid w:val="00C475F8"/>
    <w:rsid w:val="00C4777B"/>
    <w:rsid w:val="00C477E7"/>
    <w:rsid w:val="00C47831"/>
    <w:rsid w:val="00C47886"/>
    <w:rsid w:val="00C47A1D"/>
    <w:rsid w:val="00C47D56"/>
    <w:rsid w:val="00C47EB8"/>
    <w:rsid w:val="00C47EEC"/>
    <w:rsid w:val="00C47F1F"/>
    <w:rsid w:val="00C47F40"/>
    <w:rsid w:val="00C500DC"/>
    <w:rsid w:val="00C501FF"/>
    <w:rsid w:val="00C502FF"/>
    <w:rsid w:val="00C50447"/>
    <w:rsid w:val="00C50457"/>
    <w:rsid w:val="00C5048D"/>
    <w:rsid w:val="00C504D6"/>
    <w:rsid w:val="00C50592"/>
    <w:rsid w:val="00C505EF"/>
    <w:rsid w:val="00C50609"/>
    <w:rsid w:val="00C50669"/>
    <w:rsid w:val="00C506E3"/>
    <w:rsid w:val="00C5072A"/>
    <w:rsid w:val="00C5076F"/>
    <w:rsid w:val="00C50797"/>
    <w:rsid w:val="00C50856"/>
    <w:rsid w:val="00C50875"/>
    <w:rsid w:val="00C5098A"/>
    <w:rsid w:val="00C509A7"/>
    <w:rsid w:val="00C50A26"/>
    <w:rsid w:val="00C50A73"/>
    <w:rsid w:val="00C50AE1"/>
    <w:rsid w:val="00C50D45"/>
    <w:rsid w:val="00C50DF7"/>
    <w:rsid w:val="00C50E34"/>
    <w:rsid w:val="00C50EDC"/>
    <w:rsid w:val="00C50F86"/>
    <w:rsid w:val="00C5102B"/>
    <w:rsid w:val="00C5110E"/>
    <w:rsid w:val="00C51129"/>
    <w:rsid w:val="00C511C4"/>
    <w:rsid w:val="00C511CB"/>
    <w:rsid w:val="00C51329"/>
    <w:rsid w:val="00C513EA"/>
    <w:rsid w:val="00C514FC"/>
    <w:rsid w:val="00C51584"/>
    <w:rsid w:val="00C51748"/>
    <w:rsid w:val="00C51829"/>
    <w:rsid w:val="00C51851"/>
    <w:rsid w:val="00C51885"/>
    <w:rsid w:val="00C518B2"/>
    <w:rsid w:val="00C51B3F"/>
    <w:rsid w:val="00C51C16"/>
    <w:rsid w:val="00C51C31"/>
    <w:rsid w:val="00C51C3E"/>
    <w:rsid w:val="00C51C79"/>
    <w:rsid w:val="00C51D58"/>
    <w:rsid w:val="00C51D60"/>
    <w:rsid w:val="00C51F25"/>
    <w:rsid w:val="00C51F94"/>
    <w:rsid w:val="00C5204D"/>
    <w:rsid w:val="00C522C5"/>
    <w:rsid w:val="00C52372"/>
    <w:rsid w:val="00C52379"/>
    <w:rsid w:val="00C523A9"/>
    <w:rsid w:val="00C523AA"/>
    <w:rsid w:val="00C524CF"/>
    <w:rsid w:val="00C524F9"/>
    <w:rsid w:val="00C5261B"/>
    <w:rsid w:val="00C52631"/>
    <w:rsid w:val="00C5264C"/>
    <w:rsid w:val="00C5266C"/>
    <w:rsid w:val="00C526D1"/>
    <w:rsid w:val="00C52709"/>
    <w:rsid w:val="00C52752"/>
    <w:rsid w:val="00C52797"/>
    <w:rsid w:val="00C52937"/>
    <w:rsid w:val="00C529C6"/>
    <w:rsid w:val="00C52AD4"/>
    <w:rsid w:val="00C52B89"/>
    <w:rsid w:val="00C52D86"/>
    <w:rsid w:val="00C52DE7"/>
    <w:rsid w:val="00C52E6B"/>
    <w:rsid w:val="00C52F24"/>
    <w:rsid w:val="00C52FE6"/>
    <w:rsid w:val="00C52FF8"/>
    <w:rsid w:val="00C53148"/>
    <w:rsid w:val="00C531C9"/>
    <w:rsid w:val="00C531DF"/>
    <w:rsid w:val="00C53228"/>
    <w:rsid w:val="00C53313"/>
    <w:rsid w:val="00C5339C"/>
    <w:rsid w:val="00C533E5"/>
    <w:rsid w:val="00C53400"/>
    <w:rsid w:val="00C53446"/>
    <w:rsid w:val="00C534DE"/>
    <w:rsid w:val="00C53540"/>
    <w:rsid w:val="00C53605"/>
    <w:rsid w:val="00C53615"/>
    <w:rsid w:val="00C53783"/>
    <w:rsid w:val="00C5390B"/>
    <w:rsid w:val="00C539B2"/>
    <w:rsid w:val="00C539FF"/>
    <w:rsid w:val="00C53B1E"/>
    <w:rsid w:val="00C53C42"/>
    <w:rsid w:val="00C53C8A"/>
    <w:rsid w:val="00C53D39"/>
    <w:rsid w:val="00C53DE7"/>
    <w:rsid w:val="00C53E71"/>
    <w:rsid w:val="00C53E8C"/>
    <w:rsid w:val="00C53F48"/>
    <w:rsid w:val="00C53F66"/>
    <w:rsid w:val="00C53F90"/>
    <w:rsid w:val="00C540B9"/>
    <w:rsid w:val="00C54458"/>
    <w:rsid w:val="00C54507"/>
    <w:rsid w:val="00C54533"/>
    <w:rsid w:val="00C5458A"/>
    <w:rsid w:val="00C545D6"/>
    <w:rsid w:val="00C5462B"/>
    <w:rsid w:val="00C54710"/>
    <w:rsid w:val="00C5483C"/>
    <w:rsid w:val="00C5485B"/>
    <w:rsid w:val="00C54932"/>
    <w:rsid w:val="00C5499C"/>
    <w:rsid w:val="00C549A5"/>
    <w:rsid w:val="00C549CA"/>
    <w:rsid w:val="00C54AEA"/>
    <w:rsid w:val="00C54C01"/>
    <w:rsid w:val="00C54D38"/>
    <w:rsid w:val="00C54D40"/>
    <w:rsid w:val="00C54D48"/>
    <w:rsid w:val="00C54D6D"/>
    <w:rsid w:val="00C54F9C"/>
    <w:rsid w:val="00C550F8"/>
    <w:rsid w:val="00C551F8"/>
    <w:rsid w:val="00C55222"/>
    <w:rsid w:val="00C55230"/>
    <w:rsid w:val="00C55261"/>
    <w:rsid w:val="00C5539A"/>
    <w:rsid w:val="00C554A2"/>
    <w:rsid w:val="00C5553A"/>
    <w:rsid w:val="00C556B0"/>
    <w:rsid w:val="00C556E2"/>
    <w:rsid w:val="00C55743"/>
    <w:rsid w:val="00C557DD"/>
    <w:rsid w:val="00C557E2"/>
    <w:rsid w:val="00C558A7"/>
    <w:rsid w:val="00C558C5"/>
    <w:rsid w:val="00C55A62"/>
    <w:rsid w:val="00C55AEF"/>
    <w:rsid w:val="00C55AFB"/>
    <w:rsid w:val="00C55BDE"/>
    <w:rsid w:val="00C55C45"/>
    <w:rsid w:val="00C55E04"/>
    <w:rsid w:val="00C55EE5"/>
    <w:rsid w:val="00C55EF0"/>
    <w:rsid w:val="00C55F21"/>
    <w:rsid w:val="00C55F2B"/>
    <w:rsid w:val="00C55F97"/>
    <w:rsid w:val="00C55FDB"/>
    <w:rsid w:val="00C5602D"/>
    <w:rsid w:val="00C56223"/>
    <w:rsid w:val="00C5624E"/>
    <w:rsid w:val="00C563A5"/>
    <w:rsid w:val="00C563D2"/>
    <w:rsid w:val="00C56484"/>
    <w:rsid w:val="00C56518"/>
    <w:rsid w:val="00C56639"/>
    <w:rsid w:val="00C566C8"/>
    <w:rsid w:val="00C569F6"/>
    <w:rsid w:val="00C56B4B"/>
    <w:rsid w:val="00C56B8A"/>
    <w:rsid w:val="00C56B9C"/>
    <w:rsid w:val="00C56BAD"/>
    <w:rsid w:val="00C56C06"/>
    <w:rsid w:val="00C56D57"/>
    <w:rsid w:val="00C56D93"/>
    <w:rsid w:val="00C56DB9"/>
    <w:rsid w:val="00C56DD3"/>
    <w:rsid w:val="00C56E13"/>
    <w:rsid w:val="00C56E1D"/>
    <w:rsid w:val="00C56E45"/>
    <w:rsid w:val="00C56EE2"/>
    <w:rsid w:val="00C56F26"/>
    <w:rsid w:val="00C56F59"/>
    <w:rsid w:val="00C570ED"/>
    <w:rsid w:val="00C572BB"/>
    <w:rsid w:val="00C57311"/>
    <w:rsid w:val="00C57378"/>
    <w:rsid w:val="00C573B3"/>
    <w:rsid w:val="00C57531"/>
    <w:rsid w:val="00C575E7"/>
    <w:rsid w:val="00C576D7"/>
    <w:rsid w:val="00C57848"/>
    <w:rsid w:val="00C57948"/>
    <w:rsid w:val="00C579F9"/>
    <w:rsid w:val="00C57A55"/>
    <w:rsid w:val="00C57ADA"/>
    <w:rsid w:val="00C57B1A"/>
    <w:rsid w:val="00C57B37"/>
    <w:rsid w:val="00C57B60"/>
    <w:rsid w:val="00C57B66"/>
    <w:rsid w:val="00C57BBA"/>
    <w:rsid w:val="00C57BDF"/>
    <w:rsid w:val="00C57C00"/>
    <w:rsid w:val="00C57C24"/>
    <w:rsid w:val="00C57C3A"/>
    <w:rsid w:val="00C57CB5"/>
    <w:rsid w:val="00C57CEF"/>
    <w:rsid w:val="00C57FDC"/>
    <w:rsid w:val="00C57FF4"/>
    <w:rsid w:val="00C57FF5"/>
    <w:rsid w:val="00C601C9"/>
    <w:rsid w:val="00C601E9"/>
    <w:rsid w:val="00C60219"/>
    <w:rsid w:val="00C60346"/>
    <w:rsid w:val="00C60371"/>
    <w:rsid w:val="00C60373"/>
    <w:rsid w:val="00C6039D"/>
    <w:rsid w:val="00C603BF"/>
    <w:rsid w:val="00C603CA"/>
    <w:rsid w:val="00C603F9"/>
    <w:rsid w:val="00C60423"/>
    <w:rsid w:val="00C60465"/>
    <w:rsid w:val="00C60570"/>
    <w:rsid w:val="00C60674"/>
    <w:rsid w:val="00C6076B"/>
    <w:rsid w:val="00C60802"/>
    <w:rsid w:val="00C6093A"/>
    <w:rsid w:val="00C60A47"/>
    <w:rsid w:val="00C60AD6"/>
    <w:rsid w:val="00C60B2E"/>
    <w:rsid w:val="00C60BCE"/>
    <w:rsid w:val="00C60C0E"/>
    <w:rsid w:val="00C60D35"/>
    <w:rsid w:val="00C60D92"/>
    <w:rsid w:val="00C60DCB"/>
    <w:rsid w:val="00C60E11"/>
    <w:rsid w:val="00C60E3B"/>
    <w:rsid w:val="00C60E6A"/>
    <w:rsid w:val="00C60EBE"/>
    <w:rsid w:val="00C61004"/>
    <w:rsid w:val="00C6104F"/>
    <w:rsid w:val="00C610EB"/>
    <w:rsid w:val="00C611D0"/>
    <w:rsid w:val="00C611D7"/>
    <w:rsid w:val="00C61202"/>
    <w:rsid w:val="00C61245"/>
    <w:rsid w:val="00C612B1"/>
    <w:rsid w:val="00C6130A"/>
    <w:rsid w:val="00C614A5"/>
    <w:rsid w:val="00C6166D"/>
    <w:rsid w:val="00C616F4"/>
    <w:rsid w:val="00C6171A"/>
    <w:rsid w:val="00C61960"/>
    <w:rsid w:val="00C61AC6"/>
    <w:rsid w:val="00C61B42"/>
    <w:rsid w:val="00C61B4E"/>
    <w:rsid w:val="00C61B5B"/>
    <w:rsid w:val="00C61B6A"/>
    <w:rsid w:val="00C61B7A"/>
    <w:rsid w:val="00C61B8A"/>
    <w:rsid w:val="00C61BCD"/>
    <w:rsid w:val="00C61C3E"/>
    <w:rsid w:val="00C61C5D"/>
    <w:rsid w:val="00C61CC3"/>
    <w:rsid w:val="00C61CFE"/>
    <w:rsid w:val="00C61FCC"/>
    <w:rsid w:val="00C62073"/>
    <w:rsid w:val="00C620AE"/>
    <w:rsid w:val="00C620D5"/>
    <w:rsid w:val="00C62124"/>
    <w:rsid w:val="00C6216E"/>
    <w:rsid w:val="00C624BD"/>
    <w:rsid w:val="00C62551"/>
    <w:rsid w:val="00C62612"/>
    <w:rsid w:val="00C62636"/>
    <w:rsid w:val="00C6276E"/>
    <w:rsid w:val="00C62806"/>
    <w:rsid w:val="00C628EA"/>
    <w:rsid w:val="00C62921"/>
    <w:rsid w:val="00C62961"/>
    <w:rsid w:val="00C629C4"/>
    <w:rsid w:val="00C62AB8"/>
    <w:rsid w:val="00C62DF3"/>
    <w:rsid w:val="00C62E36"/>
    <w:rsid w:val="00C62E47"/>
    <w:rsid w:val="00C62E51"/>
    <w:rsid w:val="00C62E6A"/>
    <w:rsid w:val="00C62F7B"/>
    <w:rsid w:val="00C62FE8"/>
    <w:rsid w:val="00C630CD"/>
    <w:rsid w:val="00C6315C"/>
    <w:rsid w:val="00C63389"/>
    <w:rsid w:val="00C6346E"/>
    <w:rsid w:val="00C63499"/>
    <w:rsid w:val="00C6380A"/>
    <w:rsid w:val="00C63833"/>
    <w:rsid w:val="00C638D9"/>
    <w:rsid w:val="00C63940"/>
    <w:rsid w:val="00C63B3F"/>
    <w:rsid w:val="00C63BDE"/>
    <w:rsid w:val="00C63BEA"/>
    <w:rsid w:val="00C63C75"/>
    <w:rsid w:val="00C63E57"/>
    <w:rsid w:val="00C63F51"/>
    <w:rsid w:val="00C64280"/>
    <w:rsid w:val="00C642E6"/>
    <w:rsid w:val="00C6435F"/>
    <w:rsid w:val="00C64394"/>
    <w:rsid w:val="00C6444C"/>
    <w:rsid w:val="00C644D6"/>
    <w:rsid w:val="00C64523"/>
    <w:rsid w:val="00C6454C"/>
    <w:rsid w:val="00C64571"/>
    <w:rsid w:val="00C645CA"/>
    <w:rsid w:val="00C64608"/>
    <w:rsid w:val="00C6467B"/>
    <w:rsid w:val="00C6468B"/>
    <w:rsid w:val="00C646B4"/>
    <w:rsid w:val="00C647B4"/>
    <w:rsid w:val="00C648B8"/>
    <w:rsid w:val="00C648E5"/>
    <w:rsid w:val="00C648EC"/>
    <w:rsid w:val="00C64C11"/>
    <w:rsid w:val="00C64CD6"/>
    <w:rsid w:val="00C64D29"/>
    <w:rsid w:val="00C64EDA"/>
    <w:rsid w:val="00C64F1B"/>
    <w:rsid w:val="00C64F8C"/>
    <w:rsid w:val="00C65080"/>
    <w:rsid w:val="00C650B7"/>
    <w:rsid w:val="00C6510C"/>
    <w:rsid w:val="00C65112"/>
    <w:rsid w:val="00C651B2"/>
    <w:rsid w:val="00C65399"/>
    <w:rsid w:val="00C6548F"/>
    <w:rsid w:val="00C65559"/>
    <w:rsid w:val="00C6557A"/>
    <w:rsid w:val="00C6560C"/>
    <w:rsid w:val="00C6566F"/>
    <w:rsid w:val="00C6570D"/>
    <w:rsid w:val="00C65758"/>
    <w:rsid w:val="00C658C8"/>
    <w:rsid w:val="00C658E3"/>
    <w:rsid w:val="00C658FE"/>
    <w:rsid w:val="00C6598E"/>
    <w:rsid w:val="00C65A28"/>
    <w:rsid w:val="00C65A5D"/>
    <w:rsid w:val="00C65B29"/>
    <w:rsid w:val="00C65BAD"/>
    <w:rsid w:val="00C65C1D"/>
    <w:rsid w:val="00C65C31"/>
    <w:rsid w:val="00C65C6F"/>
    <w:rsid w:val="00C65CCA"/>
    <w:rsid w:val="00C65F3C"/>
    <w:rsid w:val="00C65F43"/>
    <w:rsid w:val="00C66059"/>
    <w:rsid w:val="00C66157"/>
    <w:rsid w:val="00C66187"/>
    <w:rsid w:val="00C662F8"/>
    <w:rsid w:val="00C662FA"/>
    <w:rsid w:val="00C663DF"/>
    <w:rsid w:val="00C663F9"/>
    <w:rsid w:val="00C66484"/>
    <w:rsid w:val="00C664FC"/>
    <w:rsid w:val="00C665CF"/>
    <w:rsid w:val="00C66665"/>
    <w:rsid w:val="00C667ED"/>
    <w:rsid w:val="00C6697B"/>
    <w:rsid w:val="00C669B7"/>
    <w:rsid w:val="00C669F1"/>
    <w:rsid w:val="00C66B49"/>
    <w:rsid w:val="00C66B72"/>
    <w:rsid w:val="00C66B8C"/>
    <w:rsid w:val="00C66C34"/>
    <w:rsid w:val="00C66D2A"/>
    <w:rsid w:val="00C66D96"/>
    <w:rsid w:val="00C66E3B"/>
    <w:rsid w:val="00C66ED0"/>
    <w:rsid w:val="00C66F3C"/>
    <w:rsid w:val="00C67073"/>
    <w:rsid w:val="00C67090"/>
    <w:rsid w:val="00C67213"/>
    <w:rsid w:val="00C6724B"/>
    <w:rsid w:val="00C67282"/>
    <w:rsid w:val="00C672AF"/>
    <w:rsid w:val="00C672E7"/>
    <w:rsid w:val="00C67394"/>
    <w:rsid w:val="00C67456"/>
    <w:rsid w:val="00C67581"/>
    <w:rsid w:val="00C675F8"/>
    <w:rsid w:val="00C6762D"/>
    <w:rsid w:val="00C676B0"/>
    <w:rsid w:val="00C676E3"/>
    <w:rsid w:val="00C6772D"/>
    <w:rsid w:val="00C6775F"/>
    <w:rsid w:val="00C677A9"/>
    <w:rsid w:val="00C677AF"/>
    <w:rsid w:val="00C678B7"/>
    <w:rsid w:val="00C67AA3"/>
    <w:rsid w:val="00C67AA7"/>
    <w:rsid w:val="00C67ADB"/>
    <w:rsid w:val="00C67B18"/>
    <w:rsid w:val="00C67BCA"/>
    <w:rsid w:val="00C67BD7"/>
    <w:rsid w:val="00C67C48"/>
    <w:rsid w:val="00C67C59"/>
    <w:rsid w:val="00C67CAB"/>
    <w:rsid w:val="00C67D5B"/>
    <w:rsid w:val="00C67D78"/>
    <w:rsid w:val="00C67E3A"/>
    <w:rsid w:val="00C67E5B"/>
    <w:rsid w:val="00C67EFC"/>
    <w:rsid w:val="00C67F3A"/>
    <w:rsid w:val="00C70017"/>
    <w:rsid w:val="00C7008B"/>
    <w:rsid w:val="00C700B8"/>
    <w:rsid w:val="00C701E4"/>
    <w:rsid w:val="00C702C7"/>
    <w:rsid w:val="00C70304"/>
    <w:rsid w:val="00C70370"/>
    <w:rsid w:val="00C703C4"/>
    <w:rsid w:val="00C7044D"/>
    <w:rsid w:val="00C704B2"/>
    <w:rsid w:val="00C704CC"/>
    <w:rsid w:val="00C70506"/>
    <w:rsid w:val="00C705D8"/>
    <w:rsid w:val="00C7060B"/>
    <w:rsid w:val="00C70623"/>
    <w:rsid w:val="00C706FF"/>
    <w:rsid w:val="00C707BB"/>
    <w:rsid w:val="00C70818"/>
    <w:rsid w:val="00C708FA"/>
    <w:rsid w:val="00C70953"/>
    <w:rsid w:val="00C70A41"/>
    <w:rsid w:val="00C70A48"/>
    <w:rsid w:val="00C70B4F"/>
    <w:rsid w:val="00C70D09"/>
    <w:rsid w:val="00C70D0F"/>
    <w:rsid w:val="00C70DE5"/>
    <w:rsid w:val="00C70F23"/>
    <w:rsid w:val="00C70F77"/>
    <w:rsid w:val="00C710B9"/>
    <w:rsid w:val="00C71136"/>
    <w:rsid w:val="00C71220"/>
    <w:rsid w:val="00C7141E"/>
    <w:rsid w:val="00C71487"/>
    <w:rsid w:val="00C71491"/>
    <w:rsid w:val="00C71593"/>
    <w:rsid w:val="00C716B0"/>
    <w:rsid w:val="00C716E9"/>
    <w:rsid w:val="00C716FC"/>
    <w:rsid w:val="00C7180E"/>
    <w:rsid w:val="00C71821"/>
    <w:rsid w:val="00C7182E"/>
    <w:rsid w:val="00C71843"/>
    <w:rsid w:val="00C7197F"/>
    <w:rsid w:val="00C71996"/>
    <w:rsid w:val="00C71A29"/>
    <w:rsid w:val="00C71A47"/>
    <w:rsid w:val="00C71A79"/>
    <w:rsid w:val="00C71A8F"/>
    <w:rsid w:val="00C71A9D"/>
    <w:rsid w:val="00C71C3F"/>
    <w:rsid w:val="00C71C51"/>
    <w:rsid w:val="00C71D16"/>
    <w:rsid w:val="00C71D51"/>
    <w:rsid w:val="00C71D70"/>
    <w:rsid w:val="00C71DD4"/>
    <w:rsid w:val="00C71E7C"/>
    <w:rsid w:val="00C71EDC"/>
    <w:rsid w:val="00C71EF3"/>
    <w:rsid w:val="00C72255"/>
    <w:rsid w:val="00C72296"/>
    <w:rsid w:val="00C724C2"/>
    <w:rsid w:val="00C72571"/>
    <w:rsid w:val="00C725DB"/>
    <w:rsid w:val="00C7281F"/>
    <w:rsid w:val="00C728FA"/>
    <w:rsid w:val="00C7290E"/>
    <w:rsid w:val="00C72950"/>
    <w:rsid w:val="00C7295F"/>
    <w:rsid w:val="00C72BF1"/>
    <w:rsid w:val="00C72C52"/>
    <w:rsid w:val="00C72D6D"/>
    <w:rsid w:val="00C72E83"/>
    <w:rsid w:val="00C72ECF"/>
    <w:rsid w:val="00C7310F"/>
    <w:rsid w:val="00C73119"/>
    <w:rsid w:val="00C7313B"/>
    <w:rsid w:val="00C7337F"/>
    <w:rsid w:val="00C73594"/>
    <w:rsid w:val="00C73673"/>
    <w:rsid w:val="00C73755"/>
    <w:rsid w:val="00C7376E"/>
    <w:rsid w:val="00C73833"/>
    <w:rsid w:val="00C738E4"/>
    <w:rsid w:val="00C73999"/>
    <w:rsid w:val="00C73A6F"/>
    <w:rsid w:val="00C73AE3"/>
    <w:rsid w:val="00C73B06"/>
    <w:rsid w:val="00C73B9C"/>
    <w:rsid w:val="00C73BA2"/>
    <w:rsid w:val="00C73D40"/>
    <w:rsid w:val="00C73D5A"/>
    <w:rsid w:val="00C73D7B"/>
    <w:rsid w:val="00C73D7F"/>
    <w:rsid w:val="00C73E7D"/>
    <w:rsid w:val="00C73EB8"/>
    <w:rsid w:val="00C7408B"/>
    <w:rsid w:val="00C740F5"/>
    <w:rsid w:val="00C74112"/>
    <w:rsid w:val="00C74116"/>
    <w:rsid w:val="00C7416A"/>
    <w:rsid w:val="00C74177"/>
    <w:rsid w:val="00C74186"/>
    <w:rsid w:val="00C7421A"/>
    <w:rsid w:val="00C7429C"/>
    <w:rsid w:val="00C742C8"/>
    <w:rsid w:val="00C743E0"/>
    <w:rsid w:val="00C74430"/>
    <w:rsid w:val="00C744BD"/>
    <w:rsid w:val="00C74512"/>
    <w:rsid w:val="00C74524"/>
    <w:rsid w:val="00C746A6"/>
    <w:rsid w:val="00C746CC"/>
    <w:rsid w:val="00C746E7"/>
    <w:rsid w:val="00C747B7"/>
    <w:rsid w:val="00C74812"/>
    <w:rsid w:val="00C74819"/>
    <w:rsid w:val="00C748AF"/>
    <w:rsid w:val="00C7497F"/>
    <w:rsid w:val="00C749EC"/>
    <w:rsid w:val="00C74A56"/>
    <w:rsid w:val="00C74B45"/>
    <w:rsid w:val="00C74B79"/>
    <w:rsid w:val="00C74C1E"/>
    <w:rsid w:val="00C74C82"/>
    <w:rsid w:val="00C74DC2"/>
    <w:rsid w:val="00C74E6C"/>
    <w:rsid w:val="00C74E77"/>
    <w:rsid w:val="00C74FCF"/>
    <w:rsid w:val="00C74FE2"/>
    <w:rsid w:val="00C750E0"/>
    <w:rsid w:val="00C752A7"/>
    <w:rsid w:val="00C75537"/>
    <w:rsid w:val="00C75592"/>
    <w:rsid w:val="00C755A7"/>
    <w:rsid w:val="00C755D2"/>
    <w:rsid w:val="00C75615"/>
    <w:rsid w:val="00C756FC"/>
    <w:rsid w:val="00C75738"/>
    <w:rsid w:val="00C7587C"/>
    <w:rsid w:val="00C758A3"/>
    <w:rsid w:val="00C75AC3"/>
    <w:rsid w:val="00C75DC5"/>
    <w:rsid w:val="00C75E63"/>
    <w:rsid w:val="00C75F8D"/>
    <w:rsid w:val="00C75FDA"/>
    <w:rsid w:val="00C75FE6"/>
    <w:rsid w:val="00C761C3"/>
    <w:rsid w:val="00C762BF"/>
    <w:rsid w:val="00C762EB"/>
    <w:rsid w:val="00C76465"/>
    <w:rsid w:val="00C76500"/>
    <w:rsid w:val="00C7653C"/>
    <w:rsid w:val="00C76585"/>
    <w:rsid w:val="00C7660A"/>
    <w:rsid w:val="00C76637"/>
    <w:rsid w:val="00C7665A"/>
    <w:rsid w:val="00C767AE"/>
    <w:rsid w:val="00C76A35"/>
    <w:rsid w:val="00C76A7C"/>
    <w:rsid w:val="00C76AD0"/>
    <w:rsid w:val="00C76AFE"/>
    <w:rsid w:val="00C76B52"/>
    <w:rsid w:val="00C76BBE"/>
    <w:rsid w:val="00C76C14"/>
    <w:rsid w:val="00C76D31"/>
    <w:rsid w:val="00C76EE1"/>
    <w:rsid w:val="00C76F1B"/>
    <w:rsid w:val="00C76FCE"/>
    <w:rsid w:val="00C77015"/>
    <w:rsid w:val="00C770F9"/>
    <w:rsid w:val="00C7746B"/>
    <w:rsid w:val="00C777A6"/>
    <w:rsid w:val="00C777AE"/>
    <w:rsid w:val="00C777DB"/>
    <w:rsid w:val="00C77823"/>
    <w:rsid w:val="00C7786C"/>
    <w:rsid w:val="00C7792D"/>
    <w:rsid w:val="00C77959"/>
    <w:rsid w:val="00C779B1"/>
    <w:rsid w:val="00C779CD"/>
    <w:rsid w:val="00C77A00"/>
    <w:rsid w:val="00C77A9D"/>
    <w:rsid w:val="00C77C41"/>
    <w:rsid w:val="00C77E20"/>
    <w:rsid w:val="00C77E69"/>
    <w:rsid w:val="00C77E8E"/>
    <w:rsid w:val="00C77F3B"/>
    <w:rsid w:val="00C80026"/>
    <w:rsid w:val="00C80028"/>
    <w:rsid w:val="00C80243"/>
    <w:rsid w:val="00C802AC"/>
    <w:rsid w:val="00C80323"/>
    <w:rsid w:val="00C80447"/>
    <w:rsid w:val="00C80485"/>
    <w:rsid w:val="00C80539"/>
    <w:rsid w:val="00C80598"/>
    <w:rsid w:val="00C8061B"/>
    <w:rsid w:val="00C80860"/>
    <w:rsid w:val="00C808DC"/>
    <w:rsid w:val="00C8095F"/>
    <w:rsid w:val="00C809ED"/>
    <w:rsid w:val="00C80A4F"/>
    <w:rsid w:val="00C80A62"/>
    <w:rsid w:val="00C80A81"/>
    <w:rsid w:val="00C80AE4"/>
    <w:rsid w:val="00C80BED"/>
    <w:rsid w:val="00C80D94"/>
    <w:rsid w:val="00C80E13"/>
    <w:rsid w:val="00C80E30"/>
    <w:rsid w:val="00C80E71"/>
    <w:rsid w:val="00C80E7C"/>
    <w:rsid w:val="00C80E7D"/>
    <w:rsid w:val="00C80E88"/>
    <w:rsid w:val="00C80F36"/>
    <w:rsid w:val="00C80F43"/>
    <w:rsid w:val="00C80F61"/>
    <w:rsid w:val="00C80FFA"/>
    <w:rsid w:val="00C8111D"/>
    <w:rsid w:val="00C81220"/>
    <w:rsid w:val="00C812A1"/>
    <w:rsid w:val="00C813EE"/>
    <w:rsid w:val="00C8157B"/>
    <w:rsid w:val="00C81729"/>
    <w:rsid w:val="00C8178C"/>
    <w:rsid w:val="00C817D4"/>
    <w:rsid w:val="00C81802"/>
    <w:rsid w:val="00C8185D"/>
    <w:rsid w:val="00C81901"/>
    <w:rsid w:val="00C81925"/>
    <w:rsid w:val="00C81956"/>
    <w:rsid w:val="00C81A8E"/>
    <w:rsid w:val="00C81AE0"/>
    <w:rsid w:val="00C81C1D"/>
    <w:rsid w:val="00C81CEF"/>
    <w:rsid w:val="00C81D12"/>
    <w:rsid w:val="00C81DCF"/>
    <w:rsid w:val="00C82083"/>
    <w:rsid w:val="00C82093"/>
    <w:rsid w:val="00C8213C"/>
    <w:rsid w:val="00C821A7"/>
    <w:rsid w:val="00C8221F"/>
    <w:rsid w:val="00C8222F"/>
    <w:rsid w:val="00C82238"/>
    <w:rsid w:val="00C82264"/>
    <w:rsid w:val="00C82320"/>
    <w:rsid w:val="00C8232A"/>
    <w:rsid w:val="00C82346"/>
    <w:rsid w:val="00C82373"/>
    <w:rsid w:val="00C823B9"/>
    <w:rsid w:val="00C82645"/>
    <w:rsid w:val="00C82688"/>
    <w:rsid w:val="00C82779"/>
    <w:rsid w:val="00C827EE"/>
    <w:rsid w:val="00C82982"/>
    <w:rsid w:val="00C82A36"/>
    <w:rsid w:val="00C82A74"/>
    <w:rsid w:val="00C82A9B"/>
    <w:rsid w:val="00C82AAB"/>
    <w:rsid w:val="00C82B87"/>
    <w:rsid w:val="00C82C1B"/>
    <w:rsid w:val="00C82DD8"/>
    <w:rsid w:val="00C82E3F"/>
    <w:rsid w:val="00C82F11"/>
    <w:rsid w:val="00C82F7F"/>
    <w:rsid w:val="00C82FCA"/>
    <w:rsid w:val="00C82FEB"/>
    <w:rsid w:val="00C83103"/>
    <w:rsid w:val="00C83202"/>
    <w:rsid w:val="00C833AA"/>
    <w:rsid w:val="00C83406"/>
    <w:rsid w:val="00C83408"/>
    <w:rsid w:val="00C83690"/>
    <w:rsid w:val="00C8369F"/>
    <w:rsid w:val="00C83B12"/>
    <w:rsid w:val="00C83B14"/>
    <w:rsid w:val="00C83BA4"/>
    <w:rsid w:val="00C83C36"/>
    <w:rsid w:val="00C83C71"/>
    <w:rsid w:val="00C83DD3"/>
    <w:rsid w:val="00C83DF4"/>
    <w:rsid w:val="00C83E17"/>
    <w:rsid w:val="00C83E1C"/>
    <w:rsid w:val="00C841FB"/>
    <w:rsid w:val="00C8425F"/>
    <w:rsid w:val="00C84269"/>
    <w:rsid w:val="00C8442F"/>
    <w:rsid w:val="00C844B6"/>
    <w:rsid w:val="00C84573"/>
    <w:rsid w:val="00C8461D"/>
    <w:rsid w:val="00C8476E"/>
    <w:rsid w:val="00C84811"/>
    <w:rsid w:val="00C84819"/>
    <w:rsid w:val="00C8481F"/>
    <w:rsid w:val="00C84950"/>
    <w:rsid w:val="00C84980"/>
    <w:rsid w:val="00C849E5"/>
    <w:rsid w:val="00C84A81"/>
    <w:rsid w:val="00C84AE7"/>
    <w:rsid w:val="00C84C36"/>
    <w:rsid w:val="00C84C93"/>
    <w:rsid w:val="00C84CEA"/>
    <w:rsid w:val="00C84CFD"/>
    <w:rsid w:val="00C84D27"/>
    <w:rsid w:val="00C84DEA"/>
    <w:rsid w:val="00C84F2B"/>
    <w:rsid w:val="00C84F3A"/>
    <w:rsid w:val="00C8505C"/>
    <w:rsid w:val="00C8519B"/>
    <w:rsid w:val="00C85326"/>
    <w:rsid w:val="00C853E2"/>
    <w:rsid w:val="00C8543E"/>
    <w:rsid w:val="00C8544A"/>
    <w:rsid w:val="00C855D3"/>
    <w:rsid w:val="00C85604"/>
    <w:rsid w:val="00C85629"/>
    <w:rsid w:val="00C857D1"/>
    <w:rsid w:val="00C857E6"/>
    <w:rsid w:val="00C85891"/>
    <w:rsid w:val="00C85B18"/>
    <w:rsid w:val="00C85CB5"/>
    <w:rsid w:val="00C85CC9"/>
    <w:rsid w:val="00C85E3B"/>
    <w:rsid w:val="00C8602D"/>
    <w:rsid w:val="00C86090"/>
    <w:rsid w:val="00C860B8"/>
    <w:rsid w:val="00C86243"/>
    <w:rsid w:val="00C86253"/>
    <w:rsid w:val="00C862FD"/>
    <w:rsid w:val="00C86398"/>
    <w:rsid w:val="00C863AC"/>
    <w:rsid w:val="00C865EE"/>
    <w:rsid w:val="00C86606"/>
    <w:rsid w:val="00C86626"/>
    <w:rsid w:val="00C866FE"/>
    <w:rsid w:val="00C8672B"/>
    <w:rsid w:val="00C8678C"/>
    <w:rsid w:val="00C8678F"/>
    <w:rsid w:val="00C86840"/>
    <w:rsid w:val="00C86904"/>
    <w:rsid w:val="00C86929"/>
    <w:rsid w:val="00C86978"/>
    <w:rsid w:val="00C86EBE"/>
    <w:rsid w:val="00C86F24"/>
    <w:rsid w:val="00C86F39"/>
    <w:rsid w:val="00C86FC3"/>
    <w:rsid w:val="00C8703B"/>
    <w:rsid w:val="00C8707A"/>
    <w:rsid w:val="00C8721E"/>
    <w:rsid w:val="00C87237"/>
    <w:rsid w:val="00C872E4"/>
    <w:rsid w:val="00C872ED"/>
    <w:rsid w:val="00C87444"/>
    <w:rsid w:val="00C87446"/>
    <w:rsid w:val="00C874DA"/>
    <w:rsid w:val="00C8762E"/>
    <w:rsid w:val="00C8765B"/>
    <w:rsid w:val="00C87718"/>
    <w:rsid w:val="00C87A7B"/>
    <w:rsid w:val="00C87A97"/>
    <w:rsid w:val="00C87AC7"/>
    <w:rsid w:val="00C87AD3"/>
    <w:rsid w:val="00C87C39"/>
    <w:rsid w:val="00C900A0"/>
    <w:rsid w:val="00C900C3"/>
    <w:rsid w:val="00C9011D"/>
    <w:rsid w:val="00C90312"/>
    <w:rsid w:val="00C9033F"/>
    <w:rsid w:val="00C90433"/>
    <w:rsid w:val="00C904D5"/>
    <w:rsid w:val="00C90503"/>
    <w:rsid w:val="00C90592"/>
    <w:rsid w:val="00C90649"/>
    <w:rsid w:val="00C90654"/>
    <w:rsid w:val="00C906C7"/>
    <w:rsid w:val="00C906F5"/>
    <w:rsid w:val="00C90731"/>
    <w:rsid w:val="00C9075A"/>
    <w:rsid w:val="00C90843"/>
    <w:rsid w:val="00C908AA"/>
    <w:rsid w:val="00C9090E"/>
    <w:rsid w:val="00C9092E"/>
    <w:rsid w:val="00C909DE"/>
    <w:rsid w:val="00C90A93"/>
    <w:rsid w:val="00C90AD8"/>
    <w:rsid w:val="00C90BB6"/>
    <w:rsid w:val="00C90BF3"/>
    <w:rsid w:val="00C90C83"/>
    <w:rsid w:val="00C90D17"/>
    <w:rsid w:val="00C90F90"/>
    <w:rsid w:val="00C91073"/>
    <w:rsid w:val="00C9107D"/>
    <w:rsid w:val="00C910BC"/>
    <w:rsid w:val="00C91169"/>
    <w:rsid w:val="00C912A0"/>
    <w:rsid w:val="00C913CF"/>
    <w:rsid w:val="00C914EF"/>
    <w:rsid w:val="00C9155A"/>
    <w:rsid w:val="00C91596"/>
    <w:rsid w:val="00C9164D"/>
    <w:rsid w:val="00C916D2"/>
    <w:rsid w:val="00C91768"/>
    <w:rsid w:val="00C9176F"/>
    <w:rsid w:val="00C91846"/>
    <w:rsid w:val="00C91881"/>
    <w:rsid w:val="00C91914"/>
    <w:rsid w:val="00C9198F"/>
    <w:rsid w:val="00C919C5"/>
    <w:rsid w:val="00C919CA"/>
    <w:rsid w:val="00C91BC2"/>
    <w:rsid w:val="00C91DBC"/>
    <w:rsid w:val="00C91E10"/>
    <w:rsid w:val="00C91EB2"/>
    <w:rsid w:val="00C91EC9"/>
    <w:rsid w:val="00C91F4E"/>
    <w:rsid w:val="00C91FBA"/>
    <w:rsid w:val="00C9201C"/>
    <w:rsid w:val="00C92152"/>
    <w:rsid w:val="00C921BF"/>
    <w:rsid w:val="00C9227F"/>
    <w:rsid w:val="00C922AB"/>
    <w:rsid w:val="00C9241C"/>
    <w:rsid w:val="00C92454"/>
    <w:rsid w:val="00C925D2"/>
    <w:rsid w:val="00C9262E"/>
    <w:rsid w:val="00C9265F"/>
    <w:rsid w:val="00C92672"/>
    <w:rsid w:val="00C926F6"/>
    <w:rsid w:val="00C9285B"/>
    <w:rsid w:val="00C9298A"/>
    <w:rsid w:val="00C929A0"/>
    <w:rsid w:val="00C929CF"/>
    <w:rsid w:val="00C92B20"/>
    <w:rsid w:val="00C92B67"/>
    <w:rsid w:val="00C92C46"/>
    <w:rsid w:val="00C92C80"/>
    <w:rsid w:val="00C92CD7"/>
    <w:rsid w:val="00C92E4F"/>
    <w:rsid w:val="00C92EC1"/>
    <w:rsid w:val="00C9304C"/>
    <w:rsid w:val="00C9307D"/>
    <w:rsid w:val="00C9309C"/>
    <w:rsid w:val="00C931FB"/>
    <w:rsid w:val="00C932BA"/>
    <w:rsid w:val="00C93383"/>
    <w:rsid w:val="00C9350F"/>
    <w:rsid w:val="00C93573"/>
    <w:rsid w:val="00C9360D"/>
    <w:rsid w:val="00C93644"/>
    <w:rsid w:val="00C936F1"/>
    <w:rsid w:val="00C93903"/>
    <w:rsid w:val="00C93946"/>
    <w:rsid w:val="00C93981"/>
    <w:rsid w:val="00C93A35"/>
    <w:rsid w:val="00C93AB6"/>
    <w:rsid w:val="00C93BC4"/>
    <w:rsid w:val="00C93BC6"/>
    <w:rsid w:val="00C93BE9"/>
    <w:rsid w:val="00C93D02"/>
    <w:rsid w:val="00C93D8D"/>
    <w:rsid w:val="00C93E82"/>
    <w:rsid w:val="00C93EB6"/>
    <w:rsid w:val="00C9404A"/>
    <w:rsid w:val="00C9408B"/>
    <w:rsid w:val="00C9408E"/>
    <w:rsid w:val="00C94091"/>
    <w:rsid w:val="00C94120"/>
    <w:rsid w:val="00C94149"/>
    <w:rsid w:val="00C941F8"/>
    <w:rsid w:val="00C942C4"/>
    <w:rsid w:val="00C943D9"/>
    <w:rsid w:val="00C943E0"/>
    <w:rsid w:val="00C94466"/>
    <w:rsid w:val="00C9449A"/>
    <w:rsid w:val="00C944B7"/>
    <w:rsid w:val="00C9453C"/>
    <w:rsid w:val="00C9464D"/>
    <w:rsid w:val="00C94662"/>
    <w:rsid w:val="00C9484C"/>
    <w:rsid w:val="00C94866"/>
    <w:rsid w:val="00C948A3"/>
    <w:rsid w:val="00C948FA"/>
    <w:rsid w:val="00C94955"/>
    <w:rsid w:val="00C949B5"/>
    <w:rsid w:val="00C94A3C"/>
    <w:rsid w:val="00C94A68"/>
    <w:rsid w:val="00C94AD9"/>
    <w:rsid w:val="00C94B0D"/>
    <w:rsid w:val="00C94B77"/>
    <w:rsid w:val="00C94E3E"/>
    <w:rsid w:val="00C94E56"/>
    <w:rsid w:val="00C94F5D"/>
    <w:rsid w:val="00C94FAC"/>
    <w:rsid w:val="00C9508A"/>
    <w:rsid w:val="00C9509C"/>
    <w:rsid w:val="00C95375"/>
    <w:rsid w:val="00C953C5"/>
    <w:rsid w:val="00C9543A"/>
    <w:rsid w:val="00C954A0"/>
    <w:rsid w:val="00C95659"/>
    <w:rsid w:val="00C956A3"/>
    <w:rsid w:val="00C956C7"/>
    <w:rsid w:val="00C958C0"/>
    <w:rsid w:val="00C958F7"/>
    <w:rsid w:val="00C9597B"/>
    <w:rsid w:val="00C9598F"/>
    <w:rsid w:val="00C959A0"/>
    <w:rsid w:val="00C95C3E"/>
    <w:rsid w:val="00C95C7E"/>
    <w:rsid w:val="00C95D9E"/>
    <w:rsid w:val="00C95DB3"/>
    <w:rsid w:val="00C95E44"/>
    <w:rsid w:val="00C95EA9"/>
    <w:rsid w:val="00C96025"/>
    <w:rsid w:val="00C9611C"/>
    <w:rsid w:val="00C961B8"/>
    <w:rsid w:val="00C962DA"/>
    <w:rsid w:val="00C962F9"/>
    <w:rsid w:val="00C96381"/>
    <w:rsid w:val="00C963FF"/>
    <w:rsid w:val="00C96449"/>
    <w:rsid w:val="00C96467"/>
    <w:rsid w:val="00C96482"/>
    <w:rsid w:val="00C964AF"/>
    <w:rsid w:val="00C964BC"/>
    <w:rsid w:val="00C964F2"/>
    <w:rsid w:val="00C9651F"/>
    <w:rsid w:val="00C96552"/>
    <w:rsid w:val="00C9663F"/>
    <w:rsid w:val="00C966D9"/>
    <w:rsid w:val="00C967F7"/>
    <w:rsid w:val="00C9688B"/>
    <w:rsid w:val="00C968CC"/>
    <w:rsid w:val="00C968F0"/>
    <w:rsid w:val="00C969FA"/>
    <w:rsid w:val="00C96A86"/>
    <w:rsid w:val="00C96CD6"/>
    <w:rsid w:val="00C96DBD"/>
    <w:rsid w:val="00C96DE7"/>
    <w:rsid w:val="00C96DEA"/>
    <w:rsid w:val="00C96EA3"/>
    <w:rsid w:val="00C97035"/>
    <w:rsid w:val="00C970A2"/>
    <w:rsid w:val="00C970C8"/>
    <w:rsid w:val="00C97222"/>
    <w:rsid w:val="00C9724B"/>
    <w:rsid w:val="00C97304"/>
    <w:rsid w:val="00C97361"/>
    <w:rsid w:val="00C97370"/>
    <w:rsid w:val="00C973A9"/>
    <w:rsid w:val="00C9750F"/>
    <w:rsid w:val="00C97605"/>
    <w:rsid w:val="00C97696"/>
    <w:rsid w:val="00C97787"/>
    <w:rsid w:val="00C977E0"/>
    <w:rsid w:val="00C978D3"/>
    <w:rsid w:val="00C9795F"/>
    <w:rsid w:val="00C97971"/>
    <w:rsid w:val="00C97B2E"/>
    <w:rsid w:val="00C97B33"/>
    <w:rsid w:val="00C97B91"/>
    <w:rsid w:val="00C97D8F"/>
    <w:rsid w:val="00C97DDF"/>
    <w:rsid w:val="00C97EE2"/>
    <w:rsid w:val="00C97EE8"/>
    <w:rsid w:val="00C97EEC"/>
    <w:rsid w:val="00C97FB2"/>
    <w:rsid w:val="00CA005D"/>
    <w:rsid w:val="00CA00DE"/>
    <w:rsid w:val="00CA0248"/>
    <w:rsid w:val="00CA0469"/>
    <w:rsid w:val="00CA055A"/>
    <w:rsid w:val="00CA0599"/>
    <w:rsid w:val="00CA05A6"/>
    <w:rsid w:val="00CA062E"/>
    <w:rsid w:val="00CA06D2"/>
    <w:rsid w:val="00CA0711"/>
    <w:rsid w:val="00CA0756"/>
    <w:rsid w:val="00CA08C3"/>
    <w:rsid w:val="00CA0AA9"/>
    <w:rsid w:val="00CA0AEA"/>
    <w:rsid w:val="00CA0B01"/>
    <w:rsid w:val="00CA0B39"/>
    <w:rsid w:val="00CA0B7E"/>
    <w:rsid w:val="00CA0CE9"/>
    <w:rsid w:val="00CA0D85"/>
    <w:rsid w:val="00CA0DBE"/>
    <w:rsid w:val="00CA0DC3"/>
    <w:rsid w:val="00CA0ED0"/>
    <w:rsid w:val="00CA0EFE"/>
    <w:rsid w:val="00CA0FC5"/>
    <w:rsid w:val="00CA0FEB"/>
    <w:rsid w:val="00CA1000"/>
    <w:rsid w:val="00CA105E"/>
    <w:rsid w:val="00CA1075"/>
    <w:rsid w:val="00CA10FD"/>
    <w:rsid w:val="00CA118C"/>
    <w:rsid w:val="00CA11EE"/>
    <w:rsid w:val="00CA1378"/>
    <w:rsid w:val="00CA1474"/>
    <w:rsid w:val="00CA147F"/>
    <w:rsid w:val="00CA14BF"/>
    <w:rsid w:val="00CA15CD"/>
    <w:rsid w:val="00CA15F8"/>
    <w:rsid w:val="00CA1615"/>
    <w:rsid w:val="00CA1686"/>
    <w:rsid w:val="00CA168B"/>
    <w:rsid w:val="00CA16FC"/>
    <w:rsid w:val="00CA1880"/>
    <w:rsid w:val="00CA1921"/>
    <w:rsid w:val="00CA1BE7"/>
    <w:rsid w:val="00CA1CBD"/>
    <w:rsid w:val="00CA1DF3"/>
    <w:rsid w:val="00CA1E57"/>
    <w:rsid w:val="00CA1ED7"/>
    <w:rsid w:val="00CA1EF3"/>
    <w:rsid w:val="00CA1EFF"/>
    <w:rsid w:val="00CA1F6E"/>
    <w:rsid w:val="00CA20F9"/>
    <w:rsid w:val="00CA2105"/>
    <w:rsid w:val="00CA2118"/>
    <w:rsid w:val="00CA213A"/>
    <w:rsid w:val="00CA214F"/>
    <w:rsid w:val="00CA215E"/>
    <w:rsid w:val="00CA22E8"/>
    <w:rsid w:val="00CA22F2"/>
    <w:rsid w:val="00CA230C"/>
    <w:rsid w:val="00CA2413"/>
    <w:rsid w:val="00CA2419"/>
    <w:rsid w:val="00CA244B"/>
    <w:rsid w:val="00CA24D0"/>
    <w:rsid w:val="00CA2501"/>
    <w:rsid w:val="00CA251E"/>
    <w:rsid w:val="00CA25A0"/>
    <w:rsid w:val="00CA2619"/>
    <w:rsid w:val="00CA261C"/>
    <w:rsid w:val="00CA264B"/>
    <w:rsid w:val="00CA26DE"/>
    <w:rsid w:val="00CA2736"/>
    <w:rsid w:val="00CA273D"/>
    <w:rsid w:val="00CA282D"/>
    <w:rsid w:val="00CA2A3C"/>
    <w:rsid w:val="00CA2A6B"/>
    <w:rsid w:val="00CA2A97"/>
    <w:rsid w:val="00CA2B5B"/>
    <w:rsid w:val="00CA2BAE"/>
    <w:rsid w:val="00CA2C28"/>
    <w:rsid w:val="00CA2C40"/>
    <w:rsid w:val="00CA2C5D"/>
    <w:rsid w:val="00CA2EA7"/>
    <w:rsid w:val="00CA2EC2"/>
    <w:rsid w:val="00CA2F02"/>
    <w:rsid w:val="00CA2FD9"/>
    <w:rsid w:val="00CA3085"/>
    <w:rsid w:val="00CA30AF"/>
    <w:rsid w:val="00CA30FA"/>
    <w:rsid w:val="00CA3266"/>
    <w:rsid w:val="00CA33C1"/>
    <w:rsid w:val="00CA3423"/>
    <w:rsid w:val="00CA34F4"/>
    <w:rsid w:val="00CA356D"/>
    <w:rsid w:val="00CA3592"/>
    <w:rsid w:val="00CA3593"/>
    <w:rsid w:val="00CA35C8"/>
    <w:rsid w:val="00CA35D0"/>
    <w:rsid w:val="00CA35E4"/>
    <w:rsid w:val="00CA3678"/>
    <w:rsid w:val="00CA377C"/>
    <w:rsid w:val="00CA3893"/>
    <w:rsid w:val="00CA392E"/>
    <w:rsid w:val="00CA39CD"/>
    <w:rsid w:val="00CA3A4C"/>
    <w:rsid w:val="00CA3A52"/>
    <w:rsid w:val="00CA3A81"/>
    <w:rsid w:val="00CA3B5C"/>
    <w:rsid w:val="00CA3BBC"/>
    <w:rsid w:val="00CA3C53"/>
    <w:rsid w:val="00CA3CC6"/>
    <w:rsid w:val="00CA3D41"/>
    <w:rsid w:val="00CA3E0C"/>
    <w:rsid w:val="00CA3E12"/>
    <w:rsid w:val="00CA3E1D"/>
    <w:rsid w:val="00CA3E30"/>
    <w:rsid w:val="00CA3EA0"/>
    <w:rsid w:val="00CA3EAF"/>
    <w:rsid w:val="00CA3FDA"/>
    <w:rsid w:val="00CA3FE2"/>
    <w:rsid w:val="00CA404B"/>
    <w:rsid w:val="00CA41E5"/>
    <w:rsid w:val="00CA4200"/>
    <w:rsid w:val="00CA4263"/>
    <w:rsid w:val="00CA43BB"/>
    <w:rsid w:val="00CA45E9"/>
    <w:rsid w:val="00CA474B"/>
    <w:rsid w:val="00CA4793"/>
    <w:rsid w:val="00CA493D"/>
    <w:rsid w:val="00CA49BA"/>
    <w:rsid w:val="00CA4B85"/>
    <w:rsid w:val="00CA4BBE"/>
    <w:rsid w:val="00CA4D20"/>
    <w:rsid w:val="00CA4D82"/>
    <w:rsid w:val="00CA4E63"/>
    <w:rsid w:val="00CA4F77"/>
    <w:rsid w:val="00CA515A"/>
    <w:rsid w:val="00CA51F5"/>
    <w:rsid w:val="00CA529A"/>
    <w:rsid w:val="00CA52C8"/>
    <w:rsid w:val="00CA5302"/>
    <w:rsid w:val="00CA5365"/>
    <w:rsid w:val="00CA546B"/>
    <w:rsid w:val="00CA5570"/>
    <w:rsid w:val="00CA55B1"/>
    <w:rsid w:val="00CA564E"/>
    <w:rsid w:val="00CA5708"/>
    <w:rsid w:val="00CA57AA"/>
    <w:rsid w:val="00CA57D7"/>
    <w:rsid w:val="00CA5865"/>
    <w:rsid w:val="00CA5897"/>
    <w:rsid w:val="00CA58A7"/>
    <w:rsid w:val="00CA5924"/>
    <w:rsid w:val="00CA5935"/>
    <w:rsid w:val="00CA5A2C"/>
    <w:rsid w:val="00CA5B05"/>
    <w:rsid w:val="00CA5B80"/>
    <w:rsid w:val="00CA5C5F"/>
    <w:rsid w:val="00CA5CD1"/>
    <w:rsid w:val="00CA5ED2"/>
    <w:rsid w:val="00CA5ED5"/>
    <w:rsid w:val="00CA60B8"/>
    <w:rsid w:val="00CA60F5"/>
    <w:rsid w:val="00CA62CE"/>
    <w:rsid w:val="00CA6361"/>
    <w:rsid w:val="00CA6457"/>
    <w:rsid w:val="00CA650C"/>
    <w:rsid w:val="00CA666B"/>
    <w:rsid w:val="00CA6801"/>
    <w:rsid w:val="00CA6986"/>
    <w:rsid w:val="00CA69CE"/>
    <w:rsid w:val="00CA6B3D"/>
    <w:rsid w:val="00CA6B46"/>
    <w:rsid w:val="00CA6B53"/>
    <w:rsid w:val="00CA6C0C"/>
    <w:rsid w:val="00CA6C75"/>
    <w:rsid w:val="00CA6D7D"/>
    <w:rsid w:val="00CA6FE0"/>
    <w:rsid w:val="00CA700A"/>
    <w:rsid w:val="00CA7063"/>
    <w:rsid w:val="00CA71B6"/>
    <w:rsid w:val="00CA735C"/>
    <w:rsid w:val="00CA73B1"/>
    <w:rsid w:val="00CA7403"/>
    <w:rsid w:val="00CA7518"/>
    <w:rsid w:val="00CA7797"/>
    <w:rsid w:val="00CA77EB"/>
    <w:rsid w:val="00CA79BC"/>
    <w:rsid w:val="00CA7A70"/>
    <w:rsid w:val="00CA7ABC"/>
    <w:rsid w:val="00CA7D6F"/>
    <w:rsid w:val="00CA7D87"/>
    <w:rsid w:val="00CA7DB0"/>
    <w:rsid w:val="00CA7E0B"/>
    <w:rsid w:val="00CA7EA4"/>
    <w:rsid w:val="00CA7F0D"/>
    <w:rsid w:val="00CB0034"/>
    <w:rsid w:val="00CB00AA"/>
    <w:rsid w:val="00CB01FA"/>
    <w:rsid w:val="00CB0241"/>
    <w:rsid w:val="00CB0337"/>
    <w:rsid w:val="00CB0410"/>
    <w:rsid w:val="00CB048A"/>
    <w:rsid w:val="00CB04EE"/>
    <w:rsid w:val="00CB059E"/>
    <w:rsid w:val="00CB067C"/>
    <w:rsid w:val="00CB0680"/>
    <w:rsid w:val="00CB079C"/>
    <w:rsid w:val="00CB081E"/>
    <w:rsid w:val="00CB084F"/>
    <w:rsid w:val="00CB0911"/>
    <w:rsid w:val="00CB098A"/>
    <w:rsid w:val="00CB09CE"/>
    <w:rsid w:val="00CB0A97"/>
    <w:rsid w:val="00CB0D3A"/>
    <w:rsid w:val="00CB0D4D"/>
    <w:rsid w:val="00CB0DCD"/>
    <w:rsid w:val="00CB0E21"/>
    <w:rsid w:val="00CB0EAE"/>
    <w:rsid w:val="00CB0EDA"/>
    <w:rsid w:val="00CB0F8C"/>
    <w:rsid w:val="00CB1097"/>
    <w:rsid w:val="00CB10D0"/>
    <w:rsid w:val="00CB11E1"/>
    <w:rsid w:val="00CB12AB"/>
    <w:rsid w:val="00CB141D"/>
    <w:rsid w:val="00CB1469"/>
    <w:rsid w:val="00CB147D"/>
    <w:rsid w:val="00CB1565"/>
    <w:rsid w:val="00CB168C"/>
    <w:rsid w:val="00CB16AD"/>
    <w:rsid w:val="00CB1999"/>
    <w:rsid w:val="00CB1A21"/>
    <w:rsid w:val="00CB1B10"/>
    <w:rsid w:val="00CB1B35"/>
    <w:rsid w:val="00CB1D2B"/>
    <w:rsid w:val="00CB1D62"/>
    <w:rsid w:val="00CB1E96"/>
    <w:rsid w:val="00CB1EB4"/>
    <w:rsid w:val="00CB1EFF"/>
    <w:rsid w:val="00CB1F7B"/>
    <w:rsid w:val="00CB2180"/>
    <w:rsid w:val="00CB2252"/>
    <w:rsid w:val="00CB23B8"/>
    <w:rsid w:val="00CB2442"/>
    <w:rsid w:val="00CB246D"/>
    <w:rsid w:val="00CB2471"/>
    <w:rsid w:val="00CB2ABE"/>
    <w:rsid w:val="00CB2B9E"/>
    <w:rsid w:val="00CB2CA4"/>
    <w:rsid w:val="00CB2CDD"/>
    <w:rsid w:val="00CB2CF8"/>
    <w:rsid w:val="00CB2EE3"/>
    <w:rsid w:val="00CB2F7C"/>
    <w:rsid w:val="00CB2FA2"/>
    <w:rsid w:val="00CB31E2"/>
    <w:rsid w:val="00CB3226"/>
    <w:rsid w:val="00CB3371"/>
    <w:rsid w:val="00CB33BC"/>
    <w:rsid w:val="00CB3547"/>
    <w:rsid w:val="00CB359D"/>
    <w:rsid w:val="00CB365C"/>
    <w:rsid w:val="00CB3670"/>
    <w:rsid w:val="00CB3679"/>
    <w:rsid w:val="00CB36B1"/>
    <w:rsid w:val="00CB3706"/>
    <w:rsid w:val="00CB375E"/>
    <w:rsid w:val="00CB3806"/>
    <w:rsid w:val="00CB3884"/>
    <w:rsid w:val="00CB38BB"/>
    <w:rsid w:val="00CB38F9"/>
    <w:rsid w:val="00CB390C"/>
    <w:rsid w:val="00CB3A2D"/>
    <w:rsid w:val="00CB3D1C"/>
    <w:rsid w:val="00CB3DD7"/>
    <w:rsid w:val="00CB3EEB"/>
    <w:rsid w:val="00CB3FA5"/>
    <w:rsid w:val="00CB3FAD"/>
    <w:rsid w:val="00CB409A"/>
    <w:rsid w:val="00CB40EA"/>
    <w:rsid w:val="00CB4121"/>
    <w:rsid w:val="00CB4133"/>
    <w:rsid w:val="00CB4151"/>
    <w:rsid w:val="00CB41A8"/>
    <w:rsid w:val="00CB421E"/>
    <w:rsid w:val="00CB430A"/>
    <w:rsid w:val="00CB43C7"/>
    <w:rsid w:val="00CB45C2"/>
    <w:rsid w:val="00CB4794"/>
    <w:rsid w:val="00CB485B"/>
    <w:rsid w:val="00CB486A"/>
    <w:rsid w:val="00CB48D0"/>
    <w:rsid w:val="00CB491F"/>
    <w:rsid w:val="00CB4935"/>
    <w:rsid w:val="00CB4959"/>
    <w:rsid w:val="00CB49A5"/>
    <w:rsid w:val="00CB49D6"/>
    <w:rsid w:val="00CB49D9"/>
    <w:rsid w:val="00CB4B2B"/>
    <w:rsid w:val="00CB4B30"/>
    <w:rsid w:val="00CB4C03"/>
    <w:rsid w:val="00CB4C18"/>
    <w:rsid w:val="00CB4C4A"/>
    <w:rsid w:val="00CB4C72"/>
    <w:rsid w:val="00CB4C80"/>
    <w:rsid w:val="00CB4F26"/>
    <w:rsid w:val="00CB4F72"/>
    <w:rsid w:val="00CB5091"/>
    <w:rsid w:val="00CB50CC"/>
    <w:rsid w:val="00CB51B4"/>
    <w:rsid w:val="00CB5371"/>
    <w:rsid w:val="00CB53B2"/>
    <w:rsid w:val="00CB5425"/>
    <w:rsid w:val="00CB5429"/>
    <w:rsid w:val="00CB547C"/>
    <w:rsid w:val="00CB552C"/>
    <w:rsid w:val="00CB564A"/>
    <w:rsid w:val="00CB565B"/>
    <w:rsid w:val="00CB56F3"/>
    <w:rsid w:val="00CB5707"/>
    <w:rsid w:val="00CB571B"/>
    <w:rsid w:val="00CB57DA"/>
    <w:rsid w:val="00CB582E"/>
    <w:rsid w:val="00CB5B03"/>
    <w:rsid w:val="00CB5B48"/>
    <w:rsid w:val="00CB5BC4"/>
    <w:rsid w:val="00CB5C9C"/>
    <w:rsid w:val="00CB5E52"/>
    <w:rsid w:val="00CB5EA5"/>
    <w:rsid w:val="00CB5EDB"/>
    <w:rsid w:val="00CB6013"/>
    <w:rsid w:val="00CB6046"/>
    <w:rsid w:val="00CB609E"/>
    <w:rsid w:val="00CB60BD"/>
    <w:rsid w:val="00CB6153"/>
    <w:rsid w:val="00CB623C"/>
    <w:rsid w:val="00CB62A8"/>
    <w:rsid w:val="00CB6327"/>
    <w:rsid w:val="00CB633F"/>
    <w:rsid w:val="00CB6424"/>
    <w:rsid w:val="00CB6570"/>
    <w:rsid w:val="00CB65BC"/>
    <w:rsid w:val="00CB65DD"/>
    <w:rsid w:val="00CB66C7"/>
    <w:rsid w:val="00CB6710"/>
    <w:rsid w:val="00CB67D2"/>
    <w:rsid w:val="00CB6893"/>
    <w:rsid w:val="00CB6A5C"/>
    <w:rsid w:val="00CB6A7F"/>
    <w:rsid w:val="00CB6AA5"/>
    <w:rsid w:val="00CB6BE5"/>
    <w:rsid w:val="00CB6CD7"/>
    <w:rsid w:val="00CB6D07"/>
    <w:rsid w:val="00CB6D20"/>
    <w:rsid w:val="00CB6D5E"/>
    <w:rsid w:val="00CB6D66"/>
    <w:rsid w:val="00CB6FC7"/>
    <w:rsid w:val="00CB70F7"/>
    <w:rsid w:val="00CB722C"/>
    <w:rsid w:val="00CB7246"/>
    <w:rsid w:val="00CB724D"/>
    <w:rsid w:val="00CB726F"/>
    <w:rsid w:val="00CB758D"/>
    <w:rsid w:val="00CB75EA"/>
    <w:rsid w:val="00CB7861"/>
    <w:rsid w:val="00CB7875"/>
    <w:rsid w:val="00CB7979"/>
    <w:rsid w:val="00CB79BA"/>
    <w:rsid w:val="00CB7A09"/>
    <w:rsid w:val="00CB7A79"/>
    <w:rsid w:val="00CB7AE2"/>
    <w:rsid w:val="00CB7B4D"/>
    <w:rsid w:val="00CB7B9A"/>
    <w:rsid w:val="00CB7CD1"/>
    <w:rsid w:val="00CB7DA5"/>
    <w:rsid w:val="00CB7F25"/>
    <w:rsid w:val="00CB7F82"/>
    <w:rsid w:val="00CB7FE0"/>
    <w:rsid w:val="00CC0068"/>
    <w:rsid w:val="00CC006D"/>
    <w:rsid w:val="00CC0088"/>
    <w:rsid w:val="00CC0092"/>
    <w:rsid w:val="00CC017F"/>
    <w:rsid w:val="00CC0195"/>
    <w:rsid w:val="00CC019F"/>
    <w:rsid w:val="00CC0277"/>
    <w:rsid w:val="00CC02D8"/>
    <w:rsid w:val="00CC02F5"/>
    <w:rsid w:val="00CC0360"/>
    <w:rsid w:val="00CC03E5"/>
    <w:rsid w:val="00CC0439"/>
    <w:rsid w:val="00CC0490"/>
    <w:rsid w:val="00CC04F3"/>
    <w:rsid w:val="00CC04F8"/>
    <w:rsid w:val="00CC0525"/>
    <w:rsid w:val="00CC071E"/>
    <w:rsid w:val="00CC0797"/>
    <w:rsid w:val="00CC0887"/>
    <w:rsid w:val="00CC0A30"/>
    <w:rsid w:val="00CC0A4C"/>
    <w:rsid w:val="00CC0A9A"/>
    <w:rsid w:val="00CC0BE5"/>
    <w:rsid w:val="00CC0C5E"/>
    <w:rsid w:val="00CC0C62"/>
    <w:rsid w:val="00CC0C82"/>
    <w:rsid w:val="00CC0E0C"/>
    <w:rsid w:val="00CC0F84"/>
    <w:rsid w:val="00CC1090"/>
    <w:rsid w:val="00CC10D7"/>
    <w:rsid w:val="00CC1303"/>
    <w:rsid w:val="00CC131C"/>
    <w:rsid w:val="00CC13B0"/>
    <w:rsid w:val="00CC1498"/>
    <w:rsid w:val="00CC1572"/>
    <w:rsid w:val="00CC15D9"/>
    <w:rsid w:val="00CC18B3"/>
    <w:rsid w:val="00CC1912"/>
    <w:rsid w:val="00CC1922"/>
    <w:rsid w:val="00CC1966"/>
    <w:rsid w:val="00CC1AE4"/>
    <w:rsid w:val="00CC1C06"/>
    <w:rsid w:val="00CC1CCC"/>
    <w:rsid w:val="00CC1CFC"/>
    <w:rsid w:val="00CC1D41"/>
    <w:rsid w:val="00CC1D63"/>
    <w:rsid w:val="00CC1DD6"/>
    <w:rsid w:val="00CC1F3C"/>
    <w:rsid w:val="00CC1F98"/>
    <w:rsid w:val="00CC1FBF"/>
    <w:rsid w:val="00CC21DE"/>
    <w:rsid w:val="00CC220C"/>
    <w:rsid w:val="00CC225D"/>
    <w:rsid w:val="00CC2318"/>
    <w:rsid w:val="00CC242B"/>
    <w:rsid w:val="00CC252C"/>
    <w:rsid w:val="00CC25FB"/>
    <w:rsid w:val="00CC268A"/>
    <w:rsid w:val="00CC26DA"/>
    <w:rsid w:val="00CC26F7"/>
    <w:rsid w:val="00CC2823"/>
    <w:rsid w:val="00CC289A"/>
    <w:rsid w:val="00CC2A1A"/>
    <w:rsid w:val="00CC2A31"/>
    <w:rsid w:val="00CC2B5C"/>
    <w:rsid w:val="00CC2B64"/>
    <w:rsid w:val="00CC2B69"/>
    <w:rsid w:val="00CC2BA0"/>
    <w:rsid w:val="00CC2BE0"/>
    <w:rsid w:val="00CC2D01"/>
    <w:rsid w:val="00CC2DCB"/>
    <w:rsid w:val="00CC2E4F"/>
    <w:rsid w:val="00CC2F0D"/>
    <w:rsid w:val="00CC2F7F"/>
    <w:rsid w:val="00CC2F88"/>
    <w:rsid w:val="00CC2FB5"/>
    <w:rsid w:val="00CC3047"/>
    <w:rsid w:val="00CC30CD"/>
    <w:rsid w:val="00CC30FD"/>
    <w:rsid w:val="00CC3353"/>
    <w:rsid w:val="00CC3388"/>
    <w:rsid w:val="00CC3433"/>
    <w:rsid w:val="00CC34AC"/>
    <w:rsid w:val="00CC34CD"/>
    <w:rsid w:val="00CC3557"/>
    <w:rsid w:val="00CC3753"/>
    <w:rsid w:val="00CC37C3"/>
    <w:rsid w:val="00CC37D7"/>
    <w:rsid w:val="00CC380B"/>
    <w:rsid w:val="00CC3A88"/>
    <w:rsid w:val="00CC3BBF"/>
    <w:rsid w:val="00CC3D57"/>
    <w:rsid w:val="00CC3E9E"/>
    <w:rsid w:val="00CC4179"/>
    <w:rsid w:val="00CC4298"/>
    <w:rsid w:val="00CC42CC"/>
    <w:rsid w:val="00CC433F"/>
    <w:rsid w:val="00CC4371"/>
    <w:rsid w:val="00CC4374"/>
    <w:rsid w:val="00CC440E"/>
    <w:rsid w:val="00CC4428"/>
    <w:rsid w:val="00CC4457"/>
    <w:rsid w:val="00CC4681"/>
    <w:rsid w:val="00CC4691"/>
    <w:rsid w:val="00CC46AF"/>
    <w:rsid w:val="00CC4791"/>
    <w:rsid w:val="00CC48EB"/>
    <w:rsid w:val="00CC492D"/>
    <w:rsid w:val="00CC4AE2"/>
    <w:rsid w:val="00CC4B99"/>
    <w:rsid w:val="00CC4C03"/>
    <w:rsid w:val="00CC4CE6"/>
    <w:rsid w:val="00CC4CF9"/>
    <w:rsid w:val="00CC4D79"/>
    <w:rsid w:val="00CC4FA3"/>
    <w:rsid w:val="00CC5003"/>
    <w:rsid w:val="00CC53BA"/>
    <w:rsid w:val="00CC5457"/>
    <w:rsid w:val="00CC545B"/>
    <w:rsid w:val="00CC5476"/>
    <w:rsid w:val="00CC5675"/>
    <w:rsid w:val="00CC570A"/>
    <w:rsid w:val="00CC5736"/>
    <w:rsid w:val="00CC5758"/>
    <w:rsid w:val="00CC57D3"/>
    <w:rsid w:val="00CC58DC"/>
    <w:rsid w:val="00CC58F8"/>
    <w:rsid w:val="00CC5925"/>
    <w:rsid w:val="00CC593B"/>
    <w:rsid w:val="00CC5951"/>
    <w:rsid w:val="00CC5963"/>
    <w:rsid w:val="00CC59AB"/>
    <w:rsid w:val="00CC5B9F"/>
    <w:rsid w:val="00CC5C38"/>
    <w:rsid w:val="00CC5C47"/>
    <w:rsid w:val="00CC5D30"/>
    <w:rsid w:val="00CC5E20"/>
    <w:rsid w:val="00CC5E70"/>
    <w:rsid w:val="00CC5E8F"/>
    <w:rsid w:val="00CC5F9F"/>
    <w:rsid w:val="00CC6281"/>
    <w:rsid w:val="00CC6298"/>
    <w:rsid w:val="00CC632B"/>
    <w:rsid w:val="00CC64BC"/>
    <w:rsid w:val="00CC64D2"/>
    <w:rsid w:val="00CC6792"/>
    <w:rsid w:val="00CC68C3"/>
    <w:rsid w:val="00CC6921"/>
    <w:rsid w:val="00CC693D"/>
    <w:rsid w:val="00CC694E"/>
    <w:rsid w:val="00CC6BDA"/>
    <w:rsid w:val="00CC6BE7"/>
    <w:rsid w:val="00CC6C0C"/>
    <w:rsid w:val="00CC6C8D"/>
    <w:rsid w:val="00CC6CF2"/>
    <w:rsid w:val="00CC6D1A"/>
    <w:rsid w:val="00CC6D31"/>
    <w:rsid w:val="00CC6D6D"/>
    <w:rsid w:val="00CC6DCC"/>
    <w:rsid w:val="00CC6E1C"/>
    <w:rsid w:val="00CC6FC9"/>
    <w:rsid w:val="00CC7021"/>
    <w:rsid w:val="00CC702D"/>
    <w:rsid w:val="00CC71CF"/>
    <w:rsid w:val="00CC7256"/>
    <w:rsid w:val="00CC7415"/>
    <w:rsid w:val="00CC74AC"/>
    <w:rsid w:val="00CC7525"/>
    <w:rsid w:val="00CC75C4"/>
    <w:rsid w:val="00CC75FD"/>
    <w:rsid w:val="00CC769C"/>
    <w:rsid w:val="00CC76E9"/>
    <w:rsid w:val="00CC76ED"/>
    <w:rsid w:val="00CC78E2"/>
    <w:rsid w:val="00CC7938"/>
    <w:rsid w:val="00CC7A0C"/>
    <w:rsid w:val="00CC7C08"/>
    <w:rsid w:val="00CC7C41"/>
    <w:rsid w:val="00CC7C7C"/>
    <w:rsid w:val="00CC7CC1"/>
    <w:rsid w:val="00CC7DED"/>
    <w:rsid w:val="00CC7E02"/>
    <w:rsid w:val="00CC7EAF"/>
    <w:rsid w:val="00CC7F85"/>
    <w:rsid w:val="00CC7FA4"/>
    <w:rsid w:val="00CC7FD1"/>
    <w:rsid w:val="00CD0019"/>
    <w:rsid w:val="00CD0271"/>
    <w:rsid w:val="00CD037F"/>
    <w:rsid w:val="00CD0400"/>
    <w:rsid w:val="00CD0606"/>
    <w:rsid w:val="00CD064C"/>
    <w:rsid w:val="00CD0730"/>
    <w:rsid w:val="00CD0742"/>
    <w:rsid w:val="00CD080D"/>
    <w:rsid w:val="00CD082D"/>
    <w:rsid w:val="00CD0940"/>
    <w:rsid w:val="00CD09D3"/>
    <w:rsid w:val="00CD0A2C"/>
    <w:rsid w:val="00CD0B2F"/>
    <w:rsid w:val="00CD0C08"/>
    <w:rsid w:val="00CD0C41"/>
    <w:rsid w:val="00CD0D2D"/>
    <w:rsid w:val="00CD0E2A"/>
    <w:rsid w:val="00CD0E71"/>
    <w:rsid w:val="00CD0ECD"/>
    <w:rsid w:val="00CD1128"/>
    <w:rsid w:val="00CD1150"/>
    <w:rsid w:val="00CD1217"/>
    <w:rsid w:val="00CD123D"/>
    <w:rsid w:val="00CD12D1"/>
    <w:rsid w:val="00CD1338"/>
    <w:rsid w:val="00CD147B"/>
    <w:rsid w:val="00CD14B6"/>
    <w:rsid w:val="00CD14E4"/>
    <w:rsid w:val="00CD154A"/>
    <w:rsid w:val="00CD16DF"/>
    <w:rsid w:val="00CD1736"/>
    <w:rsid w:val="00CD17E9"/>
    <w:rsid w:val="00CD17F3"/>
    <w:rsid w:val="00CD18D9"/>
    <w:rsid w:val="00CD19FD"/>
    <w:rsid w:val="00CD1A4A"/>
    <w:rsid w:val="00CD1A98"/>
    <w:rsid w:val="00CD1B14"/>
    <w:rsid w:val="00CD1BA0"/>
    <w:rsid w:val="00CD1C56"/>
    <w:rsid w:val="00CD1D54"/>
    <w:rsid w:val="00CD1D77"/>
    <w:rsid w:val="00CD1DCB"/>
    <w:rsid w:val="00CD1F18"/>
    <w:rsid w:val="00CD1F59"/>
    <w:rsid w:val="00CD2054"/>
    <w:rsid w:val="00CD208A"/>
    <w:rsid w:val="00CD2398"/>
    <w:rsid w:val="00CD248C"/>
    <w:rsid w:val="00CD24C1"/>
    <w:rsid w:val="00CD25D5"/>
    <w:rsid w:val="00CD2606"/>
    <w:rsid w:val="00CD283C"/>
    <w:rsid w:val="00CD297D"/>
    <w:rsid w:val="00CD2988"/>
    <w:rsid w:val="00CD29BB"/>
    <w:rsid w:val="00CD2A0D"/>
    <w:rsid w:val="00CD2B0D"/>
    <w:rsid w:val="00CD2B3C"/>
    <w:rsid w:val="00CD2B9B"/>
    <w:rsid w:val="00CD2C8E"/>
    <w:rsid w:val="00CD2CA3"/>
    <w:rsid w:val="00CD2D8F"/>
    <w:rsid w:val="00CD2F59"/>
    <w:rsid w:val="00CD3030"/>
    <w:rsid w:val="00CD308E"/>
    <w:rsid w:val="00CD30FD"/>
    <w:rsid w:val="00CD3126"/>
    <w:rsid w:val="00CD329E"/>
    <w:rsid w:val="00CD32CA"/>
    <w:rsid w:val="00CD337F"/>
    <w:rsid w:val="00CD338D"/>
    <w:rsid w:val="00CD358C"/>
    <w:rsid w:val="00CD359E"/>
    <w:rsid w:val="00CD3611"/>
    <w:rsid w:val="00CD36FC"/>
    <w:rsid w:val="00CD3731"/>
    <w:rsid w:val="00CD37D4"/>
    <w:rsid w:val="00CD37E5"/>
    <w:rsid w:val="00CD39AE"/>
    <w:rsid w:val="00CD3A64"/>
    <w:rsid w:val="00CD3AD6"/>
    <w:rsid w:val="00CD3AE6"/>
    <w:rsid w:val="00CD3C02"/>
    <w:rsid w:val="00CD3C1C"/>
    <w:rsid w:val="00CD3D3D"/>
    <w:rsid w:val="00CD3E53"/>
    <w:rsid w:val="00CD3E61"/>
    <w:rsid w:val="00CD3E96"/>
    <w:rsid w:val="00CD3EB1"/>
    <w:rsid w:val="00CD3EED"/>
    <w:rsid w:val="00CD3F48"/>
    <w:rsid w:val="00CD4190"/>
    <w:rsid w:val="00CD42A6"/>
    <w:rsid w:val="00CD42FA"/>
    <w:rsid w:val="00CD430D"/>
    <w:rsid w:val="00CD4310"/>
    <w:rsid w:val="00CD455A"/>
    <w:rsid w:val="00CD46CC"/>
    <w:rsid w:val="00CD47A8"/>
    <w:rsid w:val="00CD4940"/>
    <w:rsid w:val="00CD495D"/>
    <w:rsid w:val="00CD49CF"/>
    <w:rsid w:val="00CD49ED"/>
    <w:rsid w:val="00CD4A38"/>
    <w:rsid w:val="00CD4A7F"/>
    <w:rsid w:val="00CD4AF3"/>
    <w:rsid w:val="00CD4B97"/>
    <w:rsid w:val="00CD4C3E"/>
    <w:rsid w:val="00CD4CD1"/>
    <w:rsid w:val="00CD500E"/>
    <w:rsid w:val="00CD5131"/>
    <w:rsid w:val="00CD5172"/>
    <w:rsid w:val="00CD51B6"/>
    <w:rsid w:val="00CD5255"/>
    <w:rsid w:val="00CD52A5"/>
    <w:rsid w:val="00CD53B1"/>
    <w:rsid w:val="00CD5402"/>
    <w:rsid w:val="00CD5440"/>
    <w:rsid w:val="00CD54C3"/>
    <w:rsid w:val="00CD55B0"/>
    <w:rsid w:val="00CD57F0"/>
    <w:rsid w:val="00CD57F2"/>
    <w:rsid w:val="00CD5812"/>
    <w:rsid w:val="00CD5927"/>
    <w:rsid w:val="00CD595A"/>
    <w:rsid w:val="00CD5975"/>
    <w:rsid w:val="00CD5B8A"/>
    <w:rsid w:val="00CD5BAD"/>
    <w:rsid w:val="00CD5BD5"/>
    <w:rsid w:val="00CD5DB4"/>
    <w:rsid w:val="00CD5E26"/>
    <w:rsid w:val="00CD5E95"/>
    <w:rsid w:val="00CD5F80"/>
    <w:rsid w:val="00CD6022"/>
    <w:rsid w:val="00CD60DF"/>
    <w:rsid w:val="00CD60E0"/>
    <w:rsid w:val="00CD611F"/>
    <w:rsid w:val="00CD6125"/>
    <w:rsid w:val="00CD6175"/>
    <w:rsid w:val="00CD61D8"/>
    <w:rsid w:val="00CD6225"/>
    <w:rsid w:val="00CD6321"/>
    <w:rsid w:val="00CD64A0"/>
    <w:rsid w:val="00CD651B"/>
    <w:rsid w:val="00CD657F"/>
    <w:rsid w:val="00CD6585"/>
    <w:rsid w:val="00CD65B6"/>
    <w:rsid w:val="00CD665A"/>
    <w:rsid w:val="00CD6765"/>
    <w:rsid w:val="00CD676A"/>
    <w:rsid w:val="00CD677D"/>
    <w:rsid w:val="00CD6897"/>
    <w:rsid w:val="00CD68E1"/>
    <w:rsid w:val="00CD6943"/>
    <w:rsid w:val="00CD69AE"/>
    <w:rsid w:val="00CD69B9"/>
    <w:rsid w:val="00CD6A83"/>
    <w:rsid w:val="00CD6AB0"/>
    <w:rsid w:val="00CD6AB6"/>
    <w:rsid w:val="00CD6B2B"/>
    <w:rsid w:val="00CD6B43"/>
    <w:rsid w:val="00CD6CC5"/>
    <w:rsid w:val="00CD6D3B"/>
    <w:rsid w:val="00CD6DC6"/>
    <w:rsid w:val="00CD6ED3"/>
    <w:rsid w:val="00CD6EDC"/>
    <w:rsid w:val="00CD6EFB"/>
    <w:rsid w:val="00CD6F01"/>
    <w:rsid w:val="00CD700F"/>
    <w:rsid w:val="00CD70C7"/>
    <w:rsid w:val="00CD71DF"/>
    <w:rsid w:val="00CD722F"/>
    <w:rsid w:val="00CD72A8"/>
    <w:rsid w:val="00CD7394"/>
    <w:rsid w:val="00CD7414"/>
    <w:rsid w:val="00CD74C0"/>
    <w:rsid w:val="00CD757C"/>
    <w:rsid w:val="00CD75D4"/>
    <w:rsid w:val="00CD766F"/>
    <w:rsid w:val="00CD77C7"/>
    <w:rsid w:val="00CD7869"/>
    <w:rsid w:val="00CD78B2"/>
    <w:rsid w:val="00CD7A20"/>
    <w:rsid w:val="00CD7BA6"/>
    <w:rsid w:val="00CD7CA9"/>
    <w:rsid w:val="00CD7CD1"/>
    <w:rsid w:val="00CD7DC6"/>
    <w:rsid w:val="00CD7E85"/>
    <w:rsid w:val="00CD7EE2"/>
    <w:rsid w:val="00CD7FF8"/>
    <w:rsid w:val="00CE000E"/>
    <w:rsid w:val="00CE01D0"/>
    <w:rsid w:val="00CE02B3"/>
    <w:rsid w:val="00CE0404"/>
    <w:rsid w:val="00CE049E"/>
    <w:rsid w:val="00CE04C8"/>
    <w:rsid w:val="00CE04FD"/>
    <w:rsid w:val="00CE0540"/>
    <w:rsid w:val="00CE069E"/>
    <w:rsid w:val="00CE06A9"/>
    <w:rsid w:val="00CE071A"/>
    <w:rsid w:val="00CE0865"/>
    <w:rsid w:val="00CE0919"/>
    <w:rsid w:val="00CE0955"/>
    <w:rsid w:val="00CE0A0C"/>
    <w:rsid w:val="00CE0AA5"/>
    <w:rsid w:val="00CE0B49"/>
    <w:rsid w:val="00CE0B4A"/>
    <w:rsid w:val="00CE0B8D"/>
    <w:rsid w:val="00CE0BB0"/>
    <w:rsid w:val="00CE0D56"/>
    <w:rsid w:val="00CE0E11"/>
    <w:rsid w:val="00CE0F1C"/>
    <w:rsid w:val="00CE0FC3"/>
    <w:rsid w:val="00CE1015"/>
    <w:rsid w:val="00CE111A"/>
    <w:rsid w:val="00CE1120"/>
    <w:rsid w:val="00CE112D"/>
    <w:rsid w:val="00CE1193"/>
    <w:rsid w:val="00CE12E9"/>
    <w:rsid w:val="00CE1315"/>
    <w:rsid w:val="00CE1324"/>
    <w:rsid w:val="00CE1404"/>
    <w:rsid w:val="00CE1496"/>
    <w:rsid w:val="00CE14FC"/>
    <w:rsid w:val="00CE1534"/>
    <w:rsid w:val="00CE156E"/>
    <w:rsid w:val="00CE1572"/>
    <w:rsid w:val="00CE1737"/>
    <w:rsid w:val="00CE182F"/>
    <w:rsid w:val="00CE19C4"/>
    <w:rsid w:val="00CE19D8"/>
    <w:rsid w:val="00CE1AA7"/>
    <w:rsid w:val="00CE1AFA"/>
    <w:rsid w:val="00CE1B1D"/>
    <w:rsid w:val="00CE1C15"/>
    <w:rsid w:val="00CE1C29"/>
    <w:rsid w:val="00CE1C3B"/>
    <w:rsid w:val="00CE1C75"/>
    <w:rsid w:val="00CE1CEC"/>
    <w:rsid w:val="00CE1D26"/>
    <w:rsid w:val="00CE1D7A"/>
    <w:rsid w:val="00CE1D9F"/>
    <w:rsid w:val="00CE1F0F"/>
    <w:rsid w:val="00CE1F15"/>
    <w:rsid w:val="00CE20A5"/>
    <w:rsid w:val="00CE20CB"/>
    <w:rsid w:val="00CE2158"/>
    <w:rsid w:val="00CE223E"/>
    <w:rsid w:val="00CE237D"/>
    <w:rsid w:val="00CE23AD"/>
    <w:rsid w:val="00CE23E1"/>
    <w:rsid w:val="00CE24B5"/>
    <w:rsid w:val="00CE253A"/>
    <w:rsid w:val="00CE270C"/>
    <w:rsid w:val="00CE2712"/>
    <w:rsid w:val="00CE280B"/>
    <w:rsid w:val="00CE2848"/>
    <w:rsid w:val="00CE2889"/>
    <w:rsid w:val="00CE2913"/>
    <w:rsid w:val="00CE2917"/>
    <w:rsid w:val="00CE2B64"/>
    <w:rsid w:val="00CE2C5A"/>
    <w:rsid w:val="00CE2C69"/>
    <w:rsid w:val="00CE2CD9"/>
    <w:rsid w:val="00CE2CF1"/>
    <w:rsid w:val="00CE2CF4"/>
    <w:rsid w:val="00CE2D51"/>
    <w:rsid w:val="00CE2D94"/>
    <w:rsid w:val="00CE2ED7"/>
    <w:rsid w:val="00CE311D"/>
    <w:rsid w:val="00CE3201"/>
    <w:rsid w:val="00CE3380"/>
    <w:rsid w:val="00CE33BC"/>
    <w:rsid w:val="00CE3434"/>
    <w:rsid w:val="00CE34DF"/>
    <w:rsid w:val="00CE352D"/>
    <w:rsid w:val="00CE357C"/>
    <w:rsid w:val="00CE36B5"/>
    <w:rsid w:val="00CE36F0"/>
    <w:rsid w:val="00CE36F2"/>
    <w:rsid w:val="00CE37B0"/>
    <w:rsid w:val="00CE383E"/>
    <w:rsid w:val="00CE384B"/>
    <w:rsid w:val="00CE389F"/>
    <w:rsid w:val="00CE3925"/>
    <w:rsid w:val="00CE3993"/>
    <w:rsid w:val="00CE3997"/>
    <w:rsid w:val="00CE39A0"/>
    <w:rsid w:val="00CE3A30"/>
    <w:rsid w:val="00CE3AB1"/>
    <w:rsid w:val="00CE3B32"/>
    <w:rsid w:val="00CE3BF9"/>
    <w:rsid w:val="00CE3CF1"/>
    <w:rsid w:val="00CE3E5D"/>
    <w:rsid w:val="00CE3E7E"/>
    <w:rsid w:val="00CE3ECB"/>
    <w:rsid w:val="00CE40E3"/>
    <w:rsid w:val="00CE4156"/>
    <w:rsid w:val="00CE4168"/>
    <w:rsid w:val="00CE4189"/>
    <w:rsid w:val="00CE4206"/>
    <w:rsid w:val="00CE424F"/>
    <w:rsid w:val="00CE4278"/>
    <w:rsid w:val="00CE4288"/>
    <w:rsid w:val="00CE43CE"/>
    <w:rsid w:val="00CE447D"/>
    <w:rsid w:val="00CE44D4"/>
    <w:rsid w:val="00CE44E0"/>
    <w:rsid w:val="00CE457D"/>
    <w:rsid w:val="00CE4598"/>
    <w:rsid w:val="00CE459B"/>
    <w:rsid w:val="00CE46EA"/>
    <w:rsid w:val="00CE4708"/>
    <w:rsid w:val="00CE480A"/>
    <w:rsid w:val="00CE490F"/>
    <w:rsid w:val="00CE497E"/>
    <w:rsid w:val="00CE4998"/>
    <w:rsid w:val="00CE4B15"/>
    <w:rsid w:val="00CE4C9B"/>
    <w:rsid w:val="00CE4CD5"/>
    <w:rsid w:val="00CE4CD8"/>
    <w:rsid w:val="00CE4D9A"/>
    <w:rsid w:val="00CE4F04"/>
    <w:rsid w:val="00CE4F1A"/>
    <w:rsid w:val="00CE5027"/>
    <w:rsid w:val="00CE502D"/>
    <w:rsid w:val="00CE502E"/>
    <w:rsid w:val="00CE5209"/>
    <w:rsid w:val="00CE5271"/>
    <w:rsid w:val="00CE53F5"/>
    <w:rsid w:val="00CE54CB"/>
    <w:rsid w:val="00CE551A"/>
    <w:rsid w:val="00CE5544"/>
    <w:rsid w:val="00CE55AB"/>
    <w:rsid w:val="00CE5652"/>
    <w:rsid w:val="00CE56C6"/>
    <w:rsid w:val="00CE570F"/>
    <w:rsid w:val="00CE574B"/>
    <w:rsid w:val="00CE5852"/>
    <w:rsid w:val="00CE587A"/>
    <w:rsid w:val="00CE5893"/>
    <w:rsid w:val="00CE598D"/>
    <w:rsid w:val="00CE598E"/>
    <w:rsid w:val="00CE59A0"/>
    <w:rsid w:val="00CE59AD"/>
    <w:rsid w:val="00CE59E6"/>
    <w:rsid w:val="00CE5A0A"/>
    <w:rsid w:val="00CE5AAC"/>
    <w:rsid w:val="00CE5B10"/>
    <w:rsid w:val="00CE5B16"/>
    <w:rsid w:val="00CE5B8C"/>
    <w:rsid w:val="00CE5B9F"/>
    <w:rsid w:val="00CE5CAC"/>
    <w:rsid w:val="00CE5F16"/>
    <w:rsid w:val="00CE5F52"/>
    <w:rsid w:val="00CE5F6B"/>
    <w:rsid w:val="00CE5FE1"/>
    <w:rsid w:val="00CE60FE"/>
    <w:rsid w:val="00CE618C"/>
    <w:rsid w:val="00CE61F0"/>
    <w:rsid w:val="00CE63B6"/>
    <w:rsid w:val="00CE6501"/>
    <w:rsid w:val="00CE652F"/>
    <w:rsid w:val="00CE655D"/>
    <w:rsid w:val="00CE65BC"/>
    <w:rsid w:val="00CE6680"/>
    <w:rsid w:val="00CE66AE"/>
    <w:rsid w:val="00CE671F"/>
    <w:rsid w:val="00CE676A"/>
    <w:rsid w:val="00CE6788"/>
    <w:rsid w:val="00CE67D8"/>
    <w:rsid w:val="00CE682B"/>
    <w:rsid w:val="00CE68F0"/>
    <w:rsid w:val="00CE6A72"/>
    <w:rsid w:val="00CE6A8F"/>
    <w:rsid w:val="00CE6B38"/>
    <w:rsid w:val="00CE6B4E"/>
    <w:rsid w:val="00CE6D62"/>
    <w:rsid w:val="00CE6E2E"/>
    <w:rsid w:val="00CE6E8E"/>
    <w:rsid w:val="00CE7036"/>
    <w:rsid w:val="00CE704C"/>
    <w:rsid w:val="00CE71B3"/>
    <w:rsid w:val="00CE732D"/>
    <w:rsid w:val="00CE736C"/>
    <w:rsid w:val="00CE73A4"/>
    <w:rsid w:val="00CE7415"/>
    <w:rsid w:val="00CE7419"/>
    <w:rsid w:val="00CE7421"/>
    <w:rsid w:val="00CE751A"/>
    <w:rsid w:val="00CE7778"/>
    <w:rsid w:val="00CE78D6"/>
    <w:rsid w:val="00CE7979"/>
    <w:rsid w:val="00CE7A50"/>
    <w:rsid w:val="00CE7A83"/>
    <w:rsid w:val="00CE7AE1"/>
    <w:rsid w:val="00CE7B10"/>
    <w:rsid w:val="00CE7B31"/>
    <w:rsid w:val="00CE7B80"/>
    <w:rsid w:val="00CE7BBB"/>
    <w:rsid w:val="00CE7BF7"/>
    <w:rsid w:val="00CE7BFE"/>
    <w:rsid w:val="00CE7E41"/>
    <w:rsid w:val="00CE7EAF"/>
    <w:rsid w:val="00CE7F60"/>
    <w:rsid w:val="00CE7F6E"/>
    <w:rsid w:val="00CE7FFE"/>
    <w:rsid w:val="00CF001D"/>
    <w:rsid w:val="00CF0082"/>
    <w:rsid w:val="00CF00C3"/>
    <w:rsid w:val="00CF00ED"/>
    <w:rsid w:val="00CF0294"/>
    <w:rsid w:val="00CF02B3"/>
    <w:rsid w:val="00CF02B6"/>
    <w:rsid w:val="00CF0307"/>
    <w:rsid w:val="00CF0334"/>
    <w:rsid w:val="00CF03BC"/>
    <w:rsid w:val="00CF0444"/>
    <w:rsid w:val="00CF0537"/>
    <w:rsid w:val="00CF057D"/>
    <w:rsid w:val="00CF05A7"/>
    <w:rsid w:val="00CF063D"/>
    <w:rsid w:val="00CF0680"/>
    <w:rsid w:val="00CF0772"/>
    <w:rsid w:val="00CF0886"/>
    <w:rsid w:val="00CF0978"/>
    <w:rsid w:val="00CF098D"/>
    <w:rsid w:val="00CF0ACB"/>
    <w:rsid w:val="00CF0B68"/>
    <w:rsid w:val="00CF0C29"/>
    <w:rsid w:val="00CF0C2B"/>
    <w:rsid w:val="00CF0C75"/>
    <w:rsid w:val="00CF0D75"/>
    <w:rsid w:val="00CF0EB1"/>
    <w:rsid w:val="00CF0EFA"/>
    <w:rsid w:val="00CF0F23"/>
    <w:rsid w:val="00CF109C"/>
    <w:rsid w:val="00CF113F"/>
    <w:rsid w:val="00CF1228"/>
    <w:rsid w:val="00CF1395"/>
    <w:rsid w:val="00CF145D"/>
    <w:rsid w:val="00CF14B5"/>
    <w:rsid w:val="00CF14EB"/>
    <w:rsid w:val="00CF156F"/>
    <w:rsid w:val="00CF1609"/>
    <w:rsid w:val="00CF1640"/>
    <w:rsid w:val="00CF1843"/>
    <w:rsid w:val="00CF1845"/>
    <w:rsid w:val="00CF1893"/>
    <w:rsid w:val="00CF18A6"/>
    <w:rsid w:val="00CF18E9"/>
    <w:rsid w:val="00CF1B8A"/>
    <w:rsid w:val="00CF1C8E"/>
    <w:rsid w:val="00CF1DE2"/>
    <w:rsid w:val="00CF1EEE"/>
    <w:rsid w:val="00CF1F3D"/>
    <w:rsid w:val="00CF1FBF"/>
    <w:rsid w:val="00CF1FF6"/>
    <w:rsid w:val="00CF213C"/>
    <w:rsid w:val="00CF213E"/>
    <w:rsid w:val="00CF224B"/>
    <w:rsid w:val="00CF2302"/>
    <w:rsid w:val="00CF2327"/>
    <w:rsid w:val="00CF2382"/>
    <w:rsid w:val="00CF23CD"/>
    <w:rsid w:val="00CF2471"/>
    <w:rsid w:val="00CF24CA"/>
    <w:rsid w:val="00CF24D9"/>
    <w:rsid w:val="00CF24E9"/>
    <w:rsid w:val="00CF2880"/>
    <w:rsid w:val="00CF29F2"/>
    <w:rsid w:val="00CF2A63"/>
    <w:rsid w:val="00CF2AED"/>
    <w:rsid w:val="00CF2BF6"/>
    <w:rsid w:val="00CF2D8C"/>
    <w:rsid w:val="00CF2DBC"/>
    <w:rsid w:val="00CF2DC8"/>
    <w:rsid w:val="00CF2F30"/>
    <w:rsid w:val="00CF308C"/>
    <w:rsid w:val="00CF319B"/>
    <w:rsid w:val="00CF3331"/>
    <w:rsid w:val="00CF33D1"/>
    <w:rsid w:val="00CF33D3"/>
    <w:rsid w:val="00CF3431"/>
    <w:rsid w:val="00CF3444"/>
    <w:rsid w:val="00CF3555"/>
    <w:rsid w:val="00CF3602"/>
    <w:rsid w:val="00CF3645"/>
    <w:rsid w:val="00CF36BE"/>
    <w:rsid w:val="00CF37BB"/>
    <w:rsid w:val="00CF37F9"/>
    <w:rsid w:val="00CF381B"/>
    <w:rsid w:val="00CF3888"/>
    <w:rsid w:val="00CF38B3"/>
    <w:rsid w:val="00CF38BE"/>
    <w:rsid w:val="00CF3A04"/>
    <w:rsid w:val="00CF3A72"/>
    <w:rsid w:val="00CF3B38"/>
    <w:rsid w:val="00CF3BB1"/>
    <w:rsid w:val="00CF3BD2"/>
    <w:rsid w:val="00CF3CA4"/>
    <w:rsid w:val="00CF3DEC"/>
    <w:rsid w:val="00CF3F38"/>
    <w:rsid w:val="00CF3F6D"/>
    <w:rsid w:val="00CF40B4"/>
    <w:rsid w:val="00CF4344"/>
    <w:rsid w:val="00CF435D"/>
    <w:rsid w:val="00CF44E5"/>
    <w:rsid w:val="00CF4530"/>
    <w:rsid w:val="00CF459B"/>
    <w:rsid w:val="00CF45D0"/>
    <w:rsid w:val="00CF477D"/>
    <w:rsid w:val="00CF478D"/>
    <w:rsid w:val="00CF48BD"/>
    <w:rsid w:val="00CF48D8"/>
    <w:rsid w:val="00CF4A6E"/>
    <w:rsid w:val="00CF4AF9"/>
    <w:rsid w:val="00CF4B6E"/>
    <w:rsid w:val="00CF4BFF"/>
    <w:rsid w:val="00CF4C20"/>
    <w:rsid w:val="00CF4C2F"/>
    <w:rsid w:val="00CF4C3C"/>
    <w:rsid w:val="00CF4C45"/>
    <w:rsid w:val="00CF50A5"/>
    <w:rsid w:val="00CF50E1"/>
    <w:rsid w:val="00CF51B9"/>
    <w:rsid w:val="00CF524A"/>
    <w:rsid w:val="00CF5296"/>
    <w:rsid w:val="00CF52E0"/>
    <w:rsid w:val="00CF530D"/>
    <w:rsid w:val="00CF5342"/>
    <w:rsid w:val="00CF535F"/>
    <w:rsid w:val="00CF542F"/>
    <w:rsid w:val="00CF5454"/>
    <w:rsid w:val="00CF546E"/>
    <w:rsid w:val="00CF5497"/>
    <w:rsid w:val="00CF54C9"/>
    <w:rsid w:val="00CF54E7"/>
    <w:rsid w:val="00CF562F"/>
    <w:rsid w:val="00CF5644"/>
    <w:rsid w:val="00CF5684"/>
    <w:rsid w:val="00CF5753"/>
    <w:rsid w:val="00CF5760"/>
    <w:rsid w:val="00CF57A8"/>
    <w:rsid w:val="00CF588F"/>
    <w:rsid w:val="00CF592F"/>
    <w:rsid w:val="00CF59D7"/>
    <w:rsid w:val="00CF59DD"/>
    <w:rsid w:val="00CF5A78"/>
    <w:rsid w:val="00CF5AB3"/>
    <w:rsid w:val="00CF5B33"/>
    <w:rsid w:val="00CF5C13"/>
    <w:rsid w:val="00CF5E0D"/>
    <w:rsid w:val="00CF5E1C"/>
    <w:rsid w:val="00CF5E68"/>
    <w:rsid w:val="00CF5E79"/>
    <w:rsid w:val="00CF5EC7"/>
    <w:rsid w:val="00CF5FF8"/>
    <w:rsid w:val="00CF6024"/>
    <w:rsid w:val="00CF6087"/>
    <w:rsid w:val="00CF611E"/>
    <w:rsid w:val="00CF61C5"/>
    <w:rsid w:val="00CF61DE"/>
    <w:rsid w:val="00CF61F2"/>
    <w:rsid w:val="00CF634C"/>
    <w:rsid w:val="00CF6420"/>
    <w:rsid w:val="00CF647C"/>
    <w:rsid w:val="00CF651D"/>
    <w:rsid w:val="00CF6600"/>
    <w:rsid w:val="00CF663B"/>
    <w:rsid w:val="00CF66CF"/>
    <w:rsid w:val="00CF68C9"/>
    <w:rsid w:val="00CF6987"/>
    <w:rsid w:val="00CF69DC"/>
    <w:rsid w:val="00CF6A92"/>
    <w:rsid w:val="00CF6AA0"/>
    <w:rsid w:val="00CF6C11"/>
    <w:rsid w:val="00CF6DCA"/>
    <w:rsid w:val="00CF6E05"/>
    <w:rsid w:val="00CF6E26"/>
    <w:rsid w:val="00CF6E3E"/>
    <w:rsid w:val="00CF6E46"/>
    <w:rsid w:val="00CF6E85"/>
    <w:rsid w:val="00CF711C"/>
    <w:rsid w:val="00CF729C"/>
    <w:rsid w:val="00CF72B8"/>
    <w:rsid w:val="00CF7386"/>
    <w:rsid w:val="00CF73B1"/>
    <w:rsid w:val="00CF744B"/>
    <w:rsid w:val="00CF751C"/>
    <w:rsid w:val="00CF75D4"/>
    <w:rsid w:val="00CF766B"/>
    <w:rsid w:val="00CF76A4"/>
    <w:rsid w:val="00CF775B"/>
    <w:rsid w:val="00CF7828"/>
    <w:rsid w:val="00CF7933"/>
    <w:rsid w:val="00CF7936"/>
    <w:rsid w:val="00CF79D5"/>
    <w:rsid w:val="00CF7A0B"/>
    <w:rsid w:val="00CF7AF8"/>
    <w:rsid w:val="00CF7BB4"/>
    <w:rsid w:val="00CF7E80"/>
    <w:rsid w:val="00CF7F4A"/>
    <w:rsid w:val="00CF7F6D"/>
    <w:rsid w:val="00CF7F7F"/>
    <w:rsid w:val="00CF7F9D"/>
    <w:rsid w:val="00D0001C"/>
    <w:rsid w:val="00D00053"/>
    <w:rsid w:val="00D000E0"/>
    <w:rsid w:val="00D0023B"/>
    <w:rsid w:val="00D00346"/>
    <w:rsid w:val="00D00388"/>
    <w:rsid w:val="00D003B5"/>
    <w:rsid w:val="00D003D2"/>
    <w:rsid w:val="00D003EA"/>
    <w:rsid w:val="00D00422"/>
    <w:rsid w:val="00D00470"/>
    <w:rsid w:val="00D0049E"/>
    <w:rsid w:val="00D00514"/>
    <w:rsid w:val="00D00548"/>
    <w:rsid w:val="00D00554"/>
    <w:rsid w:val="00D00570"/>
    <w:rsid w:val="00D00604"/>
    <w:rsid w:val="00D00678"/>
    <w:rsid w:val="00D007BB"/>
    <w:rsid w:val="00D00887"/>
    <w:rsid w:val="00D00AD8"/>
    <w:rsid w:val="00D00AE8"/>
    <w:rsid w:val="00D00C71"/>
    <w:rsid w:val="00D00CCD"/>
    <w:rsid w:val="00D00DB8"/>
    <w:rsid w:val="00D00EB6"/>
    <w:rsid w:val="00D00EE5"/>
    <w:rsid w:val="00D00F22"/>
    <w:rsid w:val="00D00FA0"/>
    <w:rsid w:val="00D00FCD"/>
    <w:rsid w:val="00D011D5"/>
    <w:rsid w:val="00D01239"/>
    <w:rsid w:val="00D0126B"/>
    <w:rsid w:val="00D0126D"/>
    <w:rsid w:val="00D012F0"/>
    <w:rsid w:val="00D01319"/>
    <w:rsid w:val="00D01372"/>
    <w:rsid w:val="00D013BF"/>
    <w:rsid w:val="00D0145E"/>
    <w:rsid w:val="00D014DE"/>
    <w:rsid w:val="00D0150E"/>
    <w:rsid w:val="00D0159B"/>
    <w:rsid w:val="00D0164F"/>
    <w:rsid w:val="00D0169A"/>
    <w:rsid w:val="00D016A1"/>
    <w:rsid w:val="00D016AF"/>
    <w:rsid w:val="00D016B3"/>
    <w:rsid w:val="00D0172F"/>
    <w:rsid w:val="00D01747"/>
    <w:rsid w:val="00D017EE"/>
    <w:rsid w:val="00D0185D"/>
    <w:rsid w:val="00D01871"/>
    <w:rsid w:val="00D0187A"/>
    <w:rsid w:val="00D0188E"/>
    <w:rsid w:val="00D018A2"/>
    <w:rsid w:val="00D01900"/>
    <w:rsid w:val="00D01901"/>
    <w:rsid w:val="00D01905"/>
    <w:rsid w:val="00D01914"/>
    <w:rsid w:val="00D01924"/>
    <w:rsid w:val="00D01935"/>
    <w:rsid w:val="00D0199D"/>
    <w:rsid w:val="00D01AF6"/>
    <w:rsid w:val="00D01B27"/>
    <w:rsid w:val="00D01B4F"/>
    <w:rsid w:val="00D01BB3"/>
    <w:rsid w:val="00D01BE6"/>
    <w:rsid w:val="00D01D30"/>
    <w:rsid w:val="00D01DB6"/>
    <w:rsid w:val="00D01DDE"/>
    <w:rsid w:val="00D01E20"/>
    <w:rsid w:val="00D01E2D"/>
    <w:rsid w:val="00D01E71"/>
    <w:rsid w:val="00D01FD0"/>
    <w:rsid w:val="00D021C2"/>
    <w:rsid w:val="00D02296"/>
    <w:rsid w:val="00D022D6"/>
    <w:rsid w:val="00D02316"/>
    <w:rsid w:val="00D0248E"/>
    <w:rsid w:val="00D025F7"/>
    <w:rsid w:val="00D026F4"/>
    <w:rsid w:val="00D0281C"/>
    <w:rsid w:val="00D028C3"/>
    <w:rsid w:val="00D028E6"/>
    <w:rsid w:val="00D028FB"/>
    <w:rsid w:val="00D0297F"/>
    <w:rsid w:val="00D02B52"/>
    <w:rsid w:val="00D02B7D"/>
    <w:rsid w:val="00D02C45"/>
    <w:rsid w:val="00D02E33"/>
    <w:rsid w:val="00D02F27"/>
    <w:rsid w:val="00D02F4D"/>
    <w:rsid w:val="00D02F58"/>
    <w:rsid w:val="00D03139"/>
    <w:rsid w:val="00D0319C"/>
    <w:rsid w:val="00D03266"/>
    <w:rsid w:val="00D032A1"/>
    <w:rsid w:val="00D03326"/>
    <w:rsid w:val="00D03353"/>
    <w:rsid w:val="00D0339E"/>
    <w:rsid w:val="00D03428"/>
    <w:rsid w:val="00D0362C"/>
    <w:rsid w:val="00D036E9"/>
    <w:rsid w:val="00D03872"/>
    <w:rsid w:val="00D0387F"/>
    <w:rsid w:val="00D0388F"/>
    <w:rsid w:val="00D03911"/>
    <w:rsid w:val="00D0393B"/>
    <w:rsid w:val="00D0395C"/>
    <w:rsid w:val="00D0395D"/>
    <w:rsid w:val="00D03A69"/>
    <w:rsid w:val="00D03B2C"/>
    <w:rsid w:val="00D03B86"/>
    <w:rsid w:val="00D03CDE"/>
    <w:rsid w:val="00D03E38"/>
    <w:rsid w:val="00D04006"/>
    <w:rsid w:val="00D04026"/>
    <w:rsid w:val="00D04096"/>
    <w:rsid w:val="00D040E3"/>
    <w:rsid w:val="00D043A6"/>
    <w:rsid w:val="00D043EE"/>
    <w:rsid w:val="00D0445C"/>
    <w:rsid w:val="00D044A3"/>
    <w:rsid w:val="00D044A6"/>
    <w:rsid w:val="00D045B0"/>
    <w:rsid w:val="00D045B7"/>
    <w:rsid w:val="00D047DA"/>
    <w:rsid w:val="00D0480C"/>
    <w:rsid w:val="00D0492A"/>
    <w:rsid w:val="00D04A03"/>
    <w:rsid w:val="00D04A17"/>
    <w:rsid w:val="00D04ADF"/>
    <w:rsid w:val="00D04B25"/>
    <w:rsid w:val="00D04C47"/>
    <w:rsid w:val="00D04D19"/>
    <w:rsid w:val="00D04E23"/>
    <w:rsid w:val="00D04E60"/>
    <w:rsid w:val="00D04E67"/>
    <w:rsid w:val="00D04E6A"/>
    <w:rsid w:val="00D04E83"/>
    <w:rsid w:val="00D0505D"/>
    <w:rsid w:val="00D0521E"/>
    <w:rsid w:val="00D0529B"/>
    <w:rsid w:val="00D05511"/>
    <w:rsid w:val="00D05652"/>
    <w:rsid w:val="00D056C7"/>
    <w:rsid w:val="00D05766"/>
    <w:rsid w:val="00D057B7"/>
    <w:rsid w:val="00D0586D"/>
    <w:rsid w:val="00D0589B"/>
    <w:rsid w:val="00D058CA"/>
    <w:rsid w:val="00D058E3"/>
    <w:rsid w:val="00D05999"/>
    <w:rsid w:val="00D05AB1"/>
    <w:rsid w:val="00D05AE2"/>
    <w:rsid w:val="00D05BF5"/>
    <w:rsid w:val="00D05C18"/>
    <w:rsid w:val="00D05D57"/>
    <w:rsid w:val="00D05E4E"/>
    <w:rsid w:val="00D05E9B"/>
    <w:rsid w:val="00D05EC1"/>
    <w:rsid w:val="00D05FA3"/>
    <w:rsid w:val="00D06057"/>
    <w:rsid w:val="00D060A2"/>
    <w:rsid w:val="00D060CF"/>
    <w:rsid w:val="00D060E0"/>
    <w:rsid w:val="00D06175"/>
    <w:rsid w:val="00D0638C"/>
    <w:rsid w:val="00D063AC"/>
    <w:rsid w:val="00D063B9"/>
    <w:rsid w:val="00D06415"/>
    <w:rsid w:val="00D064B0"/>
    <w:rsid w:val="00D06555"/>
    <w:rsid w:val="00D0655F"/>
    <w:rsid w:val="00D06579"/>
    <w:rsid w:val="00D06693"/>
    <w:rsid w:val="00D067DE"/>
    <w:rsid w:val="00D068B8"/>
    <w:rsid w:val="00D068D6"/>
    <w:rsid w:val="00D068DF"/>
    <w:rsid w:val="00D06927"/>
    <w:rsid w:val="00D06A9D"/>
    <w:rsid w:val="00D06BE7"/>
    <w:rsid w:val="00D06C34"/>
    <w:rsid w:val="00D06C7C"/>
    <w:rsid w:val="00D06E7A"/>
    <w:rsid w:val="00D06EEC"/>
    <w:rsid w:val="00D06F48"/>
    <w:rsid w:val="00D06FBD"/>
    <w:rsid w:val="00D07024"/>
    <w:rsid w:val="00D0705D"/>
    <w:rsid w:val="00D071AE"/>
    <w:rsid w:val="00D071CB"/>
    <w:rsid w:val="00D07259"/>
    <w:rsid w:val="00D07295"/>
    <w:rsid w:val="00D07352"/>
    <w:rsid w:val="00D07610"/>
    <w:rsid w:val="00D0762A"/>
    <w:rsid w:val="00D0762E"/>
    <w:rsid w:val="00D07678"/>
    <w:rsid w:val="00D07692"/>
    <w:rsid w:val="00D076F7"/>
    <w:rsid w:val="00D07766"/>
    <w:rsid w:val="00D077F1"/>
    <w:rsid w:val="00D077FF"/>
    <w:rsid w:val="00D0785A"/>
    <w:rsid w:val="00D0787B"/>
    <w:rsid w:val="00D07889"/>
    <w:rsid w:val="00D078EA"/>
    <w:rsid w:val="00D079CD"/>
    <w:rsid w:val="00D07ADB"/>
    <w:rsid w:val="00D07C65"/>
    <w:rsid w:val="00D07C8A"/>
    <w:rsid w:val="00D07CC1"/>
    <w:rsid w:val="00D07D10"/>
    <w:rsid w:val="00D07D58"/>
    <w:rsid w:val="00D07EB3"/>
    <w:rsid w:val="00D07F56"/>
    <w:rsid w:val="00D100EE"/>
    <w:rsid w:val="00D1021E"/>
    <w:rsid w:val="00D10246"/>
    <w:rsid w:val="00D102C0"/>
    <w:rsid w:val="00D1037E"/>
    <w:rsid w:val="00D10413"/>
    <w:rsid w:val="00D104D5"/>
    <w:rsid w:val="00D10501"/>
    <w:rsid w:val="00D10553"/>
    <w:rsid w:val="00D107BD"/>
    <w:rsid w:val="00D10877"/>
    <w:rsid w:val="00D108E0"/>
    <w:rsid w:val="00D108FB"/>
    <w:rsid w:val="00D10909"/>
    <w:rsid w:val="00D10995"/>
    <w:rsid w:val="00D10B1D"/>
    <w:rsid w:val="00D10B5E"/>
    <w:rsid w:val="00D10B7D"/>
    <w:rsid w:val="00D10DB3"/>
    <w:rsid w:val="00D10DE0"/>
    <w:rsid w:val="00D11084"/>
    <w:rsid w:val="00D110DB"/>
    <w:rsid w:val="00D110ED"/>
    <w:rsid w:val="00D11299"/>
    <w:rsid w:val="00D112EF"/>
    <w:rsid w:val="00D1134A"/>
    <w:rsid w:val="00D11407"/>
    <w:rsid w:val="00D1144D"/>
    <w:rsid w:val="00D114EC"/>
    <w:rsid w:val="00D11592"/>
    <w:rsid w:val="00D115BC"/>
    <w:rsid w:val="00D115E0"/>
    <w:rsid w:val="00D11683"/>
    <w:rsid w:val="00D116A2"/>
    <w:rsid w:val="00D116F1"/>
    <w:rsid w:val="00D118CD"/>
    <w:rsid w:val="00D11AC6"/>
    <w:rsid w:val="00D11AF2"/>
    <w:rsid w:val="00D11BB6"/>
    <w:rsid w:val="00D11BBE"/>
    <w:rsid w:val="00D11BFF"/>
    <w:rsid w:val="00D11CF1"/>
    <w:rsid w:val="00D11D47"/>
    <w:rsid w:val="00D11D66"/>
    <w:rsid w:val="00D11D8B"/>
    <w:rsid w:val="00D11DD5"/>
    <w:rsid w:val="00D11DE0"/>
    <w:rsid w:val="00D11DFA"/>
    <w:rsid w:val="00D11EBB"/>
    <w:rsid w:val="00D11F74"/>
    <w:rsid w:val="00D11F76"/>
    <w:rsid w:val="00D11FBB"/>
    <w:rsid w:val="00D121F6"/>
    <w:rsid w:val="00D123D5"/>
    <w:rsid w:val="00D12497"/>
    <w:rsid w:val="00D12576"/>
    <w:rsid w:val="00D1259B"/>
    <w:rsid w:val="00D126A4"/>
    <w:rsid w:val="00D12839"/>
    <w:rsid w:val="00D1292F"/>
    <w:rsid w:val="00D12996"/>
    <w:rsid w:val="00D129EF"/>
    <w:rsid w:val="00D12A0A"/>
    <w:rsid w:val="00D12AA2"/>
    <w:rsid w:val="00D12AAB"/>
    <w:rsid w:val="00D12B0E"/>
    <w:rsid w:val="00D12BBD"/>
    <w:rsid w:val="00D12DD5"/>
    <w:rsid w:val="00D12E47"/>
    <w:rsid w:val="00D12E6D"/>
    <w:rsid w:val="00D12F1F"/>
    <w:rsid w:val="00D1308A"/>
    <w:rsid w:val="00D1308E"/>
    <w:rsid w:val="00D130A3"/>
    <w:rsid w:val="00D130A6"/>
    <w:rsid w:val="00D13115"/>
    <w:rsid w:val="00D13185"/>
    <w:rsid w:val="00D131A9"/>
    <w:rsid w:val="00D131EB"/>
    <w:rsid w:val="00D1326D"/>
    <w:rsid w:val="00D13410"/>
    <w:rsid w:val="00D134F6"/>
    <w:rsid w:val="00D13568"/>
    <w:rsid w:val="00D136E9"/>
    <w:rsid w:val="00D13891"/>
    <w:rsid w:val="00D1389D"/>
    <w:rsid w:val="00D13927"/>
    <w:rsid w:val="00D13A26"/>
    <w:rsid w:val="00D13A63"/>
    <w:rsid w:val="00D13B1C"/>
    <w:rsid w:val="00D13B36"/>
    <w:rsid w:val="00D13BDF"/>
    <w:rsid w:val="00D13D56"/>
    <w:rsid w:val="00D13E0C"/>
    <w:rsid w:val="00D13E2B"/>
    <w:rsid w:val="00D13F25"/>
    <w:rsid w:val="00D13F45"/>
    <w:rsid w:val="00D140B4"/>
    <w:rsid w:val="00D1418F"/>
    <w:rsid w:val="00D14494"/>
    <w:rsid w:val="00D14598"/>
    <w:rsid w:val="00D146BA"/>
    <w:rsid w:val="00D14762"/>
    <w:rsid w:val="00D1479F"/>
    <w:rsid w:val="00D14877"/>
    <w:rsid w:val="00D149EC"/>
    <w:rsid w:val="00D149F3"/>
    <w:rsid w:val="00D14A37"/>
    <w:rsid w:val="00D14AA2"/>
    <w:rsid w:val="00D14B2D"/>
    <w:rsid w:val="00D14B61"/>
    <w:rsid w:val="00D14BF1"/>
    <w:rsid w:val="00D14C22"/>
    <w:rsid w:val="00D14D36"/>
    <w:rsid w:val="00D14E83"/>
    <w:rsid w:val="00D14F6E"/>
    <w:rsid w:val="00D15265"/>
    <w:rsid w:val="00D1536D"/>
    <w:rsid w:val="00D1537D"/>
    <w:rsid w:val="00D153B1"/>
    <w:rsid w:val="00D153D7"/>
    <w:rsid w:val="00D15420"/>
    <w:rsid w:val="00D15476"/>
    <w:rsid w:val="00D154AE"/>
    <w:rsid w:val="00D154CC"/>
    <w:rsid w:val="00D156E3"/>
    <w:rsid w:val="00D15754"/>
    <w:rsid w:val="00D15900"/>
    <w:rsid w:val="00D1594C"/>
    <w:rsid w:val="00D15964"/>
    <w:rsid w:val="00D1597C"/>
    <w:rsid w:val="00D15984"/>
    <w:rsid w:val="00D15A73"/>
    <w:rsid w:val="00D15AF3"/>
    <w:rsid w:val="00D15B13"/>
    <w:rsid w:val="00D15BEA"/>
    <w:rsid w:val="00D15C4C"/>
    <w:rsid w:val="00D15D1A"/>
    <w:rsid w:val="00D15DE4"/>
    <w:rsid w:val="00D15F22"/>
    <w:rsid w:val="00D15F81"/>
    <w:rsid w:val="00D15F8E"/>
    <w:rsid w:val="00D160F4"/>
    <w:rsid w:val="00D1623D"/>
    <w:rsid w:val="00D16258"/>
    <w:rsid w:val="00D16274"/>
    <w:rsid w:val="00D163BD"/>
    <w:rsid w:val="00D1650E"/>
    <w:rsid w:val="00D1666D"/>
    <w:rsid w:val="00D16673"/>
    <w:rsid w:val="00D16698"/>
    <w:rsid w:val="00D1670B"/>
    <w:rsid w:val="00D1690D"/>
    <w:rsid w:val="00D16936"/>
    <w:rsid w:val="00D16978"/>
    <w:rsid w:val="00D16A48"/>
    <w:rsid w:val="00D16B45"/>
    <w:rsid w:val="00D16B80"/>
    <w:rsid w:val="00D16BC9"/>
    <w:rsid w:val="00D16C09"/>
    <w:rsid w:val="00D16C46"/>
    <w:rsid w:val="00D16C7F"/>
    <w:rsid w:val="00D16D2D"/>
    <w:rsid w:val="00D16DD0"/>
    <w:rsid w:val="00D16F0C"/>
    <w:rsid w:val="00D16FFD"/>
    <w:rsid w:val="00D1700C"/>
    <w:rsid w:val="00D17083"/>
    <w:rsid w:val="00D176B4"/>
    <w:rsid w:val="00D1784F"/>
    <w:rsid w:val="00D178B1"/>
    <w:rsid w:val="00D178C4"/>
    <w:rsid w:val="00D178D5"/>
    <w:rsid w:val="00D17926"/>
    <w:rsid w:val="00D1798B"/>
    <w:rsid w:val="00D179FA"/>
    <w:rsid w:val="00D17A03"/>
    <w:rsid w:val="00D17A0D"/>
    <w:rsid w:val="00D17A44"/>
    <w:rsid w:val="00D17AAC"/>
    <w:rsid w:val="00D17B81"/>
    <w:rsid w:val="00D17C8A"/>
    <w:rsid w:val="00D17CDB"/>
    <w:rsid w:val="00D17D2D"/>
    <w:rsid w:val="00D17DBF"/>
    <w:rsid w:val="00D17DCD"/>
    <w:rsid w:val="00D17E0D"/>
    <w:rsid w:val="00D17E60"/>
    <w:rsid w:val="00D17EAA"/>
    <w:rsid w:val="00D17EF6"/>
    <w:rsid w:val="00D20014"/>
    <w:rsid w:val="00D200C1"/>
    <w:rsid w:val="00D20111"/>
    <w:rsid w:val="00D20132"/>
    <w:rsid w:val="00D201B4"/>
    <w:rsid w:val="00D201B6"/>
    <w:rsid w:val="00D202F3"/>
    <w:rsid w:val="00D202FE"/>
    <w:rsid w:val="00D202FF"/>
    <w:rsid w:val="00D2034D"/>
    <w:rsid w:val="00D2047F"/>
    <w:rsid w:val="00D204D5"/>
    <w:rsid w:val="00D20534"/>
    <w:rsid w:val="00D20571"/>
    <w:rsid w:val="00D20696"/>
    <w:rsid w:val="00D20712"/>
    <w:rsid w:val="00D20785"/>
    <w:rsid w:val="00D2078B"/>
    <w:rsid w:val="00D209CE"/>
    <w:rsid w:val="00D20A08"/>
    <w:rsid w:val="00D20B3F"/>
    <w:rsid w:val="00D20B75"/>
    <w:rsid w:val="00D20BA9"/>
    <w:rsid w:val="00D20BAC"/>
    <w:rsid w:val="00D20BFD"/>
    <w:rsid w:val="00D20C4D"/>
    <w:rsid w:val="00D20C7C"/>
    <w:rsid w:val="00D20C91"/>
    <w:rsid w:val="00D20D3E"/>
    <w:rsid w:val="00D20D7F"/>
    <w:rsid w:val="00D20DA6"/>
    <w:rsid w:val="00D20E4D"/>
    <w:rsid w:val="00D20E78"/>
    <w:rsid w:val="00D21049"/>
    <w:rsid w:val="00D211A5"/>
    <w:rsid w:val="00D213FD"/>
    <w:rsid w:val="00D21699"/>
    <w:rsid w:val="00D216FE"/>
    <w:rsid w:val="00D21922"/>
    <w:rsid w:val="00D21B1C"/>
    <w:rsid w:val="00D21B3B"/>
    <w:rsid w:val="00D21DBD"/>
    <w:rsid w:val="00D21E74"/>
    <w:rsid w:val="00D21EC2"/>
    <w:rsid w:val="00D21EFB"/>
    <w:rsid w:val="00D21F44"/>
    <w:rsid w:val="00D21F64"/>
    <w:rsid w:val="00D21FED"/>
    <w:rsid w:val="00D22004"/>
    <w:rsid w:val="00D22119"/>
    <w:rsid w:val="00D22151"/>
    <w:rsid w:val="00D222D3"/>
    <w:rsid w:val="00D222EC"/>
    <w:rsid w:val="00D2235A"/>
    <w:rsid w:val="00D22609"/>
    <w:rsid w:val="00D22682"/>
    <w:rsid w:val="00D2282C"/>
    <w:rsid w:val="00D22847"/>
    <w:rsid w:val="00D22993"/>
    <w:rsid w:val="00D22AC8"/>
    <w:rsid w:val="00D22AF2"/>
    <w:rsid w:val="00D22C83"/>
    <w:rsid w:val="00D22CBC"/>
    <w:rsid w:val="00D22CDF"/>
    <w:rsid w:val="00D22E0E"/>
    <w:rsid w:val="00D22E96"/>
    <w:rsid w:val="00D22EC8"/>
    <w:rsid w:val="00D22F2D"/>
    <w:rsid w:val="00D2304B"/>
    <w:rsid w:val="00D23149"/>
    <w:rsid w:val="00D23171"/>
    <w:rsid w:val="00D23180"/>
    <w:rsid w:val="00D2320C"/>
    <w:rsid w:val="00D23240"/>
    <w:rsid w:val="00D232AC"/>
    <w:rsid w:val="00D232BB"/>
    <w:rsid w:val="00D23437"/>
    <w:rsid w:val="00D234AD"/>
    <w:rsid w:val="00D234F0"/>
    <w:rsid w:val="00D23549"/>
    <w:rsid w:val="00D23625"/>
    <w:rsid w:val="00D23637"/>
    <w:rsid w:val="00D23692"/>
    <w:rsid w:val="00D236B3"/>
    <w:rsid w:val="00D236E8"/>
    <w:rsid w:val="00D23852"/>
    <w:rsid w:val="00D23854"/>
    <w:rsid w:val="00D2386F"/>
    <w:rsid w:val="00D238DE"/>
    <w:rsid w:val="00D238EF"/>
    <w:rsid w:val="00D23935"/>
    <w:rsid w:val="00D23A4B"/>
    <w:rsid w:val="00D23A88"/>
    <w:rsid w:val="00D23AA3"/>
    <w:rsid w:val="00D23AAE"/>
    <w:rsid w:val="00D23B16"/>
    <w:rsid w:val="00D23B43"/>
    <w:rsid w:val="00D23B97"/>
    <w:rsid w:val="00D23C2E"/>
    <w:rsid w:val="00D23C79"/>
    <w:rsid w:val="00D23DA1"/>
    <w:rsid w:val="00D23E18"/>
    <w:rsid w:val="00D23E45"/>
    <w:rsid w:val="00D23EEA"/>
    <w:rsid w:val="00D23F0F"/>
    <w:rsid w:val="00D23FC1"/>
    <w:rsid w:val="00D23FCB"/>
    <w:rsid w:val="00D23FDE"/>
    <w:rsid w:val="00D24044"/>
    <w:rsid w:val="00D2408C"/>
    <w:rsid w:val="00D2425F"/>
    <w:rsid w:val="00D243C9"/>
    <w:rsid w:val="00D2446C"/>
    <w:rsid w:val="00D24553"/>
    <w:rsid w:val="00D24588"/>
    <w:rsid w:val="00D245EF"/>
    <w:rsid w:val="00D2460F"/>
    <w:rsid w:val="00D2465B"/>
    <w:rsid w:val="00D24676"/>
    <w:rsid w:val="00D2470E"/>
    <w:rsid w:val="00D2472A"/>
    <w:rsid w:val="00D247CC"/>
    <w:rsid w:val="00D24870"/>
    <w:rsid w:val="00D24939"/>
    <w:rsid w:val="00D2494D"/>
    <w:rsid w:val="00D24970"/>
    <w:rsid w:val="00D24AA2"/>
    <w:rsid w:val="00D24BD4"/>
    <w:rsid w:val="00D24DA4"/>
    <w:rsid w:val="00D24E28"/>
    <w:rsid w:val="00D24E4E"/>
    <w:rsid w:val="00D24EC8"/>
    <w:rsid w:val="00D24EE2"/>
    <w:rsid w:val="00D24F3D"/>
    <w:rsid w:val="00D24FB2"/>
    <w:rsid w:val="00D24FCC"/>
    <w:rsid w:val="00D2509B"/>
    <w:rsid w:val="00D250CA"/>
    <w:rsid w:val="00D250D7"/>
    <w:rsid w:val="00D2540E"/>
    <w:rsid w:val="00D2541E"/>
    <w:rsid w:val="00D255E0"/>
    <w:rsid w:val="00D2564C"/>
    <w:rsid w:val="00D256C4"/>
    <w:rsid w:val="00D257EF"/>
    <w:rsid w:val="00D2587D"/>
    <w:rsid w:val="00D258F6"/>
    <w:rsid w:val="00D258F7"/>
    <w:rsid w:val="00D2592A"/>
    <w:rsid w:val="00D25951"/>
    <w:rsid w:val="00D25B5A"/>
    <w:rsid w:val="00D25D39"/>
    <w:rsid w:val="00D25D98"/>
    <w:rsid w:val="00D25E95"/>
    <w:rsid w:val="00D25EAD"/>
    <w:rsid w:val="00D25F4C"/>
    <w:rsid w:val="00D26034"/>
    <w:rsid w:val="00D26124"/>
    <w:rsid w:val="00D26178"/>
    <w:rsid w:val="00D26361"/>
    <w:rsid w:val="00D263C8"/>
    <w:rsid w:val="00D26463"/>
    <w:rsid w:val="00D2652D"/>
    <w:rsid w:val="00D26572"/>
    <w:rsid w:val="00D265CB"/>
    <w:rsid w:val="00D2662D"/>
    <w:rsid w:val="00D266AD"/>
    <w:rsid w:val="00D266D0"/>
    <w:rsid w:val="00D267AC"/>
    <w:rsid w:val="00D2683B"/>
    <w:rsid w:val="00D2688E"/>
    <w:rsid w:val="00D268F7"/>
    <w:rsid w:val="00D26904"/>
    <w:rsid w:val="00D2699E"/>
    <w:rsid w:val="00D26A11"/>
    <w:rsid w:val="00D26A53"/>
    <w:rsid w:val="00D26B7F"/>
    <w:rsid w:val="00D26CB2"/>
    <w:rsid w:val="00D26CF3"/>
    <w:rsid w:val="00D26D22"/>
    <w:rsid w:val="00D26D88"/>
    <w:rsid w:val="00D26DB4"/>
    <w:rsid w:val="00D26DE4"/>
    <w:rsid w:val="00D26DE5"/>
    <w:rsid w:val="00D26E68"/>
    <w:rsid w:val="00D2710D"/>
    <w:rsid w:val="00D27141"/>
    <w:rsid w:val="00D27171"/>
    <w:rsid w:val="00D271C5"/>
    <w:rsid w:val="00D271D3"/>
    <w:rsid w:val="00D27296"/>
    <w:rsid w:val="00D272FC"/>
    <w:rsid w:val="00D27347"/>
    <w:rsid w:val="00D27376"/>
    <w:rsid w:val="00D2738C"/>
    <w:rsid w:val="00D27411"/>
    <w:rsid w:val="00D275EB"/>
    <w:rsid w:val="00D2767D"/>
    <w:rsid w:val="00D276B6"/>
    <w:rsid w:val="00D27863"/>
    <w:rsid w:val="00D27B15"/>
    <w:rsid w:val="00D27B22"/>
    <w:rsid w:val="00D27B73"/>
    <w:rsid w:val="00D27DFF"/>
    <w:rsid w:val="00D27E5C"/>
    <w:rsid w:val="00D27EA6"/>
    <w:rsid w:val="00D27F55"/>
    <w:rsid w:val="00D27F70"/>
    <w:rsid w:val="00D27F99"/>
    <w:rsid w:val="00D27FBD"/>
    <w:rsid w:val="00D30109"/>
    <w:rsid w:val="00D30180"/>
    <w:rsid w:val="00D30276"/>
    <w:rsid w:val="00D302E8"/>
    <w:rsid w:val="00D30338"/>
    <w:rsid w:val="00D30543"/>
    <w:rsid w:val="00D30629"/>
    <w:rsid w:val="00D306C4"/>
    <w:rsid w:val="00D306F2"/>
    <w:rsid w:val="00D30780"/>
    <w:rsid w:val="00D30854"/>
    <w:rsid w:val="00D30B05"/>
    <w:rsid w:val="00D30B2B"/>
    <w:rsid w:val="00D30C45"/>
    <w:rsid w:val="00D30CFC"/>
    <w:rsid w:val="00D30D8E"/>
    <w:rsid w:val="00D30DC6"/>
    <w:rsid w:val="00D30FB4"/>
    <w:rsid w:val="00D3104F"/>
    <w:rsid w:val="00D31217"/>
    <w:rsid w:val="00D312DC"/>
    <w:rsid w:val="00D31313"/>
    <w:rsid w:val="00D31373"/>
    <w:rsid w:val="00D313FE"/>
    <w:rsid w:val="00D31421"/>
    <w:rsid w:val="00D3146A"/>
    <w:rsid w:val="00D31522"/>
    <w:rsid w:val="00D3155E"/>
    <w:rsid w:val="00D31572"/>
    <w:rsid w:val="00D315AD"/>
    <w:rsid w:val="00D31629"/>
    <w:rsid w:val="00D31670"/>
    <w:rsid w:val="00D31799"/>
    <w:rsid w:val="00D31894"/>
    <w:rsid w:val="00D31A01"/>
    <w:rsid w:val="00D31A7D"/>
    <w:rsid w:val="00D31B0B"/>
    <w:rsid w:val="00D31C30"/>
    <w:rsid w:val="00D31D73"/>
    <w:rsid w:val="00D31F28"/>
    <w:rsid w:val="00D32066"/>
    <w:rsid w:val="00D320D0"/>
    <w:rsid w:val="00D320FF"/>
    <w:rsid w:val="00D32149"/>
    <w:rsid w:val="00D32218"/>
    <w:rsid w:val="00D32279"/>
    <w:rsid w:val="00D3237D"/>
    <w:rsid w:val="00D323AA"/>
    <w:rsid w:val="00D3249F"/>
    <w:rsid w:val="00D325C4"/>
    <w:rsid w:val="00D326B4"/>
    <w:rsid w:val="00D326CC"/>
    <w:rsid w:val="00D326D4"/>
    <w:rsid w:val="00D32754"/>
    <w:rsid w:val="00D3286F"/>
    <w:rsid w:val="00D328A7"/>
    <w:rsid w:val="00D328E6"/>
    <w:rsid w:val="00D329DF"/>
    <w:rsid w:val="00D32A3C"/>
    <w:rsid w:val="00D32BB4"/>
    <w:rsid w:val="00D32BBC"/>
    <w:rsid w:val="00D32C3F"/>
    <w:rsid w:val="00D32C46"/>
    <w:rsid w:val="00D32C86"/>
    <w:rsid w:val="00D32DA0"/>
    <w:rsid w:val="00D32DBF"/>
    <w:rsid w:val="00D32E21"/>
    <w:rsid w:val="00D32EAF"/>
    <w:rsid w:val="00D33061"/>
    <w:rsid w:val="00D330A8"/>
    <w:rsid w:val="00D3322E"/>
    <w:rsid w:val="00D33235"/>
    <w:rsid w:val="00D33259"/>
    <w:rsid w:val="00D33277"/>
    <w:rsid w:val="00D3332E"/>
    <w:rsid w:val="00D33351"/>
    <w:rsid w:val="00D333D3"/>
    <w:rsid w:val="00D3349A"/>
    <w:rsid w:val="00D3349D"/>
    <w:rsid w:val="00D334E8"/>
    <w:rsid w:val="00D3386B"/>
    <w:rsid w:val="00D3399A"/>
    <w:rsid w:val="00D33A2B"/>
    <w:rsid w:val="00D33A8A"/>
    <w:rsid w:val="00D33B71"/>
    <w:rsid w:val="00D33C2C"/>
    <w:rsid w:val="00D33D67"/>
    <w:rsid w:val="00D33E1E"/>
    <w:rsid w:val="00D33E40"/>
    <w:rsid w:val="00D33EB1"/>
    <w:rsid w:val="00D33EBA"/>
    <w:rsid w:val="00D33EDB"/>
    <w:rsid w:val="00D33F1E"/>
    <w:rsid w:val="00D34005"/>
    <w:rsid w:val="00D34057"/>
    <w:rsid w:val="00D34133"/>
    <w:rsid w:val="00D341B9"/>
    <w:rsid w:val="00D341D2"/>
    <w:rsid w:val="00D34297"/>
    <w:rsid w:val="00D34368"/>
    <w:rsid w:val="00D345AC"/>
    <w:rsid w:val="00D34725"/>
    <w:rsid w:val="00D3475A"/>
    <w:rsid w:val="00D347B2"/>
    <w:rsid w:val="00D347C3"/>
    <w:rsid w:val="00D3483A"/>
    <w:rsid w:val="00D348AB"/>
    <w:rsid w:val="00D348AD"/>
    <w:rsid w:val="00D349FF"/>
    <w:rsid w:val="00D34A27"/>
    <w:rsid w:val="00D34B20"/>
    <w:rsid w:val="00D34CAB"/>
    <w:rsid w:val="00D34CDC"/>
    <w:rsid w:val="00D34DF6"/>
    <w:rsid w:val="00D34EEF"/>
    <w:rsid w:val="00D34FAC"/>
    <w:rsid w:val="00D35009"/>
    <w:rsid w:val="00D350CC"/>
    <w:rsid w:val="00D3526C"/>
    <w:rsid w:val="00D35275"/>
    <w:rsid w:val="00D354CC"/>
    <w:rsid w:val="00D3558A"/>
    <w:rsid w:val="00D35617"/>
    <w:rsid w:val="00D35629"/>
    <w:rsid w:val="00D3564E"/>
    <w:rsid w:val="00D35754"/>
    <w:rsid w:val="00D3583D"/>
    <w:rsid w:val="00D358EB"/>
    <w:rsid w:val="00D3599A"/>
    <w:rsid w:val="00D35B2D"/>
    <w:rsid w:val="00D35C21"/>
    <w:rsid w:val="00D35C69"/>
    <w:rsid w:val="00D35C6D"/>
    <w:rsid w:val="00D35CF2"/>
    <w:rsid w:val="00D35D04"/>
    <w:rsid w:val="00D35D51"/>
    <w:rsid w:val="00D35DAD"/>
    <w:rsid w:val="00D35EE7"/>
    <w:rsid w:val="00D35F29"/>
    <w:rsid w:val="00D35F35"/>
    <w:rsid w:val="00D35FF7"/>
    <w:rsid w:val="00D360CD"/>
    <w:rsid w:val="00D36201"/>
    <w:rsid w:val="00D36291"/>
    <w:rsid w:val="00D36416"/>
    <w:rsid w:val="00D36484"/>
    <w:rsid w:val="00D364BD"/>
    <w:rsid w:val="00D364D8"/>
    <w:rsid w:val="00D366BC"/>
    <w:rsid w:val="00D366DF"/>
    <w:rsid w:val="00D36714"/>
    <w:rsid w:val="00D36775"/>
    <w:rsid w:val="00D3678C"/>
    <w:rsid w:val="00D367A2"/>
    <w:rsid w:val="00D3683F"/>
    <w:rsid w:val="00D368FC"/>
    <w:rsid w:val="00D36953"/>
    <w:rsid w:val="00D36A10"/>
    <w:rsid w:val="00D36A37"/>
    <w:rsid w:val="00D36A45"/>
    <w:rsid w:val="00D36B24"/>
    <w:rsid w:val="00D36CED"/>
    <w:rsid w:val="00D36DD7"/>
    <w:rsid w:val="00D36E73"/>
    <w:rsid w:val="00D37004"/>
    <w:rsid w:val="00D37089"/>
    <w:rsid w:val="00D37144"/>
    <w:rsid w:val="00D3715C"/>
    <w:rsid w:val="00D3719B"/>
    <w:rsid w:val="00D372C7"/>
    <w:rsid w:val="00D37312"/>
    <w:rsid w:val="00D3749B"/>
    <w:rsid w:val="00D374AC"/>
    <w:rsid w:val="00D3754E"/>
    <w:rsid w:val="00D37706"/>
    <w:rsid w:val="00D37764"/>
    <w:rsid w:val="00D37815"/>
    <w:rsid w:val="00D3796C"/>
    <w:rsid w:val="00D37B0B"/>
    <w:rsid w:val="00D37C29"/>
    <w:rsid w:val="00D37C82"/>
    <w:rsid w:val="00D37CF6"/>
    <w:rsid w:val="00D37D69"/>
    <w:rsid w:val="00D37D73"/>
    <w:rsid w:val="00D37DA1"/>
    <w:rsid w:val="00D37DB0"/>
    <w:rsid w:val="00D37DE3"/>
    <w:rsid w:val="00D37DE6"/>
    <w:rsid w:val="00D37DED"/>
    <w:rsid w:val="00D37F06"/>
    <w:rsid w:val="00D37F2C"/>
    <w:rsid w:val="00D37FCE"/>
    <w:rsid w:val="00D40084"/>
    <w:rsid w:val="00D401B8"/>
    <w:rsid w:val="00D402A9"/>
    <w:rsid w:val="00D40318"/>
    <w:rsid w:val="00D40392"/>
    <w:rsid w:val="00D403C0"/>
    <w:rsid w:val="00D4044E"/>
    <w:rsid w:val="00D405B6"/>
    <w:rsid w:val="00D405DB"/>
    <w:rsid w:val="00D4081A"/>
    <w:rsid w:val="00D4087E"/>
    <w:rsid w:val="00D4088F"/>
    <w:rsid w:val="00D40900"/>
    <w:rsid w:val="00D40AC0"/>
    <w:rsid w:val="00D40B3E"/>
    <w:rsid w:val="00D40B66"/>
    <w:rsid w:val="00D40CC2"/>
    <w:rsid w:val="00D40CC7"/>
    <w:rsid w:val="00D40D1D"/>
    <w:rsid w:val="00D40D6B"/>
    <w:rsid w:val="00D40E00"/>
    <w:rsid w:val="00D40E6D"/>
    <w:rsid w:val="00D41071"/>
    <w:rsid w:val="00D411CF"/>
    <w:rsid w:val="00D4131C"/>
    <w:rsid w:val="00D41453"/>
    <w:rsid w:val="00D415ED"/>
    <w:rsid w:val="00D416BB"/>
    <w:rsid w:val="00D41735"/>
    <w:rsid w:val="00D41797"/>
    <w:rsid w:val="00D417C3"/>
    <w:rsid w:val="00D41865"/>
    <w:rsid w:val="00D41A15"/>
    <w:rsid w:val="00D41B32"/>
    <w:rsid w:val="00D41B8C"/>
    <w:rsid w:val="00D41CB0"/>
    <w:rsid w:val="00D41F4A"/>
    <w:rsid w:val="00D42143"/>
    <w:rsid w:val="00D42263"/>
    <w:rsid w:val="00D4247C"/>
    <w:rsid w:val="00D424C7"/>
    <w:rsid w:val="00D42515"/>
    <w:rsid w:val="00D42570"/>
    <w:rsid w:val="00D425CC"/>
    <w:rsid w:val="00D42647"/>
    <w:rsid w:val="00D42649"/>
    <w:rsid w:val="00D4264A"/>
    <w:rsid w:val="00D426CE"/>
    <w:rsid w:val="00D426DA"/>
    <w:rsid w:val="00D4280C"/>
    <w:rsid w:val="00D42871"/>
    <w:rsid w:val="00D4294A"/>
    <w:rsid w:val="00D42A62"/>
    <w:rsid w:val="00D42C3E"/>
    <w:rsid w:val="00D42CC6"/>
    <w:rsid w:val="00D42CFE"/>
    <w:rsid w:val="00D42DCB"/>
    <w:rsid w:val="00D42EB2"/>
    <w:rsid w:val="00D42EE4"/>
    <w:rsid w:val="00D42F2F"/>
    <w:rsid w:val="00D430D7"/>
    <w:rsid w:val="00D43167"/>
    <w:rsid w:val="00D431E4"/>
    <w:rsid w:val="00D431FD"/>
    <w:rsid w:val="00D43207"/>
    <w:rsid w:val="00D43493"/>
    <w:rsid w:val="00D434B3"/>
    <w:rsid w:val="00D4350C"/>
    <w:rsid w:val="00D43526"/>
    <w:rsid w:val="00D435D0"/>
    <w:rsid w:val="00D43624"/>
    <w:rsid w:val="00D4366C"/>
    <w:rsid w:val="00D4384A"/>
    <w:rsid w:val="00D43863"/>
    <w:rsid w:val="00D4397B"/>
    <w:rsid w:val="00D43A9B"/>
    <w:rsid w:val="00D43AE9"/>
    <w:rsid w:val="00D43B6D"/>
    <w:rsid w:val="00D43BC9"/>
    <w:rsid w:val="00D43BE0"/>
    <w:rsid w:val="00D43C27"/>
    <w:rsid w:val="00D43C8B"/>
    <w:rsid w:val="00D43CDA"/>
    <w:rsid w:val="00D43DD5"/>
    <w:rsid w:val="00D43F5E"/>
    <w:rsid w:val="00D43F95"/>
    <w:rsid w:val="00D43F98"/>
    <w:rsid w:val="00D44008"/>
    <w:rsid w:val="00D44091"/>
    <w:rsid w:val="00D44220"/>
    <w:rsid w:val="00D44241"/>
    <w:rsid w:val="00D4424F"/>
    <w:rsid w:val="00D44282"/>
    <w:rsid w:val="00D443FB"/>
    <w:rsid w:val="00D44444"/>
    <w:rsid w:val="00D4445F"/>
    <w:rsid w:val="00D44599"/>
    <w:rsid w:val="00D445F5"/>
    <w:rsid w:val="00D447C8"/>
    <w:rsid w:val="00D448CC"/>
    <w:rsid w:val="00D44AC6"/>
    <w:rsid w:val="00D44B05"/>
    <w:rsid w:val="00D44BF6"/>
    <w:rsid w:val="00D44CEA"/>
    <w:rsid w:val="00D44E2A"/>
    <w:rsid w:val="00D4501E"/>
    <w:rsid w:val="00D4526D"/>
    <w:rsid w:val="00D45295"/>
    <w:rsid w:val="00D45348"/>
    <w:rsid w:val="00D45368"/>
    <w:rsid w:val="00D45487"/>
    <w:rsid w:val="00D454F5"/>
    <w:rsid w:val="00D45573"/>
    <w:rsid w:val="00D4560E"/>
    <w:rsid w:val="00D4573E"/>
    <w:rsid w:val="00D45746"/>
    <w:rsid w:val="00D458F0"/>
    <w:rsid w:val="00D45903"/>
    <w:rsid w:val="00D45A73"/>
    <w:rsid w:val="00D45AD4"/>
    <w:rsid w:val="00D45B2B"/>
    <w:rsid w:val="00D45B3F"/>
    <w:rsid w:val="00D45BAA"/>
    <w:rsid w:val="00D45BE9"/>
    <w:rsid w:val="00D45BEA"/>
    <w:rsid w:val="00D45F9C"/>
    <w:rsid w:val="00D45FA9"/>
    <w:rsid w:val="00D46033"/>
    <w:rsid w:val="00D4610B"/>
    <w:rsid w:val="00D46120"/>
    <w:rsid w:val="00D46127"/>
    <w:rsid w:val="00D461FF"/>
    <w:rsid w:val="00D46231"/>
    <w:rsid w:val="00D46267"/>
    <w:rsid w:val="00D462EB"/>
    <w:rsid w:val="00D463C7"/>
    <w:rsid w:val="00D46465"/>
    <w:rsid w:val="00D4650A"/>
    <w:rsid w:val="00D46577"/>
    <w:rsid w:val="00D4658A"/>
    <w:rsid w:val="00D465C0"/>
    <w:rsid w:val="00D465EE"/>
    <w:rsid w:val="00D465F6"/>
    <w:rsid w:val="00D46709"/>
    <w:rsid w:val="00D46744"/>
    <w:rsid w:val="00D46816"/>
    <w:rsid w:val="00D468AA"/>
    <w:rsid w:val="00D468DF"/>
    <w:rsid w:val="00D46956"/>
    <w:rsid w:val="00D46980"/>
    <w:rsid w:val="00D46991"/>
    <w:rsid w:val="00D46BC4"/>
    <w:rsid w:val="00D46C0F"/>
    <w:rsid w:val="00D46CB1"/>
    <w:rsid w:val="00D46CC7"/>
    <w:rsid w:val="00D46DA9"/>
    <w:rsid w:val="00D46E29"/>
    <w:rsid w:val="00D4714D"/>
    <w:rsid w:val="00D47263"/>
    <w:rsid w:val="00D4726A"/>
    <w:rsid w:val="00D4729F"/>
    <w:rsid w:val="00D47312"/>
    <w:rsid w:val="00D47353"/>
    <w:rsid w:val="00D47373"/>
    <w:rsid w:val="00D47594"/>
    <w:rsid w:val="00D475E9"/>
    <w:rsid w:val="00D478AF"/>
    <w:rsid w:val="00D47978"/>
    <w:rsid w:val="00D479AA"/>
    <w:rsid w:val="00D479F6"/>
    <w:rsid w:val="00D47CE8"/>
    <w:rsid w:val="00D47D09"/>
    <w:rsid w:val="00D47DA2"/>
    <w:rsid w:val="00D47DED"/>
    <w:rsid w:val="00D47E30"/>
    <w:rsid w:val="00D47EC8"/>
    <w:rsid w:val="00D47EEF"/>
    <w:rsid w:val="00D47F0A"/>
    <w:rsid w:val="00D47F92"/>
    <w:rsid w:val="00D47FAE"/>
    <w:rsid w:val="00D50019"/>
    <w:rsid w:val="00D50070"/>
    <w:rsid w:val="00D500BA"/>
    <w:rsid w:val="00D500F7"/>
    <w:rsid w:val="00D5010E"/>
    <w:rsid w:val="00D50135"/>
    <w:rsid w:val="00D50185"/>
    <w:rsid w:val="00D501FB"/>
    <w:rsid w:val="00D5021F"/>
    <w:rsid w:val="00D50311"/>
    <w:rsid w:val="00D503D0"/>
    <w:rsid w:val="00D504AA"/>
    <w:rsid w:val="00D5051E"/>
    <w:rsid w:val="00D50520"/>
    <w:rsid w:val="00D50610"/>
    <w:rsid w:val="00D50792"/>
    <w:rsid w:val="00D507AC"/>
    <w:rsid w:val="00D507B0"/>
    <w:rsid w:val="00D507B1"/>
    <w:rsid w:val="00D50853"/>
    <w:rsid w:val="00D5089D"/>
    <w:rsid w:val="00D50932"/>
    <w:rsid w:val="00D50A41"/>
    <w:rsid w:val="00D50A7E"/>
    <w:rsid w:val="00D50AA2"/>
    <w:rsid w:val="00D50B70"/>
    <w:rsid w:val="00D50C07"/>
    <w:rsid w:val="00D50C4D"/>
    <w:rsid w:val="00D50D7F"/>
    <w:rsid w:val="00D50D80"/>
    <w:rsid w:val="00D50E79"/>
    <w:rsid w:val="00D50F3B"/>
    <w:rsid w:val="00D5101F"/>
    <w:rsid w:val="00D51245"/>
    <w:rsid w:val="00D51257"/>
    <w:rsid w:val="00D513C9"/>
    <w:rsid w:val="00D514E4"/>
    <w:rsid w:val="00D5153D"/>
    <w:rsid w:val="00D515BB"/>
    <w:rsid w:val="00D5164E"/>
    <w:rsid w:val="00D516A0"/>
    <w:rsid w:val="00D516A1"/>
    <w:rsid w:val="00D516B2"/>
    <w:rsid w:val="00D517B5"/>
    <w:rsid w:val="00D51814"/>
    <w:rsid w:val="00D518BF"/>
    <w:rsid w:val="00D51904"/>
    <w:rsid w:val="00D5190C"/>
    <w:rsid w:val="00D51A86"/>
    <w:rsid w:val="00D51ACD"/>
    <w:rsid w:val="00D51B23"/>
    <w:rsid w:val="00D51B3A"/>
    <w:rsid w:val="00D51BE0"/>
    <w:rsid w:val="00D51C3B"/>
    <w:rsid w:val="00D51C73"/>
    <w:rsid w:val="00D51C9E"/>
    <w:rsid w:val="00D51CAC"/>
    <w:rsid w:val="00D51DA2"/>
    <w:rsid w:val="00D51E0A"/>
    <w:rsid w:val="00D51E2A"/>
    <w:rsid w:val="00D51EB4"/>
    <w:rsid w:val="00D51F1D"/>
    <w:rsid w:val="00D520B2"/>
    <w:rsid w:val="00D520B3"/>
    <w:rsid w:val="00D521A0"/>
    <w:rsid w:val="00D521F3"/>
    <w:rsid w:val="00D52316"/>
    <w:rsid w:val="00D52473"/>
    <w:rsid w:val="00D52527"/>
    <w:rsid w:val="00D525C8"/>
    <w:rsid w:val="00D5271D"/>
    <w:rsid w:val="00D527B4"/>
    <w:rsid w:val="00D5297D"/>
    <w:rsid w:val="00D5298A"/>
    <w:rsid w:val="00D529D3"/>
    <w:rsid w:val="00D529DB"/>
    <w:rsid w:val="00D52A34"/>
    <w:rsid w:val="00D52A6A"/>
    <w:rsid w:val="00D52A97"/>
    <w:rsid w:val="00D52AB8"/>
    <w:rsid w:val="00D52B09"/>
    <w:rsid w:val="00D52C5D"/>
    <w:rsid w:val="00D52C7B"/>
    <w:rsid w:val="00D52C85"/>
    <w:rsid w:val="00D52C86"/>
    <w:rsid w:val="00D52CC3"/>
    <w:rsid w:val="00D52CE9"/>
    <w:rsid w:val="00D52D13"/>
    <w:rsid w:val="00D52E59"/>
    <w:rsid w:val="00D52F11"/>
    <w:rsid w:val="00D52FCF"/>
    <w:rsid w:val="00D5300D"/>
    <w:rsid w:val="00D530B3"/>
    <w:rsid w:val="00D530E2"/>
    <w:rsid w:val="00D5319B"/>
    <w:rsid w:val="00D53232"/>
    <w:rsid w:val="00D53266"/>
    <w:rsid w:val="00D532C9"/>
    <w:rsid w:val="00D532E6"/>
    <w:rsid w:val="00D532F4"/>
    <w:rsid w:val="00D53385"/>
    <w:rsid w:val="00D53388"/>
    <w:rsid w:val="00D53459"/>
    <w:rsid w:val="00D534C9"/>
    <w:rsid w:val="00D53501"/>
    <w:rsid w:val="00D53551"/>
    <w:rsid w:val="00D53692"/>
    <w:rsid w:val="00D5369D"/>
    <w:rsid w:val="00D536D2"/>
    <w:rsid w:val="00D537A1"/>
    <w:rsid w:val="00D5380A"/>
    <w:rsid w:val="00D53AB7"/>
    <w:rsid w:val="00D53B99"/>
    <w:rsid w:val="00D53C9F"/>
    <w:rsid w:val="00D53D23"/>
    <w:rsid w:val="00D53D89"/>
    <w:rsid w:val="00D53DA8"/>
    <w:rsid w:val="00D5400A"/>
    <w:rsid w:val="00D540BD"/>
    <w:rsid w:val="00D540F4"/>
    <w:rsid w:val="00D54202"/>
    <w:rsid w:val="00D54436"/>
    <w:rsid w:val="00D54498"/>
    <w:rsid w:val="00D544B1"/>
    <w:rsid w:val="00D54529"/>
    <w:rsid w:val="00D546BB"/>
    <w:rsid w:val="00D546E1"/>
    <w:rsid w:val="00D54770"/>
    <w:rsid w:val="00D54773"/>
    <w:rsid w:val="00D548CE"/>
    <w:rsid w:val="00D54A2F"/>
    <w:rsid w:val="00D54E55"/>
    <w:rsid w:val="00D54E82"/>
    <w:rsid w:val="00D54EC6"/>
    <w:rsid w:val="00D54F1E"/>
    <w:rsid w:val="00D54F5E"/>
    <w:rsid w:val="00D54FAA"/>
    <w:rsid w:val="00D550F6"/>
    <w:rsid w:val="00D55111"/>
    <w:rsid w:val="00D55131"/>
    <w:rsid w:val="00D551DB"/>
    <w:rsid w:val="00D5525E"/>
    <w:rsid w:val="00D55271"/>
    <w:rsid w:val="00D55296"/>
    <w:rsid w:val="00D5532A"/>
    <w:rsid w:val="00D55349"/>
    <w:rsid w:val="00D5543C"/>
    <w:rsid w:val="00D5550E"/>
    <w:rsid w:val="00D555C0"/>
    <w:rsid w:val="00D5565F"/>
    <w:rsid w:val="00D55794"/>
    <w:rsid w:val="00D557B0"/>
    <w:rsid w:val="00D55859"/>
    <w:rsid w:val="00D55892"/>
    <w:rsid w:val="00D558DF"/>
    <w:rsid w:val="00D559F9"/>
    <w:rsid w:val="00D55A73"/>
    <w:rsid w:val="00D55B24"/>
    <w:rsid w:val="00D55BC8"/>
    <w:rsid w:val="00D55D53"/>
    <w:rsid w:val="00D55E6A"/>
    <w:rsid w:val="00D55EAB"/>
    <w:rsid w:val="00D55FDD"/>
    <w:rsid w:val="00D55FF2"/>
    <w:rsid w:val="00D5607F"/>
    <w:rsid w:val="00D560AD"/>
    <w:rsid w:val="00D560EC"/>
    <w:rsid w:val="00D5611D"/>
    <w:rsid w:val="00D561F3"/>
    <w:rsid w:val="00D56301"/>
    <w:rsid w:val="00D56317"/>
    <w:rsid w:val="00D563C3"/>
    <w:rsid w:val="00D56453"/>
    <w:rsid w:val="00D56565"/>
    <w:rsid w:val="00D56588"/>
    <w:rsid w:val="00D5658D"/>
    <w:rsid w:val="00D56612"/>
    <w:rsid w:val="00D56672"/>
    <w:rsid w:val="00D567B4"/>
    <w:rsid w:val="00D567D1"/>
    <w:rsid w:val="00D5680F"/>
    <w:rsid w:val="00D56890"/>
    <w:rsid w:val="00D568D2"/>
    <w:rsid w:val="00D56A52"/>
    <w:rsid w:val="00D56A93"/>
    <w:rsid w:val="00D56B12"/>
    <w:rsid w:val="00D56B23"/>
    <w:rsid w:val="00D56B5F"/>
    <w:rsid w:val="00D56B7B"/>
    <w:rsid w:val="00D56B9E"/>
    <w:rsid w:val="00D56BC9"/>
    <w:rsid w:val="00D56D28"/>
    <w:rsid w:val="00D56E50"/>
    <w:rsid w:val="00D56EB5"/>
    <w:rsid w:val="00D56EBE"/>
    <w:rsid w:val="00D56FD2"/>
    <w:rsid w:val="00D5708E"/>
    <w:rsid w:val="00D5709D"/>
    <w:rsid w:val="00D5711F"/>
    <w:rsid w:val="00D5714C"/>
    <w:rsid w:val="00D5727A"/>
    <w:rsid w:val="00D57309"/>
    <w:rsid w:val="00D5749B"/>
    <w:rsid w:val="00D574D0"/>
    <w:rsid w:val="00D574F4"/>
    <w:rsid w:val="00D57525"/>
    <w:rsid w:val="00D5755B"/>
    <w:rsid w:val="00D57598"/>
    <w:rsid w:val="00D576C3"/>
    <w:rsid w:val="00D576DD"/>
    <w:rsid w:val="00D57740"/>
    <w:rsid w:val="00D5778F"/>
    <w:rsid w:val="00D5779C"/>
    <w:rsid w:val="00D57890"/>
    <w:rsid w:val="00D5794C"/>
    <w:rsid w:val="00D57A87"/>
    <w:rsid w:val="00D57AF2"/>
    <w:rsid w:val="00D57B45"/>
    <w:rsid w:val="00D57B55"/>
    <w:rsid w:val="00D57B80"/>
    <w:rsid w:val="00D57C25"/>
    <w:rsid w:val="00D57C3F"/>
    <w:rsid w:val="00D57C86"/>
    <w:rsid w:val="00D57D9B"/>
    <w:rsid w:val="00D57FB6"/>
    <w:rsid w:val="00D57FBE"/>
    <w:rsid w:val="00D57FF7"/>
    <w:rsid w:val="00D60056"/>
    <w:rsid w:val="00D6006D"/>
    <w:rsid w:val="00D6038B"/>
    <w:rsid w:val="00D60394"/>
    <w:rsid w:val="00D6052B"/>
    <w:rsid w:val="00D605A9"/>
    <w:rsid w:val="00D60786"/>
    <w:rsid w:val="00D607FA"/>
    <w:rsid w:val="00D6083A"/>
    <w:rsid w:val="00D60A5A"/>
    <w:rsid w:val="00D60D20"/>
    <w:rsid w:val="00D60D6D"/>
    <w:rsid w:val="00D610A2"/>
    <w:rsid w:val="00D6112C"/>
    <w:rsid w:val="00D613A1"/>
    <w:rsid w:val="00D613B0"/>
    <w:rsid w:val="00D613DD"/>
    <w:rsid w:val="00D613E9"/>
    <w:rsid w:val="00D614B7"/>
    <w:rsid w:val="00D61503"/>
    <w:rsid w:val="00D616FF"/>
    <w:rsid w:val="00D6170E"/>
    <w:rsid w:val="00D617DC"/>
    <w:rsid w:val="00D61826"/>
    <w:rsid w:val="00D6193A"/>
    <w:rsid w:val="00D6195A"/>
    <w:rsid w:val="00D61A46"/>
    <w:rsid w:val="00D61AEC"/>
    <w:rsid w:val="00D61CB1"/>
    <w:rsid w:val="00D61CE9"/>
    <w:rsid w:val="00D61D9B"/>
    <w:rsid w:val="00D61DFC"/>
    <w:rsid w:val="00D61E13"/>
    <w:rsid w:val="00D61EDF"/>
    <w:rsid w:val="00D61FA2"/>
    <w:rsid w:val="00D61FBF"/>
    <w:rsid w:val="00D62003"/>
    <w:rsid w:val="00D62054"/>
    <w:rsid w:val="00D620CF"/>
    <w:rsid w:val="00D62252"/>
    <w:rsid w:val="00D62320"/>
    <w:rsid w:val="00D62325"/>
    <w:rsid w:val="00D62424"/>
    <w:rsid w:val="00D6244B"/>
    <w:rsid w:val="00D624CC"/>
    <w:rsid w:val="00D62573"/>
    <w:rsid w:val="00D6263C"/>
    <w:rsid w:val="00D62755"/>
    <w:rsid w:val="00D627CA"/>
    <w:rsid w:val="00D62861"/>
    <w:rsid w:val="00D6289C"/>
    <w:rsid w:val="00D62A3F"/>
    <w:rsid w:val="00D62AC7"/>
    <w:rsid w:val="00D62C13"/>
    <w:rsid w:val="00D62C62"/>
    <w:rsid w:val="00D62C7B"/>
    <w:rsid w:val="00D62C86"/>
    <w:rsid w:val="00D62CD7"/>
    <w:rsid w:val="00D62E70"/>
    <w:rsid w:val="00D62E74"/>
    <w:rsid w:val="00D62F44"/>
    <w:rsid w:val="00D62F54"/>
    <w:rsid w:val="00D630D0"/>
    <w:rsid w:val="00D630E4"/>
    <w:rsid w:val="00D63109"/>
    <w:rsid w:val="00D631D0"/>
    <w:rsid w:val="00D63239"/>
    <w:rsid w:val="00D6326E"/>
    <w:rsid w:val="00D6336B"/>
    <w:rsid w:val="00D6341B"/>
    <w:rsid w:val="00D6348A"/>
    <w:rsid w:val="00D634AF"/>
    <w:rsid w:val="00D634B4"/>
    <w:rsid w:val="00D635DF"/>
    <w:rsid w:val="00D63820"/>
    <w:rsid w:val="00D639C2"/>
    <w:rsid w:val="00D63A8A"/>
    <w:rsid w:val="00D63B4B"/>
    <w:rsid w:val="00D63B82"/>
    <w:rsid w:val="00D63C5A"/>
    <w:rsid w:val="00D63CA1"/>
    <w:rsid w:val="00D63CA7"/>
    <w:rsid w:val="00D63D11"/>
    <w:rsid w:val="00D63D6F"/>
    <w:rsid w:val="00D63D70"/>
    <w:rsid w:val="00D63E00"/>
    <w:rsid w:val="00D63E34"/>
    <w:rsid w:val="00D63E7D"/>
    <w:rsid w:val="00D64100"/>
    <w:rsid w:val="00D6427D"/>
    <w:rsid w:val="00D64358"/>
    <w:rsid w:val="00D643CF"/>
    <w:rsid w:val="00D6455B"/>
    <w:rsid w:val="00D64568"/>
    <w:rsid w:val="00D64570"/>
    <w:rsid w:val="00D645CC"/>
    <w:rsid w:val="00D645E1"/>
    <w:rsid w:val="00D646A9"/>
    <w:rsid w:val="00D64737"/>
    <w:rsid w:val="00D64761"/>
    <w:rsid w:val="00D647E0"/>
    <w:rsid w:val="00D64867"/>
    <w:rsid w:val="00D6490A"/>
    <w:rsid w:val="00D64955"/>
    <w:rsid w:val="00D64A43"/>
    <w:rsid w:val="00D64A90"/>
    <w:rsid w:val="00D64AE2"/>
    <w:rsid w:val="00D64B59"/>
    <w:rsid w:val="00D64B8D"/>
    <w:rsid w:val="00D64B9A"/>
    <w:rsid w:val="00D64E89"/>
    <w:rsid w:val="00D64ED1"/>
    <w:rsid w:val="00D64F29"/>
    <w:rsid w:val="00D64F7F"/>
    <w:rsid w:val="00D64FCF"/>
    <w:rsid w:val="00D6503B"/>
    <w:rsid w:val="00D6503D"/>
    <w:rsid w:val="00D6505C"/>
    <w:rsid w:val="00D650DF"/>
    <w:rsid w:val="00D650E5"/>
    <w:rsid w:val="00D650EC"/>
    <w:rsid w:val="00D6511C"/>
    <w:rsid w:val="00D6513E"/>
    <w:rsid w:val="00D6514A"/>
    <w:rsid w:val="00D652C1"/>
    <w:rsid w:val="00D6537A"/>
    <w:rsid w:val="00D65475"/>
    <w:rsid w:val="00D654A4"/>
    <w:rsid w:val="00D65917"/>
    <w:rsid w:val="00D65962"/>
    <w:rsid w:val="00D65A0B"/>
    <w:rsid w:val="00D65A37"/>
    <w:rsid w:val="00D65A9F"/>
    <w:rsid w:val="00D65B13"/>
    <w:rsid w:val="00D65C7A"/>
    <w:rsid w:val="00D65D0D"/>
    <w:rsid w:val="00D65D42"/>
    <w:rsid w:val="00D65D64"/>
    <w:rsid w:val="00D65DCD"/>
    <w:rsid w:val="00D65E59"/>
    <w:rsid w:val="00D65E99"/>
    <w:rsid w:val="00D65F76"/>
    <w:rsid w:val="00D66248"/>
    <w:rsid w:val="00D6627D"/>
    <w:rsid w:val="00D662DD"/>
    <w:rsid w:val="00D66330"/>
    <w:rsid w:val="00D66521"/>
    <w:rsid w:val="00D6661D"/>
    <w:rsid w:val="00D66637"/>
    <w:rsid w:val="00D66639"/>
    <w:rsid w:val="00D66672"/>
    <w:rsid w:val="00D6667A"/>
    <w:rsid w:val="00D6676A"/>
    <w:rsid w:val="00D6678E"/>
    <w:rsid w:val="00D667B6"/>
    <w:rsid w:val="00D667BA"/>
    <w:rsid w:val="00D669ED"/>
    <w:rsid w:val="00D669F4"/>
    <w:rsid w:val="00D66A0C"/>
    <w:rsid w:val="00D66AF6"/>
    <w:rsid w:val="00D66C18"/>
    <w:rsid w:val="00D66C44"/>
    <w:rsid w:val="00D66CEF"/>
    <w:rsid w:val="00D66D10"/>
    <w:rsid w:val="00D66D12"/>
    <w:rsid w:val="00D66D24"/>
    <w:rsid w:val="00D66E1B"/>
    <w:rsid w:val="00D66EA1"/>
    <w:rsid w:val="00D66EED"/>
    <w:rsid w:val="00D66F4B"/>
    <w:rsid w:val="00D67099"/>
    <w:rsid w:val="00D670AC"/>
    <w:rsid w:val="00D671CA"/>
    <w:rsid w:val="00D671CD"/>
    <w:rsid w:val="00D672CC"/>
    <w:rsid w:val="00D673EF"/>
    <w:rsid w:val="00D67424"/>
    <w:rsid w:val="00D674DB"/>
    <w:rsid w:val="00D6756F"/>
    <w:rsid w:val="00D67752"/>
    <w:rsid w:val="00D67797"/>
    <w:rsid w:val="00D67839"/>
    <w:rsid w:val="00D679B2"/>
    <w:rsid w:val="00D67A22"/>
    <w:rsid w:val="00D67A85"/>
    <w:rsid w:val="00D67AA9"/>
    <w:rsid w:val="00D67B88"/>
    <w:rsid w:val="00D67BFF"/>
    <w:rsid w:val="00D67C9F"/>
    <w:rsid w:val="00D67CC7"/>
    <w:rsid w:val="00D67D38"/>
    <w:rsid w:val="00D67DD1"/>
    <w:rsid w:val="00D67E08"/>
    <w:rsid w:val="00D67E25"/>
    <w:rsid w:val="00D67E32"/>
    <w:rsid w:val="00D67E6A"/>
    <w:rsid w:val="00D67EFA"/>
    <w:rsid w:val="00D67F79"/>
    <w:rsid w:val="00D67FCA"/>
    <w:rsid w:val="00D67FD4"/>
    <w:rsid w:val="00D701AB"/>
    <w:rsid w:val="00D7025D"/>
    <w:rsid w:val="00D70306"/>
    <w:rsid w:val="00D703BB"/>
    <w:rsid w:val="00D7045B"/>
    <w:rsid w:val="00D704CF"/>
    <w:rsid w:val="00D70564"/>
    <w:rsid w:val="00D70634"/>
    <w:rsid w:val="00D7070D"/>
    <w:rsid w:val="00D70729"/>
    <w:rsid w:val="00D70819"/>
    <w:rsid w:val="00D7094C"/>
    <w:rsid w:val="00D70A8A"/>
    <w:rsid w:val="00D70AA5"/>
    <w:rsid w:val="00D70BE2"/>
    <w:rsid w:val="00D70BFE"/>
    <w:rsid w:val="00D70CFE"/>
    <w:rsid w:val="00D70D15"/>
    <w:rsid w:val="00D70D1D"/>
    <w:rsid w:val="00D70EA2"/>
    <w:rsid w:val="00D70F32"/>
    <w:rsid w:val="00D71054"/>
    <w:rsid w:val="00D71133"/>
    <w:rsid w:val="00D71189"/>
    <w:rsid w:val="00D71278"/>
    <w:rsid w:val="00D71292"/>
    <w:rsid w:val="00D7135A"/>
    <w:rsid w:val="00D71405"/>
    <w:rsid w:val="00D7147D"/>
    <w:rsid w:val="00D71565"/>
    <w:rsid w:val="00D71573"/>
    <w:rsid w:val="00D7161C"/>
    <w:rsid w:val="00D71888"/>
    <w:rsid w:val="00D719C2"/>
    <w:rsid w:val="00D719CE"/>
    <w:rsid w:val="00D71A64"/>
    <w:rsid w:val="00D71B15"/>
    <w:rsid w:val="00D71C77"/>
    <w:rsid w:val="00D71CA7"/>
    <w:rsid w:val="00D71CC3"/>
    <w:rsid w:val="00D71DFA"/>
    <w:rsid w:val="00D71E39"/>
    <w:rsid w:val="00D71EBF"/>
    <w:rsid w:val="00D71EF9"/>
    <w:rsid w:val="00D71F55"/>
    <w:rsid w:val="00D71FA3"/>
    <w:rsid w:val="00D72045"/>
    <w:rsid w:val="00D7216C"/>
    <w:rsid w:val="00D72341"/>
    <w:rsid w:val="00D72349"/>
    <w:rsid w:val="00D723B3"/>
    <w:rsid w:val="00D723EB"/>
    <w:rsid w:val="00D7243B"/>
    <w:rsid w:val="00D724D2"/>
    <w:rsid w:val="00D726A1"/>
    <w:rsid w:val="00D727F2"/>
    <w:rsid w:val="00D72A0B"/>
    <w:rsid w:val="00D72A1C"/>
    <w:rsid w:val="00D72A33"/>
    <w:rsid w:val="00D72AF2"/>
    <w:rsid w:val="00D72B02"/>
    <w:rsid w:val="00D72B99"/>
    <w:rsid w:val="00D72D8D"/>
    <w:rsid w:val="00D72FBB"/>
    <w:rsid w:val="00D73042"/>
    <w:rsid w:val="00D73092"/>
    <w:rsid w:val="00D73242"/>
    <w:rsid w:val="00D7331C"/>
    <w:rsid w:val="00D7332D"/>
    <w:rsid w:val="00D73398"/>
    <w:rsid w:val="00D733D4"/>
    <w:rsid w:val="00D73437"/>
    <w:rsid w:val="00D7345F"/>
    <w:rsid w:val="00D734CB"/>
    <w:rsid w:val="00D735E6"/>
    <w:rsid w:val="00D735FE"/>
    <w:rsid w:val="00D736D3"/>
    <w:rsid w:val="00D736F9"/>
    <w:rsid w:val="00D7379C"/>
    <w:rsid w:val="00D737B0"/>
    <w:rsid w:val="00D737BB"/>
    <w:rsid w:val="00D73811"/>
    <w:rsid w:val="00D7385E"/>
    <w:rsid w:val="00D73A1A"/>
    <w:rsid w:val="00D73B38"/>
    <w:rsid w:val="00D73CDD"/>
    <w:rsid w:val="00D73D4C"/>
    <w:rsid w:val="00D73DA5"/>
    <w:rsid w:val="00D73E20"/>
    <w:rsid w:val="00D73E98"/>
    <w:rsid w:val="00D73F63"/>
    <w:rsid w:val="00D74136"/>
    <w:rsid w:val="00D742F0"/>
    <w:rsid w:val="00D743A7"/>
    <w:rsid w:val="00D74431"/>
    <w:rsid w:val="00D74546"/>
    <w:rsid w:val="00D746C6"/>
    <w:rsid w:val="00D746DA"/>
    <w:rsid w:val="00D747CB"/>
    <w:rsid w:val="00D749A9"/>
    <w:rsid w:val="00D749EC"/>
    <w:rsid w:val="00D749FB"/>
    <w:rsid w:val="00D74A81"/>
    <w:rsid w:val="00D74BA5"/>
    <w:rsid w:val="00D74F0D"/>
    <w:rsid w:val="00D74F95"/>
    <w:rsid w:val="00D75053"/>
    <w:rsid w:val="00D75066"/>
    <w:rsid w:val="00D750CD"/>
    <w:rsid w:val="00D75115"/>
    <w:rsid w:val="00D75216"/>
    <w:rsid w:val="00D7525A"/>
    <w:rsid w:val="00D75355"/>
    <w:rsid w:val="00D7543A"/>
    <w:rsid w:val="00D75550"/>
    <w:rsid w:val="00D7563A"/>
    <w:rsid w:val="00D75671"/>
    <w:rsid w:val="00D757F9"/>
    <w:rsid w:val="00D75A43"/>
    <w:rsid w:val="00D75B0F"/>
    <w:rsid w:val="00D75B1D"/>
    <w:rsid w:val="00D75B70"/>
    <w:rsid w:val="00D75BF3"/>
    <w:rsid w:val="00D75C69"/>
    <w:rsid w:val="00D75C81"/>
    <w:rsid w:val="00D75DC0"/>
    <w:rsid w:val="00D75E74"/>
    <w:rsid w:val="00D75ECA"/>
    <w:rsid w:val="00D75F2E"/>
    <w:rsid w:val="00D7605B"/>
    <w:rsid w:val="00D7606A"/>
    <w:rsid w:val="00D761C9"/>
    <w:rsid w:val="00D7621D"/>
    <w:rsid w:val="00D76394"/>
    <w:rsid w:val="00D76490"/>
    <w:rsid w:val="00D76680"/>
    <w:rsid w:val="00D766BB"/>
    <w:rsid w:val="00D766BF"/>
    <w:rsid w:val="00D7679A"/>
    <w:rsid w:val="00D768F3"/>
    <w:rsid w:val="00D768FD"/>
    <w:rsid w:val="00D769E0"/>
    <w:rsid w:val="00D769FE"/>
    <w:rsid w:val="00D76A99"/>
    <w:rsid w:val="00D76BA7"/>
    <w:rsid w:val="00D76CAA"/>
    <w:rsid w:val="00D76DCA"/>
    <w:rsid w:val="00D76E11"/>
    <w:rsid w:val="00D76E40"/>
    <w:rsid w:val="00D76E93"/>
    <w:rsid w:val="00D76EFF"/>
    <w:rsid w:val="00D76F06"/>
    <w:rsid w:val="00D76F5E"/>
    <w:rsid w:val="00D770ED"/>
    <w:rsid w:val="00D7713B"/>
    <w:rsid w:val="00D77143"/>
    <w:rsid w:val="00D7732D"/>
    <w:rsid w:val="00D77660"/>
    <w:rsid w:val="00D776B7"/>
    <w:rsid w:val="00D776BC"/>
    <w:rsid w:val="00D778A4"/>
    <w:rsid w:val="00D778BF"/>
    <w:rsid w:val="00D778E5"/>
    <w:rsid w:val="00D7794A"/>
    <w:rsid w:val="00D7794C"/>
    <w:rsid w:val="00D77954"/>
    <w:rsid w:val="00D77B2C"/>
    <w:rsid w:val="00D77C37"/>
    <w:rsid w:val="00D77C48"/>
    <w:rsid w:val="00D77C4B"/>
    <w:rsid w:val="00D77D69"/>
    <w:rsid w:val="00D77E58"/>
    <w:rsid w:val="00D77F08"/>
    <w:rsid w:val="00D77F9A"/>
    <w:rsid w:val="00D77FDE"/>
    <w:rsid w:val="00D801C7"/>
    <w:rsid w:val="00D80219"/>
    <w:rsid w:val="00D80279"/>
    <w:rsid w:val="00D8042E"/>
    <w:rsid w:val="00D80627"/>
    <w:rsid w:val="00D8065E"/>
    <w:rsid w:val="00D807A7"/>
    <w:rsid w:val="00D808B6"/>
    <w:rsid w:val="00D808B7"/>
    <w:rsid w:val="00D80A83"/>
    <w:rsid w:val="00D80AD4"/>
    <w:rsid w:val="00D80C48"/>
    <w:rsid w:val="00D80D46"/>
    <w:rsid w:val="00D80DD8"/>
    <w:rsid w:val="00D80E00"/>
    <w:rsid w:val="00D80F0A"/>
    <w:rsid w:val="00D811A5"/>
    <w:rsid w:val="00D8121F"/>
    <w:rsid w:val="00D81419"/>
    <w:rsid w:val="00D815D0"/>
    <w:rsid w:val="00D8167C"/>
    <w:rsid w:val="00D816A1"/>
    <w:rsid w:val="00D816E5"/>
    <w:rsid w:val="00D816FD"/>
    <w:rsid w:val="00D8178F"/>
    <w:rsid w:val="00D817A2"/>
    <w:rsid w:val="00D817AF"/>
    <w:rsid w:val="00D817B0"/>
    <w:rsid w:val="00D81816"/>
    <w:rsid w:val="00D819BD"/>
    <w:rsid w:val="00D819FD"/>
    <w:rsid w:val="00D81A05"/>
    <w:rsid w:val="00D81A99"/>
    <w:rsid w:val="00D81C1A"/>
    <w:rsid w:val="00D81C80"/>
    <w:rsid w:val="00D81CC9"/>
    <w:rsid w:val="00D81DA9"/>
    <w:rsid w:val="00D81DFA"/>
    <w:rsid w:val="00D81E24"/>
    <w:rsid w:val="00D81EE9"/>
    <w:rsid w:val="00D81FCF"/>
    <w:rsid w:val="00D820F2"/>
    <w:rsid w:val="00D82156"/>
    <w:rsid w:val="00D8219C"/>
    <w:rsid w:val="00D822E7"/>
    <w:rsid w:val="00D82387"/>
    <w:rsid w:val="00D823A6"/>
    <w:rsid w:val="00D82425"/>
    <w:rsid w:val="00D824DE"/>
    <w:rsid w:val="00D8256F"/>
    <w:rsid w:val="00D8260C"/>
    <w:rsid w:val="00D826FE"/>
    <w:rsid w:val="00D82748"/>
    <w:rsid w:val="00D82764"/>
    <w:rsid w:val="00D82842"/>
    <w:rsid w:val="00D82892"/>
    <w:rsid w:val="00D828D8"/>
    <w:rsid w:val="00D828EB"/>
    <w:rsid w:val="00D828F9"/>
    <w:rsid w:val="00D82920"/>
    <w:rsid w:val="00D82A13"/>
    <w:rsid w:val="00D82A26"/>
    <w:rsid w:val="00D82A2F"/>
    <w:rsid w:val="00D82A5D"/>
    <w:rsid w:val="00D82B13"/>
    <w:rsid w:val="00D82BDE"/>
    <w:rsid w:val="00D82CE4"/>
    <w:rsid w:val="00D82CFF"/>
    <w:rsid w:val="00D82D14"/>
    <w:rsid w:val="00D82D26"/>
    <w:rsid w:val="00D82D8F"/>
    <w:rsid w:val="00D82DB3"/>
    <w:rsid w:val="00D82DBC"/>
    <w:rsid w:val="00D82EA6"/>
    <w:rsid w:val="00D82ED9"/>
    <w:rsid w:val="00D82EF2"/>
    <w:rsid w:val="00D82FD2"/>
    <w:rsid w:val="00D830FB"/>
    <w:rsid w:val="00D83153"/>
    <w:rsid w:val="00D83218"/>
    <w:rsid w:val="00D83385"/>
    <w:rsid w:val="00D833A5"/>
    <w:rsid w:val="00D833FE"/>
    <w:rsid w:val="00D8346E"/>
    <w:rsid w:val="00D835E8"/>
    <w:rsid w:val="00D836F5"/>
    <w:rsid w:val="00D83719"/>
    <w:rsid w:val="00D8380F"/>
    <w:rsid w:val="00D83822"/>
    <w:rsid w:val="00D83829"/>
    <w:rsid w:val="00D8388C"/>
    <w:rsid w:val="00D83930"/>
    <w:rsid w:val="00D83A63"/>
    <w:rsid w:val="00D83AF7"/>
    <w:rsid w:val="00D83B3E"/>
    <w:rsid w:val="00D83B9A"/>
    <w:rsid w:val="00D83BE9"/>
    <w:rsid w:val="00D83C52"/>
    <w:rsid w:val="00D83CAF"/>
    <w:rsid w:val="00D83EE0"/>
    <w:rsid w:val="00D83F1C"/>
    <w:rsid w:val="00D84027"/>
    <w:rsid w:val="00D840ED"/>
    <w:rsid w:val="00D842F8"/>
    <w:rsid w:val="00D84459"/>
    <w:rsid w:val="00D8445A"/>
    <w:rsid w:val="00D844D7"/>
    <w:rsid w:val="00D84566"/>
    <w:rsid w:val="00D845E7"/>
    <w:rsid w:val="00D8460A"/>
    <w:rsid w:val="00D8460B"/>
    <w:rsid w:val="00D847C5"/>
    <w:rsid w:val="00D8483E"/>
    <w:rsid w:val="00D84842"/>
    <w:rsid w:val="00D849D7"/>
    <w:rsid w:val="00D84B1A"/>
    <w:rsid w:val="00D84BB8"/>
    <w:rsid w:val="00D84BC3"/>
    <w:rsid w:val="00D84C37"/>
    <w:rsid w:val="00D84D88"/>
    <w:rsid w:val="00D84D8E"/>
    <w:rsid w:val="00D84E5A"/>
    <w:rsid w:val="00D84EF6"/>
    <w:rsid w:val="00D84FFB"/>
    <w:rsid w:val="00D850E9"/>
    <w:rsid w:val="00D85110"/>
    <w:rsid w:val="00D85154"/>
    <w:rsid w:val="00D85207"/>
    <w:rsid w:val="00D852D6"/>
    <w:rsid w:val="00D85351"/>
    <w:rsid w:val="00D853C8"/>
    <w:rsid w:val="00D85492"/>
    <w:rsid w:val="00D854DB"/>
    <w:rsid w:val="00D855C2"/>
    <w:rsid w:val="00D85638"/>
    <w:rsid w:val="00D85724"/>
    <w:rsid w:val="00D857A8"/>
    <w:rsid w:val="00D857F8"/>
    <w:rsid w:val="00D85823"/>
    <w:rsid w:val="00D8586C"/>
    <w:rsid w:val="00D85881"/>
    <w:rsid w:val="00D85A5B"/>
    <w:rsid w:val="00D85B14"/>
    <w:rsid w:val="00D85CDD"/>
    <w:rsid w:val="00D85D12"/>
    <w:rsid w:val="00D85D68"/>
    <w:rsid w:val="00D85E02"/>
    <w:rsid w:val="00D85E58"/>
    <w:rsid w:val="00D85ED9"/>
    <w:rsid w:val="00D85EF5"/>
    <w:rsid w:val="00D85F3E"/>
    <w:rsid w:val="00D85F94"/>
    <w:rsid w:val="00D86011"/>
    <w:rsid w:val="00D860B2"/>
    <w:rsid w:val="00D8612E"/>
    <w:rsid w:val="00D8621A"/>
    <w:rsid w:val="00D862FD"/>
    <w:rsid w:val="00D86355"/>
    <w:rsid w:val="00D86430"/>
    <w:rsid w:val="00D86458"/>
    <w:rsid w:val="00D864E2"/>
    <w:rsid w:val="00D865B8"/>
    <w:rsid w:val="00D865C1"/>
    <w:rsid w:val="00D865C3"/>
    <w:rsid w:val="00D865FA"/>
    <w:rsid w:val="00D8662B"/>
    <w:rsid w:val="00D867F2"/>
    <w:rsid w:val="00D867FF"/>
    <w:rsid w:val="00D86937"/>
    <w:rsid w:val="00D86973"/>
    <w:rsid w:val="00D869D7"/>
    <w:rsid w:val="00D869DE"/>
    <w:rsid w:val="00D86A13"/>
    <w:rsid w:val="00D86A3E"/>
    <w:rsid w:val="00D86B4A"/>
    <w:rsid w:val="00D86B5D"/>
    <w:rsid w:val="00D86C24"/>
    <w:rsid w:val="00D86D4C"/>
    <w:rsid w:val="00D86E3B"/>
    <w:rsid w:val="00D86E60"/>
    <w:rsid w:val="00D86F59"/>
    <w:rsid w:val="00D86FA6"/>
    <w:rsid w:val="00D86FB4"/>
    <w:rsid w:val="00D87053"/>
    <w:rsid w:val="00D87064"/>
    <w:rsid w:val="00D87163"/>
    <w:rsid w:val="00D87176"/>
    <w:rsid w:val="00D873CE"/>
    <w:rsid w:val="00D873E6"/>
    <w:rsid w:val="00D874B4"/>
    <w:rsid w:val="00D874CE"/>
    <w:rsid w:val="00D8751D"/>
    <w:rsid w:val="00D875F7"/>
    <w:rsid w:val="00D87605"/>
    <w:rsid w:val="00D87719"/>
    <w:rsid w:val="00D877A6"/>
    <w:rsid w:val="00D87861"/>
    <w:rsid w:val="00D878C5"/>
    <w:rsid w:val="00D878F8"/>
    <w:rsid w:val="00D8793B"/>
    <w:rsid w:val="00D87A7D"/>
    <w:rsid w:val="00D87AF9"/>
    <w:rsid w:val="00D87B1F"/>
    <w:rsid w:val="00D87B8E"/>
    <w:rsid w:val="00D87D2D"/>
    <w:rsid w:val="00D87E85"/>
    <w:rsid w:val="00D9009C"/>
    <w:rsid w:val="00D9011D"/>
    <w:rsid w:val="00D90124"/>
    <w:rsid w:val="00D902C0"/>
    <w:rsid w:val="00D90373"/>
    <w:rsid w:val="00D90401"/>
    <w:rsid w:val="00D904C6"/>
    <w:rsid w:val="00D905E2"/>
    <w:rsid w:val="00D9077F"/>
    <w:rsid w:val="00D908C5"/>
    <w:rsid w:val="00D9091C"/>
    <w:rsid w:val="00D90962"/>
    <w:rsid w:val="00D90AF8"/>
    <w:rsid w:val="00D90B09"/>
    <w:rsid w:val="00D90B7D"/>
    <w:rsid w:val="00D90C6A"/>
    <w:rsid w:val="00D90CEF"/>
    <w:rsid w:val="00D90D4F"/>
    <w:rsid w:val="00D90E8B"/>
    <w:rsid w:val="00D90F32"/>
    <w:rsid w:val="00D90FDD"/>
    <w:rsid w:val="00D9117F"/>
    <w:rsid w:val="00D91312"/>
    <w:rsid w:val="00D91388"/>
    <w:rsid w:val="00D91400"/>
    <w:rsid w:val="00D91452"/>
    <w:rsid w:val="00D9154F"/>
    <w:rsid w:val="00D91692"/>
    <w:rsid w:val="00D917C2"/>
    <w:rsid w:val="00D917D5"/>
    <w:rsid w:val="00D9181D"/>
    <w:rsid w:val="00D91924"/>
    <w:rsid w:val="00D91A6C"/>
    <w:rsid w:val="00D91C49"/>
    <w:rsid w:val="00D91DC8"/>
    <w:rsid w:val="00D91E33"/>
    <w:rsid w:val="00D920A3"/>
    <w:rsid w:val="00D9214A"/>
    <w:rsid w:val="00D92161"/>
    <w:rsid w:val="00D922D1"/>
    <w:rsid w:val="00D9237E"/>
    <w:rsid w:val="00D923E0"/>
    <w:rsid w:val="00D924C1"/>
    <w:rsid w:val="00D924D5"/>
    <w:rsid w:val="00D924DB"/>
    <w:rsid w:val="00D92651"/>
    <w:rsid w:val="00D9266B"/>
    <w:rsid w:val="00D9269E"/>
    <w:rsid w:val="00D926A7"/>
    <w:rsid w:val="00D927B8"/>
    <w:rsid w:val="00D92895"/>
    <w:rsid w:val="00D928E0"/>
    <w:rsid w:val="00D928E4"/>
    <w:rsid w:val="00D929F1"/>
    <w:rsid w:val="00D92C97"/>
    <w:rsid w:val="00D92D64"/>
    <w:rsid w:val="00D92DAD"/>
    <w:rsid w:val="00D92DC4"/>
    <w:rsid w:val="00D92FFB"/>
    <w:rsid w:val="00D9303A"/>
    <w:rsid w:val="00D93044"/>
    <w:rsid w:val="00D9316D"/>
    <w:rsid w:val="00D931C8"/>
    <w:rsid w:val="00D9325E"/>
    <w:rsid w:val="00D932DF"/>
    <w:rsid w:val="00D932F7"/>
    <w:rsid w:val="00D93364"/>
    <w:rsid w:val="00D93392"/>
    <w:rsid w:val="00D93540"/>
    <w:rsid w:val="00D93542"/>
    <w:rsid w:val="00D93604"/>
    <w:rsid w:val="00D93833"/>
    <w:rsid w:val="00D93839"/>
    <w:rsid w:val="00D9383D"/>
    <w:rsid w:val="00D93859"/>
    <w:rsid w:val="00D938D8"/>
    <w:rsid w:val="00D93A45"/>
    <w:rsid w:val="00D93A4C"/>
    <w:rsid w:val="00D93A5E"/>
    <w:rsid w:val="00D93A83"/>
    <w:rsid w:val="00D93C12"/>
    <w:rsid w:val="00D93E5D"/>
    <w:rsid w:val="00D93EDF"/>
    <w:rsid w:val="00D93FE3"/>
    <w:rsid w:val="00D93FF0"/>
    <w:rsid w:val="00D94038"/>
    <w:rsid w:val="00D940EC"/>
    <w:rsid w:val="00D94173"/>
    <w:rsid w:val="00D9423F"/>
    <w:rsid w:val="00D942B4"/>
    <w:rsid w:val="00D942C2"/>
    <w:rsid w:val="00D9433C"/>
    <w:rsid w:val="00D94345"/>
    <w:rsid w:val="00D94487"/>
    <w:rsid w:val="00D946E9"/>
    <w:rsid w:val="00D947DC"/>
    <w:rsid w:val="00D947FE"/>
    <w:rsid w:val="00D9484D"/>
    <w:rsid w:val="00D9494C"/>
    <w:rsid w:val="00D94978"/>
    <w:rsid w:val="00D94990"/>
    <w:rsid w:val="00D949F5"/>
    <w:rsid w:val="00D94A22"/>
    <w:rsid w:val="00D94B3E"/>
    <w:rsid w:val="00D94C9A"/>
    <w:rsid w:val="00D94CAC"/>
    <w:rsid w:val="00D94CB4"/>
    <w:rsid w:val="00D94D1C"/>
    <w:rsid w:val="00D94DFA"/>
    <w:rsid w:val="00D94E99"/>
    <w:rsid w:val="00D94EEF"/>
    <w:rsid w:val="00D94F6F"/>
    <w:rsid w:val="00D95018"/>
    <w:rsid w:val="00D950C6"/>
    <w:rsid w:val="00D950F0"/>
    <w:rsid w:val="00D9510C"/>
    <w:rsid w:val="00D95167"/>
    <w:rsid w:val="00D951CA"/>
    <w:rsid w:val="00D95218"/>
    <w:rsid w:val="00D9538B"/>
    <w:rsid w:val="00D95418"/>
    <w:rsid w:val="00D9545F"/>
    <w:rsid w:val="00D95489"/>
    <w:rsid w:val="00D95574"/>
    <w:rsid w:val="00D9557F"/>
    <w:rsid w:val="00D95599"/>
    <w:rsid w:val="00D95625"/>
    <w:rsid w:val="00D9564A"/>
    <w:rsid w:val="00D9574B"/>
    <w:rsid w:val="00D95788"/>
    <w:rsid w:val="00D95876"/>
    <w:rsid w:val="00D95888"/>
    <w:rsid w:val="00D9588E"/>
    <w:rsid w:val="00D958A4"/>
    <w:rsid w:val="00D95963"/>
    <w:rsid w:val="00D959B6"/>
    <w:rsid w:val="00D95A0B"/>
    <w:rsid w:val="00D95A8D"/>
    <w:rsid w:val="00D95BCE"/>
    <w:rsid w:val="00D95C13"/>
    <w:rsid w:val="00D95C3B"/>
    <w:rsid w:val="00D95D67"/>
    <w:rsid w:val="00D95D6A"/>
    <w:rsid w:val="00D95F10"/>
    <w:rsid w:val="00D95F7A"/>
    <w:rsid w:val="00D95FAD"/>
    <w:rsid w:val="00D96097"/>
    <w:rsid w:val="00D9617D"/>
    <w:rsid w:val="00D961C7"/>
    <w:rsid w:val="00D961D5"/>
    <w:rsid w:val="00D96287"/>
    <w:rsid w:val="00D96296"/>
    <w:rsid w:val="00D963D7"/>
    <w:rsid w:val="00D963F0"/>
    <w:rsid w:val="00D96430"/>
    <w:rsid w:val="00D964BF"/>
    <w:rsid w:val="00D964FA"/>
    <w:rsid w:val="00D9659B"/>
    <w:rsid w:val="00D965C1"/>
    <w:rsid w:val="00D966CC"/>
    <w:rsid w:val="00D96723"/>
    <w:rsid w:val="00D9676C"/>
    <w:rsid w:val="00D96782"/>
    <w:rsid w:val="00D967AA"/>
    <w:rsid w:val="00D96940"/>
    <w:rsid w:val="00D96B48"/>
    <w:rsid w:val="00D96BA0"/>
    <w:rsid w:val="00D96CA6"/>
    <w:rsid w:val="00D96CD0"/>
    <w:rsid w:val="00D96E58"/>
    <w:rsid w:val="00D96E63"/>
    <w:rsid w:val="00D97137"/>
    <w:rsid w:val="00D9720B"/>
    <w:rsid w:val="00D97324"/>
    <w:rsid w:val="00D9737D"/>
    <w:rsid w:val="00D973F2"/>
    <w:rsid w:val="00D9744D"/>
    <w:rsid w:val="00D97466"/>
    <w:rsid w:val="00D97482"/>
    <w:rsid w:val="00D974B2"/>
    <w:rsid w:val="00D975D2"/>
    <w:rsid w:val="00D976B1"/>
    <w:rsid w:val="00D9770E"/>
    <w:rsid w:val="00D9773A"/>
    <w:rsid w:val="00D97770"/>
    <w:rsid w:val="00D978CC"/>
    <w:rsid w:val="00D979AE"/>
    <w:rsid w:val="00D97A29"/>
    <w:rsid w:val="00D97A3D"/>
    <w:rsid w:val="00D97A40"/>
    <w:rsid w:val="00D97A57"/>
    <w:rsid w:val="00D97B3F"/>
    <w:rsid w:val="00D97BB8"/>
    <w:rsid w:val="00D97C15"/>
    <w:rsid w:val="00D97C73"/>
    <w:rsid w:val="00D97C91"/>
    <w:rsid w:val="00D97D8A"/>
    <w:rsid w:val="00D97DD4"/>
    <w:rsid w:val="00D97E9B"/>
    <w:rsid w:val="00D97F13"/>
    <w:rsid w:val="00DA0035"/>
    <w:rsid w:val="00DA014A"/>
    <w:rsid w:val="00DA018D"/>
    <w:rsid w:val="00DA01C3"/>
    <w:rsid w:val="00DA031D"/>
    <w:rsid w:val="00DA0336"/>
    <w:rsid w:val="00DA051B"/>
    <w:rsid w:val="00DA069B"/>
    <w:rsid w:val="00DA06E2"/>
    <w:rsid w:val="00DA07CE"/>
    <w:rsid w:val="00DA07F2"/>
    <w:rsid w:val="00DA0853"/>
    <w:rsid w:val="00DA0A29"/>
    <w:rsid w:val="00DA0A37"/>
    <w:rsid w:val="00DA0BAC"/>
    <w:rsid w:val="00DA0BE6"/>
    <w:rsid w:val="00DA0BE7"/>
    <w:rsid w:val="00DA0C75"/>
    <w:rsid w:val="00DA0CDE"/>
    <w:rsid w:val="00DA0ECC"/>
    <w:rsid w:val="00DA0F7E"/>
    <w:rsid w:val="00DA1019"/>
    <w:rsid w:val="00DA101A"/>
    <w:rsid w:val="00DA103A"/>
    <w:rsid w:val="00DA1141"/>
    <w:rsid w:val="00DA1146"/>
    <w:rsid w:val="00DA12DE"/>
    <w:rsid w:val="00DA12E3"/>
    <w:rsid w:val="00DA1366"/>
    <w:rsid w:val="00DA1424"/>
    <w:rsid w:val="00DA14D2"/>
    <w:rsid w:val="00DA1590"/>
    <w:rsid w:val="00DA1675"/>
    <w:rsid w:val="00DA169E"/>
    <w:rsid w:val="00DA16B1"/>
    <w:rsid w:val="00DA1801"/>
    <w:rsid w:val="00DA1945"/>
    <w:rsid w:val="00DA1962"/>
    <w:rsid w:val="00DA1AFE"/>
    <w:rsid w:val="00DA1B0E"/>
    <w:rsid w:val="00DA1B5B"/>
    <w:rsid w:val="00DA1C52"/>
    <w:rsid w:val="00DA1CE8"/>
    <w:rsid w:val="00DA1D83"/>
    <w:rsid w:val="00DA1E83"/>
    <w:rsid w:val="00DA1EAD"/>
    <w:rsid w:val="00DA2054"/>
    <w:rsid w:val="00DA20C8"/>
    <w:rsid w:val="00DA2212"/>
    <w:rsid w:val="00DA22E5"/>
    <w:rsid w:val="00DA247C"/>
    <w:rsid w:val="00DA249A"/>
    <w:rsid w:val="00DA24DC"/>
    <w:rsid w:val="00DA2684"/>
    <w:rsid w:val="00DA28B1"/>
    <w:rsid w:val="00DA2955"/>
    <w:rsid w:val="00DA295E"/>
    <w:rsid w:val="00DA296B"/>
    <w:rsid w:val="00DA2ACF"/>
    <w:rsid w:val="00DA2D58"/>
    <w:rsid w:val="00DA2EA9"/>
    <w:rsid w:val="00DA2F32"/>
    <w:rsid w:val="00DA30BF"/>
    <w:rsid w:val="00DA30EE"/>
    <w:rsid w:val="00DA311C"/>
    <w:rsid w:val="00DA323E"/>
    <w:rsid w:val="00DA323F"/>
    <w:rsid w:val="00DA328E"/>
    <w:rsid w:val="00DA3346"/>
    <w:rsid w:val="00DA3479"/>
    <w:rsid w:val="00DA3488"/>
    <w:rsid w:val="00DA3504"/>
    <w:rsid w:val="00DA3541"/>
    <w:rsid w:val="00DA3673"/>
    <w:rsid w:val="00DA36A2"/>
    <w:rsid w:val="00DA36E2"/>
    <w:rsid w:val="00DA390E"/>
    <w:rsid w:val="00DA392C"/>
    <w:rsid w:val="00DA3932"/>
    <w:rsid w:val="00DA3961"/>
    <w:rsid w:val="00DA39E2"/>
    <w:rsid w:val="00DA3A1F"/>
    <w:rsid w:val="00DA3A43"/>
    <w:rsid w:val="00DA3B7F"/>
    <w:rsid w:val="00DA3BC7"/>
    <w:rsid w:val="00DA3C72"/>
    <w:rsid w:val="00DA3C76"/>
    <w:rsid w:val="00DA3CF1"/>
    <w:rsid w:val="00DA3E90"/>
    <w:rsid w:val="00DA424B"/>
    <w:rsid w:val="00DA42AE"/>
    <w:rsid w:val="00DA432A"/>
    <w:rsid w:val="00DA4391"/>
    <w:rsid w:val="00DA443E"/>
    <w:rsid w:val="00DA4477"/>
    <w:rsid w:val="00DA447C"/>
    <w:rsid w:val="00DA4499"/>
    <w:rsid w:val="00DA45AF"/>
    <w:rsid w:val="00DA45B1"/>
    <w:rsid w:val="00DA4607"/>
    <w:rsid w:val="00DA467B"/>
    <w:rsid w:val="00DA46AD"/>
    <w:rsid w:val="00DA487B"/>
    <w:rsid w:val="00DA4981"/>
    <w:rsid w:val="00DA4A9A"/>
    <w:rsid w:val="00DA4B64"/>
    <w:rsid w:val="00DA4B9D"/>
    <w:rsid w:val="00DA4BBC"/>
    <w:rsid w:val="00DA4C2D"/>
    <w:rsid w:val="00DA4C5A"/>
    <w:rsid w:val="00DA4D85"/>
    <w:rsid w:val="00DA4DAA"/>
    <w:rsid w:val="00DA4DF5"/>
    <w:rsid w:val="00DA4F48"/>
    <w:rsid w:val="00DA5064"/>
    <w:rsid w:val="00DA51A5"/>
    <w:rsid w:val="00DA5218"/>
    <w:rsid w:val="00DA52BE"/>
    <w:rsid w:val="00DA5308"/>
    <w:rsid w:val="00DA539F"/>
    <w:rsid w:val="00DA542C"/>
    <w:rsid w:val="00DA54FA"/>
    <w:rsid w:val="00DA55F3"/>
    <w:rsid w:val="00DA5604"/>
    <w:rsid w:val="00DA5725"/>
    <w:rsid w:val="00DA5852"/>
    <w:rsid w:val="00DA596D"/>
    <w:rsid w:val="00DA59E7"/>
    <w:rsid w:val="00DA5A19"/>
    <w:rsid w:val="00DA5A8D"/>
    <w:rsid w:val="00DA5B05"/>
    <w:rsid w:val="00DA5D3E"/>
    <w:rsid w:val="00DA5D6E"/>
    <w:rsid w:val="00DA5DC6"/>
    <w:rsid w:val="00DA5DF6"/>
    <w:rsid w:val="00DA5E1B"/>
    <w:rsid w:val="00DA5E64"/>
    <w:rsid w:val="00DA5F60"/>
    <w:rsid w:val="00DA5F92"/>
    <w:rsid w:val="00DA603E"/>
    <w:rsid w:val="00DA604E"/>
    <w:rsid w:val="00DA62CE"/>
    <w:rsid w:val="00DA648F"/>
    <w:rsid w:val="00DA651A"/>
    <w:rsid w:val="00DA6537"/>
    <w:rsid w:val="00DA65FA"/>
    <w:rsid w:val="00DA66AD"/>
    <w:rsid w:val="00DA66F4"/>
    <w:rsid w:val="00DA6753"/>
    <w:rsid w:val="00DA6825"/>
    <w:rsid w:val="00DA69B7"/>
    <w:rsid w:val="00DA6CA1"/>
    <w:rsid w:val="00DA6D7C"/>
    <w:rsid w:val="00DA6D8A"/>
    <w:rsid w:val="00DA6EF6"/>
    <w:rsid w:val="00DA6FDF"/>
    <w:rsid w:val="00DA7020"/>
    <w:rsid w:val="00DA7229"/>
    <w:rsid w:val="00DA7354"/>
    <w:rsid w:val="00DA737C"/>
    <w:rsid w:val="00DA74B9"/>
    <w:rsid w:val="00DA7567"/>
    <w:rsid w:val="00DA76BC"/>
    <w:rsid w:val="00DA77DF"/>
    <w:rsid w:val="00DA78F5"/>
    <w:rsid w:val="00DA7A64"/>
    <w:rsid w:val="00DA7C72"/>
    <w:rsid w:val="00DB0013"/>
    <w:rsid w:val="00DB0057"/>
    <w:rsid w:val="00DB00F6"/>
    <w:rsid w:val="00DB0139"/>
    <w:rsid w:val="00DB01D2"/>
    <w:rsid w:val="00DB0212"/>
    <w:rsid w:val="00DB0244"/>
    <w:rsid w:val="00DB02FF"/>
    <w:rsid w:val="00DB0326"/>
    <w:rsid w:val="00DB041D"/>
    <w:rsid w:val="00DB05BE"/>
    <w:rsid w:val="00DB07A5"/>
    <w:rsid w:val="00DB07B3"/>
    <w:rsid w:val="00DB07D1"/>
    <w:rsid w:val="00DB07D4"/>
    <w:rsid w:val="00DB0800"/>
    <w:rsid w:val="00DB08F6"/>
    <w:rsid w:val="00DB0994"/>
    <w:rsid w:val="00DB0A31"/>
    <w:rsid w:val="00DB0C04"/>
    <w:rsid w:val="00DB0C29"/>
    <w:rsid w:val="00DB0C64"/>
    <w:rsid w:val="00DB0CB1"/>
    <w:rsid w:val="00DB0D51"/>
    <w:rsid w:val="00DB0D70"/>
    <w:rsid w:val="00DB0E15"/>
    <w:rsid w:val="00DB0F18"/>
    <w:rsid w:val="00DB117A"/>
    <w:rsid w:val="00DB1229"/>
    <w:rsid w:val="00DB12AB"/>
    <w:rsid w:val="00DB12D5"/>
    <w:rsid w:val="00DB148D"/>
    <w:rsid w:val="00DB1506"/>
    <w:rsid w:val="00DB162F"/>
    <w:rsid w:val="00DB1673"/>
    <w:rsid w:val="00DB170F"/>
    <w:rsid w:val="00DB1816"/>
    <w:rsid w:val="00DB1843"/>
    <w:rsid w:val="00DB18CF"/>
    <w:rsid w:val="00DB18E7"/>
    <w:rsid w:val="00DB18F2"/>
    <w:rsid w:val="00DB1A0F"/>
    <w:rsid w:val="00DB1A62"/>
    <w:rsid w:val="00DB1A73"/>
    <w:rsid w:val="00DB1C71"/>
    <w:rsid w:val="00DB1D2D"/>
    <w:rsid w:val="00DB1E6D"/>
    <w:rsid w:val="00DB1EA1"/>
    <w:rsid w:val="00DB1EA4"/>
    <w:rsid w:val="00DB1EDD"/>
    <w:rsid w:val="00DB1F78"/>
    <w:rsid w:val="00DB2046"/>
    <w:rsid w:val="00DB20BA"/>
    <w:rsid w:val="00DB2210"/>
    <w:rsid w:val="00DB229E"/>
    <w:rsid w:val="00DB2320"/>
    <w:rsid w:val="00DB2326"/>
    <w:rsid w:val="00DB2353"/>
    <w:rsid w:val="00DB2463"/>
    <w:rsid w:val="00DB24F9"/>
    <w:rsid w:val="00DB2698"/>
    <w:rsid w:val="00DB26AD"/>
    <w:rsid w:val="00DB26F8"/>
    <w:rsid w:val="00DB2882"/>
    <w:rsid w:val="00DB2898"/>
    <w:rsid w:val="00DB28C8"/>
    <w:rsid w:val="00DB2A4C"/>
    <w:rsid w:val="00DB2AB6"/>
    <w:rsid w:val="00DB2B17"/>
    <w:rsid w:val="00DB2CB0"/>
    <w:rsid w:val="00DB2D70"/>
    <w:rsid w:val="00DB2E3F"/>
    <w:rsid w:val="00DB2E6F"/>
    <w:rsid w:val="00DB2EF9"/>
    <w:rsid w:val="00DB2F4B"/>
    <w:rsid w:val="00DB30AC"/>
    <w:rsid w:val="00DB30BD"/>
    <w:rsid w:val="00DB30FB"/>
    <w:rsid w:val="00DB3115"/>
    <w:rsid w:val="00DB3120"/>
    <w:rsid w:val="00DB31CB"/>
    <w:rsid w:val="00DB333E"/>
    <w:rsid w:val="00DB3342"/>
    <w:rsid w:val="00DB337C"/>
    <w:rsid w:val="00DB33D5"/>
    <w:rsid w:val="00DB340E"/>
    <w:rsid w:val="00DB3423"/>
    <w:rsid w:val="00DB3443"/>
    <w:rsid w:val="00DB3471"/>
    <w:rsid w:val="00DB34E4"/>
    <w:rsid w:val="00DB35A6"/>
    <w:rsid w:val="00DB361F"/>
    <w:rsid w:val="00DB36FA"/>
    <w:rsid w:val="00DB375C"/>
    <w:rsid w:val="00DB393B"/>
    <w:rsid w:val="00DB3A39"/>
    <w:rsid w:val="00DB3A87"/>
    <w:rsid w:val="00DB3D4F"/>
    <w:rsid w:val="00DB3DF4"/>
    <w:rsid w:val="00DB3EA9"/>
    <w:rsid w:val="00DB3F39"/>
    <w:rsid w:val="00DB3F5E"/>
    <w:rsid w:val="00DB408D"/>
    <w:rsid w:val="00DB40C0"/>
    <w:rsid w:val="00DB40F5"/>
    <w:rsid w:val="00DB41E1"/>
    <w:rsid w:val="00DB42A7"/>
    <w:rsid w:val="00DB438F"/>
    <w:rsid w:val="00DB43A1"/>
    <w:rsid w:val="00DB43A3"/>
    <w:rsid w:val="00DB4410"/>
    <w:rsid w:val="00DB4424"/>
    <w:rsid w:val="00DB44C6"/>
    <w:rsid w:val="00DB44CD"/>
    <w:rsid w:val="00DB45D7"/>
    <w:rsid w:val="00DB4611"/>
    <w:rsid w:val="00DB4625"/>
    <w:rsid w:val="00DB46B6"/>
    <w:rsid w:val="00DB46E2"/>
    <w:rsid w:val="00DB4824"/>
    <w:rsid w:val="00DB4928"/>
    <w:rsid w:val="00DB4971"/>
    <w:rsid w:val="00DB4A67"/>
    <w:rsid w:val="00DB4BD7"/>
    <w:rsid w:val="00DB4C07"/>
    <w:rsid w:val="00DB4C60"/>
    <w:rsid w:val="00DB4CAF"/>
    <w:rsid w:val="00DB4CC7"/>
    <w:rsid w:val="00DB4DC4"/>
    <w:rsid w:val="00DB4E12"/>
    <w:rsid w:val="00DB4E90"/>
    <w:rsid w:val="00DB4EC5"/>
    <w:rsid w:val="00DB4F7E"/>
    <w:rsid w:val="00DB4FE6"/>
    <w:rsid w:val="00DB500F"/>
    <w:rsid w:val="00DB5045"/>
    <w:rsid w:val="00DB512C"/>
    <w:rsid w:val="00DB51C2"/>
    <w:rsid w:val="00DB524E"/>
    <w:rsid w:val="00DB53A9"/>
    <w:rsid w:val="00DB53CF"/>
    <w:rsid w:val="00DB5458"/>
    <w:rsid w:val="00DB546C"/>
    <w:rsid w:val="00DB5492"/>
    <w:rsid w:val="00DB54B7"/>
    <w:rsid w:val="00DB5569"/>
    <w:rsid w:val="00DB55B3"/>
    <w:rsid w:val="00DB5607"/>
    <w:rsid w:val="00DB5826"/>
    <w:rsid w:val="00DB587E"/>
    <w:rsid w:val="00DB58E0"/>
    <w:rsid w:val="00DB58ED"/>
    <w:rsid w:val="00DB5B33"/>
    <w:rsid w:val="00DB5B6E"/>
    <w:rsid w:val="00DB5BB3"/>
    <w:rsid w:val="00DB5C52"/>
    <w:rsid w:val="00DB5C61"/>
    <w:rsid w:val="00DB5CFF"/>
    <w:rsid w:val="00DB5D5D"/>
    <w:rsid w:val="00DB5D79"/>
    <w:rsid w:val="00DB5DCD"/>
    <w:rsid w:val="00DB5E72"/>
    <w:rsid w:val="00DB603B"/>
    <w:rsid w:val="00DB6047"/>
    <w:rsid w:val="00DB60DF"/>
    <w:rsid w:val="00DB6150"/>
    <w:rsid w:val="00DB615A"/>
    <w:rsid w:val="00DB6244"/>
    <w:rsid w:val="00DB6260"/>
    <w:rsid w:val="00DB62A4"/>
    <w:rsid w:val="00DB63A0"/>
    <w:rsid w:val="00DB6754"/>
    <w:rsid w:val="00DB675F"/>
    <w:rsid w:val="00DB6871"/>
    <w:rsid w:val="00DB6872"/>
    <w:rsid w:val="00DB68D3"/>
    <w:rsid w:val="00DB694C"/>
    <w:rsid w:val="00DB6A39"/>
    <w:rsid w:val="00DB6AA9"/>
    <w:rsid w:val="00DB6AE6"/>
    <w:rsid w:val="00DB6C52"/>
    <w:rsid w:val="00DB6CEC"/>
    <w:rsid w:val="00DB6FFE"/>
    <w:rsid w:val="00DB700F"/>
    <w:rsid w:val="00DB708D"/>
    <w:rsid w:val="00DB7091"/>
    <w:rsid w:val="00DB70AB"/>
    <w:rsid w:val="00DB712C"/>
    <w:rsid w:val="00DB7255"/>
    <w:rsid w:val="00DB730B"/>
    <w:rsid w:val="00DB732A"/>
    <w:rsid w:val="00DB7331"/>
    <w:rsid w:val="00DB75B8"/>
    <w:rsid w:val="00DB75CC"/>
    <w:rsid w:val="00DB7681"/>
    <w:rsid w:val="00DB76F1"/>
    <w:rsid w:val="00DB7789"/>
    <w:rsid w:val="00DB77A1"/>
    <w:rsid w:val="00DB7897"/>
    <w:rsid w:val="00DB789C"/>
    <w:rsid w:val="00DB78A1"/>
    <w:rsid w:val="00DB78D7"/>
    <w:rsid w:val="00DB798C"/>
    <w:rsid w:val="00DB7995"/>
    <w:rsid w:val="00DB7AA0"/>
    <w:rsid w:val="00DB7AC0"/>
    <w:rsid w:val="00DB7B17"/>
    <w:rsid w:val="00DB7B54"/>
    <w:rsid w:val="00DB7BF0"/>
    <w:rsid w:val="00DB7EF7"/>
    <w:rsid w:val="00DB7F32"/>
    <w:rsid w:val="00DB7FA9"/>
    <w:rsid w:val="00DC0005"/>
    <w:rsid w:val="00DC00AC"/>
    <w:rsid w:val="00DC0150"/>
    <w:rsid w:val="00DC0261"/>
    <w:rsid w:val="00DC03F1"/>
    <w:rsid w:val="00DC044D"/>
    <w:rsid w:val="00DC0465"/>
    <w:rsid w:val="00DC046C"/>
    <w:rsid w:val="00DC0641"/>
    <w:rsid w:val="00DC06FC"/>
    <w:rsid w:val="00DC0856"/>
    <w:rsid w:val="00DC089A"/>
    <w:rsid w:val="00DC08AC"/>
    <w:rsid w:val="00DC0AB3"/>
    <w:rsid w:val="00DC0AB5"/>
    <w:rsid w:val="00DC0C8B"/>
    <w:rsid w:val="00DC0D51"/>
    <w:rsid w:val="00DC0D71"/>
    <w:rsid w:val="00DC0FBD"/>
    <w:rsid w:val="00DC10F4"/>
    <w:rsid w:val="00DC1110"/>
    <w:rsid w:val="00DC13AD"/>
    <w:rsid w:val="00DC13B3"/>
    <w:rsid w:val="00DC141A"/>
    <w:rsid w:val="00DC14DD"/>
    <w:rsid w:val="00DC14EE"/>
    <w:rsid w:val="00DC156D"/>
    <w:rsid w:val="00DC159F"/>
    <w:rsid w:val="00DC1684"/>
    <w:rsid w:val="00DC16C4"/>
    <w:rsid w:val="00DC170F"/>
    <w:rsid w:val="00DC1B4F"/>
    <w:rsid w:val="00DC1B89"/>
    <w:rsid w:val="00DC1E84"/>
    <w:rsid w:val="00DC1EEE"/>
    <w:rsid w:val="00DC1FCE"/>
    <w:rsid w:val="00DC1FE3"/>
    <w:rsid w:val="00DC1FFD"/>
    <w:rsid w:val="00DC204D"/>
    <w:rsid w:val="00DC212E"/>
    <w:rsid w:val="00DC2354"/>
    <w:rsid w:val="00DC243C"/>
    <w:rsid w:val="00DC249D"/>
    <w:rsid w:val="00DC24DA"/>
    <w:rsid w:val="00DC2513"/>
    <w:rsid w:val="00DC2517"/>
    <w:rsid w:val="00DC2538"/>
    <w:rsid w:val="00DC2586"/>
    <w:rsid w:val="00DC25C7"/>
    <w:rsid w:val="00DC260F"/>
    <w:rsid w:val="00DC274A"/>
    <w:rsid w:val="00DC274B"/>
    <w:rsid w:val="00DC27CD"/>
    <w:rsid w:val="00DC292C"/>
    <w:rsid w:val="00DC29D6"/>
    <w:rsid w:val="00DC2B3D"/>
    <w:rsid w:val="00DC2D1A"/>
    <w:rsid w:val="00DC2D65"/>
    <w:rsid w:val="00DC2D80"/>
    <w:rsid w:val="00DC2D87"/>
    <w:rsid w:val="00DC2D96"/>
    <w:rsid w:val="00DC2E1B"/>
    <w:rsid w:val="00DC2E40"/>
    <w:rsid w:val="00DC2E5B"/>
    <w:rsid w:val="00DC2F48"/>
    <w:rsid w:val="00DC2F9C"/>
    <w:rsid w:val="00DC2FEE"/>
    <w:rsid w:val="00DC30D5"/>
    <w:rsid w:val="00DC3130"/>
    <w:rsid w:val="00DC314B"/>
    <w:rsid w:val="00DC3187"/>
    <w:rsid w:val="00DC31AE"/>
    <w:rsid w:val="00DC31B9"/>
    <w:rsid w:val="00DC3243"/>
    <w:rsid w:val="00DC34A0"/>
    <w:rsid w:val="00DC352E"/>
    <w:rsid w:val="00DC3591"/>
    <w:rsid w:val="00DC376A"/>
    <w:rsid w:val="00DC37A0"/>
    <w:rsid w:val="00DC387A"/>
    <w:rsid w:val="00DC3887"/>
    <w:rsid w:val="00DC38BC"/>
    <w:rsid w:val="00DC38E1"/>
    <w:rsid w:val="00DC391B"/>
    <w:rsid w:val="00DC3AE8"/>
    <w:rsid w:val="00DC3BB6"/>
    <w:rsid w:val="00DC3D0B"/>
    <w:rsid w:val="00DC3D47"/>
    <w:rsid w:val="00DC3D79"/>
    <w:rsid w:val="00DC3E5C"/>
    <w:rsid w:val="00DC3ED7"/>
    <w:rsid w:val="00DC3F57"/>
    <w:rsid w:val="00DC406F"/>
    <w:rsid w:val="00DC41BB"/>
    <w:rsid w:val="00DC4231"/>
    <w:rsid w:val="00DC43AB"/>
    <w:rsid w:val="00DC43F5"/>
    <w:rsid w:val="00DC447C"/>
    <w:rsid w:val="00DC46F5"/>
    <w:rsid w:val="00DC470C"/>
    <w:rsid w:val="00DC4744"/>
    <w:rsid w:val="00DC4847"/>
    <w:rsid w:val="00DC4A78"/>
    <w:rsid w:val="00DC4A80"/>
    <w:rsid w:val="00DC4AE4"/>
    <w:rsid w:val="00DC4AF0"/>
    <w:rsid w:val="00DC4D91"/>
    <w:rsid w:val="00DC4E0F"/>
    <w:rsid w:val="00DC5033"/>
    <w:rsid w:val="00DC5035"/>
    <w:rsid w:val="00DC50AE"/>
    <w:rsid w:val="00DC50C7"/>
    <w:rsid w:val="00DC5223"/>
    <w:rsid w:val="00DC531B"/>
    <w:rsid w:val="00DC53BA"/>
    <w:rsid w:val="00DC54EA"/>
    <w:rsid w:val="00DC54F3"/>
    <w:rsid w:val="00DC5559"/>
    <w:rsid w:val="00DC5595"/>
    <w:rsid w:val="00DC5632"/>
    <w:rsid w:val="00DC577F"/>
    <w:rsid w:val="00DC57E2"/>
    <w:rsid w:val="00DC5886"/>
    <w:rsid w:val="00DC5990"/>
    <w:rsid w:val="00DC5A33"/>
    <w:rsid w:val="00DC5A4A"/>
    <w:rsid w:val="00DC5AC9"/>
    <w:rsid w:val="00DC5B64"/>
    <w:rsid w:val="00DC5BA2"/>
    <w:rsid w:val="00DC5BA6"/>
    <w:rsid w:val="00DC5C7B"/>
    <w:rsid w:val="00DC5D67"/>
    <w:rsid w:val="00DC5DEA"/>
    <w:rsid w:val="00DC5E00"/>
    <w:rsid w:val="00DC5EF3"/>
    <w:rsid w:val="00DC5EF9"/>
    <w:rsid w:val="00DC5F40"/>
    <w:rsid w:val="00DC6166"/>
    <w:rsid w:val="00DC619F"/>
    <w:rsid w:val="00DC62DD"/>
    <w:rsid w:val="00DC632B"/>
    <w:rsid w:val="00DC6372"/>
    <w:rsid w:val="00DC6396"/>
    <w:rsid w:val="00DC65AB"/>
    <w:rsid w:val="00DC65D0"/>
    <w:rsid w:val="00DC661E"/>
    <w:rsid w:val="00DC6655"/>
    <w:rsid w:val="00DC669A"/>
    <w:rsid w:val="00DC6775"/>
    <w:rsid w:val="00DC6819"/>
    <w:rsid w:val="00DC6828"/>
    <w:rsid w:val="00DC696C"/>
    <w:rsid w:val="00DC69B0"/>
    <w:rsid w:val="00DC69C7"/>
    <w:rsid w:val="00DC6A45"/>
    <w:rsid w:val="00DC6AAA"/>
    <w:rsid w:val="00DC6D24"/>
    <w:rsid w:val="00DC6D7F"/>
    <w:rsid w:val="00DC6E86"/>
    <w:rsid w:val="00DC6EB0"/>
    <w:rsid w:val="00DC7070"/>
    <w:rsid w:val="00DC7088"/>
    <w:rsid w:val="00DC728F"/>
    <w:rsid w:val="00DC72B4"/>
    <w:rsid w:val="00DC72E9"/>
    <w:rsid w:val="00DC72F4"/>
    <w:rsid w:val="00DC7336"/>
    <w:rsid w:val="00DC7398"/>
    <w:rsid w:val="00DC73CB"/>
    <w:rsid w:val="00DC7457"/>
    <w:rsid w:val="00DC7547"/>
    <w:rsid w:val="00DC7589"/>
    <w:rsid w:val="00DC7728"/>
    <w:rsid w:val="00DC78D2"/>
    <w:rsid w:val="00DC798C"/>
    <w:rsid w:val="00DC7AE2"/>
    <w:rsid w:val="00DC7C47"/>
    <w:rsid w:val="00DC7E96"/>
    <w:rsid w:val="00DC7EE0"/>
    <w:rsid w:val="00DD011D"/>
    <w:rsid w:val="00DD0179"/>
    <w:rsid w:val="00DD019E"/>
    <w:rsid w:val="00DD01A3"/>
    <w:rsid w:val="00DD0380"/>
    <w:rsid w:val="00DD040A"/>
    <w:rsid w:val="00DD0451"/>
    <w:rsid w:val="00DD04C4"/>
    <w:rsid w:val="00DD04C9"/>
    <w:rsid w:val="00DD0585"/>
    <w:rsid w:val="00DD05E9"/>
    <w:rsid w:val="00DD063C"/>
    <w:rsid w:val="00DD06E6"/>
    <w:rsid w:val="00DD0716"/>
    <w:rsid w:val="00DD08FF"/>
    <w:rsid w:val="00DD0949"/>
    <w:rsid w:val="00DD0AF4"/>
    <w:rsid w:val="00DD0B9E"/>
    <w:rsid w:val="00DD0BDC"/>
    <w:rsid w:val="00DD0BF1"/>
    <w:rsid w:val="00DD0C07"/>
    <w:rsid w:val="00DD0C62"/>
    <w:rsid w:val="00DD0C9A"/>
    <w:rsid w:val="00DD0CE5"/>
    <w:rsid w:val="00DD0CEF"/>
    <w:rsid w:val="00DD0DF8"/>
    <w:rsid w:val="00DD0E16"/>
    <w:rsid w:val="00DD0F67"/>
    <w:rsid w:val="00DD1182"/>
    <w:rsid w:val="00DD1199"/>
    <w:rsid w:val="00DD1210"/>
    <w:rsid w:val="00DD1219"/>
    <w:rsid w:val="00DD1234"/>
    <w:rsid w:val="00DD12AA"/>
    <w:rsid w:val="00DD142F"/>
    <w:rsid w:val="00DD1463"/>
    <w:rsid w:val="00DD14E8"/>
    <w:rsid w:val="00DD165B"/>
    <w:rsid w:val="00DD16E4"/>
    <w:rsid w:val="00DD174B"/>
    <w:rsid w:val="00DD1797"/>
    <w:rsid w:val="00DD179B"/>
    <w:rsid w:val="00DD17CE"/>
    <w:rsid w:val="00DD17F7"/>
    <w:rsid w:val="00DD198F"/>
    <w:rsid w:val="00DD199A"/>
    <w:rsid w:val="00DD19AE"/>
    <w:rsid w:val="00DD19D0"/>
    <w:rsid w:val="00DD19D8"/>
    <w:rsid w:val="00DD1B33"/>
    <w:rsid w:val="00DD1CA1"/>
    <w:rsid w:val="00DD2001"/>
    <w:rsid w:val="00DD2037"/>
    <w:rsid w:val="00DD2086"/>
    <w:rsid w:val="00DD21AA"/>
    <w:rsid w:val="00DD223B"/>
    <w:rsid w:val="00DD22C4"/>
    <w:rsid w:val="00DD22FF"/>
    <w:rsid w:val="00DD23ED"/>
    <w:rsid w:val="00DD242D"/>
    <w:rsid w:val="00DD245A"/>
    <w:rsid w:val="00DD25E4"/>
    <w:rsid w:val="00DD266B"/>
    <w:rsid w:val="00DD268C"/>
    <w:rsid w:val="00DD27CB"/>
    <w:rsid w:val="00DD27CD"/>
    <w:rsid w:val="00DD27E6"/>
    <w:rsid w:val="00DD27E9"/>
    <w:rsid w:val="00DD28AA"/>
    <w:rsid w:val="00DD2987"/>
    <w:rsid w:val="00DD29A2"/>
    <w:rsid w:val="00DD2A40"/>
    <w:rsid w:val="00DD2B6B"/>
    <w:rsid w:val="00DD2C36"/>
    <w:rsid w:val="00DD2CF5"/>
    <w:rsid w:val="00DD2D36"/>
    <w:rsid w:val="00DD2E1C"/>
    <w:rsid w:val="00DD2E47"/>
    <w:rsid w:val="00DD2E83"/>
    <w:rsid w:val="00DD3043"/>
    <w:rsid w:val="00DD30BA"/>
    <w:rsid w:val="00DD30D3"/>
    <w:rsid w:val="00DD3104"/>
    <w:rsid w:val="00DD3148"/>
    <w:rsid w:val="00DD3150"/>
    <w:rsid w:val="00DD32CF"/>
    <w:rsid w:val="00DD3422"/>
    <w:rsid w:val="00DD3463"/>
    <w:rsid w:val="00DD3665"/>
    <w:rsid w:val="00DD374B"/>
    <w:rsid w:val="00DD3770"/>
    <w:rsid w:val="00DD3873"/>
    <w:rsid w:val="00DD3930"/>
    <w:rsid w:val="00DD3A2C"/>
    <w:rsid w:val="00DD3B93"/>
    <w:rsid w:val="00DD3C50"/>
    <w:rsid w:val="00DD3EB2"/>
    <w:rsid w:val="00DD3F13"/>
    <w:rsid w:val="00DD3FE2"/>
    <w:rsid w:val="00DD4254"/>
    <w:rsid w:val="00DD43BB"/>
    <w:rsid w:val="00DD4492"/>
    <w:rsid w:val="00DD44F1"/>
    <w:rsid w:val="00DD4715"/>
    <w:rsid w:val="00DD47CF"/>
    <w:rsid w:val="00DD47E2"/>
    <w:rsid w:val="00DD4818"/>
    <w:rsid w:val="00DD4822"/>
    <w:rsid w:val="00DD487D"/>
    <w:rsid w:val="00DD48A8"/>
    <w:rsid w:val="00DD4908"/>
    <w:rsid w:val="00DD4A28"/>
    <w:rsid w:val="00DD4B54"/>
    <w:rsid w:val="00DD4BA0"/>
    <w:rsid w:val="00DD4BAC"/>
    <w:rsid w:val="00DD4CB3"/>
    <w:rsid w:val="00DD4D93"/>
    <w:rsid w:val="00DD4E92"/>
    <w:rsid w:val="00DD4EAE"/>
    <w:rsid w:val="00DD4EAF"/>
    <w:rsid w:val="00DD4F9E"/>
    <w:rsid w:val="00DD510F"/>
    <w:rsid w:val="00DD51F7"/>
    <w:rsid w:val="00DD527D"/>
    <w:rsid w:val="00DD53BB"/>
    <w:rsid w:val="00DD53E7"/>
    <w:rsid w:val="00DD5611"/>
    <w:rsid w:val="00DD57B7"/>
    <w:rsid w:val="00DD581C"/>
    <w:rsid w:val="00DD58FC"/>
    <w:rsid w:val="00DD590A"/>
    <w:rsid w:val="00DD5A1B"/>
    <w:rsid w:val="00DD5B22"/>
    <w:rsid w:val="00DD5B47"/>
    <w:rsid w:val="00DD5C34"/>
    <w:rsid w:val="00DD5C9E"/>
    <w:rsid w:val="00DD5CE2"/>
    <w:rsid w:val="00DD5D3B"/>
    <w:rsid w:val="00DD5D73"/>
    <w:rsid w:val="00DD5DF9"/>
    <w:rsid w:val="00DD5E34"/>
    <w:rsid w:val="00DD5E89"/>
    <w:rsid w:val="00DD6107"/>
    <w:rsid w:val="00DD622C"/>
    <w:rsid w:val="00DD6275"/>
    <w:rsid w:val="00DD62E0"/>
    <w:rsid w:val="00DD633C"/>
    <w:rsid w:val="00DD6504"/>
    <w:rsid w:val="00DD668B"/>
    <w:rsid w:val="00DD675F"/>
    <w:rsid w:val="00DD6790"/>
    <w:rsid w:val="00DD69C3"/>
    <w:rsid w:val="00DD6A39"/>
    <w:rsid w:val="00DD6ABB"/>
    <w:rsid w:val="00DD6AFF"/>
    <w:rsid w:val="00DD6B0E"/>
    <w:rsid w:val="00DD6B8B"/>
    <w:rsid w:val="00DD6BD8"/>
    <w:rsid w:val="00DD6D07"/>
    <w:rsid w:val="00DD6DC1"/>
    <w:rsid w:val="00DD6F01"/>
    <w:rsid w:val="00DD7131"/>
    <w:rsid w:val="00DD715C"/>
    <w:rsid w:val="00DD719F"/>
    <w:rsid w:val="00DD724F"/>
    <w:rsid w:val="00DD732C"/>
    <w:rsid w:val="00DD733E"/>
    <w:rsid w:val="00DD73B6"/>
    <w:rsid w:val="00DD73E9"/>
    <w:rsid w:val="00DD74EA"/>
    <w:rsid w:val="00DD74F7"/>
    <w:rsid w:val="00DD75B1"/>
    <w:rsid w:val="00DD75BE"/>
    <w:rsid w:val="00DD76EF"/>
    <w:rsid w:val="00DD7B35"/>
    <w:rsid w:val="00DD7C45"/>
    <w:rsid w:val="00DD7C5E"/>
    <w:rsid w:val="00DD7C5F"/>
    <w:rsid w:val="00DD7CD4"/>
    <w:rsid w:val="00DD7CF0"/>
    <w:rsid w:val="00DD7D8A"/>
    <w:rsid w:val="00DD7FC3"/>
    <w:rsid w:val="00DD7FF5"/>
    <w:rsid w:val="00DE009C"/>
    <w:rsid w:val="00DE0253"/>
    <w:rsid w:val="00DE0276"/>
    <w:rsid w:val="00DE02AA"/>
    <w:rsid w:val="00DE0311"/>
    <w:rsid w:val="00DE0379"/>
    <w:rsid w:val="00DE0398"/>
    <w:rsid w:val="00DE03BA"/>
    <w:rsid w:val="00DE04B2"/>
    <w:rsid w:val="00DE059F"/>
    <w:rsid w:val="00DE060D"/>
    <w:rsid w:val="00DE0737"/>
    <w:rsid w:val="00DE0909"/>
    <w:rsid w:val="00DE0965"/>
    <w:rsid w:val="00DE09D1"/>
    <w:rsid w:val="00DE0A05"/>
    <w:rsid w:val="00DE0A33"/>
    <w:rsid w:val="00DE0B2D"/>
    <w:rsid w:val="00DE0CA9"/>
    <w:rsid w:val="00DE0D90"/>
    <w:rsid w:val="00DE0DF6"/>
    <w:rsid w:val="00DE0ED7"/>
    <w:rsid w:val="00DE103E"/>
    <w:rsid w:val="00DE10AE"/>
    <w:rsid w:val="00DE11CD"/>
    <w:rsid w:val="00DE12B0"/>
    <w:rsid w:val="00DE12EA"/>
    <w:rsid w:val="00DE12F8"/>
    <w:rsid w:val="00DE134F"/>
    <w:rsid w:val="00DE1455"/>
    <w:rsid w:val="00DE155B"/>
    <w:rsid w:val="00DE16EA"/>
    <w:rsid w:val="00DE1769"/>
    <w:rsid w:val="00DE17A8"/>
    <w:rsid w:val="00DE18BC"/>
    <w:rsid w:val="00DE197D"/>
    <w:rsid w:val="00DE19A7"/>
    <w:rsid w:val="00DE19C9"/>
    <w:rsid w:val="00DE1B06"/>
    <w:rsid w:val="00DE1BB6"/>
    <w:rsid w:val="00DE1BC8"/>
    <w:rsid w:val="00DE1C1B"/>
    <w:rsid w:val="00DE1D5F"/>
    <w:rsid w:val="00DE1E87"/>
    <w:rsid w:val="00DE1EAA"/>
    <w:rsid w:val="00DE1ED6"/>
    <w:rsid w:val="00DE2055"/>
    <w:rsid w:val="00DE20A6"/>
    <w:rsid w:val="00DE20AD"/>
    <w:rsid w:val="00DE2191"/>
    <w:rsid w:val="00DE2214"/>
    <w:rsid w:val="00DE254C"/>
    <w:rsid w:val="00DE27CC"/>
    <w:rsid w:val="00DE2866"/>
    <w:rsid w:val="00DE2870"/>
    <w:rsid w:val="00DE2880"/>
    <w:rsid w:val="00DE2AA8"/>
    <w:rsid w:val="00DE2AAB"/>
    <w:rsid w:val="00DE2B4A"/>
    <w:rsid w:val="00DE2C17"/>
    <w:rsid w:val="00DE2C72"/>
    <w:rsid w:val="00DE2EBE"/>
    <w:rsid w:val="00DE2FBF"/>
    <w:rsid w:val="00DE2FDD"/>
    <w:rsid w:val="00DE2FEC"/>
    <w:rsid w:val="00DE30B9"/>
    <w:rsid w:val="00DE3122"/>
    <w:rsid w:val="00DE31D0"/>
    <w:rsid w:val="00DE3255"/>
    <w:rsid w:val="00DE3291"/>
    <w:rsid w:val="00DE33CB"/>
    <w:rsid w:val="00DE3416"/>
    <w:rsid w:val="00DE346B"/>
    <w:rsid w:val="00DE34DF"/>
    <w:rsid w:val="00DE38CA"/>
    <w:rsid w:val="00DE38D9"/>
    <w:rsid w:val="00DE3D56"/>
    <w:rsid w:val="00DE3D8B"/>
    <w:rsid w:val="00DE3DB8"/>
    <w:rsid w:val="00DE3DE1"/>
    <w:rsid w:val="00DE3F43"/>
    <w:rsid w:val="00DE3F56"/>
    <w:rsid w:val="00DE4159"/>
    <w:rsid w:val="00DE4185"/>
    <w:rsid w:val="00DE41B2"/>
    <w:rsid w:val="00DE436E"/>
    <w:rsid w:val="00DE443E"/>
    <w:rsid w:val="00DE4475"/>
    <w:rsid w:val="00DE44F7"/>
    <w:rsid w:val="00DE4856"/>
    <w:rsid w:val="00DE485E"/>
    <w:rsid w:val="00DE48C3"/>
    <w:rsid w:val="00DE4942"/>
    <w:rsid w:val="00DE49A9"/>
    <w:rsid w:val="00DE49C8"/>
    <w:rsid w:val="00DE49F2"/>
    <w:rsid w:val="00DE4A80"/>
    <w:rsid w:val="00DE4A93"/>
    <w:rsid w:val="00DE4BC1"/>
    <w:rsid w:val="00DE4C4B"/>
    <w:rsid w:val="00DE4DA3"/>
    <w:rsid w:val="00DE4E28"/>
    <w:rsid w:val="00DE4EC9"/>
    <w:rsid w:val="00DE4F64"/>
    <w:rsid w:val="00DE4FB2"/>
    <w:rsid w:val="00DE511D"/>
    <w:rsid w:val="00DE5245"/>
    <w:rsid w:val="00DE527F"/>
    <w:rsid w:val="00DE52F2"/>
    <w:rsid w:val="00DE5330"/>
    <w:rsid w:val="00DE533C"/>
    <w:rsid w:val="00DE5437"/>
    <w:rsid w:val="00DE5566"/>
    <w:rsid w:val="00DE5573"/>
    <w:rsid w:val="00DE55D7"/>
    <w:rsid w:val="00DE5647"/>
    <w:rsid w:val="00DE5716"/>
    <w:rsid w:val="00DE571F"/>
    <w:rsid w:val="00DE581E"/>
    <w:rsid w:val="00DE58B6"/>
    <w:rsid w:val="00DE59B0"/>
    <w:rsid w:val="00DE59B3"/>
    <w:rsid w:val="00DE5A16"/>
    <w:rsid w:val="00DE5A1B"/>
    <w:rsid w:val="00DE5A7C"/>
    <w:rsid w:val="00DE5C42"/>
    <w:rsid w:val="00DE5C6B"/>
    <w:rsid w:val="00DE5C8A"/>
    <w:rsid w:val="00DE5CED"/>
    <w:rsid w:val="00DE5DC6"/>
    <w:rsid w:val="00DE5E12"/>
    <w:rsid w:val="00DE5E5E"/>
    <w:rsid w:val="00DE5ECF"/>
    <w:rsid w:val="00DE5F3E"/>
    <w:rsid w:val="00DE5F44"/>
    <w:rsid w:val="00DE5F8F"/>
    <w:rsid w:val="00DE6049"/>
    <w:rsid w:val="00DE6135"/>
    <w:rsid w:val="00DE61E3"/>
    <w:rsid w:val="00DE6208"/>
    <w:rsid w:val="00DE635C"/>
    <w:rsid w:val="00DE63A0"/>
    <w:rsid w:val="00DE6482"/>
    <w:rsid w:val="00DE64E8"/>
    <w:rsid w:val="00DE66B1"/>
    <w:rsid w:val="00DE6733"/>
    <w:rsid w:val="00DE6749"/>
    <w:rsid w:val="00DE6800"/>
    <w:rsid w:val="00DE6827"/>
    <w:rsid w:val="00DE6965"/>
    <w:rsid w:val="00DE6ACE"/>
    <w:rsid w:val="00DE6B6D"/>
    <w:rsid w:val="00DE6BEF"/>
    <w:rsid w:val="00DE6C37"/>
    <w:rsid w:val="00DE6DA1"/>
    <w:rsid w:val="00DE6EAF"/>
    <w:rsid w:val="00DE6F30"/>
    <w:rsid w:val="00DE6FAF"/>
    <w:rsid w:val="00DE6FB6"/>
    <w:rsid w:val="00DE7096"/>
    <w:rsid w:val="00DE71B8"/>
    <w:rsid w:val="00DE71BA"/>
    <w:rsid w:val="00DE7205"/>
    <w:rsid w:val="00DE720C"/>
    <w:rsid w:val="00DE7243"/>
    <w:rsid w:val="00DE72F1"/>
    <w:rsid w:val="00DE7300"/>
    <w:rsid w:val="00DE7354"/>
    <w:rsid w:val="00DE73E3"/>
    <w:rsid w:val="00DE7422"/>
    <w:rsid w:val="00DE754A"/>
    <w:rsid w:val="00DE7556"/>
    <w:rsid w:val="00DE7683"/>
    <w:rsid w:val="00DE76E9"/>
    <w:rsid w:val="00DE77A8"/>
    <w:rsid w:val="00DE781E"/>
    <w:rsid w:val="00DE79A3"/>
    <w:rsid w:val="00DE7A25"/>
    <w:rsid w:val="00DE7AD8"/>
    <w:rsid w:val="00DE7B38"/>
    <w:rsid w:val="00DE7BC2"/>
    <w:rsid w:val="00DE7C42"/>
    <w:rsid w:val="00DE7D7E"/>
    <w:rsid w:val="00DE7F55"/>
    <w:rsid w:val="00DF0054"/>
    <w:rsid w:val="00DF00C7"/>
    <w:rsid w:val="00DF00F0"/>
    <w:rsid w:val="00DF01FA"/>
    <w:rsid w:val="00DF0280"/>
    <w:rsid w:val="00DF02DA"/>
    <w:rsid w:val="00DF040C"/>
    <w:rsid w:val="00DF0429"/>
    <w:rsid w:val="00DF0486"/>
    <w:rsid w:val="00DF0595"/>
    <w:rsid w:val="00DF05AF"/>
    <w:rsid w:val="00DF05EA"/>
    <w:rsid w:val="00DF06E9"/>
    <w:rsid w:val="00DF078F"/>
    <w:rsid w:val="00DF08C7"/>
    <w:rsid w:val="00DF0984"/>
    <w:rsid w:val="00DF09AA"/>
    <w:rsid w:val="00DF0B61"/>
    <w:rsid w:val="00DF0B6D"/>
    <w:rsid w:val="00DF0B70"/>
    <w:rsid w:val="00DF0C28"/>
    <w:rsid w:val="00DF0C77"/>
    <w:rsid w:val="00DF0D0A"/>
    <w:rsid w:val="00DF0D72"/>
    <w:rsid w:val="00DF0DCE"/>
    <w:rsid w:val="00DF0DCF"/>
    <w:rsid w:val="00DF0DE8"/>
    <w:rsid w:val="00DF0E8E"/>
    <w:rsid w:val="00DF0EAB"/>
    <w:rsid w:val="00DF0FF1"/>
    <w:rsid w:val="00DF118D"/>
    <w:rsid w:val="00DF1256"/>
    <w:rsid w:val="00DF130D"/>
    <w:rsid w:val="00DF1334"/>
    <w:rsid w:val="00DF134D"/>
    <w:rsid w:val="00DF15A1"/>
    <w:rsid w:val="00DF16CB"/>
    <w:rsid w:val="00DF17F1"/>
    <w:rsid w:val="00DF194C"/>
    <w:rsid w:val="00DF1B46"/>
    <w:rsid w:val="00DF1B9E"/>
    <w:rsid w:val="00DF1BDD"/>
    <w:rsid w:val="00DF1C33"/>
    <w:rsid w:val="00DF1C36"/>
    <w:rsid w:val="00DF1D43"/>
    <w:rsid w:val="00DF1E56"/>
    <w:rsid w:val="00DF1EB7"/>
    <w:rsid w:val="00DF1F53"/>
    <w:rsid w:val="00DF1F55"/>
    <w:rsid w:val="00DF1FA1"/>
    <w:rsid w:val="00DF2077"/>
    <w:rsid w:val="00DF20A8"/>
    <w:rsid w:val="00DF20E5"/>
    <w:rsid w:val="00DF2267"/>
    <w:rsid w:val="00DF2283"/>
    <w:rsid w:val="00DF23C2"/>
    <w:rsid w:val="00DF2449"/>
    <w:rsid w:val="00DF2519"/>
    <w:rsid w:val="00DF26AB"/>
    <w:rsid w:val="00DF270D"/>
    <w:rsid w:val="00DF2800"/>
    <w:rsid w:val="00DF2888"/>
    <w:rsid w:val="00DF28C2"/>
    <w:rsid w:val="00DF28CA"/>
    <w:rsid w:val="00DF2987"/>
    <w:rsid w:val="00DF2AA9"/>
    <w:rsid w:val="00DF2B73"/>
    <w:rsid w:val="00DF2BAB"/>
    <w:rsid w:val="00DF2C7A"/>
    <w:rsid w:val="00DF2DA0"/>
    <w:rsid w:val="00DF2F9D"/>
    <w:rsid w:val="00DF3166"/>
    <w:rsid w:val="00DF3212"/>
    <w:rsid w:val="00DF3275"/>
    <w:rsid w:val="00DF3296"/>
    <w:rsid w:val="00DF3509"/>
    <w:rsid w:val="00DF39B4"/>
    <w:rsid w:val="00DF39E1"/>
    <w:rsid w:val="00DF39EF"/>
    <w:rsid w:val="00DF3AAC"/>
    <w:rsid w:val="00DF3D13"/>
    <w:rsid w:val="00DF3D9C"/>
    <w:rsid w:val="00DF3EC6"/>
    <w:rsid w:val="00DF3F6A"/>
    <w:rsid w:val="00DF401A"/>
    <w:rsid w:val="00DF4044"/>
    <w:rsid w:val="00DF408F"/>
    <w:rsid w:val="00DF4134"/>
    <w:rsid w:val="00DF414B"/>
    <w:rsid w:val="00DF416F"/>
    <w:rsid w:val="00DF4279"/>
    <w:rsid w:val="00DF429D"/>
    <w:rsid w:val="00DF4303"/>
    <w:rsid w:val="00DF438B"/>
    <w:rsid w:val="00DF4438"/>
    <w:rsid w:val="00DF4445"/>
    <w:rsid w:val="00DF44AB"/>
    <w:rsid w:val="00DF44AD"/>
    <w:rsid w:val="00DF44F9"/>
    <w:rsid w:val="00DF4536"/>
    <w:rsid w:val="00DF455C"/>
    <w:rsid w:val="00DF46BA"/>
    <w:rsid w:val="00DF47B7"/>
    <w:rsid w:val="00DF47E4"/>
    <w:rsid w:val="00DF4984"/>
    <w:rsid w:val="00DF4999"/>
    <w:rsid w:val="00DF499C"/>
    <w:rsid w:val="00DF49CD"/>
    <w:rsid w:val="00DF49FF"/>
    <w:rsid w:val="00DF4A71"/>
    <w:rsid w:val="00DF4AC1"/>
    <w:rsid w:val="00DF4B62"/>
    <w:rsid w:val="00DF4B95"/>
    <w:rsid w:val="00DF4C1D"/>
    <w:rsid w:val="00DF4D09"/>
    <w:rsid w:val="00DF4E34"/>
    <w:rsid w:val="00DF4F26"/>
    <w:rsid w:val="00DF4F51"/>
    <w:rsid w:val="00DF5004"/>
    <w:rsid w:val="00DF50A0"/>
    <w:rsid w:val="00DF50EC"/>
    <w:rsid w:val="00DF51AF"/>
    <w:rsid w:val="00DF51F3"/>
    <w:rsid w:val="00DF5249"/>
    <w:rsid w:val="00DF5305"/>
    <w:rsid w:val="00DF537F"/>
    <w:rsid w:val="00DF54CF"/>
    <w:rsid w:val="00DF556F"/>
    <w:rsid w:val="00DF5590"/>
    <w:rsid w:val="00DF55FB"/>
    <w:rsid w:val="00DF5617"/>
    <w:rsid w:val="00DF567E"/>
    <w:rsid w:val="00DF56B1"/>
    <w:rsid w:val="00DF5701"/>
    <w:rsid w:val="00DF5785"/>
    <w:rsid w:val="00DF57F7"/>
    <w:rsid w:val="00DF5886"/>
    <w:rsid w:val="00DF58A8"/>
    <w:rsid w:val="00DF5961"/>
    <w:rsid w:val="00DF5A56"/>
    <w:rsid w:val="00DF5AB5"/>
    <w:rsid w:val="00DF5B9A"/>
    <w:rsid w:val="00DF5BE8"/>
    <w:rsid w:val="00DF5BEC"/>
    <w:rsid w:val="00DF5C45"/>
    <w:rsid w:val="00DF5CDF"/>
    <w:rsid w:val="00DF5DDB"/>
    <w:rsid w:val="00DF5E69"/>
    <w:rsid w:val="00DF5E81"/>
    <w:rsid w:val="00DF5EB7"/>
    <w:rsid w:val="00DF5F20"/>
    <w:rsid w:val="00DF5F30"/>
    <w:rsid w:val="00DF6047"/>
    <w:rsid w:val="00DF604D"/>
    <w:rsid w:val="00DF61B9"/>
    <w:rsid w:val="00DF61C1"/>
    <w:rsid w:val="00DF630B"/>
    <w:rsid w:val="00DF63CE"/>
    <w:rsid w:val="00DF64A2"/>
    <w:rsid w:val="00DF64A4"/>
    <w:rsid w:val="00DF64C1"/>
    <w:rsid w:val="00DF6603"/>
    <w:rsid w:val="00DF663D"/>
    <w:rsid w:val="00DF66BC"/>
    <w:rsid w:val="00DF66D2"/>
    <w:rsid w:val="00DF6717"/>
    <w:rsid w:val="00DF67D3"/>
    <w:rsid w:val="00DF6892"/>
    <w:rsid w:val="00DF68C9"/>
    <w:rsid w:val="00DF68F7"/>
    <w:rsid w:val="00DF698E"/>
    <w:rsid w:val="00DF69B0"/>
    <w:rsid w:val="00DF69E9"/>
    <w:rsid w:val="00DF6A9F"/>
    <w:rsid w:val="00DF6AE3"/>
    <w:rsid w:val="00DF6BDD"/>
    <w:rsid w:val="00DF6BFC"/>
    <w:rsid w:val="00DF6C67"/>
    <w:rsid w:val="00DF6D56"/>
    <w:rsid w:val="00DF6D9F"/>
    <w:rsid w:val="00DF710C"/>
    <w:rsid w:val="00DF71F3"/>
    <w:rsid w:val="00DF722D"/>
    <w:rsid w:val="00DF7291"/>
    <w:rsid w:val="00DF729C"/>
    <w:rsid w:val="00DF739D"/>
    <w:rsid w:val="00DF758E"/>
    <w:rsid w:val="00DF75AB"/>
    <w:rsid w:val="00DF7638"/>
    <w:rsid w:val="00DF770F"/>
    <w:rsid w:val="00DF7713"/>
    <w:rsid w:val="00DF7819"/>
    <w:rsid w:val="00DF7824"/>
    <w:rsid w:val="00DF7867"/>
    <w:rsid w:val="00DF7880"/>
    <w:rsid w:val="00DF7970"/>
    <w:rsid w:val="00DF79B2"/>
    <w:rsid w:val="00DF7AB7"/>
    <w:rsid w:val="00DF7C05"/>
    <w:rsid w:val="00DF7CC4"/>
    <w:rsid w:val="00DF7D1A"/>
    <w:rsid w:val="00DF7D42"/>
    <w:rsid w:val="00DF7D67"/>
    <w:rsid w:val="00DF7E81"/>
    <w:rsid w:val="00DF7EFC"/>
    <w:rsid w:val="00DF7F1E"/>
    <w:rsid w:val="00DF7F60"/>
    <w:rsid w:val="00DF7F75"/>
    <w:rsid w:val="00DF7FEA"/>
    <w:rsid w:val="00E00054"/>
    <w:rsid w:val="00E0005A"/>
    <w:rsid w:val="00E00066"/>
    <w:rsid w:val="00E00125"/>
    <w:rsid w:val="00E00160"/>
    <w:rsid w:val="00E001EB"/>
    <w:rsid w:val="00E0024F"/>
    <w:rsid w:val="00E0038C"/>
    <w:rsid w:val="00E004D8"/>
    <w:rsid w:val="00E005CD"/>
    <w:rsid w:val="00E005F4"/>
    <w:rsid w:val="00E007C5"/>
    <w:rsid w:val="00E00803"/>
    <w:rsid w:val="00E009A0"/>
    <w:rsid w:val="00E009BB"/>
    <w:rsid w:val="00E00A0B"/>
    <w:rsid w:val="00E00A56"/>
    <w:rsid w:val="00E00A94"/>
    <w:rsid w:val="00E00ABC"/>
    <w:rsid w:val="00E00BA2"/>
    <w:rsid w:val="00E00BDC"/>
    <w:rsid w:val="00E00C1F"/>
    <w:rsid w:val="00E00D06"/>
    <w:rsid w:val="00E00D66"/>
    <w:rsid w:val="00E00EA9"/>
    <w:rsid w:val="00E00EC2"/>
    <w:rsid w:val="00E00FA9"/>
    <w:rsid w:val="00E00FEF"/>
    <w:rsid w:val="00E01007"/>
    <w:rsid w:val="00E010FC"/>
    <w:rsid w:val="00E011D3"/>
    <w:rsid w:val="00E011FF"/>
    <w:rsid w:val="00E0143E"/>
    <w:rsid w:val="00E0145B"/>
    <w:rsid w:val="00E0153E"/>
    <w:rsid w:val="00E01608"/>
    <w:rsid w:val="00E01771"/>
    <w:rsid w:val="00E0179C"/>
    <w:rsid w:val="00E01904"/>
    <w:rsid w:val="00E01956"/>
    <w:rsid w:val="00E019FB"/>
    <w:rsid w:val="00E01AF1"/>
    <w:rsid w:val="00E01BB3"/>
    <w:rsid w:val="00E01CB9"/>
    <w:rsid w:val="00E01D11"/>
    <w:rsid w:val="00E01D52"/>
    <w:rsid w:val="00E01D8D"/>
    <w:rsid w:val="00E01E17"/>
    <w:rsid w:val="00E01E98"/>
    <w:rsid w:val="00E01F2C"/>
    <w:rsid w:val="00E01F56"/>
    <w:rsid w:val="00E01F89"/>
    <w:rsid w:val="00E01F95"/>
    <w:rsid w:val="00E02028"/>
    <w:rsid w:val="00E020D6"/>
    <w:rsid w:val="00E021D9"/>
    <w:rsid w:val="00E02211"/>
    <w:rsid w:val="00E02241"/>
    <w:rsid w:val="00E0224F"/>
    <w:rsid w:val="00E02291"/>
    <w:rsid w:val="00E02389"/>
    <w:rsid w:val="00E023BA"/>
    <w:rsid w:val="00E0240F"/>
    <w:rsid w:val="00E0269F"/>
    <w:rsid w:val="00E027C1"/>
    <w:rsid w:val="00E027D0"/>
    <w:rsid w:val="00E02855"/>
    <w:rsid w:val="00E0287D"/>
    <w:rsid w:val="00E02912"/>
    <w:rsid w:val="00E0291E"/>
    <w:rsid w:val="00E02962"/>
    <w:rsid w:val="00E029BD"/>
    <w:rsid w:val="00E02A00"/>
    <w:rsid w:val="00E02A95"/>
    <w:rsid w:val="00E02BE0"/>
    <w:rsid w:val="00E02F3D"/>
    <w:rsid w:val="00E03183"/>
    <w:rsid w:val="00E032DC"/>
    <w:rsid w:val="00E0355C"/>
    <w:rsid w:val="00E03651"/>
    <w:rsid w:val="00E03693"/>
    <w:rsid w:val="00E03700"/>
    <w:rsid w:val="00E037E9"/>
    <w:rsid w:val="00E039E1"/>
    <w:rsid w:val="00E03BA8"/>
    <w:rsid w:val="00E03BB9"/>
    <w:rsid w:val="00E03C13"/>
    <w:rsid w:val="00E03C8B"/>
    <w:rsid w:val="00E03CD9"/>
    <w:rsid w:val="00E03DBE"/>
    <w:rsid w:val="00E03DCE"/>
    <w:rsid w:val="00E03E9F"/>
    <w:rsid w:val="00E03F8B"/>
    <w:rsid w:val="00E04185"/>
    <w:rsid w:val="00E0423B"/>
    <w:rsid w:val="00E04323"/>
    <w:rsid w:val="00E043A1"/>
    <w:rsid w:val="00E043BB"/>
    <w:rsid w:val="00E043D2"/>
    <w:rsid w:val="00E04450"/>
    <w:rsid w:val="00E044B3"/>
    <w:rsid w:val="00E04530"/>
    <w:rsid w:val="00E04557"/>
    <w:rsid w:val="00E04582"/>
    <w:rsid w:val="00E045D1"/>
    <w:rsid w:val="00E0469F"/>
    <w:rsid w:val="00E047A0"/>
    <w:rsid w:val="00E047B4"/>
    <w:rsid w:val="00E048FA"/>
    <w:rsid w:val="00E0491C"/>
    <w:rsid w:val="00E049A6"/>
    <w:rsid w:val="00E049E6"/>
    <w:rsid w:val="00E04A33"/>
    <w:rsid w:val="00E04AF8"/>
    <w:rsid w:val="00E04B32"/>
    <w:rsid w:val="00E04B7C"/>
    <w:rsid w:val="00E04B83"/>
    <w:rsid w:val="00E04BEC"/>
    <w:rsid w:val="00E04C0F"/>
    <w:rsid w:val="00E04C10"/>
    <w:rsid w:val="00E04C40"/>
    <w:rsid w:val="00E04CC9"/>
    <w:rsid w:val="00E04CE2"/>
    <w:rsid w:val="00E04D4E"/>
    <w:rsid w:val="00E04D6D"/>
    <w:rsid w:val="00E04DC1"/>
    <w:rsid w:val="00E04E64"/>
    <w:rsid w:val="00E04E85"/>
    <w:rsid w:val="00E04FBB"/>
    <w:rsid w:val="00E050B0"/>
    <w:rsid w:val="00E0515E"/>
    <w:rsid w:val="00E0517E"/>
    <w:rsid w:val="00E052CC"/>
    <w:rsid w:val="00E053EA"/>
    <w:rsid w:val="00E055B0"/>
    <w:rsid w:val="00E055ED"/>
    <w:rsid w:val="00E055FD"/>
    <w:rsid w:val="00E05642"/>
    <w:rsid w:val="00E05647"/>
    <w:rsid w:val="00E0567D"/>
    <w:rsid w:val="00E056FD"/>
    <w:rsid w:val="00E0575F"/>
    <w:rsid w:val="00E0579B"/>
    <w:rsid w:val="00E057C9"/>
    <w:rsid w:val="00E05955"/>
    <w:rsid w:val="00E05A10"/>
    <w:rsid w:val="00E05A5A"/>
    <w:rsid w:val="00E05AF7"/>
    <w:rsid w:val="00E05DA0"/>
    <w:rsid w:val="00E05DD7"/>
    <w:rsid w:val="00E05E0B"/>
    <w:rsid w:val="00E05E45"/>
    <w:rsid w:val="00E05EF3"/>
    <w:rsid w:val="00E05EFE"/>
    <w:rsid w:val="00E06091"/>
    <w:rsid w:val="00E06097"/>
    <w:rsid w:val="00E060D1"/>
    <w:rsid w:val="00E0610D"/>
    <w:rsid w:val="00E06163"/>
    <w:rsid w:val="00E062A4"/>
    <w:rsid w:val="00E063B9"/>
    <w:rsid w:val="00E064EE"/>
    <w:rsid w:val="00E065E3"/>
    <w:rsid w:val="00E06804"/>
    <w:rsid w:val="00E06809"/>
    <w:rsid w:val="00E068E0"/>
    <w:rsid w:val="00E0690F"/>
    <w:rsid w:val="00E06919"/>
    <w:rsid w:val="00E069B8"/>
    <w:rsid w:val="00E06A67"/>
    <w:rsid w:val="00E06A93"/>
    <w:rsid w:val="00E06BC3"/>
    <w:rsid w:val="00E06C48"/>
    <w:rsid w:val="00E06C87"/>
    <w:rsid w:val="00E06CE0"/>
    <w:rsid w:val="00E06D98"/>
    <w:rsid w:val="00E06F24"/>
    <w:rsid w:val="00E06F2E"/>
    <w:rsid w:val="00E06FAD"/>
    <w:rsid w:val="00E06FF6"/>
    <w:rsid w:val="00E07046"/>
    <w:rsid w:val="00E0715F"/>
    <w:rsid w:val="00E072A2"/>
    <w:rsid w:val="00E07346"/>
    <w:rsid w:val="00E07593"/>
    <w:rsid w:val="00E076EC"/>
    <w:rsid w:val="00E077C8"/>
    <w:rsid w:val="00E0791D"/>
    <w:rsid w:val="00E07A7C"/>
    <w:rsid w:val="00E07B47"/>
    <w:rsid w:val="00E07B55"/>
    <w:rsid w:val="00E07B6D"/>
    <w:rsid w:val="00E07B83"/>
    <w:rsid w:val="00E07BA6"/>
    <w:rsid w:val="00E07C31"/>
    <w:rsid w:val="00E07C90"/>
    <w:rsid w:val="00E07CB7"/>
    <w:rsid w:val="00E07CDE"/>
    <w:rsid w:val="00E07DD1"/>
    <w:rsid w:val="00E07F0F"/>
    <w:rsid w:val="00E07F76"/>
    <w:rsid w:val="00E07F9B"/>
    <w:rsid w:val="00E07FA0"/>
    <w:rsid w:val="00E1004A"/>
    <w:rsid w:val="00E100D0"/>
    <w:rsid w:val="00E10158"/>
    <w:rsid w:val="00E10189"/>
    <w:rsid w:val="00E101B8"/>
    <w:rsid w:val="00E10201"/>
    <w:rsid w:val="00E1034D"/>
    <w:rsid w:val="00E10431"/>
    <w:rsid w:val="00E104D5"/>
    <w:rsid w:val="00E10540"/>
    <w:rsid w:val="00E10602"/>
    <w:rsid w:val="00E1074F"/>
    <w:rsid w:val="00E10804"/>
    <w:rsid w:val="00E1089F"/>
    <w:rsid w:val="00E10A0F"/>
    <w:rsid w:val="00E10AFA"/>
    <w:rsid w:val="00E10B35"/>
    <w:rsid w:val="00E10D4F"/>
    <w:rsid w:val="00E10E32"/>
    <w:rsid w:val="00E10E63"/>
    <w:rsid w:val="00E10EE9"/>
    <w:rsid w:val="00E111AE"/>
    <w:rsid w:val="00E11210"/>
    <w:rsid w:val="00E1121A"/>
    <w:rsid w:val="00E112FF"/>
    <w:rsid w:val="00E11343"/>
    <w:rsid w:val="00E11729"/>
    <w:rsid w:val="00E1178C"/>
    <w:rsid w:val="00E117A1"/>
    <w:rsid w:val="00E1187B"/>
    <w:rsid w:val="00E119AF"/>
    <w:rsid w:val="00E11A73"/>
    <w:rsid w:val="00E11A89"/>
    <w:rsid w:val="00E11CDC"/>
    <w:rsid w:val="00E11D14"/>
    <w:rsid w:val="00E11E50"/>
    <w:rsid w:val="00E11EAA"/>
    <w:rsid w:val="00E11F2E"/>
    <w:rsid w:val="00E11F9A"/>
    <w:rsid w:val="00E11FE3"/>
    <w:rsid w:val="00E11FFE"/>
    <w:rsid w:val="00E1204C"/>
    <w:rsid w:val="00E12172"/>
    <w:rsid w:val="00E1224D"/>
    <w:rsid w:val="00E12312"/>
    <w:rsid w:val="00E123C4"/>
    <w:rsid w:val="00E12475"/>
    <w:rsid w:val="00E125A2"/>
    <w:rsid w:val="00E12603"/>
    <w:rsid w:val="00E12637"/>
    <w:rsid w:val="00E12676"/>
    <w:rsid w:val="00E1277E"/>
    <w:rsid w:val="00E127A8"/>
    <w:rsid w:val="00E128FA"/>
    <w:rsid w:val="00E12AF9"/>
    <w:rsid w:val="00E12BB2"/>
    <w:rsid w:val="00E12C47"/>
    <w:rsid w:val="00E12CEC"/>
    <w:rsid w:val="00E12D07"/>
    <w:rsid w:val="00E12DFF"/>
    <w:rsid w:val="00E12E6D"/>
    <w:rsid w:val="00E13038"/>
    <w:rsid w:val="00E13042"/>
    <w:rsid w:val="00E132A4"/>
    <w:rsid w:val="00E13368"/>
    <w:rsid w:val="00E134DC"/>
    <w:rsid w:val="00E13580"/>
    <w:rsid w:val="00E135F1"/>
    <w:rsid w:val="00E13650"/>
    <w:rsid w:val="00E136AE"/>
    <w:rsid w:val="00E13865"/>
    <w:rsid w:val="00E1386D"/>
    <w:rsid w:val="00E1386E"/>
    <w:rsid w:val="00E13891"/>
    <w:rsid w:val="00E138D7"/>
    <w:rsid w:val="00E1393B"/>
    <w:rsid w:val="00E13A06"/>
    <w:rsid w:val="00E13ADF"/>
    <w:rsid w:val="00E13AE1"/>
    <w:rsid w:val="00E13AE2"/>
    <w:rsid w:val="00E13B46"/>
    <w:rsid w:val="00E13CC1"/>
    <w:rsid w:val="00E13D3C"/>
    <w:rsid w:val="00E13DF4"/>
    <w:rsid w:val="00E13EAB"/>
    <w:rsid w:val="00E13ED8"/>
    <w:rsid w:val="00E13F09"/>
    <w:rsid w:val="00E1403A"/>
    <w:rsid w:val="00E140A1"/>
    <w:rsid w:val="00E140F8"/>
    <w:rsid w:val="00E1417A"/>
    <w:rsid w:val="00E14248"/>
    <w:rsid w:val="00E14288"/>
    <w:rsid w:val="00E142C8"/>
    <w:rsid w:val="00E14313"/>
    <w:rsid w:val="00E143DC"/>
    <w:rsid w:val="00E14516"/>
    <w:rsid w:val="00E14580"/>
    <w:rsid w:val="00E146A7"/>
    <w:rsid w:val="00E147F3"/>
    <w:rsid w:val="00E14901"/>
    <w:rsid w:val="00E14B56"/>
    <w:rsid w:val="00E14D3F"/>
    <w:rsid w:val="00E14DF2"/>
    <w:rsid w:val="00E14EC4"/>
    <w:rsid w:val="00E14FE6"/>
    <w:rsid w:val="00E15000"/>
    <w:rsid w:val="00E150C3"/>
    <w:rsid w:val="00E15100"/>
    <w:rsid w:val="00E15141"/>
    <w:rsid w:val="00E15190"/>
    <w:rsid w:val="00E151B4"/>
    <w:rsid w:val="00E1531F"/>
    <w:rsid w:val="00E1538A"/>
    <w:rsid w:val="00E15391"/>
    <w:rsid w:val="00E153AD"/>
    <w:rsid w:val="00E1551B"/>
    <w:rsid w:val="00E1575F"/>
    <w:rsid w:val="00E157C0"/>
    <w:rsid w:val="00E1588D"/>
    <w:rsid w:val="00E158D8"/>
    <w:rsid w:val="00E15AF9"/>
    <w:rsid w:val="00E15B62"/>
    <w:rsid w:val="00E15CE5"/>
    <w:rsid w:val="00E15D0E"/>
    <w:rsid w:val="00E15DEF"/>
    <w:rsid w:val="00E15E0E"/>
    <w:rsid w:val="00E15E56"/>
    <w:rsid w:val="00E15E9E"/>
    <w:rsid w:val="00E15F24"/>
    <w:rsid w:val="00E15F99"/>
    <w:rsid w:val="00E1604B"/>
    <w:rsid w:val="00E1607D"/>
    <w:rsid w:val="00E1615A"/>
    <w:rsid w:val="00E161D5"/>
    <w:rsid w:val="00E1621A"/>
    <w:rsid w:val="00E16468"/>
    <w:rsid w:val="00E1657A"/>
    <w:rsid w:val="00E165CA"/>
    <w:rsid w:val="00E165D7"/>
    <w:rsid w:val="00E165FB"/>
    <w:rsid w:val="00E16612"/>
    <w:rsid w:val="00E1676E"/>
    <w:rsid w:val="00E16798"/>
    <w:rsid w:val="00E16814"/>
    <w:rsid w:val="00E16958"/>
    <w:rsid w:val="00E1697B"/>
    <w:rsid w:val="00E169D3"/>
    <w:rsid w:val="00E169E4"/>
    <w:rsid w:val="00E169ED"/>
    <w:rsid w:val="00E16A2C"/>
    <w:rsid w:val="00E16ADC"/>
    <w:rsid w:val="00E16C0C"/>
    <w:rsid w:val="00E16C83"/>
    <w:rsid w:val="00E16D22"/>
    <w:rsid w:val="00E16D5F"/>
    <w:rsid w:val="00E16DCC"/>
    <w:rsid w:val="00E16E66"/>
    <w:rsid w:val="00E16F60"/>
    <w:rsid w:val="00E16FE4"/>
    <w:rsid w:val="00E1720D"/>
    <w:rsid w:val="00E1721D"/>
    <w:rsid w:val="00E1731D"/>
    <w:rsid w:val="00E17355"/>
    <w:rsid w:val="00E17362"/>
    <w:rsid w:val="00E17388"/>
    <w:rsid w:val="00E17574"/>
    <w:rsid w:val="00E17652"/>
    <w:rsid w:val="00E176C2"/>
    <w:rsid w:val="00E176E5"/>
    <w:rsid w:val="00E176F8"/>
    <w:rsid w:val="00E17774"/>
    <w:rsid w:val="00E177C0"/>
    <w:rsid w:val="00E177E9"/>
    <w:rsid w:val="00E1785C"/>
    <w:rsid w:val="00E1786E"/>
    <w:rsid w:val="00E17953"/>
    <w:rsid w:val="00E17AC4"/>
    <w:rsid w:val="00E17BCE"/>
    <w:rsid w:val="00E17C80"/>
    <w:rsid w:val="00E17D1B"/>
    <w:rsid w:val="00E17E15"/>
    <w:rsid w:val="00E17E53"/>
    <w:rsid w:val="00E17F8F"/>
    <w:rsid w:val="00E2008B"/>
    <w:rsid w:val="00E2012B"/>
    <w:rsid w:val="00E20139"/>
    <w:rsid w:val="00E202DC"/>
    <w:rsid w:val="00E202F1"/>
    <w:rsid w:val="00E20438"/>
    <w:rsid w:val="00E205AC"/>
    <w:rsid w:val="00E2069F"/>
    <w:rsid w:val="00E2071C"/>
    <w:rsid w:val="00E20720"/>
    <w:rsid w:val="00E2079E"/>
    <w:rsid w:val="00E207F8"/>
    <w:rsid w:val="00E208C4"/>
    <w:rsid w:val="00E20945"/>
    <w:rsid w:val="00E20A0B"/>
    <w:rsid w:val="00E20AD1"/>
    <w:rsid w:val="00E20B2A"/>
    <w:rsid w:val="00E20C2B"/>
    <w:rsid w:val="00E20CA3"/>
    <w:rsid w:val="00E20E43"/>
    <w:rsid w:val="00E20E70"/>
    <w:rsid w:val="00E20E89"/>
    <w:rsid w:val="00E20F1F"/>
    <w:rsid w:val="00E211A0"/>
    <w:rsid w:val="00E21364"/>
    <w:rsid w:val="00E213AF"/>
    <w:rsid w:val="00E213BB"/>
    <w:rsid w:val="00E214C2"/>
    <w:rsid w:val="00E21587"/>
    <w:rsid w:val="00E21635"/>
    <w:rsid w:val="00E216ED"/>
    <w:rsid w:val="00E21825"/>
    <w:rsid w:val="00E2185A"/>
    <w:rsid w:val="00E2188F"/>
    <w:rsid w:val="00E218DD"/>
    <w:rsid w:val="00E21950"/>
    <w:rsid w:val="00E2197E"/>
    <w:rsid w:val="00E21A14"/>
    <w:rsid w:val="00E21A40"/>
    <w:rsid w:val="00E21A43"/>
    <w:rsid w:val="00E21AD0"/>
    <w:rsid w:val="00E21B14"/>
    <w:rsid w:val="00E21B24"/>
    <w:rsid w:val="00E21B7B"/>
    <w:rsid w:val="00E21C1D"/>
    <w:rsid w:val="00E21CEA"/>
    <w:rsid w:val="00E21D84"/>
    <w:rsid w:val="00E21E3D"/>
    <w:rsid w:val="00E21ECB"/>
    <w:rsid w:val="00E21ED5"/>
    <w:rsid w:val="00E21F73"/>
    <w:rsid w:val="00E21F9B"/>
    <w:rsid w:val="00E22071"/>
    <w:rsid w:val="00E220DF"/>
    <w:rsid w:val="00E22224"/>
    <w:rsid w:val="00E22239"/>
    <w:rsid w:val="00E22271"/>
    <w:rsid w:val="00E22492"/>
    <w:rsid w:val="00E224A5"/>
    <w:rsid w:val="00E224E5"/>
    <w:rsid w:val="00E225E5"/>
    <w:rsid w:val="00E225FE"/>
    <w:rsid w:val="00E226F1"/>
    <w:rsid w:val="00E22739"/>
    <w:rsid w:val="00E2277B"/>
    <w:rsid w:val="00E22838"/>
    <w:rsid w:val="00E228F4"/>
    <w:rsid w:val="00E22A38"/>
    <w:rsid w:val="00E22BBB"/>
    <w:rsid w:val="00E22EA3"/>
    <w:rsid w:val="00E22EBC"/>
    <w:rsid w:val="00E22F2B"/>
    <w:rsid w:val="00E22F46"/>
    <w:rsid w:val="00E230C4"/>
    <w:rsid w:val="00E2311F"/>
    <w:rsid w:val="00E23120"/>
    <w:rsid w:val="00E23211"/>
    <w:rsid w:val="00E23253"/>
    <w:rsid w:val="00E23368"/>
    <w:rsid w:val="00E235CB"/>
    <w:rsid w:val="00E236F1"/>
    <w:rsid w:val="00E23788"/>
    <w:rsid w:val="00E238C1"/>
    <w:rsid w:val="00E2391A"/>
    <w:rsid w:val="00E239C6"/>
    <w:rsid w:val="00E239DD"/>
    <w:rsid w:val="00E239F6"/>
    <w:rsid w:val="00E23A0B"/>
    <w:rsid w:val="00E23A12"/>
    <w:rsid w:val="00E23A46"/>
    <w:rsid w:val="00E23A79"/>
    <w:rsid w:val="00E23AAD"/>
    <w:rsid w:val="00E23AD2"/>
    <w:rsid w:val="00E23AE3"/>
    <w:rsid w:val="00E23AE8"/>
    <w:rsid w:val="00E23BBC"/>
    <w:rsid w:val="00E23C99"/>
    <w:rsid w:val="00E23C9D"/>
    <w:rsid w:val="00E23D86"/>
    <w:rsid w:val="00E23DB0"/>
    <w:rsid w:val="00E23DE1"/>
    <w:rsid w:val="00E23F40"/>
    <w:rsid w:val="00E2403C"/>
    <w:rsid w:val="00E240E8"/>
    <w:rsid w:val="00E24124"/>
    <w:rsid w:val="00E24139"/>
    <w:rsid w:val="00E24282"/>
    <w:rsid w:val="00E24335"/>
    <w:rsid w:val="00E243DB"/>
    <w:rsid w:val="00E24427"/>
    <w:rsid w:val="00E24453"/>
    <w:rsid w:val="00E2454D"/>
    <w:rsid w:val="00E24553"/>
    <w:rsid w:val="00E24614"/>
    <w:rsid w:val="00E247DB"/>
    <w:rsid w:val="00E248CF"/>
    <w:rsid w:val="00E248D7"/>
    <w:rsid w:val="00E24921"/>
    <w:rsid w:val="00E24987"/>
    <w:rsid w:val="00E249F9"/>
    <w:rsid w:val="00E24A40"/>
    <w:rsid w:val="00E24AA1"/>
    <w:rsid w:val="00E24B75"/>
    <w:rsid w:val="00E24BE1"/>
    <w:rsid w:val="00E24C3F"/>
    <w:rsid w:val="00E24D8B"/>
    <w:rsid w:val="00E24DEE"/>
    <w:rsid w:val="00E24E28"/>
    <w:rsid w:val="00E24E6A"/>
    <w:rsid w:val="00E24EA1"/>
    <w:rsid w:val="00E24FDB"/>
    <w:rsid w:val="00E25083"/>
    <w:rsid w:val="00E250DE"/>
    <w:rsid w:val="00E25146"/>
    <w:rsid w:val="00E25159"/>
    <w:rsid w:val="00E25186"/>
    <w:rsid w:val="00E251B3"/>
    <w:rsid w:val="00E251C1"/>
    <w:rsid w:val="00E251E8"/>
    <w:rsid w:val="00E25325"/>
    <w:rsid w:val="00E25523"/>
    <w:rsid w:val="00E2560F"/>
    <w:rsid w:val="00E25616"/>
    <w:rsid w:val="00E2569D"/>
    <w:rsid w:val="00E25834"/>
    <w:rsid w:val="00E25843"/>
    <w:rsid w:val="00E2587B"/>
    <w:rsid w:val="00E258E8"/>
    <w:rsid w:val="00E258F4"/>
    <w:rsid w:val="00E25954"/>
    <w:rsid w:val="00E25973"/>
    <w:rsid w:val="00E25998"/>
    <w:rsid w:val="00E259CE"/>
    <w:rsid w:val="00E25A53"/>
    <w:rsid w:val="00E25AA9"/>
    <w:rsid w:val="00E25AC1"/>
    <w:rsid w:val="00E25B1A"/>
    <w:rsid w:val="00E25C2A"/>
    <w:rsid w:val="00E25CB6"/>
    <w:rsid w:val="00E25D55"/>
    <w:rsid w:val="00E25E5E"/>
    <w:rsid w:val="00E25EA8"/>
    <w:rsid w:val="00E25ED3"/>
    <w:rsid w:val="00E25F28"/>
    <w:rsid w:val="00E25F9F"/>
    <w:rsid w:val="00E2606F"/>
    <w:rsid w:val="00E26113"/>
    <w:rsid w:val="00E261E2"/>
    <w:rsid w:val="00E26290"/>
    <w:rsid w:val="00E262A3"/>
    <w:rsid w:val="00E26351"/>
    <w:rsid w:val="00E26386"/>
    <w:rsid w:val="00E26390"/>
    <w:rsid w:val="00E26461"/>
    <w:rsid w:val="00E26499"/>
    <w:rsid w:val="00E26522"/>
    <w:rsid w:val="00E26659"/>
    <w:rsid w:val="00E2669C"/>
    <w:rsid w:val="00E2669E"/>
    <w:rsid w:val="00E266A4"/>
    <w:rsid w:val="00E26727"/>
    <w:rsid w:val="00E26735"/>
    <w:rsid w:val="00E26764"/>
    <w:rsid w:val="00E26774"/>
    <w:rsid w:val="00E26790"/>
    <w:rsid w:val="00E26810"/>
    <w:rsid w:val="00E26835"/>
    <w:rsid w:val="00E26AB8"/>
    <w:rsid w:val="00E26B2A"/>
    <w:rsid w:val="00E26C6E"/>
    <w:rsid w:val="00E26CB3"/>
    <w:rsid w:val="00E26D62"/>
    <w:rsid w:val="00E26D8E"/>
    <w:rsid w:val="00E26DB4"/>
    <w:rsid w:val="00E26E18"/>
    <w:rsid w:val="00E26E70"/>
    <w:rsid w:val="00E26E9D"/>
    <w:rsid w:val="00E26EF9"/>
    <w:rsid w:val="00E26FD4"/>
    <w:rsid w:val="00E26FF7"/>
    <w:rsid w:val="00E27001"/>
    <w:rsid w:val="00E2714D"/>
    <w:rsid w:val="00E27187"/>
    <w:rsid w:val="00E272A2"/>
    <w:rsid w:val="00E27311"/>
    <w:rsid w:val="00E27320"/>
    <w:rsid w:val="00E2738E"/>
    <w:rsid w:val="00E274F8"/>
    <w:rsid w:val="00E275F7"/>
    <w:rsid w:val="00E2775A"/>
    <w:rsid w:val="00E27823"/>
    <w:rsid w:val="00E278DB"/>
    <w:rsid w:val="00E278ED"/>
    <w:rsid w:val="00E27933"/>
    <w:rsid w:val="00E27AEC"/>
    <w:rsid w:val="00E27CD7"/>
    <w:rsid w:val="00E27D99"/>
    <w:rsid w:val="00E27ED2"/>
    <w:rsid w:val="00E27F0C"/>
    <w:rsid w:val="00E30001"/>
    <w:rsid w:val="00E30024"/>
    <w:rsid w:val="00E30080"/>
    <w:rsid w:val="00E30359"/>
    <w:rsid w:val="00E30405"/>
    <w:rsid w:val="00E305D8"/>
    <w:rsid w:val="00E30789"/>
    <w:rsid w:val="00E308A7"/>
    <w:rsid w:val="00E308C6"/>
    <w:rsid w:val="00E30A8C"/>
    <w:rsid w:val="00E30AA4"/>
    <w:rsid w:val="00E30B22"/>
    <w:rsid w:val="00E30B61"/>
    <w:rsid w:val="00E30BD5"/>
    <w:rsid w:val="00E30CD9"/>
    <w:rsid w:val="00E30DD0"/>
    <w:rsid w:val="00E30F67"/>
    <w:rsid w:val="00E30FCE"/>
    <w:rsid w:val="00E30FE4"/>
    <w:rsid w:val="00E31079"/>
    <w:rsid w:val="00E310F7"/>
    <w:rsid w:val="00E31111"/>
    <w:rsid w:val="00E3111A"/>
    <w:rsid w:val="00E311A7"/>
    <w:rsid w:val="00E3124D"/>
    <w:rsid w:val="00E3134F"/>
    <w:rsid w:val="00E3136A"/>
    <w:rsid w:val="00E31398"/>
    <w:rsid w:val="00E3144F"/>
    <w:rsid w:val="00E31582"/>
    <w:rsid w:val="00E3168C"/>
    <w:rsid w:val="00E3176D"/>
    <w:rsid w:val="00E31855"/>
    <w:rsid w:val="00E3185A"/>
    <w:rsid w:val="00E3186E"/>
    <w:rsid w:val="00E318C1"/>
    <w:rsid w:val="00E31933"/>
    <w:rsid w:val="00E3193A"/>
    <w:rsid w:val="00E31973"/>
    <w:rsid w:val="00E31984"/>
    <w:rsid w:val="00E31AD0"/>
    <w:rsid w:val="00E31BDA"/>
    <w:rsid w:val="00E31D7E"/>
    <w:rsid w:val="00E31EA8"/>
    <w:rsid w:val="00E31F06"/>
    <w:rsid w:val="00E3207C"/>
    <w:rsid w:val="00E32147"/>
    <w:rsid w:val="00E32155"/>
    <w:rsid w:val="00E3216C"/>
    <w:rsid w:val="00E321E7"/>
    <w:rsid w:val="00E32271"/>
    <w:rsid w:val="00E32274"/>
    <w:rsid w:val="00E322AB"/>
    <w:rsid w:val="00E32328"/>
    <w:rsid w:val="00E324B4"/>
    <w:rsid w:val="00E32507"/>
    <w:rsid w:val="00E3250C"/>
    <w:rsid w:val="00E32723"/>
    <w:rsid w:val="00E3279B"/>
    <w:rsid w:val="00E328AB"/>
    <w:rsid w:val="00E32932"/>
    <w:rsid w:val="00E329B3"/>
    <w:rsid w:val="00E329D2"/>
    <w:rsid w:val="00E32A7D"/>
    <w:rsid w:val="00E32CDC"/>
    <w:rsid w:val="00E32DCE"/>
    <w:rsid w:val="00E32DD9"/>
    <w:rsid w:val="00E32EB6"/>
    <w:rsid w:val="00E32F49"/>
    <w:rsid w:val="00E32F4C"/>
    <w:rsid w:val="00E32F9B"/>
    <w:rsid w:val="00E33112"/>
    <w:rsid w:val="00E33183"/>
    <w:rsid w:val="00E331B1"/>
    <w:rsid w:val="00E3321D"/>
    <w:rsid w:val="00E3333C"/>
    <w:rsid w:val="00E33396"/>
    <w:rsid w:val="00E334F6"/>
    <w:rsid w:val="00E335E1"/>
    <w:rsid w:val="00E337AB"/>
    <w:rsid w:val="00E3383B"/>
    <w:rsid w:val="00E33885"/>
    <w:rsid w:val="00E3395F"/>
    <w:rsid w:val="00E33AC5"/>
    <w:rsid w:val="00E33ACE"/>
    <w:rsid w:val="00E33B29"/>
    <w:rsid w:val="00E33B5F"/>
    <w:rsid w:val="00E33B93"/>
    <w:rsid w:val="00E33BDA"/>
    <w:rsid w:val="00E33CAA"/>
    <w:rsid w:val="00E33CC0"/>
    <w:rsid w:val="00E33CDB"/>
    <w:rsid w:val="00E33D34"/>
    <w:rsid w:val="00E33E73"/>
    <w:rsid w:val="00E33F16"/>
    <w:rsid w:val="00E33F7B"/>
    <w:rsid w:val="00E33F8D"/>
    <w:rsid w:val="00E34080"/>
    <w:rsid w:val="00E340F0"/>
    <w:rsid w:val="00E341E7"/>
    <w:rsid w:val="00E3429F"/>
    <w:rsid w:val="00E342D7"/>
    <w:rsid w:val="00E3434F"/>
    <w:rsid w:val="00E3445C"/>
    <w:rsid w:val="00E34519"/>
    <w:rsid w:val="00E3456B"/>
    <w:rsid w:val="00E345DB"/>
    <w:rsid w:val="00E34761"/>
    <w:rsid w:val="00E3477C"/>
    <w:rsid w:val="00E34785"/>
    <w:rsid w:val="00E349B0"/>
    <w:rsid w:val="00E349FD"/>
    <w:rsid w:val="00E34C79"/>
    <w:rsid w:val="00E34D53"/>
    <w:rsid w:val="00E34D7B"/>
    <w:rsid w:val="00E34D95"/>
    <w:rsid w:val="00E34DC7"/>
    <w:rsid w:val="00E34DFE"/>
    <w:rsid w:val="00E34E23"/>
    <w:rsid w:val="00E34F34"/>
    <w:rsid w:val="00E34F3B"/>
    <w:rsid w:val="00E34F65"/>
    <w:rsid w:val="00E35030"/>
    <w:rsid w:val="00E350C8"/>
    <w:rsid w:val="00E35122"/>
    <w:rsid w:val="00E35135"/>
    <w:rsid w:val="00E35197"/>
    <w:rsid w:val="00E35246"/>
    <w:rsid w:val="00E3528B"/>
    <w:rsid w:val="00E35306"/>
    <w:rsid w:val="00E353A7"/>
    <w:rsid w:val="00E35422"/>
    <w:rsid w:val="00E354CA"/>
    <w:rsid w:val="00E355BF"/>
    <w:rsid w:val="00E355F4"/>
    <w:rsid w:val="00E3565A"/>
    <w:rsid w:val="00E357F3"/>
    <w:rsid w:val="00E35800"/>
    <w:rsid w:val="00E3582D"/>
    <w:rsid w:val="00E35847"/>
    <w:rsid w:val="00E358CB"/>
    <w:rsid w:val="00E35921"/>
    <w:rsid w:val="00E35933"/>
    <w:rsid w:val="00E359A9"/>
    <w:rsid w:val="00E359D9"/>
    <w:rsid w:val="00E35B0A"/>
    <w:rsid w:val="00E35B40"/>
    <w:rsid w:val="00E35BAF"/>
    <w:rsid w:val="00E35C27"/>
    <w:rsid w:val="00E35E8C"/>
    <w:rsid w:val="00E35EDA"/>
    <w:rsid w:val="00E35FC4"/>
    <w:rsid w:val="00E35FD3"/>
    <w:rsid w:val="00E36103"/>
    <w:rsid w:val="00E36136"/>
    <w:rsid w:val="00E36299"/>
    <w:rsid w:val="00E362CD"/>
    <w:rsid w:val="00E3642B"/>
    <w:rsid w:val="00E36535"/>
    <w:rsid w:val="00E36683"/>
    <w:rsid w:val="00E366B4"/>
    <w:rsid w:val="00E36709"/>
    <w:rsid w:val="00E368D6"/>
    <w:rsid w:val="00E369CE"/>
    <w:rsid w:val="00E36A8A"/>
    <w:rsid w:val="00E36AC7"/>
    <w:rsid w:val="00E36BF4"/>
    <w:rsid w:val="00E36C7A"/>
    <w:rsid w:val="00E36D76"/>
    <w:rsid w:val="00E36EB2"/>
    <w:rsid w:val="00E36F70"/>
    <w:rsid w:val="00E36F7F"/>
    <w:rsid w:val="00E36F9F"/>
    <w:rsid w:val="00E37067"/>
    <w:rsid w:val="00E370BC"/>
    <w:rsid w:val="00E370C3"/>
    <w:rsid w:val="00E370DF"/>
    <w:rsid w:val="00E3717D"/>
    <w:rsid w:val="00E372C8"/>
    <w:rsid w:val="00E372E7"/>
    <w:rsid w:val="00E37484"/>
    <w:rsid w:val="00E374B6"/>
    <w:rsid w:val="00E374D2"/>
    <w:rsid w:val="00E374D6"/>
    <w:rsid w:val="00E37726"/>
    <w:rsid w:val="00E3772B"/>
    <w:rsid w:val="00E37821"/>
    <w:rsid w:val="00E378A7"/>
    <w:rsid w:val="00E378B0"/>
    <w:rsid w:val="00E37ABD"/>
    <w:rsid w:val="00E37AF7"/>
    <w:rsid w:val="00E37BAB"/>
    <w:rsid w:val="00E37BC2"/>
    <w:rsid w:val="00E37BFB"/>
    <w:rsid w:val="00E37C1C"/>
    <w:rsid w:val="00E37D04"/>
    <w:rsid w:val="00E37DD9"/>
    <w:rsid w:val="00E37E81"/>
    <w:rsid w:val="00E4005F"/>
    <w:rsid w:val="00E400BC"/>
    <w:rsid w:val="00E40161"/>
    <w:rsid w:val="00E40231"/>
    <w:rsid w:val="00E40251"/>
    <w:rsid w:val="00E4044C"/>
    <w:rsid w:val="00E40482"/>
    <w:rsid w:val="00E404A8"/>
    <w:rsid w:val="00E404CA"/>
    <w:rsid w:val="00E404DA"/>
    <w:rsid w:val="00E404E4"/>
    <w:rsid w:val="00E40696"/>
    <w:rsid w:val="00E409C6"/>
    <w:rsid w:val="00E409D8"/>
    <w:rsid w:val="00E40B3E"/>
    <w:rsid w:val="00E40BE9"/>
    <w:rsid w:val="00E40C03"/>
    <w:rsid w:val="00E40C98"/>
    <w:rsid w:val="00E40CE5"/>
    <w:rsid w:val="00E40E87"/>
    <w:rsid w:val="00E40ECF"/>
    <w:rsid w:val="00E40FDE"/>
    <w:rsid w:val="00E41056"/>
    <w:rsid w:val="00E410AE"/>
    <w:rsid w:val="00E41197"/>
    <w:rsid w:val="00E4128B"/>
    <w:rsid w:val="00E41329"/>
    <w:rsid w:val="00E4146C"/>
    <w:rsid w:val="00E414A4"/>
    <w:rsid w:val="00E415D4"/>
    <w:rsid w:val="00E41767"/>
    <w:rsid w:val="00E417F1"/>
    <w:rsid w:val="00E41864"/>
    <w:rsid w:val="00E41918"/>
    <w:rsid w:val="00E41A2A"/>
    <w:rsid w:val="00E41A41"/>
    <w:rsid w:val="00E41BF9"/>
    <w:rsid w:val="00E41CE1"/>
    <w:rsid w:val="00E41CFD"/>
    <w:rsid w:val="00E41D5D"/>
    <w:rsid w:val="00E41D7C"/>
    <w:rsid w:val="00E41E1F"/>
    <w:rsid w:val="00E41E3C"/>
    <w:rsid w:val="00E41FA6"/>
    <w:rsid w:val="00E41FDB"/>
    <w:rsid w:val="00E4216F"/>
    <w:rsid w:val="00E42292"/>
    <w:rsid w:val="00E422D5"/>
    <w:rsid w:val="00E42398"/>
    <w:rsid w:val="00E42432"/>
    <w:rsid w:val="00E4259E"/>
    <w:rsid w:val="00E425DF"/>
    <w:rsid w:val="00E42670"/>
    <w:rsid w:val="00E42691"/>
    <w:rsid w:val="00E427A4"/>
    <w:rsid w:val="00E427C4"/>
    <w:rsid w:val="00E427F7"/>
    <w:rsid w:val="00E428C0"/>
    <w:rsid w:val="00E428D8"/>
    <w:rsid w:val="00E429A5"/>
    <w:rsid w:val="00E429D8"/>
    <w:rsid w:val="00E42A3F"/>
    <w:rsid w:val="00E42A5F"/>
    <w:rsid w:val="00E42B9F"/>
    <w:rsid w:val="00E42C4D"/>
    <w:rsid w:val="00E42D89"/>
    <w:rsid w:val="00E42E22"/>
    <w:rsid w:val="00E42F24"/>
    <w:rsid w:val="00E42FAC"/>
    <w:rsid w:val="00E4310F"/>
    <w:rsid w:val="00E43144"/>
    <w:rsid w:val="00E431F9"/>
    <w:rsid w:val="00E4322D"/>
    <w:rsid w:val="00E43238"/>
    <w:rsid w:val="00E43308"/>
    <w:rsid w:val="00E434BD"/>
    <w:rsid w:val="00E4356E"/>
    <w:rsid w:val="00E43579"/>
    <w:rsid w:val="00E435E8"/>
    <w:rsid w:val="00E4362E"/>
    <w:rsid w:val="00E4365D"/>
    <w:rsid w:val="00E43781"/>
    <w:rsid w:val="00E437AD"/>
    <w:rsid w:val="00E43856"/>
    <w:rsid w:val="00E4387B"/>
    <w:rsid w:val="00E438FB"/>
    <w:rsid w:val="00E43A73"/>
    <w:rsid w:val="00E43AB6"/>
    <w:rsid w:val="00E43ABD"/>
    <w:rsid w:val="00E43BBC"/>
    <w:rsid w:val="00E43BBE"/>
    <w:rsid w:val="00E43BC7"/>
    <w:rsid w:val="00E43BDB"/>
    <w:rsid w:val="00E43C4E"/>
    <w:rsid w:val="00E43C8A"/>
    <w:rsid w:val="00E43C8B"/>
    <w:rsid w:val="00E43D82"/>
    <w:rsid w:val="00E43DFC"/>
    <w:rsid w:val="00E43E0A"/>
    <w:rsid w:val="00E43ECA"/>
    <w:rsid w:val="00E43F3A"/>
    <w:rsid w:val="00E43F3B"/>
    <w:rsid w:val="00E43F41"/>
    <w:rsid w:val="00E43F84"/>
    <w:rsid w:val="00E44037"/>
    <w:rsid w:val="00E441BD"/>
    <w:rsid w:val="00E441F8"/>
    <w:rsid w:val="00E441FC"/>
    <w:rsid w:val="00E4422D"/>
    <w:rsid w:val="00E4429B"/>
    <w:rsid w:val="00E4433A"/>
    <w:rsid w:val="00E443A4"/>
    <w:rsid w:val="00E44451"/>
    <w:rsid w:val="00E444C8"/>
    <w:rsid w:val="00E44563"/>
    <w:rsid w:val="00E4458C"/>
    <w:rsid w:val="00E445B7"/>
    <w:rsid w:val="00E44619"/>
    <w:rsid w:val="00E4479B"/>
    <w:rsid w:val="00E447C0"/>
    <w:rsid w:val="00E447D8"/>
    <w:rsid w:val="00E44934"/>
    <w:rsid w:val="00E449E0"/>
    <w:rsid w:val="00E44AD4"/>
    <w:rsid w:val="00E44C04"/>
    <w:rsid w:val="00E44C18"/>
    <w:rsid w:val="00E44C36"/>
    <w:rsid w:val="00E44D3D"/>
    <w:rsid w:val="00E44D9D"/>
    <w:rsid w:val="00E44EA3"/>
    <w:rsid w:val="00E44F3D"/>
    <w:rsid w:val="00E4505A"/>
    <w:rsid w:val="00E450DD"/>
    <w:rsid w:val="00E4519A"/>
    <w:rsid w:val="00E451B3"/>
    <w:rsid w:val="00E451C9"/>
    <w:rsid w:val="00E451FA"/>
    <w:rsid w:val="00E4521E"/>
    <w:rsid w:val="00E4526C"/>
    <w:rsid w:val="00E45324"/>
    <w:rsid w:val="00E4533A"/>
    <w:rsid w:val="00E4548A"/>
    <w:rsid w:val="00E454FD"/>
    <w:rsid w:val="00E4564A"/>
    <w:rsid w:val="00E45793"/>
    <w:rsid w:val="00E457C4"/>
    <w:rsid w:val="00E458A6"/>
    <w:rsid w:val="00E458DB"/>
    <w:rsid w:val="00E459DC"/>
    <w:rsid w:val="00E459EA"/>
    <w:rsid w:val="00E45A90"/>
    <w:rsid w:val="00E45B2A"/>
    <w:rsid w:val="00E45BBE"/>
    <w:rsid w:val="00E45C1B"/>
    <w:rsid w:val="00E45C62"/>
    <w:rsid w:val="00E45CA8"/>
    <w:rsid w:val="00E45CBB"/>
    <w:rsid w:val="00E45DBA"/>
    <w:rsid w:val="00E45E4E"/>
    <w:rsid w:val="00E45EC8"/>
    <w:rsid w:val="00E45EEF"/>
    <w:rsid w:val="00E45F8D"/>
    <w:rsid w:val="00E46048"/>
    <w:rsid w:val="00E460BF"/>
    <w:rsid w:val="00E460EA"/>
    <w:rsid w:val="00E46155"/>
    <w:rsid w:val="00E461D9"/>
    <w:rsid w:val="00E4625C"/>
    <w:rsid w:val="00E46527"/>
    <w:rsid w:val="00E4658D"/>
    <w:rsid w:val="00E465D9"/>
    <w:rsid w:val="00E465E0"/>
    <w:rsid w:val="00E466F8"/>
    <w:rsid w:val="00E46729"/>
    <w:rsid w:val="00E46817"/>
    <w:rsid w:val="00E4682A"/>
    <w:rsid w:val="00E46841"/>
    <w:rsid w:val="00E46842"/>
    <w:rsid w:val="00E46993"/>
    <w:rsid w:val="00E469E1"/>
    <w:rsid w:val="00E46C63"/>
    <w:rsid w:val="00E46CD5"/>
    <w:rsid w:val="00E46D12"/>
    <w:rsid w:val="00E46D1C"/>
    <w:rsid w:val="00E46DEF"/>
    <w:rsid w:val="00E46E89"/>
    <w:rsid w:val="00E46EDE"/>
    <w:rsid w:val="00E46F32"/>
    <w:rsid w:val="00E46FBB"/>
    <w:rsid w:val="00E471B8"/>
    <w:rsid w:val="00E471E7"/>
    <w:rsid w:val="00E471E9"/>
    <w:rsid w:val="00E47320"/>
    <w:rsid w:val="00E4734A"/>
    <w:rsid w:val="00E47482"/>
    <w:rsid w:val="00E4752A"/>
    <w:rsid w:val="00E47541"/>
    <w:rsid w:val="00E4761D"/>
    <w:rsid w:val="00E47686"/>
    <w:rsid w:val="00E476C1"/>
    <w:rsid w:val="00E476D3"/>
    <w:rsid w:val="00E47794"/>
    <w:rsid w:val="00E47891"/>
    <w:rsid w:val="00E47B7C"/>
    <w:rsid w:val="00E47C9B"/>
    <w:rsid w:val="00E47D3A"/>
    <w:rsid w:val="00E47DE2"/>
    <w:rsid w:val="00E47EC1"/>
    <w:rsid w:val="00E47F34"/>
    <w:rsid w:val="00E500FF"/>
    <w:rsid w:val="00E5010E"/>
    <w:rsid w:val="00E5010F"/>
    <w:rsid w:val="00E5027E"/>
    <w:rsid w:val="00E502DA"/>
    <w:rsid w:val="00E503C7"/>
    <w:rsid w:val="00E50408"/>
    <w:rsid w:val="00E5087A"/>
    <w:rsid w:val="00E508F7"/>
    <w:rsid w:val="00E50A9F"/>
    <w:rsid w:val="00E50C05"/>
    <w:rsid w:val="00E50E4F"/>
    <w:rsid w:val="00E50FF2"/>
    <w:rsid w:val="00E5116B"/>
    <w:rsid w:val="00E511F2"/>
    <w:rsid w:val="00E5124D"/>
    <w:rsid w:val="00E51290"/>
    <w:rsid w:val="00E51322"/>
    <w:rsid w:val="00E51351"/>
    <w:rsid w:val="00E514D1"/>
    <w:rsid w:val="00E51536"/>
    <w:rsid w:val="00E51605"/>
    <w:rsid w:val="00E5162A"/>
    <w:rsid w:val="00E5175F"/>
    <w:rsid w:val="00E51784"/>
    <w:rsid w:val="00E517B2"/>
    <w:rsid w:val="00E5185F"/>
    <w:rsid w:val="00E519BA"/>
    <w:rsid w:val="00E51AE8"/>
    <w:rsid w:val="00E51C20"/>
    <w:rsid w:val="00E51C3D"/>
    <w:rsid w:val="00E51DEA"/>
    <w:rsid w:val="00E51E54"/>
    <w:rsid w:val="00E51E77"/>
    <w:rsid w:val="00E51E9F"/>
    <w:rsid w:val="00E51EB5"/>
    <w:rsid w:val="00E51F0F"/>
    <w:rsid w:val="00E52328"/>
    <w:rsid w:val="00E52375"/>
    <w:rsid w:val="00E525EB"/>
    <w:rsid w:val="00E526AA"/>
    <w:rsid w:val="00E528BD"/>
    <w:rsid w:val="00E52AAD"/>
    <w:rsid w:val="00E52B24"/>
    <w:rsid w:val="00E52B57"/>
    <w:rsid w:val="00E52C03"/>
    <w:rsid w:val="00E52CB4"/>
    <w:rsid w:val="00E52D82"/>
    <w:rsid w:val="00E530A3"/>
    <w:rsid w:val="00E53159"/>
    <w:rsid w:val="00E5323B"/>
    <w:rsid w:val="00E5331D"/>
    <w:rsid w:val="00E53341"/>
    <w:rsid w:val="00E53448"/>
    <w:rsid w:val="00E534B2"/>
    <w:rsid w:val="00E53543"/>
    <w:rsid w:val="00E53642"/>
    <w:rsid w:val="00E5376D"/>
    <w:rsid w:val="00E537C7"/>
    <w:rsid w:val="00E5381A"/>
    <w:rsid w:val="00E5394C"/>
    <w:rsid w:val="00E539B9"/>
    <w:rsid w:val="00E539D8"/>
    <w:rsid w:val="00E53A87"/>
    <w:rsid w:val="00E53A9B"/>
    <w:rsid w:val="00E53AC8"/>
    <w:rsid w:val="00E53AFD"/>
    <w:rsid w:val="00E53B1B"/>
    <w:rsid w:val="00E53B25"/>
    <w:rsid w:val="00E53BAB"/>
    <w:rsid w:val="00E53D2F"/>
    <w:rsid w:val="00E53ECC"/>
    <w:rsid w:val="00E53EDB"/>
    <w:rsid w:val="00E53F0C"/>
    <w:rsid w:val="00E5414F"/>
    <w:rsid w:val="00E54213"/>
    <w:rsid w:val="00E5422D"/>
    <w:rsid w:val="00E54349"/>
    <w:rsid w:val="00E543B1"/>
    <w:rsid w:val="00E54420"/>
    <w:rsid w:val="00E54428"/>
    <w:rsid w:val="00E544B2"/>
    <w:rsid w:val="00E544F6"/>
    <w:rsid w:val="00E54529"/>
    <w:rsid w:val="00E545D1"/>
    <w:rsid w:val="00E545F4"/>
    <w:rsid w:val="00E54627"/>
    <w:rsid w:val="00E546A1"/>
    <w:rsid w:val="00E546F7"/>
    <w:rsid w:val="00E5473E"/>
    <w:rsid w:val="00E5474F"/>
    <w:rsid w:val="00E547A7"/>
    <w:rsid w:val="00E548CD"/>
    <w:rsid w:val="00E549D3"/>
    <w:rsid w:val="00E54A13"/>
    <w:rsid w:val="00E54A16"/>
    <w:rsid w:val="00E54A29"/>
    <w:rsid w:val="00E54AA4"/>
    <w:rsid w:val="00E54B47"/>
    <w:rsid w:val="00E54BEF"/>
    <w:rsid w:val="00E54C0A"/>
    <w:rsid w:val="00E54C0E"/>
    <w:rsid w:val="00E54C3B"/>
    <w:rsid w:val="00E54C89"/>
    <w:rsid w:val="00E54CA1"/>
    <w:rsid w:val="00E54CD8"/>
    <w:rsid w:val="00E54DAC"/>
    <w:rsid w:val="00E54DF5"/>
    <w:rsid w:val="00E54E45"/>
    <w:rsid w:val="00E54E5A"/>
    <w:rsid w:val="00E54E6D"/>
    <w:rsid w:val="00E54FF9"/>
    <w:rsid w:val="00E550C0"/>
    <w:rsid w:val="00E550E3"/>
    <w:rsid w:val="00E55143"/>
    <w:rsid w:val="00E55159"/>
    <w:rsid w:val="00E5528E"/>
    <w:rsid w:val="00E552B6"/>
    <w:rsid w:val="00E552B8"/>
    <w:rsid w:val="00E552F7"/>
    <w:rsid w:val="00E5535E"/>
    <w:rsid w:val="00E55370"/>
    <w:rsid w:val="00E55538"/>
    <w:rsid w:val="00E55592"/>
    <w:rsid w:val="00E5559C"/>
    <w:rsid w:val="00E555BE"/>
    <w:rsid w:val="00E55669"/>
    <w:rsid w:val="00E556FD"/>
    <w:rsid w:val="00E55763"/>
    <w:rsid w:val="00E55783"/>
    <w:rsid w:val="00E557DA"/>
    <w:rsid w:val="00E55923"/>
    <w:rsid w:val="00E55939"/>
    <w:rsid w:val="00E55969"/>
    <w:rsid w:val="00E559DD"/>
    <w:rsid w:val="00E55A72"/>
    <w:rsid w:val="00E55ABA"/>
    <w:rsid w:val="00E55BBD"/>
    <w:rsid w:val="00E55C0B"/>
    <w:rsid w:val="00E55C31"/>
    <w:rsid w:val="00E55CB9"/>
    <w:rsid w:val="00E55D37"/>
    <w:rsid w:val="00E55D57"/>
    <w:rsid w:val="00E55D89"/>
    <w:rsid w:val="00E55EC7"/>
    <w:rsid w:val="00E55F54"/>
    <w:rsid w:val="00E56016"/>
    <w:rsid w:val="00E5601E"/>
    <w:rsid w:val="00E560CC"/>
    <w:rsid w:val="00E56140"/>
    <w:rsid w:val="00E56174"/>
    <w:rsid w:val="00E561B8"/>
    <w:rsid w:val="00E56206"/>
    <w:rsid w:val="00E56256"/>
    <w:rsid w:val="00E56285"/>
    <w:rsid w:val="00E562CA"/>
    <w:rsid w:val="00E56432"/>
    <w:rsid w:val="00E56445"/>
    <w:rsid w:val="00E5649E"/>
    <w:rsid w:val="00E56591"/>
    <w:rsid w:val="00E567AF"/>
    <w:rsid w:val="00E567C4"/>
    <w:rsid w:val="00E56856"/>
    <w:rsid w:val="00E5685A"/>
    <w:rsid w:val="00E5685E"/>
    <w:rsid w:val="00E568C1"/>
    <w:rsid w:val="00E5693F"/>
    <w:rsid w:val="00E56993"/>
    <w:rsid w:val="00E569FB"/>
    <w:rsid w:val="00E56AFC"/>
    <w:rsid w:val="00E56AFE"/>
    <w:rsid w:val="00E56B3C"/>
    <w:rsid w:val="00E56B7D"/>
    <w:rsid w:val="00E56BAD"/>
    <w:rsid w:val="00E56BB0"/>
    <w:rsid w:val="00E56C21"/>
    <w:rsid w:val="00E56CFD"/>
    <w:rsid w:val="00E56CFF"/>
    <w:rsid w:val="00E56D46"/>
    <w:rsid w:val="00E56E28"/>
    <w:rsid w:val="00E56EA1"/>
    <w:rsid w:val="00E56F4A"/>
    <w:rsid w:val="00E56FCB"/>
    <w:rsid w:val="00E56FF0"/>
    <w:rsid w:val="00E5714F"/>
    <w:rsid w:val="00E57185"/>
    <w:rsid w:val="00E571CF"/>
    <w:rsid w:val="00E571F9"/>
    <w:rsid w:val="00E572AD"/>
    <w:rsid w:val="00E573B3"/>
    <w:rsid w:val="00E57498"/>
    <w:rsid w:val="00E57558"/>
    <w:rsid w:val="00E57563"/>
    <w:rsid w:val="00E57628"/>
    <w:rsid w:val="00E576AE"/>
    <w:rsid w:val="00E5770E"/>
    <w:rsid w:val="00E57787"/>
    <w:rsid w:val="00E579D0"/>
    <w:rsid w:val="00E57A49"/>
    <w:rsid w:val="00E57B0D"/>
    <w:rsid w:val="00E57CFB"/>
    <w:rsid w:val="00E57D41"/>
    <w:rsid w:val="00E57DA0"/>
    <w:rsid w:val="00E57DAB"/>
    <w:rsid w:val="00E57DAF"/>
    <w:rsid w:val="00E57F44"/>
    <w:rsid w:val="00E57FCE"/>
    <w:rsid w:val="00E60066"/>
    <w:rsid w:val="00E60083"/>
    <w:rsid w:val="00E6009B"/>
    <w:rsid w:val="00E6015D"/>
    <w:rsid w:val="00E6017E"/>
    <w:rsid w:val="00E6021D"/>
    <w:rsid w:val="00E60348"/>
    <w:rsid w:val="00E60460"/>
    <w:rsid w:val="00E604A4"/>
    <w:rsid w:val="00E604C2"/>
    <w:rsid w:val="00E60560"/>
    <w:rsid w:val="00E6058D"/>
    <w:rsid w:val="00E605A5"/>
    <w:rsid w:val="00E605AD"/>
    <w:rsid w:val="00E605E9"/>
    <w:rsid w:val="00E60699"/>
    <w:rsid w:val="00E6073F"/>
    <w:rsid w:val="00E60826"/>
    <w:rsid w:val="00E608A7"/>
    <w:rsid w:val="00E6096A"/>
    <w:rsid w:val="00E609C9"/>
    <w:rsid w:val="00E60B6A"/>
    <w:rsid w:val="00E60C66"/>
    <w:rsid w:val="00E60CBF"/>
    <w:rsid w:val="00E60CDC"/>
    <w:rsid w:val="00E60DDE"/>
    <w:rsid w:val="00E60DF1"/>
    <w:rsid w:val="00E60E21"/>
    <w:rsid w:val="00E60E37"/>
    <w:rsid w:val="00E60E57"/>
    <w:rsid w:val="00E60FD5"/>
    <w:rsid w:val="00E61057"/>
    <w:rsid w:val="00E6106C"/>
    <w:rsid w:val="00E61185"/>
    <w:rsid w:val="00E61323"/>
    <w:rsid w:val="00E61363"/>
    <w:rsid w:val="00E6137B"/>
    <w:rsid w:val="00E615AF"/>
    <w:rsid w:val="00E615DD"/>
    <w:rsid w:val="00E6162A"/>
    <w:rsid w:val="00E6193E"/>
    <w:rsid w:val="00E6195B"/>
    <w:rsid w:val="00E61980"/>
    <w:rsid w:val="00E61B1E"/>
    <w:rsid w:val="00E61C59"/>
    <w:rsid w:val="00E61D22"/>
    <w:rsid w:val="00E61D8C"/>
    <w:rsid w:val="00E61DBF"/>
    <w:rsid w:val="00E61E91"/>
    <w:rsid w:val="00E61EA9"/>
    <w:rsid w:val="00E61F03"/>
    <w:rsid w:val="00E620A6"/>
    <w:rsid w:val="00E6213C"/>
    <w:rsid w:val="00E6214F"/>
    <w:rsid w:val="00E62166"/>
    <w:rsid w:val="00E62303"/>
    <w:rsid w:val="00E6239D"/>
    <w:rsid w:val="00E623A9"/>
    <w:rsid w:val="00E623B7"/>
    <w:rsid w:val="00E62426"/>
    <w:rsid w:val="00E6244F"/>
    <w:rsid w:val="00E62535"/>
    <w:rsid w:val="00E625D6"/>
    <w:rsid w:val="00E62625"/>
    <w:rsid w:val="00E6267B"/>
    <w:rsid w:val="00E6276A"/>
    <w:rsid w:val="00E627C9"/>
    <w:rsid w:val="00E628DE"/>
    <w:rsid w:val="00E62935"/>
    <w:rsid w:val="00E6295E"/>
    <w:rsid w:val="00E62A55"/>
    <w:rsid w:val="00E62A7D"/>
    <w:rsid w:val="00E62B22"/>
    <w:rsid w:val="00E62B31"/>
    <w:rsid w:val="00E62D0E"/>
    <w:rsid w:val="00E62D75"/>
    <w:rsid w:val="00E62E5D"/>
    <w:rsid w:val="00E62EE3"/>
    <w:rsid w:val="00E630EF"/>
    <w:rsid w:val="00E6310C"/>
    <w:rsid w:val="00E6321A"/>
    <w:rsid w:val="00E6321D"/>
    <w:rsid w:val="00E632A5"/>
    <w:rsid w:val="00E633B5"/>
    <w:rsid w:val="00E633C0"/>
    <w:rsid w:val="00E634A2"/>
    <w:rsid w:val="00E63513"/>
    <w:rsid w:val="00E6357C"/>
    <w:rsid w:val="00E63847"/>
    <w:rsid w:val="00E6389D"/>
    <w:rsid w:val="00E639BD"/>
    <w:rsid w:val="00E63B02"/>
    <w:rsid w:val="00E63BFA"/>
    <w:rsid w:val="00E63C8A"/>
    <w:rsid w:val="00E63DC3"/>
    <w:rsid w:val="00E63DE9"/>
    <w:rsid w:val="00E64036"/>
    <w:rsid w:val="00E64085"/>
    <w:rsid w:val="00E640D6"/>
    <w:rsid w:val="00E64152"/>
    <w:rsid w:val="00E64198"/>
    <w:rsid w:val="00E641F0"/>
    <w:rsid w:val="00E64200"/>
    <w:rsid w:val="00E6423C"/>
    <w:rsid w:val="00E6430C"/>
    <w:rsid w:val="00E64373"/>
    <w:rsid w:val="00E6437D"/>
    <w:rsid w:val="00E643AC"/>
    <w:rsid w:val="00E643E5"/>
    <w:rsid w:val="00E6448E"/>
    <w:rsid w:val="00E6449B"/>
    <w:rsid w:val="00E64538"/>
    <w:rsid w:val="00E6454C"/>
    <w:rsid w:val="00E6455D"/>
    <w:rsid w:val="00E64591"/>
    <w:rsid w:val="00E645C8"/>
    <w:rsid w:val="00E646D4"/>
    <w:rsid w:val="00E6472C"/>
    <w:rsid w:val="00E64751"/>
    <w:rsid w:val="00E647CB"/>
    <w:rsid w:val="00E648FC"/>
    <w:rsid w:val="00E64982"/>
    <w:rsid w:val="00E64A7D"/>
    <w:rsid w:val="00E64A87"/>
    <w:rsid w:val="00E64B3B"/>
    <w:rsid w:val="00E64B3F"/>
    <w:rsid w:val="00E64E04"/>
    <w:rsid w:val="00E64E78"/>
    <w:rsid w:val="00E64ECA"/>
    <w:rsid w:val="00E65106"/>
    <w:rsid w:val="00E652C2"/>
    <w:rsid w:val="00E654AC"/>
    <w:rsid w:val="00E654F6"/>
    <w:rsid w:val="00E6560B"/>
    <w:rsid w:val="00E65620"/>
    <w:rsid w:val="00E65650"/>
    <w:rsid w:val="00E65651"/>
    <w:rsid w:val="00E656FD"/>
    <w:rsid w:val="00E65794"/>
    <w:rsid w:val="00E65A51"/>
    <w:rsid w:val="00E65A57"/>
    <w:rsid w:val="00E65A88"/>
    <w:rsid w:val="00E65B24"/>
    <w:rsid w:val="00E65C34"/>
    <w:rsid w:val="00E65C7D"/>
    <w:rsid w:val="00E65C9A"/>
    <w:rsid w:val="00E65CED"/>
    <w:rsid w:val="00E65DBC"/>
    <w:rsid w:val="00E65E2B"/>
    <w:rsid w:val="00E66062"/>
    <w:rsid w:val="00E66219"/>
    <w:rsid w:val="00E66373"/>
    <w:rsid w:val="00E663B4"/>
    <w:rsid w:val="00E663F9"/>
    <w:rsid w:val="00E664E9"/>
    <w:rsid w:val="00E6652D"/>
    <w:rsid w:val="00E665AF"/>
    <w:rsid w:val="00E666A6"/>
    <w:rsid w:val="00E666E0"/>
    <w:rsid w:val="00E666FB"/>
    <w:rsid w:val="00E6672C"/>
    <w:rsid w:val="00E66A4B"/>
    <w:rsid w:val="00E66A9F"/>
    <w:rsid w:val="00E66BE8"/>
    <w:rsid w:val="00E66C8F"/>
    <w:rsid w:val="00E66D4B"/>
    <w:rsid w:val="00E66D5C"/>
    <w:rsid w:val="00E66DF1"/>
    <w:rsid w:val="00E66E42"/>
    <w:rsid w:val="00E66EA3"/>
    <w:rsid w:val="00E66F4B"/>
    <w:rsid w:val="00E66F9F"/>
    <w:rsid w:val="00E66FCD"/>
    <w:rsid w:val="00E670F0"/>
    <w:rsid w:val="00E67108"/>
    <w:rsid w:val="00E672B1"/>
    <w:rsid w:val="00E6732C"/>
    <w:rsid w:val="00E6734F"/>
    <w:rsid w:val="00E673F2"/>
    <w:rsid w:val="00E67405"/>
    <w:rsid w:val="00E6754E"/>
    <w:rsid w:val="00E67556"/>
    <w:rsid w:val="00E6757A"/>
    <w:rsid w:val="00E67728"/>
    <w:rsid w:val="00E6784B"/>
    <w:rsid w:val="00E678AB"/>
    <w:rsid w:val="00E6793D"/>
    <w:rsid w:val="00E67963"/>
    <w:rsid w:val="00E67B05"/>
    <w:rsid w:val="00E67B1A"/>
    <w:rsid w:val="00E67BB7"/>
    <w:rsid w:val="00E67D65"/>
    <w:rsid w:val="00E67E2C"/>
    <w:rsid w:val="00E67E35"/>
    <w:rsid w:val="00E67E93"/>
    <w:rsid w:val="00E67EA3"/>
    <w:rsid w:val="00E70099"/>
    <w:rsid w:val="00E700B7"/>
    <w:rsid w:val="00E700C3"/>
    <w:rsid w:val="00E70218"/>
    <w:rsid w:val="00E70437"/>
    <w:rsid w:val="00E7048C"/>
    <w:rsid w:val="00E704B4"/>
    <w:rsid w:val="00E704D3"/>
    <w:rsid w:val="00E704F2"/>
    <w:rsid w:val="00E70651"/>
    <w:rsid w:val="00E7068A"/>
    <w:rsid w:val="00E706D1"/>
    <w:rsid w:val="00E706FB"/>
    <w:rsid w:val="00E707EA"/>
    <w:rsid w:val="00E70ACF"/>
    <w:rsid w:val="00E70B26"/>
    <w:rsid w:val="00E70BCC"/>
    <w:rsid w:val="00E70C0D"/>
    <w:rsid w:val="00E70C50"/>
    <w:rsid w:val="00E70CB5"/>
    <w:rsid w:val="00E70CDA"/>
    <w:rsid w:val="00E70D64"/>
    <w:rsid w:val="00E70DED"/>
    <w:rsid w:val="00E70EA7"/>
    <w:rsid w:val="00E70F69"/>
    <w:rsid w:val="00E70FDC"/>
    <w:rsid w:val="00E71007"/>
    <w:rsid w:val="00E7104F"/>
    <w:rsid w:val="00E710F8"/>
    <w:rsid w:val="00E71181"/>
    <w:rsid w:val="00E712A2"/>
    <w:rsid w:val="00E71419"/>
    <w:rsid w:val="00E714D7"/>
    <w:rsid w:val="00E71584"/>
    <w:rsid w:val="00E7158F"/>
    <w:rsid w:val="00E716AF"/>
    <w:rsid w:val="00E71849"/>
    <w:rsid w:val="00E719D3"/>
    <w:rsid w:val="00E719FA"/>
    <w:rsid w:val="00E71B3E"/>
    <w:rsid w:val="00E71B82"/>
    <w:rsid w:val="00E71C00"/>
    <w:rsid w:val="00E71CB7"/>
    <w:rsid w:val="00E71D1F"/>
    <w:rsid w:val="00E71F2E"/>
    <w:rsid w:val="00E71F88"/>
    <w:rsid w:val="00E71FB0"/>
    <w:rsid w:val="00E72055"/>
    <w:rsid w:val="00E72070"/>
    <w:rsid w:val="00E720C5"/>
    <w:rsid w:val="00E72123"/>
    <w:rsid w:val="00E721D4"/>
    <w:rsid w:val="00E72289"/>
    <w:rsid w:val="00E72315"/>
    <w:rsid w:val="00E72456"/>
    <w:rsid w:val="00E7249E"/>
    <w:rsid w:val="00E72505"/>
    <w:rsid w:val="00E7252C"/>
    <w:rsid w:val="00E7257F"/>
    <w:rsid w:val="00E7260D"/>
    <w:rsid w:val="00E726FE"/>
    <w:rsid w:val="00E7271B"/>
    <w:rsid w:val="00E7271E"/>
    <w:rsid w:val="00E72724"/>
    <w:rsid w:val="00E727F1"/>
    <w:rsid w:val="00E7285D"/>
    <w:rsid w:val="00E7293A"/>
    <w:rsid w:val="00E72A80"/>
    <w:rsid w:val="00E72B91"/>
    <w:rsid w:val="00E72BCA"/>
    <w:rsid w:val="00E72C06"/>
    <w:rsid w:val="00E72CC7"/>
    <w:rsid w:val="00E72CD9"/>
    <w:rsid w:val="00E72D0A"/>
    <w:rsid w:val="00E72DF0"/>
    <w:rsid w:val="00E72EBF"/>
    <w:rsid w:val="00E72F9E"/>
    <w:rsid w:val="00E7307A"/>
    <w:rsid w:val="00E7308C"/>
    <w:rsid w:val="00E73096"/>
    <w:rsid w:val="00E730F6"/>
    <w:rsid w:val="00E731B2"/>
    <w:rsid w:val="00E73297"/>
    <w:rsid w:val="00E732BB"/>
    <w:rsid w:val="00E732ED"/>
    <w:rsid w:val="00E734FE"/>
    <w:rsid w:val="00E73524"/>
    <w:rsid w:val="00E7354E"/>
    <w:rsid w:val="00E73581"/>
    <w:rsid w:val="00E736C1"/>
    <w:rsid w:val="00E73745"/>
    <w:rsid w:val="00E737DF"/>
    <w:rsid w:val="00E7386C"/>
    <w:rsid w:val="00E73A41"/>
    <w:rsid w:val="00E73C82"/>
    <w:rsid w:val="00E73DD9"/>
    <w:rsid w:val="00E73E22"/>
    <w:rsid w:val="00E73E95"/>
    <w:rsid w:val="00E73EE0"/>
    <w:rsid w:val="00E73F24"/>
    <w:rsid w:val="00E73F67"/>
    <w:rsid w:val="00E73F73"/>
    <w:rsid w:val="00E73FBA"/>
    <w:rsid w:val="00E7411B"/>
    <w:rsid w:val="00E742A6"/>
    <w:rsid w:val="00E74409"/>
    <w:rsid w:val="00E744FE"/>
    <w:rsid w:val="00E74527"/>
    <w:rsid w:val="00E74548"/>
    <w:rsid w:val="00E74558"/>
    <w:rsid w:val="00E74784"/>
    <w:rsid w:val="00E7479E"/>
    <w:rsid w:val="00E747DC"/>
    <w:rsid w:val="00E74817"/>
    <w:rsid w:val="00E7481C"/>
    <w:rsid w:val="00E74861"/>
    <w:rsid w:val="00E74A08"/>
    <w:rsid w:val="00E74CD3"/>
    <w:rsid w:val="00E74D61"/>
    <w:rsid w:val="00E74E0D"/>
    <w:rsid w:val="00E74E84"/>
    <w:rsid w:val="00E74FB7"/>
    <w:rsid w:val="00E75061"/>
    <w:rsid w:val="00E75131"/>
    <w:rsid w:val="00E75156"/>
    <w:rsid w:val="00E751F0"/>
    <w:rsid w:val="00E75252"/>
    <w:rsid w:val="00E75262"/>
    <w:rsid w:val="00E753C5"/>
    <w:rsid w:val="00E753CE"/>
    <w:rsid w:val="00E75548"/>
    <w:rsid w:val="00E755E2"/>
    <w:rsid w:val="00E756F7"/>
    <w:rsid w:val="00E75811"/>
    <w:rsid w:val="00E758EA"/>
    <w:rsid w:val="00E758F3"/>
    <w:rsid w:val="00E75913"/>
    <w:rsid w:val="00E75960"/>
    <w:rsid w:val="00E75971"/>
    <w:rsid w:val="00E759E9"/>
    <w:rsid w:val="00E75A65"/>
    <w:rsid w:val="00E75C39"/>
    <w:rsid w:val="00E75C67"/>
    <w:rsid w:val="00E75CBF"/>
    <w:rsid w:val="00E75CC1"/>
    <w:rsid w:val="00E75D16"/>
    <w:rsid w:val="00E75D5D"/>
    <w:rsid w:val="00E75DBD"/>
    <w:rsid w:val="00E75E5B"/>
    <w:rsid w:val="00E75EBC"/>
    <w:rsid w:val="00E75F60"/>
    <w:rsid w:val="00E76145"/>
    <w:rsid w:val="00E76148"/>
    <w:rsid w:val="00E76165"/>
    <w:rsid w:val="00E761B8"/>
    <w:rsid w:val="00E763D1"/>
    <w:rsid w:val="00E7647E"/>
    <w:rsid w:val="00E7657B"/>
    <w:rsid w:val="00E76612"/>
    <w:rsid w:val="00E76792"/>
    <w:rsid w:val="00E767CA"/>
    <w:rsid w:val="00E7680A"/>
    <w:rsid w:val="00E768EE"/>
    <w:rsid w:val="00E768EF"/>
    <w:rsid w:val="00E76990"/>
    <w:rsid w:val="00E76A50"/>
    <w:rsid w:val="00E76A61"/>
    <w:rsid w:val="00E76AA7"/>
    <w:rsid w:val="00E76B89"/>
    <w:rsid w:val="00E76B8F"/>
    <w:rsid w:val="00E76BF8"/>
    <w:rsid w:val="00E76C56"/>
    <w:rsid w:val="00E76C6C"/>
    <w:rsid w:val="00E76EC4"/>
    <w:rsid w:val="00E76ECD"/>
    <w:rsid w:val="00E77069"/>
    <w:rsid w:val="00E7715B"/>
    <w:rsid w:val="00E77210"/>
    <w:rsid w:val="00E772CD"/>
    <w:rsid w:val="00E772E8"/>
    <w:rsid w:val="00E77361"/>
    <w:rsid w:val="00E77608"/>
    <w:rsid w:val="00E776C8"/>
    <w:rsid w:val="00E776E2"/>
    <w:rsid w:val="00E7771F"/>
    <w:rsid w:val="00E77730"/>
    <w:rsid w:val="00E7774E"/>
    <w:rsid w:val="00E77800"/>
    <w:rsid w:val="00E77803"/>
    <w:rsid w:val="00E7788E"/>
    <w:rsid w:val="00E778A7"/>
    <w:rsid w:val="00E778F4"/>
    <w:rsid w:val="00E77921"/>
    <w:rsid w:val="00E77959"/>
    <w:rsid w:val="00E779BF"/>
    <w:rsid w:val="00E77A81"/>
    <w:rsid w:val="00E77B32"/>
    <w:rsid w:val="00E77C42"/>
    <w:rsid w:val="00E77D31"/>
    <w:rsid w:val="00E77DFC"/>
    <w:rsid w:val="00E77F18"/>
    <w:rsid w:val="00E77FF2"/>
    <w:rsid w:val="00E80041"/>
    <w:rsid w:val="00E801FA"/>
    <w:rsid w:val="00E80213"/>
    <w:rsid w:val="00E80270"/>
    <w:rsid w:val="00E80327"/>
    <w:rsid w:val="00E80330"/>
    <w:rsid w:val="00E803D3"/>
    <w:rsid w:val="00E80451"/>
    <w:rsid w:val="00E80521"/>
    <w:rsid w:val="00E80653"/>
    <w:rsid w:val="00E8065D"/>
    <w:rsid w:val="00E8066B"/>
    <w:rsid w:val="00E80793"/>
    <w:rsid w:val="00E808FE"/>
    <w:rsid w:val="00E8090D"/>
    <w:rsid w:val="00E80955"/>
    <w:rsid w:val="00E809FE"/>
    <w:rsid w:val="00E80A47"/>
    <w:rsid w:val="00E80A5B"/>
    <w:rsid w:val="00E80CB4"/>
    <w:rsid w:val="00E80CF3"/>
    <w:rsid w:val="00E80D4C"/>
    <w:rsid w:val="00E80D50"/>
    <w:rsid w:val="00E80D82"/>
    <w:rsid w:val="00E80FB1"/>
    <w:rsid w:val="00E8118A"/>
    <w:rsid w:val="00E812D0"/>
    <w:rsid w:val="00E812F3"/>
    <w:rsid w:val="00E81400"/>
    <w:rsid w:val="00E81427"/>
    <w:rsid w:val="00E8168C"/>
    <w:rsid w:val="00E81699"/>
    <w:rsid w:val="00E816C7"/>
    <w:rsid w:val="00E81729"/>
    <w:rsid w:val="00E81778"/>
    <w:rsid w:val="00E817BC"/>
    <w:rsid w:val="00E817D6"/>
    <w:rsid w:val="00E8188C"/>
    <w:rsid w:val="00E818E9"/>
    <w:rsid w:val="00E81B6C"/>
    <w:rsid w:val="00E81B6E"/>
    <w:rsid w:val="00E81B99"/>
    <w:rsid w:val="00E81B9F"/>
    <w:rsid w:val="00E81BDE"/>
    <w:rsid w:val="00E81C5A"/>
    <w:rsid w:val="00E81C80"/>
    <w:rsid w:val="00E81D08"/>
    <w:rsid w:val="00E81D28"/>
    <w:rsid w:val="00E81E21"/>
    <w:rsid w:val="00E81F70"/>
    <w:rsid w:val="00E81FC5"/>
    <w:rsid w:val="00E822A1"/>
    <w:rsid w:val="00E822B0"/>
    <w:rsid w:val="00E822BD"/>
    <w:rsid w:val="00E822FE"/>
    <w:rsid w:val="00E82372"/>
    <w:rsid w:val="00E823ED"/>
    <w:rsid w:val="00E82427"/>
    <w:rsid w:val="00E82431"/>
    <w:rsid w:val="00E82439"/>
    <w:rsid w:val="00E8247E"/>
    <w:rsid w:val="00E824F3"/>
    <w:rsid w:val="00E825E9"/>
    <w:rsid w:val="00E8260B"/>
    <w:rsid w:val="00E82637"/>
    <w:rsid w:val="00E826A3"/>
    <w:rsid w:val="00E827B5"/>
    <w:rsid w:val="00E82807"/>
    <w:rsid w:val="00E82903"/>
    <w:rsid w:val="00E82A4F"/>
    <w:rsid w:val="00E82B6C"/>
    <w:rsid w:val="00E82E01"/>
    <w:rsid w:val="00E82F68"/>
    <w:rsid w:val="00E831AF"/>
    <w:rsid w:val="00E8341A"/>
    <w:rsid w:val="00E83469"/>
    <w:rsid w:val="00E834A0"/>
    <w:rsid w:val="00E83586"/>
    <w:rsid w:val="00E835C5"/>
    <w:rsid w:val="00E835D0"/>
    <w:rsid w:val="00E8360D"/>
    <w:rsid w:val="00E836D7"/>
    <w:rsid w:val="00E8374B"/>
    <w:rsid w:val="00E8379D"/>
    <w:rsid w:val="00E8387F"/>
    <w:rsid w:val="00E8393D"/>
    <w:rsid w:val="00E83AB9"/>
    <w:rsid w:val="00E83B1B"/>
    <w:rsid w:val="00E83C43"/>
    <w:rsid w:val="00E83C50"/>
    <w:rsid w:val="00E83C61"/>
    <w:rsid w:val="00E83D95"/>
    <w:rsid w:val="00E83D9F"/>
    <w:rsid w:val="00E83DA7"/>
    <w:rsid w:val="00E841AD"/>
    <w:rsid w:val="00E841F1"/>
    <w:rsid w:val="00E84245"/>
    <w:rsid w:val="00E842D5"/>
    <w:rsid w:val="00E842F1"/>
    <w:rsid w:val="00E842FB"/>
    <w:rsid w:val="00E8435D"/>
    <w:rsid w:val="00E8442D"/>
    <w:rsid w:val="00E844CE"/>
    <w:rsid w:val="00E84507"/>
    <w:rsid w:val="00E84522"/>
    <w:rsid w:val="00E84602"/>
    <w:rsid w:val="00E84611"/>
    <w:rsid w:val="00E84827"/>
    <w:rsid w:val="00E8482A"/>
    <w:rsid w:val="00E84877"/>
    <w:rsid w:val="00E8495A"/>
    <w:rsid w:val="00E849B0"/>
    <w:rsid w:val="00E84ACA"/>
    <w:rsid w:val="00E84AF0"/>
    <w:rsid w:val="00E84AF5"/>
    <w:rsid w:val="00E84B42"/>
    <w:rsid w:val="00E84BF2"/>
    <w:rsid w:val="00E84C5A"/>
    <w:rsid w:val="00E84C79"/>
    <w:rsid w:val="00E84C7B"/>
    <w:rsid w:val="00E84D49"/>
    <w:rsid w:val="00E84D4E"/>
    <w:rsid w:val="00E84F0C"/>
    <w:rsid w:val="00E850D4"/>
    <w:rsid w:val="00E85132"/>
    <w:rsid w:val="00E8519E"/>
    <w:rsid w:val="00E8524A"/>
    <w:rsid w:val="00E8531C"/>
    <w:rsid w:val="00E85491"/>
    <w:rsid w:val="00E855CC"/>
    <w:rsid w:val="00E85676"/>
    <w:rsid w:val="00E856CD"/>
    <w:rsid w:val="00E85761"/>
    <w:rsid w:val="00E8592E"/>
    <w:rsid w:val="00E85943"/>
    <w:rsid w:val="00E8597C"/>
    <w:rsid w:val="00E85A1A"/>
    <w:rsid w:val="00E85A93"/>
    <w:rsid w:val="00E85A9F"/>
    <w:rsid w:val="00E85D85"/>
    <w:rsid w:val="00E85D98"/>
    <w:rsid w:val="00E85DAA"/>
    <w:rsid w:val="00E85FF8"/>
    <w:rsid w:val="00E86313"/>
    <w:rsid w:val="00E86316"/>
    <w:rsid w:val="00E86384"/>
    <w:rsid w:val="00E86443"/>
    <w:rsid w:val="00E86449"/>
    <w:rsid w:val="00E8655C"/>
    <w:rsid w:val="00E865CA"/>
    <w:rsid w:val="00E8667E"/>
    <w:rsid w:val="00E8669D"/>
    <w:rsid w:val="00E866C0"/>
    <w:rsid w:val="00E86709"/>
    <w:rsid w:val="00E867D4"/>
    <w:rsid w:val="00E868CB"/>
    <w:rsid w:val="00E86A55"/>
    <w:rsid w:val="00E86A73"/>
    <w:rsid w:val="00E86A8D"/>
    <w:rsid w:val="00E86A99"/>
    <w:rsid w:val="00E86AA3"/>
    <w:rsid w:val="00E86AD8"/>
    <w:rsid w:val="00E86ADB"/>
    <w:rsid w:val="00E86B7C"/>
    <w:rsid w:val="00E86BC8"/>
    <w:rsid w:val="00E86E72"/>
    <w:rsid w:val="00E86EA5"/>
    <w:rsid w:val="00E86EFA"/>
    <w:rsid w:val="00E86FB7"/>
    <w:rsid w:val="00E86FC1"/>
    <w:rsid w:val="00E8700B"/>
    <w:rsid w:val="00E873F1"/>
    <w:rsid w:val="00E87432"/>
    <w:rsid w:val="00E874C0"/>
    <w:rsid w:val="00E8753C"/>
    <w:rsid w:val="00E8757C"/>
    <w:rsid w:val="00E87580"/>
    <w:rsid w:val="00E8764D"/>
    <w:rsid w:val="00E876A8"/>
    <w:rsid w:val="00E876CC"/>
    <w:rsid w:val="00E87775"/>
    <w:rsid w:val="00E87823"/>
    <w:rsid w:val="00E8783F"/>
    <w:rsid w:val="00E878B0"/>
    <w:rsid w:val="00E87952"/>
    <w:rsid w:val="00E87A10"/>
    <w:rsid w:val="00E87B5D"/>
    <w:rsid w:val="00E87D3A"/>
    <w:rsid w:val="00E87D48"/>
    <w:rsid w:val="00E87D83"/>
    <w:rsid w:val="00E87DFC"/>
    <w:rsid w:val="00E90050"/>
    <w:rsid w:val="00E900EC"/>
    <w:rsid w:val="00E90564"/>
    <w:rsid w:val="00E90599"/>
    <w:rsid w:val="00E90644"/>
    <w:rsid w:val="00E907F1"/>
    <w:rsid w:val="00E90877"/>
    <w:rsid w:val="00E908BF"/>
    <w:rsid w:val="00E9090B"/>
    <w:rsid w:val="00E909F7"/>
    <w:rsid w:val="00E90A0F"/>
    <w:rsid w:val="00E90AC4"/>
    <w:rsid w:val="00E90B90"/>
    <w:rsid w:val="00E90C23"/>
    <w:rsid w:val="00E90CCC"/>
    <w:rsid w:val="00E90CFD"/>
    <w:rsid w:val="00E90EC6"/>
    <w:rsid w:val="00E90ECA"/>
    <w:rsid w:val="00E90EFB"/>
    <w:rsid w:val="00E90F1A"/>
    <w:rsid w:val="00E90FFC"/>
    <w:rsid w:val="00E91108"/>
    <w:rsid w:val="00E91175"/>
    <w:rsid w:val="00E911E7"/>
    <w:rsid w:val="00E91211"/>
    <w:rsid w:val="00E91256"/>
    <w:rsid w:val="00E91320"/>
    <w:rsid w:val="00E91324"/>
    <w:rsid w:val="00E91423"/>
    <w:rsid w:val="00E9148B"/>
    <w:rsid w:val="00E91552"/>
    <w:rsid w:val="00E9159D"/>
    <w:rsid w:val="00E915C1"/>
    <w:rsid w:val="00E915FC"/>
    <w:rsid w:val="00E9161F"/>
    <w:rsid w:val="00E9167B"/>
    <w:rsid w:val="00E91714"/>
    <w:rsid w:val="00E919EB"/>
    <w:rsid w:val="00E91A75"/>
    <w:rsid w:val="00E91A7E"/>
    <w:rsid w:val="00E91A9C"/>
    <w:rsid w:val="00E91B5A"/>
    <w:rsid w:val="00E91B94"/>
    <w:rsid w:val="00E91CC6"/>
    <w:rsid w:val="00E91E60"/>
    <w:rsid w:val="00E91F11"/>
    <w:rsid w:val="00E91FAA"/>
    <w:rsid w:val="00E91FB8"/>
    <w:rsid w:val="00E91FBA"/>
    <w:rsid w:val="00E92005"/>
    <w:rsid w:val="00E92029"/>
    <w:rsid w:val="00E9214F"/>
    <w:rsid w:val="00E92183"/>
    <w:rsid w:val="00E92246"/>
    <w:rsid w:val="00E92252"/>
    <w:rsid w:val="00E92294"/>
    <w:rsid w:val="00E9232B"/>
    <w:rsid w:val="00E92376"/>
    <w:rsid w:val="00E92415"/>
    <w:rsid w:val="00E924E0"/>
    <w:rsid w:val="00E92535"/>
    <w:rsid w:val="00E9267E"/>
    <w:rsid w:val="00E92802"/>
    <w:rsid w:val="00E92829"/>
    <w:rsid w:val="00E9283D"/>
    <w:rsid w:val="00E928C3"/>
    <w:rsid w:val="00E928DA"/>
    <w:rsid w:val="00E92963"/>
    <w:rsid w:val="00E92982"/>
    <w:rsid w:val="00E92ACD"/>
    <w:rsid w:val="00E92BE6"/>
    <w:rsid w:val="00E92BEE"/>
    <w:rsid w:val="00E92C81"/>
    <w:rsid w:val="00E92CB5"/>
    <w:rsid w:val="00E92D23"/>
    <w:rsid w:val="00E92D9E"/>
    <w:rsid w:val="00E92E56"/>
    <w:rsid w:val="00E92E8D"/>
    <w:rsid w:val="00E92EE8"/>
    <w:rsid w:val="00E930F3"/>
    <w:rsid w:val="00E93226"/>
    <w:rsid w:val="00E9323F"/>
    <w:rsid w:val="00E93282"/>
    <w:rsid w:val="00E93292"/>
    <w:rsid w:val="00E9339A"/>
    <w:rsid w:val="00E934BD"/>
    <w:rsid w:val="00E9356E"/>
    <w:rsid w:val="00E93589"/>
    <w:rsid w:val="00E935E5"/>
    <w:rsid w:val="00E93612"/>
    <w:rsid w:val="00E93730"/>
    <w:rsid w:val="00E937C4"/>
    <w:rsid w:val="00E93801"/>
    <w:rsid w:val="00E93803"/>
    <w:rsid w:val="00E93933"/>
    <w:rsid w:val="00E9399C"/>
    <w:rsid w:val="00E939C2"/>
    <w:rsid w:val="00E939DF"/>
    <w:rsid w:val="00E939E2"/>
    <w:rsid w:val="00E93A17"/>
    <w:rsid w:val="00E93AE2"/>
    <w:rsid w:val="00E93D53"/>
    <w:rsid w:val="00E93E21"/>
    <w:rsid w:val="00E93E72"/>
    <w:rsid w:val="00E93F29"/>
    <w:rsid w:val="00E93FCC"/>
    <w:rsid w:val="00E940AE"/>
    <w:rsid w:val="00E940D4"/>
    <w:rsid w:val="00E94143"/>
    <w:rsid w:val="00E941CF"/>
    <w:rsid w:val="00E94288"/>
    <w:rsid w:val="00E94385"/>
    <w:rsid w:val="00E943A5"/>
    <w:rsid w:val="00E943B8"/>
    <w:rsid w:val="00E94477"/>
    <w:rsid w:val="00E9448D"/>
    <w:rsid w:val="00E94508"/>
    <w:rsid w:val="00E9474F"/>
    <w:rsid w:val="00E947C6"/>
    <w:rsid w:val="00E9486D"/>
    <w:rsid w:val="00E9492C"/>
    <w:rsid w:val="00E94940"/>
    <w:rsid w:val="00E94942"/>
    <w:rsid w:val="00E94A0E"/>
    <w:rsid w:val="00E94AFA"/>
    <w:rsid w:val="00E94B9C"/>
    <w:rsid w:val="00E94C20"/>
    <w:rsid w:val="00E94C9A"/>
    <w:rsid w:val="00E94D6B"/>
    <w:rsid w:val="00E94DAF"/>
    <w:rsid w:val="00E94F31"/>
    <w:rsid w:val="00E94FCC"/>
    <w:rsid w:val="00E95019"/>
    <w:rsid w:val="00E95069"/>
    <w:rsid w:val="00E9518D"/>
    <w:rsid w:val="00E95220"/>
    <w:rsid w:val="00E952C3"/>
    <w:rsid w:val="00E953C4"/>
    <w:rsid w:val="00E9561E"/>
    <w:rsid w:val="00E95641"/>
    <w:rsid w:val="00E95667"/>
    <w:rsid w:val="00E9566C"/>
    <w:rsid w:val="00E95689"/>
    <w:rsid w:val="00E95780"/>
    <w:rsid w:val="00E9579A"/>
    <w:rsid w:val="00E957E8"/>
    <w:rsid w:val="00E9587E"/>
    <w:rsid w:val="00E958C1"/>
    <w:rsid w:val="00E959CA"/>
    <w:rsid w:val="00E95B34"/>
    <w:rsid w:val="00E95B63"/>
    <w:rsid w:val="00E95B75"/>
    <w:rsid w:val="00E95B85"/>
    <w:rsid w:val="00E95BD7"/>
    <w:rsid w:val="00E95BE9"/>
    <w:rsid w:val="00E95C9E"/>
    <w:rsid w:val="00E95C9F"/>
    <w:rsid w:val="00E95D31"/>
    <w:rsid w:val="00E95D3B"/>
    <w:rsid w:val="00E95DDD"/>
    <w:rsid w:val="00E95E28"/>
    <w:rsid w:val="00E95FFA"/>
    <w:rsid w:val="00E962F4"/>
    <w:rsid w:val="00E9639A"/>
    <w:rsid w:val="00E9660A"/>
    <w:rsid w:val="00E966AF"/>
    <w:rsid w:val="00E96766"/>
    <w:rsid w:val="00E96804"/>
    <w:rsid w:val="00E9680F"/>
    <w:rsid w:val="00E96821"/>
    <w:rsid w:val="00E9685F"/>
    <w:rsid w:val="00E96904"/>
    <w:rsid w:val="00E96936"/>
    <w:rsid w:val="00E96970"/>
    <w:rsid w:val="00E96980"/>
    <w:rsid w:val="00E969E3"/>
    <w:rsid w:val="00E96A29"/>
    <w:rsid w:val="00E96AF9"/>
    <w:rsid w:val="00E96B8F"/>
    <w:rsid w:val="00E96D8E"/>
    <w:rsid w:val="00E96DED"/>
    <w:rsid w:val="00E96DF6"/>
    <w:rsid w:val="00E96DF9"/>
    <w:rsid w:val="00E96E19"/>
    <w:rsid w:val="00E96E56"/>
    <w:rsid w:val="00E96EBE"/>
    <w:rsid w:val="00E96F4B"/>
    <w:rsid w:val="00E9704E"/>
    <w:rsid w:val="00E971C9"/>
    <w:rsid w:val="00E971D2"/>
    <w:rsid w:val="00E97256"/>
    <w:rsid w:val="00E97269"/>
    <w:rsid w:val="00E972CF"/>
    <w:rsid w:val="00E973D0"/>
    <w:rsid w:val="00E9748E"/>
    <w:rsid w:val="00E974FC"/>
    <w:rsid w:val="00E9750C"/>
    <w:rsid w:val="00E97523"/>
    <w:rsid w:val="00E975C6"/>
    <w:rsid w:val="00E9764A"/>
    <w:rsid w:val="00E97665"/>
    <w:rsid w:val="00E9770D"/>
    <w:rsid w:val="00E9786C"/>
    <w:rsid w:val="00E978E7"/>
    <w:rsid w:val="00E979CA"/>
    <w:rsid w:val="00E97C72"/>
    <w:rsid w:val="00E97C7D"/>
    <w:rsid w:val="00E97C83"/>
    <w:rsid w:val="00E97D00"/>
    <w:rsid w:val="00E97D3B"/>
    <w:rsid w:val="00E97EA3"/>
    <w:rsid w:val="00E97ED3"/>
    <w:rsid w:val="00E97F8D"/>
    <w:rsid w:val="00EA0032"/>
    <w:rsid w:val="00EA00EF"/>
    <w:rsid w:val="00EA02DF"/>
    <w:rsid w:val="00EA0384"/>
    <w:rsid w:val="00EA03DF"/>
    <w:rsid w:val="00EA03E4"/>
    <w:rsid w:val="00EA0476"/>
    <w:rsid w:val="00EA048C"/>
    <w:rsid w:val="00EA0551"/>
    <w:rsid w:val="00EA05D3"/>
    <w:rsid w:val="00EA05EF"/>
    <w:rsid w:val="00EA0607"/>
    <w:rsid w:val="00EA0616"/>
    <w:rsid w:val="00EA067A"/>
    <w:rsid w:val="00EA07BA"/>
    <w:rsid w:val="00EA082F"/>
    <w:rsid w:val="00EA0977"/>
    <w:rsid w:val="00EA0992"/>
    <w:rsid w:val="00EA09AC"/>
    <w:rsid w:val="00EA09E6"/>
    <w:rsid w:val="00EA0C0A"/>
    <w:rsid w:val="00EA0D62"/>
    <w:rsid w:val="00EA0DF5"/>
    <w:rsid w:val="00EA0E27"/>
    <w:rsid w:val="00EA0EBE"/>
    <w:rsid w:val="00EA0ED6"/>
    <w:rsid w:val="00EA0F02"/>
    <w:rsid w:val="00EA0FBA"/>
    <w:rsid w:val="00EA0FC9"/>
    <w:rsid w:val="00EA1050"/>
    <w:rsid w:val="00EA1131"/>
    <w:rsid w:val="00EA12E1"/>
    <w:rsid w:val="00EA12F9"/>
    <w:rsid w:val="00EA131F"/>
    <w:rsid w:val="00EA1414"/>
    <w:rsid w:val="00EA149F"/>
    <w:rsid w:val="00EA14B2"/>
    <w:rsid w:val="00EA159D"/>
    <w:rsid w:val="00EA15BC"/>
    <w:rsid w:val="00EA15FA"/>
    <w:rsid w:val="00EA168B"/>
    <w:rsid w:val="00EA16C2"/>
    <w:rsid w:val="00EA1746"/>
    <w:rsid w:val="00EA1774"/>
    <w:rsid w:val="00EA1850"/>
    <w:rsid w:val="00EA185D"/>
    <w:rsid w:val="00EA18BE"/>
    <w:rsid w:val="00EA19A8"/>
    <w:rsid w:val="00EA1A3C"/>
    <w:rsid w:val="00EA1BD4"/>
    <w:rsid w:val="00EA1BD8"/>
    <w:rsid w:val="00EA1CDD"/>
    <w:rsid w:val="00EA1D17"/>
    <w:rsid w:val="00EA1D6F"/>
    <w:rsid w:val="00EA1E3A"/>
    <w:rsid w:val="00EA1EDD"/>
    <w:rsid w:val="00EA1EE5"/>
    <w:rsid w:val="00EA1EF6"/>
    <w:rsid w:val="00EA2060"/>
    <w:rsid w:val="00EA20A0"/>
    <w:rsid w:val="00EA20F7"/>
    <w:rsid w:val="00EA213E"/>
    <w:rsid w:val="00EA2245"/>
    <w:rsid w:val="00EA23C9"/>
    <w:rsid w:val="00EA24A6"/>
    <w:rsid w:val="00EA24DA"/>
    <w:rsid w:val="00EA274E"/>
    <w:rsid w:val="00EA2786"/>
    <w:rsid w:val="00EA27BD"/>
    <w:rsid w:val="00EA2953"/>
    <w:rsid w:val="00EA2A7E"/>
    <w:rsid w:val="00EA2C48"/>
    <w:rsid w:val="00EA2DDF"/>
    <w:rsid w:val="00EA2E96"/>
    <w:rsid w:val="00EA2F69"/>
    <w:rsid w:val="00EA2FD6"/>
    <w:rsid w:val="00EA3065"/>
    <w:rsid w:val="00EA31D7"/>
    <w:rsid w:val="00EA3245"/>
    <w:rsid w:val="00EA3352"/>
    <w:rsid w:val="00EA33D0"/>
    <w:rsid w:val="00EA3474"/>
    <w:rsid w:val="00EA349A"/>
    <w:rsid w:val="00EA34E0"/>
    <w:rsid w:val="00EA35FB"/>
    <w:rsid w:val="00EA3A48"/>
    <w:rsid w:val="00EA3A6A"/>
    <w:rsid w:val="00EA3C22"/>
    <w:rsid w:val="00EA3C56"/>
    <w:rsid w:val="00EA3D6B"/>
    <w:rsid w:val="00EA3DCF"/>
    <w:rsid w:val="00EA3EC0"/>
    <w:rsid w:val="00EA3F5D"/>
    <w:rsid w:val="00EA40A5"/>
    <w:rsid w:val="00EA4162"/>
    <w:rsid w:val="00EA42DB"/>
    <w:rsid w:val="00EA4591"/>
    <w:rsid w:val="00EA467C"/>
    <w:rsid w:val="00EA4773"/>
    <w:rsid w:val="00EA4852"/>
    <w:rsid w:val="00EA498A"/>
    <w:rsid w:val="00EA49FE"/>
    <w:rsid w:val="00EA4ABC"/>
    <w:rsid w:val="00EA4B3C"/>
    <w:rsid w:val="00EA4B90"/>
    <w:rsid w:val="00EA4BE5"/>
    <w:rsid w:val="00EA4C10"/>
    <w:rsid w:val="00EA4C19"/>
    <w:rsid w:val="00EA4C7A"/>
    <w:rsid w:val="00EA4C80"/>
    <w:rsid w:val="00EA4C97"/>
    <w:rsid w:val="00EA4CCA"/>
    <w:rsid w:val="00EA4CCF"/>
    <w:rsid w:val="00EA4E14"/>
    <w:rsid w:val="00EA4E32"/>
    <w:rsid w:val="00EA4F22"/>
    <w:rsid w:val="00EA505B"/>
    <w:rsid w:val="00EA50EE"/>
    <w:rsid w:val="00EA50F4"/>
    <w:rsid w:val="00EA52D7"/>
    <w:rsid w:val="00EA54A3"/>
    <w:rsid w:val="00EA559E"/>
    <w:rsid w:val="00EA55FD"/>
    <w:rsid w:val="00EA560E"/>
    <w:rsid w:val="00EA561D"/>
    <w:rsid w:val="00EA567F"/>
    <w:rsid w:val="00EA572F"/>
    <w:rsid w:val="00EA581E"/>
    <w:rsid w:val="00EA59BE"/>
    <w:rsid w:val="00EA5B6F"/>
    <w:rsid w:val="00EA5B74"/>
    <w:rsid w:val="00EA5D03"/>
    <w:rsid w:val="00EA5ECF"/>
    <w:rsid w:val="00EA5EEE"/>
    <w:rsid w:val="00EA5F57"/>
    <w:rsid w:val="00EA5FEC"/>
    <w:rsid w:val="00EA6238"/>
    <w:rsid w:val="00EA6242"/>
    <w:rsid w:val="00EA6460"/>
    <w:rsid w:val="00EA64A8"/>
    <w:rsid w:val="00EA64DC"/>
    <w:rsid w:val="00EA65C5"/>
    <w:rsid w:val="00EA664B"/>
    <w:rsid w:val="00EA666A"/>
    <w:rsid w:val="00EA671B"/>
    <w:rsid w:val="00EA67EB"/>
    <w:rsid w:val="00EA683D"/>
    <w:rsid w:val="00EA6881"/>
    <w:rsid w:val="00EA68C6"/>
    <w:rsid w:val="00EA68F7"/>
    <w:rsid w:val="00EA6933"/>
    <w:rsid w:val="00EA6967"/>
    <w:rsid w:val="00EA6A2E"/>
    <w:rsid w:val="00EA6A70"/>
    <w:rsid w:val="00EA6A90"/>
    <w:rsid w:val="00EA6B8C"/>
    <w:rsid w:val="00EA6D09"/>
    <w:rsid w:val="00EA6D76"/>
    <w:rsid w:val="00EA6EA6"/>
    <w:rsid w:val="00EA6FF1"/>
    <w:rsid w:val="00EA707B"/>
    <w:rsid w:val="00EA71A3"/>
    <w:rsid w:val="00EA71A8"/>
    <w:rsid w:val="00EA729A"/>
    <w:rsid w:val="00EA729C"/>
    <w:rsid w:val="00EA72A6"/>
    <w:rsid w:val="00EA73A2"/>
    <w:rsid w:val="00EA7426"/>
    <w:rsid w:val="00EA7446"/>
    <w:rsid w:val="00EA7582"/>
    <w:rsid w:val="00EA7595"/>
    <w:rsid w:val="00EA75AD"/>
    <w:rsid w:val="00EA7601"/>
    <w:rsid w:val="00EA763D"/>
    <w:rsid w:val="00EA780A"/>
    <w:rsid w:val="00EA7823"/>
    <w:rsid w:val="00EA7976"/>
    <w:rsid w:val="00EA79C6"/>
    <w:rsid w:val="00EA7A97"/>
    <w:rsid w:val="00EA7B62"/>
    <w:rsid w:val="00EA7C6C"/>
    <w:rsid w:val="00EA7D69"/>
    <w:rsid w:val="00EA7DEA"/>
    <w:rsid w:val="00EA7F3F"/>
    <w:rsid w:val="00EA7FA3"/>
    <w:rsid w:val="00EA7FB2"/>
    <w:rsid w:val="00EB0028"/>
    <w:rsid w:val="00EB00F6"/>
    <w:rsid w:val="00EB0170"/>
    <w:rsid w:val="00EB01BE"/>
    <w:rsid w:val="00EB03C0"/>
    <w:rsid w:val="00EB0434"/>
    <w:rsid w:val="00EB047A"/>
    <w:rsid w:val="00EB04AE"/>
    <w:rsid w:val="00EB0728"/>
    <w:rsid w:val="00EB08AF"/>
    <w:rsid w:val="00EB0985"/>
    <w:rsid w:val="00EB09C5"/>
    <w:rsid w:val="00EB0A07"/>
    <w:rsid w:val="00EB0B1B"/>
    <w:rsid w:val="00EB0C47"/>
    <w:rsid w:val="00EB0C80"/>
    <w:rsid w:val="00EB0C8A"/>
    <w:rsid w:val="00EB0D15"/>
    <w:rsid w:val="00EB0EA7"/>
    <w:rsid w:val="00EB0EB9"/>
    <w:rsid w:val="00EB0EF2"/>
    <w:rsid w:val="00EB0FC1"/>
    <w:rsid w:val="00EB10B3"/>
    <w:rsid w:val="00EB1100"/>
    <w:rsid w:val="00EB114B"/>
    <w:rsid w:val="00EB11F2"/>
    <w:rsid w:val="00EB12CF"/>
    <w:rsid w:val="00EB133E"/>
    <w:rsid w:val="00EB134C"/>
    <w:rsid w:val="00EB137C"/>
    <w:rsid w:val="00EB13BA"/>
    <w:rsid w:val="00EB13F2"/>
    <w:rsid w:val="00EB14AD"/>
    <w:rsid w:val="00EB14BE"/>
    <w:rsid w:val="00EB14D2"/>
    <w:rsid w:val="00EB15EB"/>
    <w:rsid w:val="00EB16F5"/>
    <w:rsid w:val="00EB16FE"/>
    <w:rsid w:val="00EB180F"/>
    <w:rsid w:val="00EB18C0"/>
    <w:rsid w:val="00EB1990"/>
    <w:rsid w:val="00EB19C9"/>
    <w:rsid w:val="00EB1B29"/>
    <w:rsid w:val="00EB1B31"/>
    <w:rsid w:val="00EB1C10"/>
    <w:rsid w:val="00EB1CB2"/>
    <w:rsid w:val="00EB1D63"/>
    <w:rsid w:val="00EB1DCE"/>
    <w:rsid w:val="00EB1E9C"/>
    <w:rsid w:val="00EB1F8C"/>
    <w:rsid w:val="00EB1F92"/>
    <w:rsid w:val="00EB2013"/>
    <w:rsid w:val="00EB2028"/>
    <w:rsid w:val="00EB209E"/>
    <w:rsid w:val="00EB20E4"/>
    <w:rsid w:val="00EB2121"/>
    <w:rsid w:val="00EB22DA"/>
    <w:rsid w:val="00EB23AF"/>
    <w:rsid w:val="00EB23DB"/>
    <w:rsid w:val="00EB2592"/>
    <w:rsid w:val="00EB25DA"/>
    <w:rsid w:val="00EB262B"/>
    <w:rsid w:val="00EB26D7"/>
    <w:rsid w:val="00EB26E4"/>
    <w:rsid w:val="00EB2743"/>
    <w:rsid w:val="00EB277B"/>
    <w:rsid w:val="00EB2784"/>
    <w:rsid w:val="00EB2A1A"/>
    <w:rsid w:val="00EB2AF6"/>
    <w:rsid w:val="00EB2BCB"/>
    <w:rsid w:val="00EB2D4C"/>
    <w:rsid w:val="00EB2DEE"/>
    <w:rsid w:val="00EB2DF0"/>
    <w:rsid w:val="00EB2E57"/>
    <w:rsid w:val="00EB2E95"/>
    <w:rsid w:val="00EB2E9F"/>
    <w:rsid w:val="00EB2F03"/>
    <w:rsid w:val="00EB2F97"/>
    <w:rsid w:val="00EB2FAA"/>
    <w:rsid w:val="00EB2FB1"/>
    <w:rsid w:val="00EB2FBF"/>
    <w:rsid w:val="00EB2FCD"/>
    <w:rsid w:val="00EB30C1"/>
    <w:rsid w:val="00EB3283"/>
    <w:rsid w:val="00EB334C"/>
    <w:rsid w:val="00EB334E"/>
    <w:rsid w:val="00EB33EE"/>
    <w:rsid w:val="00EB34CA"/>
    <w:rsid w:val="00EB34DD"/>
    <w:rsid w:val="00EB3566"/>
    <w:rsid w:val="00EB3704"/>
    <w:rsid w:val="00EB37B3"/>
    <w:rsid w:val="00EB383F"/>
    <w:rsid w:val="00EB390C"/>
    <w:rsid w:val="00EB3939"/>
    <w:rsid w:val="00EB39C3"/>
    <w:rsid w:val="00EB3BF2"/>
    <w:rsid w:val="00EB3D8F"/>
    <w:rsid w:val="00EB3F05"/>
    <w:rsid w:val="00EB3F24"/>
    <w:rsid w:val="00EB3FD6"/>
    <w:rsid w:val="00EB4056"/>
    <w:rsid w:val="00EB4064"/>
    <w:rsid w:val="00EB4066"/>
    <w:rsid w:val="00EB40AE"/>
    <w:rsid w:val="00EB40C1"/>
    <w:rsid w:val="00EB40F7"/>
    <w:rsid w:val="00EB414C"/>
    <w:rsid w:val="00EB4271"/>
    <w:rsid w:val="00EB4293"/>
    <w:rsid w:val="00EB436D"/>
    <w:rsid w:val="00EB4378"/>
    <w:rsid w:val="00EB443D"/>
    <w:rsid w:val="00EB4453"/>
    <w:rsid w:val="00EB4474"/>
    <w:rsid w:val="00EB456A"/>
    <w:rsid w:val="00EB4616"/>
    <w:rsid w:val="00EB4817"/>
    <w:rsid w:val="00EB4933"/>
    <w:rsid w:val="00EB4A63"/>
    <w:rsid w:val="00EB4B87"/>
    <w:rsid w:val="00EB4F1A"/>
    <w:rsid w:val="00EB51CA"/>
    <w:rsid w:val="00EB51E9"/>
    <w:rsid w:val="00EB5200"/>
    <w:rsid w:val="00EB525E"/>
    <w:rsid w:val="00EB52D5"/>
    <w:rsid w:val="00EB5418"/>
    <w:rsid w:val="00EB548B"/>
    <w:rsid w:val="00EB54A6"/>
    <w:rsid w:val="00EB55AA"/>
    <w:rsid w:val="00EB561C"/>
    <w:rsid w:val="00EB569C"/>
    <w:rsid w:val="00EB56DE"/>
    <w:rsid w:val="00EB5707"/>
    <w:rsid w:val="00EB5841"/>
    <w:rsid w:val="00EB58EF"/>
    <w:rsid w:val="00EB5993"/>
    <w:rsid w:val="00EB5997"/>
    <w:rsid w:val="00EB5A63"/>
    <w:rsid w:val="00EB5A6B"/>
    <w:rsid w:val="00EB5B7A"/>
    <w:rsid w:val="00EB5BA0"/>
    <w:rsid w:val="00EB5C62"/>
    <w:rsid w:val="00EB5C86"/>
    <w:rsid w:val="00EB5CD1"/>
    <w:rsid w:val="00EB5CE5"/>
    <w:rsid w:val="00EB5D54"/>
    <w:rsid w:val="00EB5D5E"/>
    <w:rsid w:val="00EB5E87"/>
    <w:rsid w:val="00EB5F43"/>
    <w:rsid w:val="00EB5FCC"/>
    <w:rsid w:val="00EB6049"/>
    <w:rsid w:val="00EB607D"/>
    <w:rsid w:val="00EB6083"/>
    <w:rsid w:val="00EB60B9"/>
    <w:rsid w:val="00EB6207"/>
    <w:rsid w:val="00EB621A"/>
    <w:rsid w:val="00EB6228"/>
    <w:rsid w:val="00EB6335"/>
    <w:rsid w:val="00EB64F1"/>
    <w:rsid w:val="00EB64F4"/>
    <w:rsid w:val="00EB652A"/>
    <w:rsid w:val="00EB653E"/>
    <w:rsid w:val="00EB6925"/>
    <w:rsid w:val="00EB69C8"/>
    <w:rsid w:val="00EB6A78"/>
    <w:rsid w:val="00EB6AAC"/>
    <w:rsid w:val="00EB6B48"/>
    <w:rsid w:val="00EB6BFB"/>
    <w:rsid w:val="00EB6CA5"/>
    <w:rsid w:val="00EB6CA6"/>
    <w:rsid w:val="00EB6CE9"/>
    <w:rsid w:val="00EB6DBF"/>
    <w:rsid w:val="00EB6EBE"/>
    <w:rsid w:val="00EB6F7C"/>
    <w:rsid w:val="00EB70B2"/>
    <w:rsid w:val="00EB70EE"/>
    <w:rsid w:val="00EB7110"/>
    <w:rsid w:val="00EB71A0"/>
    <w:rsid w:val="00EB7361"/>
    <w:rsid w:val="00EB74A8"/>
    <w:rsid w:val="00EB74E9"/>
    <w:rsid w:val="00EB76FA"/>
    <w:rsid w:val="00EB786A"/>
    <w:rsid w:val="00EB7955"/>
    <w:rsid w:val="00EB79ED"/>
    <w:rsid w:val="00EB7A28"/>
    <w:rsid w:val="00EB7A51"/>
    <w:rsid w:val="00EB7B39"/>
    <w:rsid w:val="00EB7C55"/>
    <w:rsid w:val="00EB7D7B"/>
    <w:rsid w:val="00EB7E54"/>
    <w:rsid w:val="00EB7EA3"/>
    <w:rsid w:val="00EB7EC1"/>
    <w:rsid w:val="00EB7FAB"/>
    <w:rsid w:val="00EC0227"/>
    <w:rsid w:val="00EC02CE"/>
    <w:rsid w:val="00EC03C4"/>
    <w:rsid w:val="00EC0522"/>
    <w:rsid w:val="00EC05DC"/>
    <w:rsid w:val="00EC0674"/>
    <w:rsid w:val="00EC070A"/>
    <w:rsid w:val="00EC0743"/>
    <w:rsid w:val="00EC07A1"/>
    <w:rsid w:val="00EC0884"/>
    <w:rsid w:val="00EC089C"/>
    <w:rsid w:val="00EC08E4"/>
    <w:rsid w:val="00EC08EF"/>
    <w:rsid w:val="00EC0AF0"/>
    <w:rsid w:val="00EC0AFD"/>
    <w:rsid w:val="00EC0BE5"/>
    <w:rsid w:val="00EC0CDA"/>
    <w:rsid w:val="00EC0D40"/>
    <w:rsid w:val="00EC0EAB"/>
    <w:rsid w:val="00EC0EB9"/>
    <w:rsid w:val="00EC0F3B"/>
    <w:rsid w:val="00EC0F71"/>
    <w:rsid w:val="00EC0FDE"/>
    <w:rsid w:val="00EC1032"/>
    <w:rsid w:val="00EC10F8"/>
    <w:rsid w:val="00EC1239"/>
    <w:rsid w:val="00EC128D"/>
    <w:rsid w:val="00EC1303"/>
    <w:rsid w:val="00EC1313"/>
    <w:rsid w:val="00EC13E4"/>
    <w:rsid w:val="00EC1446"/>
    <w:rsid w:val="00EC15BC"/>
    <w:rsid w:val="00EC15C1"/>
    <w:rsid w:val="00EC16C6"/>
    <w:rsid w:val="00EC176F"/>
    <w:rsid w:val="00EC18D6"/>
    <w:rsid w:val="00EC18EA"/>
    <w:rsid w:val="00EC196F"/>
    <w:rsid w:val="00EC1984"/>
    <w:rsid w:val="00EC19FF"/>
    <w:rsid w:val="00EC1BD9"/>
    <w:rsid w:val="00EC1C70"/>
    <w:rsid w:val="00EC1D32"/>
    <w:rsid w:val="00EC1D61"/>
    <w:rsid w:val="00EC1E26"/>
    <w:rsid w:val="00EC1ECF"/>
    <w:rsid w:val="00EC1F3B"/>
    <w:rsid w:val="00EC1FC9"/>
    <w:rsid w:val="00EC2120"/>
    <w:rsid w:val="00EC21F9"/>
    <w:rsid w:val="00EC220B"/>
    <w:rsid w:val="00EC2305"/>
    <w:rsid w:val="00EC2317"/>
    <w:rsid w:val="00EC2433"/>
    <w:rsid w:val="00EC24FE"/>
    <w:rsid w:val="00EC252A"/>
    <w:rsid w:val="00EC2549"/>
    <w:rsid w:val="00EC254C"/>
    <w:rsid w:val="00EC2598"/>
    <w:rsid w:val="00EC25BA"/>
    <w:rsid w:val="00EC269C"/>
    <w:rsid w:val="00EC26A4"/>
    <w:rsid w:val="00EC26FE"/>
    <w:rsid w:val="00EC2701"/>
    <w:rsid w:val="00EC285F"/>
    <w:rsid w:val="00EC28A8"/>
    <w:rsid w:val="00EC2A02"/>
    <w:rsid w:val="00EC2A6F"/>
    <w:rsid w:val="00EC2B01"/>
    <w:rsid w:val="00EC2B81"/>
    <w:rsid w:val="00EC2C2D"/>
    <w:rsid w:val="00EC2D81"/>
    <w:rsid w:val="00EC2E78"/>
    <w:rsid w:val="00EC2EDA"/>
    <w:rsid w:val="00EC2F92"/>
    <w:rsid w:val="00EC300E"/>
    <w:rsid w:val="00EC31A1"/>
    <w:rsid w:val="00EC322F"/>
    <w:rsid w:val="00EC3257"/>
    <w:rsid w:val="00EC32BF"/>
    <w:rsid w:val="00EC331A"/>
    <w:rsid w:val="00EC34C9"/>
    <w:rsid w:val="00EC3545"/>
    <w:rsid w:val="00EC35A5"/>
    <w:rsid w:val="00EC36C9"/>
    <w:rsid w:val="00EC36F3"/>
    <w:rsid w:val="00EC37FE"/>
    <w:rsid w:val="00EC3828"/>
    <w:rsid w:val="00EC384C"/>
    <w:rsid w:val="00EC384F"/>
    <w:rsid w:val="00EC3951"/>
    <w:rsid w:val="00EC39B3"/>
    <w:rsid w:val="00EC3A0B"/>
    <w:rsid w:val="00EC3B31"/>
    <w:rsid w:val="00EC3B84"/>
    <w:rsid w:val="00EC3BA0"/>
    <w:rsid w:val="00EC3BBA"/>
    <w:rsid w:val="00EC3C24"/>
    <w:rsid w:val="00EC3CD0"/>
    <w:rsid w:val="00EC3D8E"/>
    <w:rsid w:val="00EC3DB2"/>
    <w:rsid w:val="00EC3E00"/>
    <w:rsid w:val="00EC3E21"/>
    <w:rsid w:val="00EC3F2E"/>
    <w:rsid w:val="00EC4020"/>
    <w:rsid w:val="00EC408C"/>
    <w:rsid w:val="00EC40AF"/>
    <w:rsid w:val="00EC40F2"/>
    <w:rsid w:val="00EC40FD"/>
    <w:rsid w:val="00EC421A"/>
    <w:rsid w:val="00EC426D"/>
    <w:rsid w:val="00EC4372"/>
    <w:rsid w:val="00EC43AA"/>
    <w:rsid w:val="00EC43D2"/>
    <w:rsid w:val="00EC4520"/>
    <w:rsid w:val="00EC460F"/>
    <w:rsid w:val="00EC468C"/>
    <w:rsid w:val="00EC4714"/>
    <w:rsid w:val="00EC47E7"/>
    <w:rsid w:val="00EC488A"/>
    <w:rsid w:val="00EC48FB"/>
    <w:rsid w:val="00EC4A6B"/>
    <w:rsid w:val="00EC4AD1"/>
    <w:rsid w:val="00EC4C0B"/>
    <w:rsid w:val="00EC4D9C"/>
    <w:rsid w:val="00EC4DCA"/>
    <w:rsid w:val="00EC4E47"/>
    <w:rsid w:val="00EC4F82"/>
    <w:rsid w:val="00EC4FDB"/>
    <w:rsid w:val="00EC500C"/>
    <w:rsid w:val="00EC5012"/>
    <w:rsid w:val="00EC5165"/>
    <w:rsid w:val="00EC5231"/>
    <w:rsid w:val="00EC541B"/>
    <w:rsid w:val="00EC54E5"/>
    <w:rsid w:val="00EC5593"/>
    <w:rsid w:val="00EC5638"/>
    <w:rsid w:val="00EC5642"/>
    <w:rsid w:val="00EC588F"/>
    <w:rsid w:val="00EC5985"/>
    <w:rsid w:val="00EC5A50"/>
    <w:rsid w:val="00EC5BB2"/>
    <w:rsid w:val="00EC5C2D"/>
    <w:rsid w:val="00EC5DEE"/>
    <w:rsid w:val="00EC5E16"/>
    <w:rsid w:val="00EC5EB1"/>
    <w:rsid w:val="00EC5F55"/>
    <w:rsid w:val="00EC601A"/>
    <w:rsid w:val="00EC603A"/>
    <w:rsid w:val="00EC60FA"/>
    <w:rsid w:val="00EC621C"/>
    <w:rsid w:val="00EC6323"/>
    <w:rsid w:val="00EC6418"/>
    <w:rsid w:val="00EC64CE"/>
    <w:rsid w:val="00EC6516"/>
    <w:rsid w:val="00EC653E"/>
    <w:rsid w:val="00EC6587"/>
    <w:rsid w:val="00EC6591"/>
    <w:rsid w:val="00EC65FF"/>
    <w:rsid w:val="00EC6676"/>
    <w:rsid w:val="00EC6689"/>
    <w:rsid w:val="00EC6730"/>
    <w:rsid w:val="00EC68C6"/>
    <w:rsid w:val="00EC68EF"/>
    <w:rsid w:val="00EC6AA3"/>
    <w:rsid w:val="00EC6B1F"/>
    <w:rsid w:val="00EC6BE2"/>
    <w:rsid w:val="00EC6C89"/>
    <w:rsid w:val="00EC6CB9"/>
    <w:rsid w:val="00EC6CC9"/>
    <w:rsid w:val="00EC6D1A"/>
    <w:rsid w:val="00EC6D6A"/>
    <w:rsid w:val="00EC6D8D"/>
    <w:rsid w:val="00EC6DCE"/>
    <w:rsid w:val="00EC6E30"/>
    <w:rsid w:val="00EC6E31"/>
    <w:rsid w:val="00EC6E75"/>
    <w:rsid w:val="00EC6E79"/>
    <w:rsid w:val="00EC6F5A"/>
    <w:rsid w:val="00EC7002"/>
    <w:rsid w:val="00EC70EE"/>
    <w:rsid w:val="00EC71D1"/>
    <w:rsid w:val="00EC71E4"/>
    <w:rsid w:val="00EC7271"/>
    <w:rsid w:val="00EC7286"/>
    <w:rsid w:val="00EC72BB"/>
    <w:rsid w:val="00EC72F1"/>
    <w:rsid w:val="00EC7361"/>
    <w:rsid w:val="00EC7393"/>
    <w:rsid w:val="00EC7489"/>
    <w:rsid w:val="00EC74B8"/>
    <w:rsid w:val="00EC7619"/>
    <w:rsid w:val="00EC765E"/>
    <w:rsid w:val="00EC78F4"/>
    <w:rsid w:val="00EC7A61"/>
    <w:rsid w:val="00EC7B1E"/>
    <w:rsid w:val="00EC7B62"/>
    <w:rsid w:val="00EC7DE2"/>
    <w:rsid w:val="00EC7EA5"/>
    <w:rsid w:val="00EC7EF5"/>
    <w:rsid w:val="00EC7F1E"/>
    <w:rsid w:val="00EC7F46"/>
    <w:rsid w:val="00EC7FEA"/>
    <w:rsid w:val="00ED0003"/>
    <w:rsid w:val="00ED00E4"/>
    <w:rsid w:val="00ED01EE"/>
    <w:rsid w:val="00ED022D"/>
    <w:rsid w:val="00ED0288"/>
    <w:rsid w:val="00ED028F"/>
    <w:rsid w:val="00ED055D"/>
    <w:rsid w:val="00ED05AA"/>
    <w:rsid w:val="00ED0615"/>
    <w:rsid w:val="00ED06AC"/>
    <w:rsid w:val="00ED073C"/>
    <w:rsid w:val="00ED083F"/>
    <w:rsid w:val="00ED088A"/>
    <w:rsid w:val="00ED0918"/>
    <w:rsid w:val="00ED0925"/>
    <w:rsid w:val="00ED0943"/>
    <w:rsid w:val="00ED0967"/>
    <w:rsid w:val="00ED0A08"/>
    <w:rsid w:val="00ED0ACE"/>
    <w:rsid w:val="00ED0CC4"/>
    <w:rsid w:val="00ED0D77"/>
    <w:rsid w:val="00ED0E13"/>
    <w:rsid w:val="00ED0F10"/>
    <w:rsid w:val="00ED113F"/>
    <w:rsid w:val="00ED115F"/>
    <w:rsid w:val="00ED1182"/>
    <w:rsid w:val="00ED11D6"/>
    <w:rsid w:val="00ED122D"/>
    <w:rsid w:val="00ED12CB"/>
    <w:rsid w:val="00ED138E"/>
    <w:rsid w:val="00ED141A"/>
    <w:rsid w:val="00ED14BC"/>
    <w:rsid w:val="00ED14C5"/>
    <w:rsid w:val="00ED1532"/>
    <w:rsid w:val="00ED1584"/>
    <w:rsid w:val="00ED1729"/>
    <w:rsid w:val="00ED1885"/>
    <w:rsid w:val="00ED1A3A"/>
    <w:rsid w:val="00ED1A74"/>
    <w:rsid w:val="00ED1A94"/>
    <w:rsid w:val="00ED1C71"/>
    <w:rsid w:val="00ED1D6A"/>
    <w:rsid w:val="00ED1E7D"/>
    <w:rsid w:val="00ED1EE6"/>
    <w:rsid w:val="00ED20EC"/>
    <w:rsid w:val="00ED23AD"/>
    <w:rsid w:val="00ED24F5"/>
    <w:rsid w:val="00ED2517"/>
    <w:rsid w:val="00ED253F"/>
    <w:rsid w:val="00ED25C8"/>
    <w:rsid w:val="00ED2607"/>
    <w:rsid w:val="00ED263B"/>
    <w:rsid w:val="00ED2823"/>
    <w:rsid w:val="00ED2895"/>
    <w:rsid w:val="00ED29DA"/>
    <w:rsid w:val="00ED2A12"/>
    <w:rsid w:val="00ED2B21"/>
    <w:rsid w:val="00ED2B6C"/>
    <w:rsid w:val="00ED2BAA"/>
    <w:rsid w:val="00ED2BBD"/>
    <w:rsid w:val="00ED2D2D"/>
    <w:rsid w:val="00ED2D60"/>
    <w:rsid w:val="00ED2DC9"/>
    <w:rsid w:val="00ED2F4C"/>
    <w:rsid w:val="00ED30F8"/>
    <w:rsid w:val="00ED3116"/>
    <w:rsid w:val="00ED3163"/>
    <w:rsid w:val="00ED31F6"/>
    <w:rsid w:val="00ED3243"/>
    <w:rsid w:val="00ED3264"/>
    <w:rsid w:val="00ED327F"/>
    <w:rsid w:val="00ED3322"/>
    <w:rsid w:val="00ED3349"/>
    <w:rsid w:val="00ED345D"/>
    <w:rsid w:val="00ED3460"/>
    <w:rsid w:val="00ED3487"/>
    <w:rsid w:val="00ED34A8"/>
    <w:rsid w:val="00ED3527"/>
    <w:rsid w:val="00ED358C"/>
    <w:rsid w:val="00ED35AC"/>
    <w:rsid w:val="00ED3811"/>
    <w:rsid w:val="00ED38A0"/>
    <w:rsid w:val="00ED38B7"/>
    <w:rsid w:val="00ED3A42"/>
    <w:rsid w:val="00ED3C16"/>
    <w:rsid w:val="00ED3C17"/>
    <w:rsid w:val="00ED3CFA"/>
    <w:rsid w:val="00ED3D97"/>
    <w:rsid w:val="00ED3D9A"/>
    <w:rsid w:val="00ED3E16"/>
    <w:rsid w:val="00ED3E32"/>
    <w:rsid w:val="00ED3F39"/>
    <w:rsid w:val="00ED3FC4"/>
    <w:rsid w:val="00ED402F"/>
    <w:rsid w:val="00ED4052"/>
    <w:rsid w:val="00ED4129"/>
    <w:rsid w:val="00ED41DA"/>
    <w:rsid w:val="00ED4205"/>
    <w:rsid w:val="00ED425B"/>
    <w:rsid w:val="00ED4352"/>
    <w:rsid w:val="00ED43C3"/>
    <w:rsid w:val="00ED43EE"/>
    <w:rsid w:val="00ED43EF"/>
    <w:rsid w:val="00ED4481"/>
    <w:rsid w:val="00ED4504"/>
    <w:rsid w:val="00ED45BF"/>
    <w:rsid w:val="00ED46DB"/>
    <w:rsid w:val="00ED47DF"/>
    <w:rsid w:val="00ED4807"/>
    <w:rsid w:val="00ED4854"/>
    <w:rsid w:val="00ED48C4"/>
    <w:rsid w:val="00ED4935"/>
    <w:rsid w:val="00ED494E"/>
    <w:rsid w:val="00ED4967"/>
    <w:rsid w:val="00ED4AE0"/>
    <w:rsid w:val="00ED4C31"/>
    <w:rsid w:val="00ED4C57"/>
    <w:rsid w:val="00ED4C7F"/>
    <w:rsid w:val="00ED4C96"/>
    <w:rsid w:val="00ED4C98"/>
    <w:rsid w:val="00ED4D2C"/>
    <w:rsid w:val="00ED4DB1"/>
    <w:rsid w:val="00ED4E75"/>
    <w:rsid w:val="00ED514D"/>
    <w:rsid w:val="00ED518B"/>
    <w:rsid w:val="00ED5235"/>
    <w:rsid w:val="00ED5395"/>
    <w:rsid w:val="00ED53D7"/>
    <w:rsid w:val="00ED5446"/>
    <w:rsid w:val="00ED54AA"/>
    <w:rsid w:val="00ED54F5"/>
    <w:rsid w:val="00ED5579"/>
    <w:rsid w:val="00ED55DF"/>
    <w:rsid w:val="00ED5607"/>
    <w:rsid w:val="00ED5624"/>
    <w:rsid w:val="00ED565B"/>
    <w:rsid w:val="00ED5669"/>
    <w:rsid w:val="00ED5687"/>
    <w:rsid w:val="00ED576C"/>
    <w:rsid w:val="00ED5925"/>
    <w:rsid w:val="00ED5A14"/>
    <w:rsid w:val="00ED5A56"/>
    <w:rsid w:val="00ED5ACA"/>
    <w:rsid w:val="00ED5CB2"/>
    <w:rsid w:val="00ED5DF9"/>
    <w:rsid w:val="00ED5EC0"/>
    <w:rsid w:val="00ED5ED2"/>
    <w:rsid w:val="00ED5EF9"/>
    <w:rsid w:val="00ED5F4D"/>
    <w:rsid w:val="00ED5F6B"/>
    <w:rsid w:val="00ED5FDF"/>
    <w:rsid w:val="00ED600F"/>
    <w:rsid w:val="00ED603F"/>
    <w:rsid w:val="00ED6113"/>
    <w:rsid w:val="00ED6118"/>
    <w:rsid w:val="00ED6195"/>
    <w:rsid w:val="00ED61D7"/>
    <w:rsid w:val="00ED62C7"/>
    <w:rsid w:val="00ED6362"/>
    <w:rsid w:val="00ED6403"/>
    <w:rsid w:val="00ED640C"/>
    <w:rsid w:val="00ED6442"/>
    <w:rsid w:val="00ED655E"/>
    <w:rsid w:val="00ED660B"/>
    <w:rsid w:val="00ED660D"/>
    <w:rsid w:val="00ED67C4"/>
    <w:rsid w:val="00ED6983"/>
    <w:rsid w:val="00ED6992"/>
    <w:rsid w:val="00ED6ACD"/>
    <w:rsid w:val="00ED6B14"/>
    <w:rsid w:val="00ED6B22"/>
    <w:rsid w:val="00ED6B3E"/>
    <w:rsid w:val="00ED6BDD"/>
    <w:rsid w:val="00ED6C87"/>
    <w:rsid w:val="00ED6C9F"/>
    <w:rsid w:val="00ED6E49"/>
    <w:rsid w:val="00ED6F42"/>
    <w:rsid w:val="00ED6F92"/>
    <w:rsid w:val="00ED6FB6"/>
    <w:rsid w:val="00ED7047"/>
    <w:rsid w:val="00ED7061"/>
    <w:rsid w:val="00ED706D"/>
    <w:rsid w:val="00ED70FB"/>
    <w:rsid w:val="00ED7138"/>
    <w:rsid w:val="00ED721E"/>
    <w:rsid w:val="00ED7238"/>
    <w:rsid w:val="00ED7239"/>
    <w:rsid w:val="00ED72C3"/>
    <w:rsid w:val="00ED732E"/>
    <w:rsid w:val="00ED74BF"/>
    <w:rsid w:val="00ED7546"/>
    <w:rsid w:val="00ED76A0"/>
    <w:rsid w:val="00ED783A"/>
    <w:rsid w:val="00ED78EE"/>
    <w:rsid w:val="00ED7B02"/>
    <w:rsid w:val="00ED7B08"/>
    <w:rsid w:val="00ED7B31"/>
    <w:rsid w:val="00ED7CA5"/>
    <w:rsid w:val="00ED7EC3"/>
    <w:rsid w:val="00ED7F50"/>
    <w:rsid w:val="00EE003F"/>
    <w:rsid w:val="00EE004B"/>
    <w:rsid w:val="00EE009C"/>
    <w:rsid w:val="00EE019A"/>
    <w:rsid w:val="00EE01F4"/>
    <w:rsid w:val="00EE025D"/>
    <w:rsid w:val="00EE02C5"/>
    <w:rsid w:val="00EE0587"/>
    <w:rsid w:val="00EE060F"/>
    <w:rsid w:val="00EE0622"/>
    <w:rsid w:val="00EE067E"/>
    <w:rsid w:val="00EE0835"/>
    <w:rsid w:val="00EE088D"/>
    <w:rsid w:val="00EE08AC"/>
    <w:rsid w:val="00EE094A"/>
    <w:rsid w:val="00EE097D"/>
    <w:rsid w:val="00EE099F"/>
    <w:rsid w:val="00EE0A34"/>
    <w:rsid w:val="00EE0A9A"/>
    <w:rsid w:val="00EE0AB5"/>
    <w:rsid w:val="00EE0B02"/>
    <w:rsid w:val="00EE0D1C"/>
    <w:rsid w:val="00EE0DCE"/>
    <w:rsid w:val="00EE0FBB"/>
    <w:rsid w:val="00EE1074"/>
    <w:rsid w:val="00EE1086"/>
    <w:rsid w:val="00EE109B"/>
    <w:rsid w:val="00EE10C3"/>
    <w:rsid w:val="00EE1103"/>
    <w:rsid w:val="00EE1169"/>
    <w:rsid w:val="00EE1307"/>
    <w:rsid w:val="00EE136A"/>
    <w:rsid w:val="00EE1463"/>
    <w:rsid w:val="00EE14AC"/>
    <w:rsid w:val="00EE151C"/>
    <w:rsid w:val="00EE1528"/>
    <w:rsid w:val="00EE15F2"/>
    <w:rsid w:val="00EE16CD"/>
    <w:rsid w:val="00EE16D4"/>
    <w:rsid w:val="00EE1724"/>
    <w:rsid w:val="00EE177D"/>
    <w:rsid w:val="00EE1789"/>
    <w:rsid w:val="00EE17BB"/>
    <w:rsid w:val="00EE17F3"/>
    <w:rsid w:val="00EE1851"/>
    <w:rsid w:val="00EE185B"/>
    <w:rsid w:val="00EE1A6C"/>
    <w:rsid w:val="00EE1A75"/>
    <w:rsid w:val="00EE1CBA"/>
    <w:rsid w:val="00EE1D66"/>
    <w:rsid w:val="00EE1E84"/>
    <w:rsid w:val="00EE1F72"/>
    <w:rsid w:val="00EE1FAA"/>
    <w:rsid w:val="00EE200A"/>
    <w:rsid w:val="00EE207F"/>
    <w:rsid w:val="00EE20BD"/>
    <w:rsid w:val="00EE20D5"/>
    <w:rsid w:val="00EE226E"/>
    <w:rsid w:val="00EE2342"/>
    <w:rsid w:val="00EE2386"/>
    <w:rsid w:val="00EE23C8"/>
    <w:rsid w:val="00EE23CE"/>
    <w:rsid w:val="00EE2447"/>
    <w:rsid w:val="00EE2478"/>
    <w:rsid w:val="00EE2479"/>
    <w:rsid w:val="00EE2517"/>
    <w:rsid w:val="00EE2594"/>
    <w:rsid w:val="00EE25A9"/>
    <w:rsid w:val="00EE2621"/>
    <w:rsid w:val="00EE2627"/>
    <w:rsid w:val="00EE263C"/>
    <w:rsid w:val="00EE26CB"/>
    <w:rsid w:val="00EE271B"/>
    <w:rsid w:val="00EE273B"/>
    <w:rsid w:val="00EE278A"/>
    <w:rsid w:val="00EE27C0"/>
    <w:rsid w:val="00EE27CC"/>
    <w:rsid w:val="00EE27DA"/>
    <w:rsid w:val="00EE282B"/>
    <w:rsid w:val="00EE2A99"/>
    <w:rsid w:val="00EE2B63"/>
    <w:rsid w:val="00EE2C71"/>
    <w:rsid w:val="00EE2C87"/>
    <w:rsid w:val="00EE2D68"/>
    <w:rsid w:val="00EE2D72"/>
    <w:rsid w:val="00EE2D76"/>
    <w:rsid w:val="00EE2D7B"/>
    <w:rsid w:val="00EE2E0D"/>
    <w:rsid w:val="00EE2EC7"/>
    <w:rsid w:val="00EE30E9"/>
    <w:rsid w:val="00EE31E1"/>
    <w:rsid w:val="00EE3221"/>
    <w:rsid w:val="00EE3334"/>
    <w:rsid w:val="00EE351D"/>
    <w:rsid w:val="00EE3521"/>
    <w:rsid w:val="00EE363E"/>
    <w:rsid w:val="00EE381A"/>
    <w:rsid w:val="00EE3876"/>
    <w:rsid w:val="00EE3A3F"/>
    <w:rsid w:val="00EE3A78"/>
    <w:rsid w:val="00EE3BE0"/>
    <w:rsid w:val="00EE3BF1"/>
    <w:rsid w:val="00EE3CCC"/>
    <w:rsid w:val="00EE3D35"/>
    <w:rsid w:val="00EE3D50"/>
    <w:rsid w:val="00EE3F20"/>
    <w:rsid w:val="00EE3F77"/>
    <w:rsid w:val="00EE3FD6"/>
    <w:rsid w:val="00EE4010"/>
    <w:rsid w:val="00EE403B"/>
    <w:rsid w:val="00EE4072"/>
    <w:rsid w:val="00EE4114"/>
    <w:rsid w:val="00EE418D"/>
    <w:rsid w:val="00EE41BA"/>
    <w:rsid w:val="00EE41E4"/>
    <w:rsid w:val="00EE4262"/>
    <w:rsid w:val="00EE42D0"/>
    <w:rsid w:val="00EE43B5"/>
    <w:rsid w:val="00EE4417"/>
    <w:rsid w:val="00EE441B"/>
    <w:rsid w:val="00EE44DD"/>
    <w:rsid w:val="00EE44F6"/>
    <w:rsid w:val="00EE4543"/>
    <w:rsid w:val="00EE460F"/>
    <w:rsid w:val="00EE4639"/>
    <w:rsid w:val="00EE46B2"/>
    <w:rsid w:val="00EE46E1"/>
    <w:rsid w:val="00EE4716"/>
    <w:rsid w:val="00EE4757"/>
    <w:rsid w:val="00EE4796"/>
    <w:rsid w:val="00EE48B2"/>
    <w:rsid w:val="00EE48EE"/>
    <w:rsid w:val="00EE49DE"/>
    <w:rsid w:val="00EE4A9B"/>
    <w:rsid w:val="00EE4B98"/>
    <w:rsid w:val="00EE4C6C"/>
    <w:rsid w:val="00EE4CC3"/>
    <w:rsid w:val="00EE4DD0"/>
    <w:rsid w:val="00EE4DD4"/>
    <w:rsid w:val="00EE4F3B"/>
    <w:rsid w:val="00EE4F60"/>
    <w:rsid w:val="00EE4F65"/>
    <w:rsid w:val="00EE502F"/>
    <w:rsid w:val="00EE50E2"/>
    <w:rsid w:val="00EE514A"/>
    <w:rsid w:val="00EE516E"/>
    <w:rsid w:val="00EE518F"/>
    <w:rsid w:val="00EE5199"/>
    <w:rsid w:val="00EE51FA"/>
    <w:rsid w:val="00EE5381"/>
    <w:rsid w:val="00EE53ED"/>
    <w:rsid w:val="00EE53FC"/>
    <w:rsid w:val="00EE543B"/>
    <w:rsid w:val="00EE5462"/>
    <w:rsid w:val="00EE54DE"/>
    <w:rsid w:val="00EE5564"/>
    <w:rsid w:val="00EE5570"/>
    <w:rsid w:val="00EE5809"/>
    <w:rsid w:val="00EE5831"/>
    <w:rsid w:val="00EE584E"/>
    <w:rsid w:val="00EE5A33"/>
    <w:rsid w:val="00EE5A54"/>
    <w:rsid w:val="00EE5A60"/>
    <w:rsid w:val="00EE5BB2"/>
    <w:rsid w:val="00EE5BB4"/>
    <w:rsid w:val="00EE5BC1"/>
    <w:rsid w:val="00EE5C5E"/>
    <w:rsid w:val="00EE5DC2"/>
    <w:rsid w:val="00EE5DE3"/>
    <w:rsid w:val="00EE5E2B"/>
    <w:rsid w:val="00EE5E86"/>
    <w:rsid w:val="00EE6061"/>
    <w:rsid w:val="00EE619E"/>
    <w:rsid w:val="00EE61A2"/>
    <w:rsid w:val="00EE61CE"/>
    <w:rsid w:val="00EE63AB"/>
    <w:rsid w:val="00EE6434"/>
    <w:rsid w:val="00EE6463"/>
    <w:rsid w:val="00EE64F9"/>
    <w:rsid w:val="00EE65BF"/>
    <w:rsid w:val="00EE6722"/>
    <w:rsid w:val="00EE6737"/>
    <w:rsid w:val="00EE675E"/>
    <w:rsid w:val="00EE6783"/>
    <w:rsid w:val="00EE6829"/>
    <w:rsid w:val="00EE69BA"/>
    <w:rsid w:val="00EE6A7F"/>
    <w:rsid w:val="00EE6CC9"/>
    <w:rsid w:val="00EE6DA7"/>
    <w:rsid w:val="00EE6DE6"/>
    <w:rsid w:val="00EE6E86"/>
    <w:rsid w:val="00EE7019"/>
    <w:rsid w:val="00EE71A1"/>
    <w:rsid w:val="00EE71C6"/>
    <w:rsid w:val="00EE71D5"/>
    <w:rsid w:val="00EE71F6"/>
    <w:rsid w:val="00EE71F8"/>
    <w:rsid w:val="00EE7267"/>
    <w:rsid w:val="00EE739B"/>
    <w:rsid w:val="00EE73FB"/>
    <w:rsid w:val="00EE7412"/>
    <w:rsid w:val="00EE74CF"/>
    <w:rsid w:val="00EE7505"/>
    <w:rsid w:val="00EE750D"/>
    <w:rsid w:val="00EE7715"/>
    <w:rsid w:val="00EE7763"/>
    <w:rsid w:val="00EE783C"/>
    <w:rsid w:val="00EE78C2"/>
    <w:rsid w:val="00EE7916"/>
    <w:rsid w:val="00EE7993"/>
    <w:rsid w:val="00EE79A6"/>
    <w:rsid w:val="00EE7AD6"/>
    <w:rsid w:val="00EE7C32"/>
    <w:rsid w:val="00EE7CB4"/>
    <w:rsid w:val="00EE7D6B"/>
    <w:rsid w:val="00EE7D6E"/>
    <w:rsid w:val="00EE7E8B"/>
    <w:rsid w:val="00EE7EA6"/>
    <w:rsid w:val="00EF004E"/>
    <w:rsid w:val="00EF0090"/>
    <w:rsid w:val="00EF01DA"/>
    <w:rsid w:val="00EF0234"/>
    <w:rsid w:val="00EF026B"/>
    <w:rsid w:val="00EF02D7"/>
    <w:rsid w:val="00EF02F5"/>
    <w:rsid w:val="00EF03E1"/>
    <w:rsid w:val="00EF03EF"/>
    <w:rsid w:val="00EF040B"/>
    <w:rsid w:val="00EF0410"/>
    <w:rsid w:val="00EF0432"/>
    <w:rsid w:val="00EF051F"/>
    <w:rsid w:val="00EF062D"/>
    <w:rsid w:val="00EF0634"/>
    <w:rsid w:val="00EF06C8"/>
    <w:rsid w:val="00EF06F9"/>
    <w:rsid w:val="00EF07A2"/>
    <w:rsid w:val="00EF07B5"/>
    <w:rsid w:val="00EF0890"/>
    <w:rsid w:val="00EF08B0"/>
    <w:rsid w:val="00EF08E1"/>
    <w:rsid w:val="00EF0917"/>
    <w:rsid w:val="00EF0925"/>
    <w:rsid w:val="00EF0926"/>
    <w:rsid w:val="00EF093A"/>
    <w:rsid w:val="00EF0982"/>
    <w:rsid w:val="00EF0B17"/>
    <w:rsid w:val="00EF0C76"/>
    <w:rsid w:val="00EF0CA5"/>
    <w:rsid w:val="00EF0CC4"/>
    <w:rsid w:val="00EF0E1A"/>
    <w:rsid w:val="00EF0E3C"/>
    <w:rsid w:val="00EF0F57"/>
    <w:rsid w:val="00EF10BF"/>
    <w:rsid w:val="00EF10FF"/>
    <w:rsid w:val="00EF115C"/>
    <w:rsid w:val="00EF12CF"/>
    <w:rsid w:val="00EF130D"/>
    <w:rsid w:val="00EF1314"/>
    <w:rsid w:val="00EF1327"/>
    <w:rsid w:val="00EF1333"/>
    <w:rsid w:val="00EF14D9"/>
    <w:rsid w:val="00EF1517"/>
    <w:rsid w:val="00EF1695"/>
    <w:rsid w:val="00EF1697"/>
    <w:rsid w:val="00EF16D4"/>
    <w:rsid w:val="00EF17B8"/>
    <w:rsid w:val="00EF194B"/>
    <w:rsid w:val="00EF19EE"/>
    <w:rsid w:val="00EF19FF"/>
    <w:rsid w:val="00EF1A5E"/>
    <w:rsid w:val="00EF1A8B"/>
    <w:rsid w:val="00EF1ABC"/>
    <w:rsid w:val="00EF1B68"/>
    <w:rsid w:val="00EF1BCF"/>
    <w:rsid w:val="00EF1D70"/>
    <w:rsid w:val="00EF1D7C"/>
    <w:rsid w:val="00EF1E93"/>
    <w:rsid w:val="00EF1EA8"/>
    <w:rsid w:val="00EF1F06"/>
    <w:rsid w:val="00EF1F50"/>
    <w:rsid w:val="00EF2082"/>
    <w:rsid w:val="00EF20A7"/>
    <w:rsid w:val="00EF2100"/>
    <w:rsid w:val="00EF213E"/>
    <w:rsid w:val="00EF2168"/>
    <w:rsid w:val="00EF2200"/>
    <w:rsid w:val="00EF2220"/>
    <w:rsid w:val="00EF2301"/>
    <w:rsid w:val="00EF2380"/>
    <w:rsid w:val="00EF2416"/>
    <w:rsid w:val="00EF2418"/>
    <w:rsid w:val="00EF24C4"/>
    <w:rsid w:val="00EF250E"/>
    <w:rsid w:val="00EF2539"/>
    <w:rsid w:val="00EF2591"/>
    <w:rsid w:val="00EF25A0"/>
    <w:rsid w:val="00EF25BA"/>
    <w:rsid w:val="00EF28A4"/>
    <w:rsid w:val="00EF28B7"/>
    <w:rsid w:val="00EF2A0E"/>
    <w:rsid w:val="00EF2B66"/>
    <w:rsid w:val="00EF2B88"/>
    <w:rsid w:val="00EF2C9C"/>
    <w:rsid w:val="00EF2D0F"/>
    <w:rsid w:val="00EF2D71"/>
    <w:rsid w:val="00EF2DBA"/>
    <w:rsid w:val="00EF2F15"/>
    <w:rsid w:val="00EF2FD6"/>
    <w:rsid w:val="00EF3078"/>
    <w:rsid w:val="00EF33D6"/>
    <w:rsid w:val="00EF33DE"/>
    <w:rsid w:val="00EF342C"/>
    <w:rsid w:val="00EF34C5"/>
    <w:rsid w:val="00EF34DF"/>
    <w:rsid w:val="00EF3679"/>
    <w:rsid w:val="00EF379E"/>
    <w:rsid w:val="00EF37C7"/>
    <w:rsid w:val="00EF384F"/>
    <w:rsid w:val="00EF38A7"/>
    <w:rsid w:val="00EF396F"/>
    <w:rsid w:val="00EF39A0"/>
    <w:rsid w:val="00EF3AE3"/>
    <w:rsid w:val="00EF3B3A"/>
    <w:rsid w:val="00EF3B76"/>
    <w:rsid w:val="00EF3BB3"/>
    <w:rsid w:val="00EF3C39"/>
    <w:rsid w:val="00EF3CC4"/>
    <w:rsid w:val="00EF3D55"/>
    <w:rsid w:val="00EF3D86"/>
    <w:rsid w:val="00EF3DA4"/>
    <w:rsid w:val="00EF3F7A"/>
    <w:rsid w:val="00EF3F9D"/>
    <w:rsid w:val="00EF3FF8"/>
    <w:rsid w:val="00EF4010"/>
    <w:rsid w:val="00EF4041"/>
    <w:rsid w:val="00EF4086"/>
    <w:rsid w:val="00EF4203"/>
    <w:rsid w:val="00EF4217"/>
    <w:rsid w:val="00EF451B"/>
    <w:rsid w:val="00EF45BB"/>
    <w:rsid w:val="00EF45E8"/>
    <w:rsid w:val="00EF463D"/>
    <w:rsid w:val="00EF4672"/>
    <w:rsid w:val="00EF4703"/>
    <w:rsid w:val="00EF4892"/>
    <w:rsid w:val="00EF48D4"/>
    <w:rsid w:val="00EF4A3B"/>
    <w:rsid w:val="00EF4A5D"/>
    <w:rsid w:val="00EF4AAA"/>
    <w:rsid w:val="00EF4B1B"/>
    <w:rsid w:val="00EF4B4E"/>
    <w:rsid w:val="00EF4BF6"/>
    <w:rsid w:val="00EF4CA1"/>
    <w:rsid w:val="00EF4D5F"/>
    <w:rsid w:val="00EF4DB1"/>
    <w:rsid w:val="00EF4F8A"/>
    <w:rsid w:val="00EF510E"/>
    <w:rsid w:val="00EF5156"/>
    <w:rsid w:val="00EF51AD"/>
    <w:rsid w:val="00EF5246"/>
    <w:rsid w:val="00EF5313"/>
    <w:rsid w:val="00EF545E"/>
    <w:rsid w:val="00EF548C"/>
    <w:rsid w:val="00EF54BD"/>
    <w:rsid w:val="00EF54FA"/>
    <w:rsid w:val="00EF551E"/>
    <w:rsid w:val="00EF5623"/>
    <w:rsid w:val="00EF59FA"/>
    <w:rsid w:val="00EF5AC7"/>
    <w:rsid w:val="00EF5AE1"/>
    <w:rsid w:val="00EF5AE2"/>
    <w:rsid w:val="00EF5B3C"/>
    <w:rsid w:val="00EF5CF0"/>
    <w:rsid w:val="00EF5D5A"/>
    <w:rsid w:val="00EF5E99"/>
    <w:rsid w:val="00EF5F8F"/>
    <w:rsid w:val="00EF5FB6"/>
    <w:rsid w:val="00EF5FE3"/>
    <w:rsid w:val="00EF605C"/>
    <w:rsid w:val="00EF606F"/>
    <w:rsid w:val="00EF60C5"/>
    <w:rsid w:val="00EF6248"/>
    <w:rsid w:val="00EF62C9"/>
    <w:rsid w:val="00EF6445"/>
    <w:rsid w:val="00EF652F"/>
    <w:rsid w:val="00EF658C"/>
    <w:rsid w:val="00EF65B0"/>
    <w:rsid w:val="00EF6602"/>
    <w:rsid w:val="00EF6671"/>
    <w:rsid w:val="00EF6730"/>
    <w:rsid w:val="00EF6776"/>
    <w:rsid w:val="00EF67A5"/>
    <w:rsid w:val="00EF6838"/>
    <w:rsid w:val="00EF68A2"/>
    <w:rsid w:val="00EF6AE6"/>
    <w:rsid w:val="00EF6AF4"/>
    <w:rsid w:val="00EF6C2B"/>
    <w:rsid w:val="00EF6D0F"/>
    <w:rsid w:val="00EF6D4A"/>
    <w:rsid w:val="00EF6F1F"/>
    <w:rsid w:val="00EF70CE"/>
    <w:rsid w:val="00EF7140"/>
    <w:rsid w:val="00EF717A"/>
    <w:rsid w:val="00EF7190"/>
    <w:rsid w:val="00EF7252"/>
    <w:rsid w:val="00EF73B5"/>
    <w:rsid w:val="00EF74AE"/>
    <w:rsid w:val="00EF74CF"/>
    <w:rsid w:val="00EF7766"/>
    <w:rsid w:val="00EF776B"/>
    <w:rsid w:val="00EF7866"/>
    <w:rsid w:val="00EF7973"/>
    <w:rsid w:val="00EF7A12"/>
    <w:rsid w:val="00EF7A1D"/>
    <w:rsid w:val="00EF7AF9"/>
    <w:rsid w:val="00EF7C20"/>
    <w:rsid w:val="00EF7C64"/>
    <w:rsid w:val="00EF7CDD"/>
    <w:rsid w:val="00EF7CE2"/>
    <w:rsid w:val="00EF7D05"/>
    <w:rsid w:val="00EF7E2A"/>
    <w:rsid w:val="00EF7FFE"/>
    <w:rsid w:val="00F00029"/>
    <w:rsid w:val="00F00072"/>
    <w:rsid w:val="00F000B1"/>
    <w:rsid w:val="00F0021E"/>
    <w:rsid w:val="00F00224"/>
    <w:rsid w:val="00F00429"/>
    <w:rsid w:val="00F0043E"/>
    <w:rsid w:val="00F0047E"/>
    <w:rsid w:val="00F005A2"/>
    <w:rsid w:val="00F005FA"/>
    <w:rsid w:val="00F006AF"/>
    <w:rsid w:val="00F00813"/>
    <w:rsid w:val="00F00880"/>
    <w:rsid w:val="00F00ABF"/>
    <w:rsid w:val="00F00B66"/>
    <w:rsid w:val="00F00E85"/>
    <w:rsid w:val="00F00F14"/>
    <w:rsid w:val="00F0107B"/>
    <w:rsid w:val="00F011EA"/>
    <w:rsid w:val="00F013F5"/>
    <w:rsid w:val="00F014E9"/>
    <w:rsid w:val="00F01795"/>
    <w:rsid w:val="00F01830"/>
    <w:rsid w:val="00F01873"/>
    <w:rsid w:val="00F0187F"/>
    <w:rsid w:val="00F01898"/>
    <w:rsid w:val="00F018F4"/>
    <w:rsid w:val="00F0193F"/>
    <w:rsid w:val="00F01A28"/>
    <w:rsid w:val="00F01A4E"/>
    <w:rsid w:val="00F01B9E"/>
    <w:rsid w:val="00F01BE8"/>
    <w:rsid w:val="00F01BF3"/>
    <w:rsid w:val="00F01D28"/>
    <w:rsid w:val="00F01E3B"/>
    <w:rsid w:val="00F01EFA"/>
    <w:rsid w:val="00F01F0D"/>
    <w:rsid w:val="00F01F32"/>
    <w:rsid w:val="00F01FDD"/>
    <w:rsid w:val="00F020AA"/>
    <w:rsid w:val="00F020D0"/>
    <w:rsid w:val="00F02117"/>
    <w:rsid w:val="00F0217A"/>
    <w:rsid w:val="00F0227D"/>
    <w:rsid w:val="00F022F7"/>
    <w:rsid w:val="00F0232D"/>
    <w:rsid w:val="00F02331"/>
    <w:rsid w:val="00F023B4"/>
    <w:rsid w:val="00F023CD"/>
    <w:rsid w:val="00F02414"/>
    <w:rsid w:val="00F02458"/>
    <w:rsid w:val="00F0245B"/>
    <w:rsid w:val="00F0245E"/>
    <w:rsid w:val="00F024B7"/>
    <w:rsid w:val="00F0263F"/>
    <w:rsid w:val="00F0292B"/>
    <w:rsid w:val="00F0298B"/>
    <w:rsid w:val="00F029F6"/>
    <w:rsid w:val="00F02A46"/>
    <w:rsid w:val="00F02B77"/>
    <w:rsid w:val="00F02BFB"/>
    <w:rsid w:val="00F02C3F"/>
    <w:rsid w:val="00F02C46"/>
    <w:rsid w:val="00F02C51"/>
    <w:rsid w:val="00F02DE9"/>
    <w:rsid w:val="00F02EF0"/>
    <w:rsid w:val="00F02F32"/>
    <w:rsid w:val="00F0300E"/>
    <w:rsid w:val="00F0313A"/>
    <w:rsid w:val="00F0321B"/>
    <w:rsid w:val="00F0334D"/>
    <w:rsid w:val="00F033CF"/>
    <w:rsid w:val="00F034F9"/>
    <w:rsid w:val="00F0352B"/>
    <w:rsid w:val="00F035A4"/>
    <w:rsid w:val="00F035B0"/>
    <w:rsid w:val="00F03607"/>
    <w:rsid w:val="00F0360C"/>
    <w:rsid w:val="00F03631"/>
    <w:rsid w:val="00F03A46"/>
    <w:rsid w:val="00F03C0A"/>
    <w:rsid w:val="00F03C6B"/>
    <w:rsid w:val="00F03D28"/>
    <w:rsid w:val="00F03F5E"/>
    <w:rsid w:val="00F040E6"/>
    <w:rsid w:val="00F04281"/>
    <w:rsid w:val="00F0432E"/>
    <w:rsid w:val="00F0434D"/>
    <w:rsid w:val="00F043CD"/>
    <w:rsid w:val="00F043DF"/>
    <w:rsid w:val="00F044A5"/>
    <w:rsid w:val="00F044E2"/>
    <w:rsid w:val="00F045B9"/>
    <w:rsid w:val="00F045F3"/>
    <w:rsid w:val="00F045FA"/>
    <w:rsid w:val="00F04633"/>
    <w:rsid w:val="00F04738"/>
    <w:rsid w:val="00F047B1"/>
    <w:rsid w:val="00F047F3"/>
    <w:rsid w:val="00F048AD"/>
    <w:rsid w:val="00F0495D"/>
    <w:rsid w:val="00F04A79"/>
    <w:rsid w:val="00F04B8B"/>
    <w:rsid w:val="00F04C74"/>
    <w:rsid w:val="00F04D23"/>
    <w:rsid w:val="00F04DC2"/>
    <w:rsid w:val="00F04ECF"/>
    <w:rsid w:val="00F04F23"/>
    <w:rsid w:val="00F04F36"/>
    <w:rsid w:val="00F04FB8"/>
    <w:rsid w:val="00F05177"/>
    <w:rsid w:val="00F051DA"/>
    <w:rsid w:val="00F05230"/>
    <w:rsid w:val="00F05332"/>
    <w:rsid w:val="00F05336"/>
    <w:rsid w:val="00F05413"/>
    <w:rsid w:val="00F0551E"/>
    <w:rsid w:val="00F0559F"/>
    <w:rsid w:val="00F055BC"/>
    <w:rsid w:val="00F05605"/>
    <w:rsid w:val="00F0579D"/>
    <w:rsid w:val="00F057D6"/>
    <w:rsid w:val="00F058CA"/>
    <w:rsid w:val="00F05995"/>
    <w:rsid w:val="00F059A5"/>
    <w:rsid w:val="00F059D1"/>
    <w:rsid w:val="00F059F8"/>
    <w:rsid w:val="00F05B2F"/>
    <w:rsid w:val="00F05BB7"/>
    <w:rsid w:val="00F05C7C"/>
    <w:rsid w:val="00F05D11"/>
    <w:rsid w:val="00F05D5A"/>
    <w:rsid w:val="00F05F66"/>
    <w:rsid w:val="00F05FA6"/>
    <w:rsid w:val="00F05FF9"/>
    <w:rsid w:val="00F06111"/>
    <w:rsid w:val="00F061B2"/>
    <w:rsid w:val="00F06212"/>
    <w:rsid w:val="00F0636F"/>
    <w:rsid w:val="00F06388"/>
    <w:rsid w:val="00F063F0"/>
    <w:rsid w:val="00F0649A"/>
    <w:rsid w:val="00F0652D"/>
    <w:rsid w:val="00F06539"/>
    <w:rsid w:val="00F06568"/>
    <w:rsid w:val="00F06583"/>
    <w:rsid w:val="00F065FB"/>
    <w:rsid w:val="00F06708"/>
    <w:rsid w:val="00F0682E"/>
    <w:rsid w:val="00F06962"/>
    <w:rsid w:val="00F06963"/>
    <w:rsid w:val="00F06C1D"/>
    <w:rsid w:val="00F06C4C"/>
    <w:rsid w:val="00F06CDA"/>
    <w:rsid w:val="00F06CFE"/>
    <w:rsid w:val="00F06D7E"/>
    <w:rsid w:val="00F06DFB"/>
    <w:rsid w:val="00F06EE7"/>
    <w:rsid w:val="00F07032"/>
    <w:rsid w:val="00F070B6"/>
    <w:rsid w:val="00F07108"/>
    <w:rsid w:val="00F07177"/>
    <w:rsid w:val="00F071E8"/>
    <w:rsid w:val="00F0721C"/>
    <w:rsid w:val="00F07312"/>
    <w:rsid w:val="00F07368"/>
    <w:rsid w:val="00F073A5"/>
    <w:rsid w:val="00F073DF"/>
    <w:rsid w:val="00F075CB"/>
    <w:rsid w:val="00F076A0"/>
    <w:rsid w:val="00F076F4"/>
    <w:rsid w:val="00F07702"/>
    <w:rsid w:val="00F077AE"/>
    <w:rsid w:val="00F077D2"/>
    <w:rsid w:val="00F078F3"/>
    <w:rsid w:val="00F07A98"/>
    <w:rsid w:val="00F07AC2"/>
    <w:rsid w:val="00F07B2C"/>
    <w:rsid w:val="00F07BFC"/>
    <w:rsid w:val="00F07E30"/>
    <w:rsid w:val="00F07E41"/>
    <w:rsid w:val="00F07E8D"/>
    <w:rsid w:val="00F07F05"/>
    <w:rsid w:val="00F1000B"/>
    <w:rsid w:val="00F10029"/>
    <w:rsid w:val="00F10041"/>
    <w:rsid w:val="00F10136"/>
    <w:rsid w:val="00F10229"/>
    <w:rsid w:val="00F1062D"/>
    <w:rsid w:val="00F10639"/>
    <w:rsid w:val="00F10664"/>
    <w:rsid w:val="00F106CF"/>
    <w:rsid w:val="00F107D5"/>
    <w:rsid w:val="00F10992"/>
    <w:rsid w:val="00F10B50"/>
    <w:rsid w:val="00F10B72"/>
    <w:rsid w:val="00F10BD2"/>
    <w:rsid w:val="00F10CB5"/>
    <w:rsid w:val="00F10CB9"/>
    <w:rsid w:val="00F10D06"/>
    <w:rsid w:val="00F10F94"/>
    <w:rsid w:val="00F10FB0"/>
    <w:rsid w:val="00F11020"/>
    <w:rsid w:val="00F11112"/>
    <w:rsid w:val="00F11203"/>
    <w:rsid w:val="00F11261"/>
    <w:rsid w:val="00F112BA"/>
    <w:rsid w:val="00F113D6"/>
    <w:rsid w:val="00F11606"/>
    <w:rsid w:val="00F1168D"/>
    <w:rsid w:val="00F116E2"/>
    <w:rsid w:val="00F11775"/>
    <w:rsid w:val="00F117A0"/>
    <w:rsid w:val="00F118CE"/>
    <w:rsid w:val="00F118D5"/>
    <w:rsid w:val="00F1193B"/>
    <w:rsid w:val="00F1194C"/>
    <w:rsid w:val="00F11A6C"/>
    <w:rsid w:val="00F11A80"/>
    <w:rsid w:val="00F11A8E"/>
    <w:rsid w:val="00F11AF9"/>
    <w:rsid w:val="00F11B74"/>
    <w:rsid w:val="00F11B85"/>
    <w:rsid w:val="00F11C48"/>
    <w:rsid w:val="00F11C9D"/>
    <w:rsid w:val="00F11D04"/>
    <w:rsid w:val="00F11DD7"/>
    <w:rsid w:val="00F11E59"/>
    <w:rsid w:val="00F11EBD"/>
    <w:rsid w:val="00F11EE7"/>
    <w:rsid w:val="00F1210D"/>
    <w:rsid w:val="00F12151"/>
    <w:rsid w:val="00F1224F"/>
    <w:rsid w:val="00F12323"/>
    <w:rsid w:val="00F1240D"/>
    <w:rsid w:val="00F1244B"/>
    <w:rsid w:val="00F125C0"/>
    <w:rsid w:val="00F125D0"/>
    <w:rsid w:val="00F12613"/>
    <w:rsid w:val="00F12853"/>
    <w:rsid w:val="00F12927"/>
    <w:rsid w:val="00F129B6"/>
    <w:rsid w:val="00F12AF0"/>
    <w:rsid w:val="00F12C37"/>
    <w:rsid w:val="00F12C48"/>
    <w:rsid w:val="00F12DD3"/>
    <w:rsid w:val="00F12E3C"/>
    <w:rsid w:val="00F12E78"/>
    <w:rsid w:val="00F12EC7"/>
    <w:rsid w:val="00F12EDE"/>
    <w:rsid w:val="00F12EFB"/>
    <w:rsid w:val="00F1307C"/>
    <w:rsid w:val="00F1313F"/>
    <w:rsid w:val="00F1323B"/>
    <w:rsid w:val="00F13276"/>
    <w:rsid w:val="00F132A7"/>
    <w:rsid w:val="00F132B2"/>
    <w:rsid w:val="00F1330C"/>
    <w:rsid w:val="00F13341"/>
    <w:rsid w:val="00F13417"/>
    <w:rsid w:val="00F134AE"/>
    <w:rsid w:val="00F134FC"/>
    <w:rsid w:val="00F13512"/>
    <w:rsid w:val="00F13520"/>
    <w:rsid w:val="00F13587"/>
    <w:rsid w:val="00F135A9"/>
    <w:rsid w:val="00F135F8"/>
    <w:rsid w:val="00F1362E"/>
    <w:rsid w:val="00F13653"/>
    <w:rsid w:val="00F13708"/>
    <w:rsid w:val="00F13770"/>
    <w:rsid w:val="00F13787"/>
    <w:rsid w:val="00F137AC"/>
    <w:rsid w:val="00F1391D"/>
    <w:rsid w:val="00F13A09"/>
    <w:rsid w:val="00F13A26"/>
    <w:rsid w:val="00F13B03"/>
    <w:rsid w:val="00F13BEB"/>
    <w:rsid w:val="00F13C77"/>
    <w:rsid w:val="00F13CA0"/>
    <w:rsid w:val="00F13DC2"/>
    <w:rsid w:val="00F13E5F"/>
    <w:rsid w:val="00F13EE6"/>
    <w:rsid w:val="00F13EEE"/>
    <w:rsid w:val="00F13F10"/>
    <w:rsid w:val="00F13FAD"/>
    <w:rsid w:val="00F13FCC"/>
    <w:rsid w:val="00F1407B"/>
    <w:rsid w:val="00F14113"/>
    <w:rsid w:val="00F1415D"/>
    <w:rsid w:val="00F141D3"/>
    <w:rsid w:val="00F141DA"/>
    <w:rsid w:val="00F143CF"/>
    <w:rsid w:val="00F144F8"/>
    <w:rsid w:val="00F14553"/>
    <w:rsid w:val="00F1472F"/>
    <w:rsid w:val="00F14777"/>
    <w:rsid w:val="00F147E9"/>
    <w:rsid w:val="00F1488C"/>
    <w:rsid w:val="00F1491C"/>
    <w:rsid w:val="00F149BB"/>
    <w:rsid w:val="00F149FC"/>
    <w:rsid w:val="00F14A55"/>
    <w:rsid w:val="00F14AA2"/>
    <w:rsid w:val="00F14BEC"/>
    <w:rsid w:val="00F14C5C"/>
    <w:rsid w:val="00F14E65"/>
    <w:rsid w:val="00F14F08"/>
    <w:rsid w:val="00F14F3F"/>
    <w:rsid w:val="00F14FBD"/>
    <w:rsid w:val="00F15010"/>
    <w:rsid w:val="00F150E7"/>
    <w:rsid w:val="00F15186"/>
    <w:rsid w:val="00F1518C"/>
    <w:rsid w:val="00F151B6"/>
    <w:rsid w:val="00F151C1"/>
    <w:rsid w:val="00F152A7"/>
    <w:rsid w:val="00F1530D"/>
    <w:rsid w:val="00F15326"/>
    <w:rsid w:val="00F15428"/>
    <w:rsid w:val="00F154AA"/>
    <w:rsid w:val="00F15594"/>
    <w:rsid w:val="00F155B9"/>
    <w:rsid w:val="00F156B4"/>
    <w:rsid w:val="00F156F1"/>
    <w:rsid w:val="00F156F9"/>
    <w:rsid w:val="00F1579A"/>
    <w:rsid w:val="00F15859"/>
    <w:rsid w:val="00F15879"/>
    <w:rsid w:val="00F15970"/>
    <w:rsid w:val="00F15A3F"/>
    <w:rsid w:val="00F15A6E"/>
    <w:rsid w:val="00F15B2A"/>
    <w:rsid w:val="00F15B54"/>
    <w:rsid w:val="00F15BA3"/>
    <w:rsid w:val="00F15BC9"/>
    <w:rsid w:val="00F15BEE"/>
    <w:rsid w:val="00F15BEF"/>
    <w:rsid w:val="00F15C35"/>
    <w:rsid w:val="00F15C5D"/>
    <w:rsid w:val="00F15D37"/>
    <w:rsid w:val="00F15D4A"/>
    <w:rsid w:val="00F15D55"/>
    <w:rsid w:val="00F15E14"/>
    <w:rsid w:val="00F15E4A"/>
    <w:rsid w:val="00F15EAA"/>
    <w:rsid w:val="00F15F5C"/>
    <w:rsid w:val="00F1610F"/>
    <w:rsid w:val="00F161C7"/>
    <w:rsid w:val="00F162CE"/>
    <w:rsid w:val="00F16364"/>
    <w:rsid w:val="00F163AB"/>
    <w:rsid w:val="00F163D7"/>
    <w:rsid w:val="00F163E9"/>
    <w:rsid w:val="00F164E5"/>
    <w:rsid w:val="00F164FC"/>
    <w:rsid w:val="00F1652B"/>
    <w:rsid w:val="00F1656B"/>
    <w:rsid w:val="00F165C8"/>
    <w:rsid w:val="00F166CD"/>
    <w:rsid w:val="00F166F5"/>
    <w:rsid w:val="00F16702"/>
    <w:rsid w:val="00F167A4"/>
    <w:rsid w:val="00F167E9"/>
    <w:rsid w:val="00F16860"/>
    <w:rsid w:val="00F16921"/>
    <w:rsid w:val="00F16975"/>
    <w:rsid w:val="00F1699A"/>
    <w:rsid w:val="00F169EC"/>
    <w:rsid w:val="00F16A8F"/>
    <w:rsid w:val="00F16BD1"/>
    <w:rsid w:val="00F16C22"/>
    <w:rsid w:val="00F16C5B"/>
    <w:rsid w:val="00F16E15"/>
    <w:rsid w:val="00F17133"/>
    <w:rsid w:val="00F1716E"/>
    <w:rsid w:val="00F1719A"/>
    <w:rsid w:val="00F1720D"/>
    <w:rsid w:val="00F172D6"/>
    <w:rsid w:val="00F17312"/>
    <w:rsid w:val="00F174B0"/>
    <w:rsid w:val="00F174B2"/>
    <w:rsid w:val="00F175AB"/>
    <w:rsid w:val="00F17660"/>
    <w:rsid w:val="00F17663"/>
    <w:rsid w:val="00F177ED"/>
    <w:rsid w:val="00F17809"/>
    <w:rsid w:val="00F178BF"/>
    <w:rsid w:val="00F178E8"/>
    <w:rsid w:val="00F17A0E"/>
    <w:rsid w:val="00F17A97"/>
    <w:rsid w:val="00F17B22"/>
    <w:rsid w:val="00F17C39"/>
    <w:rsid w:val="00F17CCE"/>
    <w:rsid w:val="00F17CEE"/>
    <w:rsid w:val="00F17FED"/>
    <w:rsid w:val="00F200BC"/>
    <w:rsid w:val="00F2010B"/>
    <w:rsid w:val="00F20165"/>
    <w:rsid w:val="00F201B5"/>
    <w:rsid w:val="00F202C4"/>
    <w:rsid w:val="00F20361"/>
    <w:rsid w:val="00F203CA"/>
    <w:rsid w:val="00F204D0"/>
    <w:rsid w:val="00F2072D"/>
    <w:rsid w:val="00F20A9D"/>
    <w:rsid w:val="00F20AFA"/>
    <w:rsid w:val="00F20B28"/>
    <w:rsid w:val="00F20BAE"/>
    <w:rsid w:val="00F20C1C"/>
    <w:rsid w:val="00F20CF0"/>
    <w:rsid w:val="00F20D1B"/>
    <w:rsid w:val="00F20DF6"/>
    <w:rsid w:val="00F20E1E"/>
    <w:rsid w:val="00F20E3F"/>
    <w:rsid w:val="00F20E4A"/>
    <w:rsid w:val="00F20E99"/>
    <w:rsid w:val="00F20F09"/>
    <w:rsid w:val="00F2104C"/>
    <w:rsid w:val="00F210B3"/>
    <w:rsid w:val="00F211D7"/>
    <w:rsid w:val="00F21364"/>
    <w:rsid w:val="00F213AD"/>
    <w:rsid w:val="00F2143F"/>
    <w:rsid w:val="00F214A6"/>
    <w:rsid w:val="00F214D1"/>
    <w:rsid w:val="00F214FB"/>
    <w:rsid w:val="00F21519"/>
    <w:rsid w:val="00F215BC"/>
    <w:rsid w:val="00F21644"/>
    <w:rsid w:val="00F21680"/>
    <w:rsid w:val="00F21707"/>
    <w:rsid w:val="00F2183B"/>
    <w:rsid w:val="00F21856"/>
    <w:rsid w:val="00F21864"/>
    <w:rsid w:val="00F21888"/>
    <w:rsid w:val="00F219CD"/>
    <w:rsid w:val="00F21A88"/>
    <w:rsid w:val="00F21E57"/>
    <w:rsid w:val="00F21FB5"/>
    <w:rsid w:val="00F2201C"/>
    <w:rsid w:val="00F224DC"/>
    <w:rsid w:val="00F2253A"/>
    <w:rsid w:val="00F225DF"/>
    <w:rsid w:val="00F22658"/>
    <w:rsid w:val="00F22738"/>
    <w:rsid w:val="00F227DF"/>
    <w:rsid w:val="00F2280B"/>
    <w:rsid w:val="00F22814"/>
    <w:rsid w:val="00F22847"/>
    <w:rsid w:val="00F22870"/>
    <w:rsid w:val="00F2293D"/>
    <w:rsid w:val="00F2295A"/>
    <w:rsid w:val="00F22AC4"/>
    <w:rsid w:val="00F22AF5"/>
    <w:rsid w:val="00F22B51"/>
    <w:rsid w:val="00F22B74"/>
    <w:rsid w:val="00F22BE6"/>
    <w:rsid w:val="00F22C44"/>
    <w:rsid w:val="00F22C6D"/>
    <w:rsid w:val="00F22CC1"/>
    <w:rsid w:val="00F22D4C"/>
    <w:rsid w:val="00F22D78"/>
    <w:rsid w:val="00F23001"/>
    <w:rsid w:val="00F23042"/>
    <w:rsid w:val="00F23168"/>
    <w:rsid w:val="00F231A9"/>
    <w:rsid w:val="00F2323E"/>
    <w:rsid w:val="00F23251"/>
    <w:rsid w:val="00F23266"/>
    <w:rsid w:val="00F232E0"/>
    <w:rsid w:val="00F23337"/>
    <w:rsid w:val="00F2334E"/>
    <w:rsid w:val="00F233B7"/>
    <w:rsid w:val="00F23628"/>
    <w:rsid w:val="00F23662"/>
    <w:rsid w:val="00F2368F"/>
    <w:rsid w:val="00F2388E"/>
    <w:rsid w:val="00F238E3"/>
    <w:rsid w:val="00F23922"/>
    <w:rsid w:val="00F239DF"/>
    <w:rsid w:val="00F23AA6"/>
    <w:rsid w:val="00F23B02"/>
    <w:rsid w:val="00F23B22"/>
    <w:rsid w:val="00F23B55"/>
    <w:rsid w:val="00F23B5C"/>
    <w:rsid w:val="00F23BA5"/>
    <w:rsid w:val="00F23C2C"/>
    <w:rsid w:val="00F23C86"/>
    <w:rsid w:val="00F23CA1"/>
    <w:rsid w:val="00F23CA9"/>
    <w:rsid w:val="00F23D3C"/>
    <w:rsid w:val="00F23D4D"/>
    <w:rsid w:val="00F23E9E"/>
    <w:rsid w:val="00F23EA9"/>
    <w:rsid w:val="00F23FF7"/>
    <w:rsid w:val="00F24074"/>
    <w:rsid w:val="00F24181"/>
    <w:rsid w:val="00F241DC"/>
    <w:rsid w:val="00F242BE"/>
    <w:rsid w:val="00F24415"/>
    <w:rsid w:val="00F2459F"/>
    <w:rsid w:val="00F245DC"/>
    <w:rsid w:val="00F24614"/>
    <w:rsid w:val="00F24624"/>
    <w:rsid w:val="00F24758"/>
    <w:rsid w:val="00F2488D"/>
    <w:rsid w:val="00F24998"/>
    <w:rsid w:val="00F24A16"/>
    <w:rsid w:val="00F24B21"/>
    <w:rsid w:val="00F24B44"/>
    <w:rsid w:val="00F24B65"/>
    <w:rsid w:val="00F24B66"/>
    <w:rsid w:val="00F24C0C"/>
    <w:rsid w:val="00F24C3C"/>
    <w:rsid w:val="00F24C46"/>
    <w:rsid w:val="00F24C83"/>
    <w:rsid w:val="00F24CD5"/>
    <w:rsid w:val="00F24D99"/>
    <w:rsid w:val="00F24D9D"/>
    <w:rsid w:val="00F24DFB"/>
    <w:rsid w:val="00F24E1B"/>
    <w:rsid w:val="00F24EB8"/>
    <w:rsid w:val="00F24ECD"/>
    <w:rsid w:val="00F24F0E"/>
    <w:rsid w:val="00F24F8F"/>
    <w:rsid w:val="00F24FEE"/>
    <w:rsid w:val="00F25003"/>
    <w:rsid w:val="00F25031"/>
    <w:rsid w:val="00F250F2"/>
    <w:rsid w:val="00F251B6"/>
    <w:rsid w:val="00F251C8"/>
    <w:rsid w:val="00F251E6"/>
    <w:rsid w:val="00F252B7"/>
    <w:rsid w:val="00F25323"/>
    <w:rsid w:val="00F25461"/>
    <w:rsid w:val="00F25516"/>
    <w:rsid w:val="00F25563"/>
    <w:rsid w:val="00F256E7"/>
    <w:rsid w:val="00F256E8"/>
    <w:rsid w:val="00F257B2"/>
    <w:rsid w:val="00F25AB9"/>
    <w:rsid w:val="00F25AE1"/>
    <w:rsid w:val="00F25AE6"/>
    <w:rsid w:val="00F25D04"/>
    <w:rsid w:val="00F25D30"/>
    <w:rsid w:val="00F25D7B"/>
    <w:rsid w:val="00F25ED7"/>
    <w:rsid w:val="00F25F27"/>
    <w:rsid w:val="00F26056"/>
    <w:rsid w:val="00F26073"/>
    <w:rsid w:val="00F26100"/>
    <w:rsid w:val="00F26125"/>
    <w:rsid w:val="00F26321"/>
    <w:rsid w:val="00F26438"/>
    <w:rsid w:val="00F264B1"/>
    <w:rsid w:val="00F2655B"/>
    <w:rsid w:val="00F2655C"/>
    <w:rsid w:val="00F266E7"/>
    <w:rsid w:val="00F266F1"/>
    <w:rsid w:val="00F2672D"/>
    <w:rsid w:val="00F267A3"/>
    <w:rsid w:val="00F2696C"/>
    <w:rsid w:val="00F269F7"/>
    <w:rsid w:val="00F26A64"/>
    <w:rsid w:val="00F26A67"/>
    <w:rsid w:val="00F26A74"/>
    <w:rsid w:val="00F26B6A"/>
    <w:rsid w:val="00F26C1A"/>
    <w:rsid w:val="00F26C3D"/>
    <w:rsid w:val="00F26D62"/>
    <w:rsid w:val="00F26D63"/>
    <w:rsid w:val="00F26DB0"/>
    <w:rsid w:val="00F26E66"/>
    <w:rsid w:val="00F26EBD"/>
    <w:rsid w:val="00F26FE0"/>
    <w:rsid w:val="00F270AB"/>
    <w:rsid w:val="00F27204"/>
    <w:rsid w:val="00F27273"/>
    <w:rsid w:val="00F273CA"/>
    <w:rsid w:val="00F27447"/>
    <w:rsid w:val="00F2766E"/>
    <w:rsid w:val="00F27734"/>
    <w:rsid w:val="00F27954"/>
    <w:rsid w:val="00F279B7"/>
    <w:rsid w:val="00F279ED"/>
    <w:rsid w:val="00F27A23"/>
    <w:rsid w:val="00F27A48"/>
    <w:rsid w:val="00F27B27"/>
    <w:rsid w:val="00F27BA5"/>
    <w:rsid w:val="00F27BB7"/>
    <w:rsid w:val="00F27C89"/>
    <w:rsid w:val="00F27DD8"/>
    <w:rsid w:val="00F27E0A"/>
    <w:rsid w:val="00F27E10"/>
    <w:rsid w:val="00F27E37"/>
    <w:rsid w:val="00F27FB6"/>
    <w:rsid w:val="00F30051"/>
    <w:rsid w:val="00F30153"/>
    <w:rsid w:val="00F3017F"/>
    <w:rsid w:val="00F30220"/>
    <w:rsid w:val="00F30237"/>
    <w:rsid w:val="00F30249"/>
    <w:rsid w:val="00F30284"/>
    <w:rsid w:val="00F302C0"/>
    <w:rsid w:val="00F302F1"/>
    <w:rsid w:val="00F30350"/>
    <w:rsid w:val="00F303A3"/>
    <w:rsid w:val="00F303D8"/>
    <w:rsid w:val="00F30422"/>
    <w:rsid w:val="00F3045E"/>
    <w:rsid w:val="00F30531"/>
    <w:rsid w:val="00F30675"/>
    <w:rsid w:val="00F306F9"/>
    <w:rsid w:val="00F30772"/>
    <w:rsid w:val="00F3081C"/>
    <w:rsid w:val="00F30915"/>
    <w:rsid w:val="00F3097F"/>
    <w:rsid w:val="00F309C0"/>
    <w:rsid w:val="00F30A91"/>
    <w:rsid w:val="00F30B1B"/>
    <w:rsid w:val="00F30C15"/>
    <w:rsid w:val="00F30D9E"/>
    <w:rsid w:val="00F30DA3"/>
    <w:rsid w:val="00F30DAD"/>
    <w:rsid w:val="00F30DEE"/>
    <w:rsid w:val="00F30F03"/>
    <w:rsid w:val="00F30FE0"/>
    <w:rsid w:val="00F30FEE"/>
    <w:rsid w:val="00F31021"/>
    <w:rsid w:val="00F3105E"/>
    <w:rsid w:val="00F31079"/>
    <w:rsid w:val="00F310D2"/>
    <w:rsid w:val="00F31101"/>
    <w:rsid w:val="00F31297"/>
    <w:rsid w:val="00F312A9"/>
    <w:rsid w:val="00F312CE"/>
    <w:rsid w:val="00F312D2"/>
    <w:rsid w:val="00F312FD"/>
    <w:rsid w:val="00F3134F"/>
    <w:rsid w:val="00F31378"/>
    <w:rsid w:val="00F31419"/>
    <w:rsid w:val="00F3143A"/>
    <w:rsid w:val="00F3150F"/>
    <w:rsid w:val="00F3162C"/>
    <w:rsid w:val="00F3183E"/>
    <w:rsid w:val="00F31A00"/>
    <w:rsid w:val="00F31A94"/>
    <w:rsid w:val="00F31AEF"/>
    <w:rsid w:val="00F31D01"/>
    <w:rsid w:val="00F31D86"/>
    <w:rsid w:val="00F31E39"/>
    <w:rsid w:val="00F31F1B"/>
    <w:rsid w:val="00F31F9C"/>
    <w:rsid w:val="00F31FAF"/>
    <w:rsid w:val="00F3203C"/>
    <w:rsid w:val="00F32185"/>
    <w:rsid w:val="00F321DC"/>
    <w:rsid w:val="00F323A6"/>
    <w:rsid w:val="00F3245C"/>
    <w:rsid w:val="00F324F7"/>
    <w:rsid w:val="00F32658"/>
    <w:rsid w:val="00F326C2"/>
    <w:rsid w:val="00F32775"/>
    <w:rsid w:val="00F327BC"/>
    <w:rsid w:val="00F32818"/>
    <w:rsid w:val="00F32861"/>
    <w:rsid w:val="00F32880"/>
    <w:rsid w:val="00F3288C"/>
    <w:rsid w:val="00F328D1"/>
    <w:rsid w:val="00F3297F"/>
    <w:rsid w:val="00F329EF"/>
    <w:rsid w:val="00F32B64"/>
    <w:rsid w:val="00F32C2D"/>
    <w:rsid w:val="00F32CEB"/>
    <w:rsid w:val="00F32D01"/>
    <w:rsid w:val="00F32D28"/>
    <w:rsid w:val="00F32EFD"/>
    <w:rsid w:val="00F32F1B"/>
    <w:rsid w:val="00F33145"/>
    <w:rsid w:val="00F33195"/>
    <w:rsid w:val="00F3328C"/>
    <w:rsid w:val="00F33411"/>
    <w:rsid w:val="00F33422"/>
    <w:rsid w:val="00F3344B"/>
    <w:rsid w:val="00F334E1"/>
    <w:rsid w:val="00F33641"/>
    <w:rsid w:val="00F33695"/>
    <w:rsid w:val="00F33726"/>
    <w:rsid w:val="00F33815"/>
    <w:rsid w:val="00F338B2"/>
    <w:rsid w:val="00F33A37"/>
    <w:rsid w:val="00F33BCD"/>
    <w:rsid w:val="00F33C8C"/>
    <w:rsid w:val="00F33D13"/>
    <w:rsid w:val="00F33DB3"/>
    <w:rsid w:val="00F33E6A"/>
    <w:rsid w:val="00F33E70"/>
    <w:rsid w:val="00F33E77"/>
    <w:rsid w:val="00F33ED3"/>
    <w:rsid w:val="00F33F11"/>
    <w:rsid w:val="00F33FF0"/>
    <w:rsid w:val="00F33FF9"/>
    <w:rsid w:val="00F34032"/>
    <w:rsid w:val="00F34204"/>
    <w:rsid w:val="00F34275"/>
    <w:rsid w:val="00F34351"/>
    <w:rsid w:val="00F344D6"/>
    <w:rsid w:val="00F34585"/>
    <w:rsid w:val="00F34617"/>
    <w:rsid w:val="00F34763"/>
    <w:rsid w:val="00F347CE"/>
    <w:rsid w:val="00F347D7"/>
    <w:rsid w:val="00F349BE"/>
    <w:rsid w:val="00F349D1"/>
    <w:rsid w:val="00F34A65"/>
    <w:rsid w:val="00F34AE6"/>
    <w:rsid w:val="00F34C39"/>
    <w:rsid w:val="00F34CE3"/>
    <w:rsid w:val="00F34E76"/>
    <w:rsid w:val="00F34E96"/>
    <w:rsid w:val="00F34EBA"/>
    <w:rsid w:val="00F34F36"/>
    <w:rsid w:val="00F34F6C"/>
    <w:rsid w:val="00F35002"/>
    <w:rsid w:val="00F3515F"/>
    <w:rsid w:val="00F35169"/>
    <w:rsid w:val="00F3518D"/>
    <w:rsid w:val="00F351D4"/>
    <w:rsid w:val="00F351E3"/>
    <w:rsid w:val="00F351F5"/>
    <w:rsid w:val="00F35300"/>
    <w:rsid w:val="00F3539C"/>
    <w:rsid w:val="00F35442"/>
    <w:rsid w:val="00F35584"/>
    <w:rsid w:val="00F355A6"/>
    <w:rsid w:val="00F355AF"/>
    <w:rsid w:val="00F3564A"/>
    <w:rsid w:val="00F359C3"/>
    <w:rsid w:val="00F35A3E"/>
    <w:rsid w:val="00F35A4D"/>
    <w:rsid w:val="00F35AE1"/>
    <w:rsid w:val="00F35BCD"/>
    <w:rsid w:val="00F35BF5"/>
    <w:rsid w:val="00F35C1C"/>
    <w:rsid w:val="00F35CDA"/>
    <w:rsid w:val="00F35D7A"/>
    <w:rsid w:val="00F35DD1"/>
    <w:rsid w:val="00F35DDD"/>
    <w:rsid w:val="00F35E2E"/>
    <w:rsid w:val="00F35E66"/>
    <w:rsid w:val="00F35EDE"/>
    <w:rsid w:val="00F360F3"/>
    <w:rsid w:val="00F3613A"/>
    <w:rsid w:val="00F36175"/>
    <w:rsid w:val="00F362A2"/>
    <w:rsid w:val="00F362BB"/>
    <w:rsid w:val="00F362E7"/>
    <w:rsid w:val="00F3644E"/>
    <w:rsid w:val="00F364B1"/>
    <w:rsid w:val="00F36609"/>
    <w:rsid w:val="00F366CA"/>
    <w:rsid w:val="00F3682D"/>
    <w:rsid w:val="00F369C3"/>
    <w:rsid w:val="00F36A4F"/>
    <w:rsid w:val="00F36ACA"/>
    <w:rsid w:val="00F36B42"/>
    <w:rsid w:val="00F36B59"/>
    <w:rsid w:val="00F36C4C"/>
    <w:rsid w:val="00F36D7F"/>
    <w:rsid w:val="00F36DDA"/>
    <w:rsid w:val="00F36E0C"/>
    <w:rsid w:val="00F36EE8"/>
    <w:rsid w:val="00F36F6B"/>
    <w:rsid w:val="00F3708B"/>
    <w:rsid w:val="00F371C8"/>
    <w:rsid w:val="00F372ED"/>
    <w:rsid w:val="00F37429"/>
    <w:rsid w:val="00F374C2"/>
    <w:rsid w:val="00F37508"/>
    <w:rsid w:val="00F37558"/>
    <w:rsid w:val="00F37683"/>
    <w:rsid w:val="00F377C6"/>
    <w:rsid w:val="00F378CE"/>
    <w:rsid w:val="00F3795B"/>
    <w:rsid w:val="00F37A0C"/>
    <w:rsid w:val="00F37A0F"/>
    <w:rsid w:val="00F37B49"/>
    <w:rsid w:val="00F37CA4"/>
    <w:rsid w:val="00F37CC6"/>
    <w:rsid w:val="00F37CCE"/>
    <w:rsid w:val="00F37E28"/>
    <w:rsid w:val="00F37E2B"/>
    <w:rsid w:val="00F37E2D"/>
    <w:rsid w:val="00F37F84"/>
    <w:rsid w:val="00F37FA5"/>
    <w:rsid w:val="00F37FF4"/>
    <w:rsid w:val="00F3BA56"/>
    <w:rsid w:val="00F40052"/>
    <w:rsid w:val="00F40061"/>
    <w:rsid w:val="00F40090"/>
    <w:rsid w:val="00F400AB"/>
    <w:rsid w:val="00F401F4"/>
    <w:rsid w:val="00F40216"/>
    <w:rsid w:val="00F40439"/>
    <w:rsid w:val="00F40611"/>
    <w:rsid w:val="00F406A8"/>
    <w:rsid w:val="00F40717"/>
    <w:rsid w:val="00F40733"/>
    <w:rsid w:val="00F40866"/>
    <w:rsid w:val="00F40873"/>
    <w:rsid w:val="00F4093A"/>
    <w:rsid w:val="00F409ED"/>
    <w:rsid w:val="00F40A1B"/>
    <w:rsid w:val="00F40AB0"/>
    <w:rsid w:val="00F40C58"/>
    <w:rsid w:val="00F40CF2"/>
    <w:rsid w:val="00F40EC0"/>
    <w:rsid w:val="00F40EC9"/>
    <w:rsid w:val="00F40F11"/>
    <w:rsid w:val="00F41042"/>
    <w:rsid w:val="00F41072"/>
    <w:rsid w:val="00F411A6"/>
    <w:rsid w:val="00F4125B"/>
    <w:rsid w:val="00F412F0"/>
    <w:rsid w:val="00F41323"/>
    <w:rsid w:val="00F413D0"/>
    <w:rsid w:val="00F41508"/>
    <w:rsid w:val="00F4150B"/>
    <w:rsid w:val="00F41515"/>
    <w:rsid w:val="00F41690"/>
    <w:rsid w:val="00F41752"/>
    <w:rsid w:val="00F417C7"/>
    <w:rsid w:val="00F418A3"/>
    <w:rsid w:val="00F418E2"/>
    <w:rsid w:val="00F418FF"/>
    <w:rsid w:val="00F41967"/>
    <w:rsid w:val="00F41A17"/>
    <w:rsid w:val="00F41B5D"/>
    <w:rsid w:val="00F41BA9"/>
    <w:rsid w:val="00F41CC9"/>
    <w:rsid w:val="00F41D48"/>
    <w:rsid w:val="00F42115"/>
    <w:rsid w:val="00F42121"/>
    <w:rsid w:val="00F421F9"/>
    <w:rsid w:val="00F42241"/>
    <w:rsid w:val="00F42278"/>
    <w:rsid w:val="00F422C5"/>
    <w:rsid w:val="00F422CA"/>
    <w:rsid w:val="00F422EE"/>
    <w:rsid w:val="00F4232C"/>
    <w:rsid w:val="00F423B1"/>
    <w:rsid w:val="00F423CB"/>
    <w:rsid w:val="00F423E4"/>
    <w:rsid w:val="00F42500"/>
    <w:rsid w:val="00F42664"/>
    <w:rsid w:val="00F426AE"/>
    <w:rsid w:val="00F426E1"/>
    <w:rsid w:val="00F42736"/>
    <w:rsid w:val="00F4297B"/>
    <w:rsid w:val="00F429A2"/>
    <w:rsid w:val="00F42A54"/>
    <w:rsid w:val="00F42A86"/>
    <w:rsid w:val="00F42C1F"/>
    <w:rsid w:val="00F42D4B"/>
    <w:rsid w:val="00F42DC1"/>
    <w:rsid w:val="00F42DD8"/>
    <w:rsid w:val="00F42DF0"/>
    <w:rsid w:val="00F42E0A"/>
    <w:rsid w:val="00F42E86"/>
    <w:rsid w:val="00F42EA0"/>
    <w:rsid w:val="00F42F2B"/>
    <w:rsid w:val="00F43025"/>
    <w:rsid w:val="00F43139"/>
    <w:rsid w:val="00F43178"/>
    <w:rsid w:val="00F431F6"/>
    <w:rsid w:val="00F43368"/>
    <w:rsid w:val="00F4339A"/>
    <w:rsid w:val="00F434B7"/>
    <w:rsid w:val="00F43516"/>
    <w:rsid w:val="00F4351A"/>
    <w:rsid w:val="00F4355A"/>
    <w:rsid w:val="00F4356D"/>
    <w:rsid w:val="00F435C6"/>
    <w:rsid w:val="00F4364C"/>
    <w:rsid w:val="00F4370A"/>
    <w:rsid w:val="00F4375B"/>
    <w:rsid w:val="00F43827"/>
    <w:rsid w:val="00F438CE"/>
    <w:rsid w:val="00F43958"/>
    <w:rsid w:val="00F43A29"/>
    <w:rsid w:val="00F43B00"/>
    <w:rsid w:val="00F43B70"/>
    <w:rsid w:val="00F43C53"/>
    <w:rsid w:val="00F43F2C"/>
    <w:rsid w:val="00F43F8B"/>
    <w:rsid w:val="00F43FF3"/>
    <w:rsid w:val="00F44047"/>
    <w:rsid w:val="00F44138"/>
    <w:rsid w:val="00F44151"/>
    <w:rsid w:val="00F441F0"/>
    <w:rsid w:val="00F44353"/>
    <w:rsid w:val="00F4439C"/>
    <w:rsid w:val="00F44467"/>
    <w:rsid w:val="00F4452D"/>
    <w:rsid w:val="00F445E4"/>
    <w:rsid w:val="00F446D8"/>
    <w:rsid w:val="00F446DD"/>
    <w:rsid w:val="00F4478C"/>
    <w:rsid w:val="00F44803"/>
    <w:rsid w:val="00F448EC"/>
    <w:rsid w:val="00F4498B"/>
    <w:rsid w:val="00F44A7A"/>
    <w:rsid w:val="00F44A82"/>
    <w:rsid w:val="00F44AD2"/>
    <w:rsid w:val="00F44B5F"/>
    <w:rsid w:val="00F44BDE"/>
    <w:rsid w:val="00F44C48"/>
    <w:rsid w:val="00F44C59"/>
    <w:rsid w:val="00F44C5C"/>
    <w:rsid w:val="00F44C7D"/>
    <w:rsid w:val="00F44CC6"/>
    <w:rsid w:val="00F44E7A"/>
    <w:rsid w:val="00F44F33"/>
    <w:rsid w:val="00F44FC6"/>
    <w:rsid w:val="00F44FEF"/>
    <w:rsid w:val="00F45038"/>
    <w:rsid w:val="00F45120"/>
    <w:rsid w:val="00F45135"/>
    <w:rsid w:val="00F45186"/>
    <w:rsid w:val="00F452C0"/>
    <w:rsid w:val="00F45317"/>
    <w:rsid w:val="00F453A4"/>
    <w:rsid w:val="00F45531"/>
    <w:rsid w:val="00F45553"/>
    <w:rsid w:val="00F455DA"/>
    <w:rsid w:val="00F45759"/>
    <w:rsid w:val="00F4578B"/>
    <w:rsid w:val="00F45941"/>
    <w:rsid w:val="00F45A85"/>
    <w:rsid w:val="00F45AED"/>
    <w:rsid w:val="00F45B89"/>
    <w:rsid w:val="00F45C8B"/>
    <w:rsid w:val="00F45CAC"/>
    <w:rsid w:val="00F45CDD"/>
    <w:rsid w:val="00F45D16"/>
    <w:rsid w:val="00F45D1E"/>
    <w:rsid w:val="00F45DB5"/>
    <w:rsid w:val="00F45E3C"/>
    <w:rsid w:val="00F45F0B"/>
    <w:rsid w:val="00F460AB"/>
    <w:rsid w:val="00F46173"/>
    <w:rsid w:val="00F461F4"/>
    <w:rsid w:val="00F46396"/>
    <w:rsid w:val="00F463D1"/>
    <w:rsid w:val="00F466D5"/>
    <w:rsid w:val="00F46752"/>
    <w:rsid w:val="00F468B5"/>
    <w:rsid w:val="00F46951"/>
    <w:rsid w:val="00F46995"/>
    <w:rsid w:val="00F4699F"/>
    <w:rsid w:val="00F46A58"/>
    <w:rsid w:val="00F46B3B"/>
    <w:rsid w:val="00F46CCE"/>
    <w:rsid w:val="00F46CF1"/>
    <w:rsid w:val="00F46CFF"/>
    <w:rsid w:val="00F46D36"/>
    <w:rsid w:val="00F46DAA"/>
    <w:rsid w:val="00F46ED6"/>
    <w:rsid w:val="00F46F65"/>
    <w:rsid w:val="00F47011"/>
    <w:rsid w:val="00F47173"/>
    <w:rsid w:val="00F471CB"/>
    <w:rsid w:val="00F47231"/>
    <w:rsid w:val="00F472F3"/>
    <w:rsid w:val="00F4730F"/>
    <w:rsid w:val="00F474CF"/>
    <w:rsid w:val="00F4752B"/>
    <w:rsid w:val="00F475B8"/>
    <w:rsid w:val="00F4776C"/>
    <w:rsid w:val="00F477B9"/>
    <w:rsid w:val="00F477E4"/>
    <w:rsid w:val="00F478E4"/>
    <w:rsid w:val="00F47A30"/>
    <w:rsid w:val="00F47A34"/>
    <w:rsid w:val="00F47AD4"/>
    <w:rsid w:val="00F47AF1"/>
    <w:rsid w:val="00F47B29"/>
    <w:rsid w:val="00F47BB0"/>
    <w:rsid w:val="00F47C83"/>
    <w:rsid w:val="00F47D7C"/>
    <w:rsid w:val="00F47E1D"/>
    <w:rsid w:val="00F47E55"/>
    <w:rsid w:val="00F47FD9"/>
    <w:rsid w:val="00F50042"/>
    <w:rsid w:val="00F50051"/>
    <w:rsid w:val="00F50052"/>
    <w:rsid w:val="00F500A7"/>
    <w:rsid w:val="00F50109"/>
    <w:rsid w:val="00F50110"/>
    <w:rsid w:val="00F50142"/>
    <w:rsid w:val="00F501F3"/>
    <w:rsid w:val="00F50255"/>
    <w:rsid w:val="00F50287"/>
    <w:rsid w:val="00F5030B"/>
    <w:rsid w:val="00F50389"/>
    <w:rsid w:val="00F503B5"/>
    <w:rsid w:val="00F5043E"/>
    <w:rsid w:val="00F50538"/>
    <w:rsid w:val="00F5054B"/>
    <w:rsid w:val="00F50623"/>
    <w:rsid w:val="00F50625"/>
    <w:rsid w:val="00F506EF"/>
    <w:rsid w:val="00F5087D"/>
    <w:rsid w:val="00F508E6"/>
    <w:rsid w:val="00F50ABB"/>
    <w:rsid w:val="00F50B36"/>
    <w:rsid w:val="00F50C16"/>
    <w:rsid w:val="00F50CBC"/>
    <w:rsid w:val="00F50D60"/>
    <w:rsid w:val="00F50D88"/>
    <w:rsid w:val="00F50E19"/>
    <w:rsid w:val="00F50E42"/>
    <w:rsid w:val="00F50F29"/>
    <w:rsid w:val="00F50F32"/>
    <w:rsid w:val="00F51142"/>
    <w:rsid w:val="00F511FF"/>
    <w:rsid w:val="00F512E4"/>
    <w:rsid w:val="00F5140D"/>
    <w:rsid w:val="00F514A5"/>
    <w:rsid w:val="00F514F1"/>
    <w:rsid w:val="00F5154D"/>
    <w:rsid w:val="00F51696"/>
    <w:rsid w:val="00F516DB"/>
    <w:rsid w:val="00F5177E"/>
    <w:rsid w:val="00F517B6"/>
    <w:rsid w:val="00F517CF"/>
    <w:rsid w:val="00F5180A"/>
    <w:rsid w:val="00F51811"/>
    <w:rsid w:val="00F5187E"/>
    <w:rsid w:val="00F518AE"/>
    <w:rsid w:val="00F51A20"/>
    <w:rsid w:val="00F51A87"/>
    <w:rsid w:val="00F51B64"/>
    <w:rsid w:val="00F51B83"/>
    <w:rsid w:val="00F51B8F"/>
    <w:rsid w:val="00F51B93"/>
    <w:rsid w:val="00F51BA4"/>
    <w:rsid w:val="00F51C4D"/>
    <w:rsid w:val="00F51C65"/>
    <w:rsid w:val="00F51C6E"/>
    <w:rsid w:val="00F51F75"/>
    <w:rsid w:val="00F51F9A"/>
    <w:rsid w:val="00F52008"/>
    <w:rsid w:val="00F5205D"/>
    <w:rsid w:val="00F5207A"/>
    <w:rsid w:val="00F52114"/>
    <w:rsid w:val="00F522E2"/>
    <w:rsid w:val="00F52343"/>
    <w:rsid w:val="00F52355"/>
    <w:rsid w:val="00F52358"/>
    <w:rsid w:val="00F5243D"/>
    <w:rsid w:val="00F5252B"/>
    <w:rsid w:val="00F52575"/>
    <w:rsid w:val="00F5259B"/>
    <w:rsid w:val="00F52709"/>
    <w:rsid w:val="00F5279C"/>
    <w:rsid w:val="00F527A0"/>
    <w:rsid w:val="00F527B7"/>
    <w:rsid w:val="00F52874"/>
    <w:rsid w:val="00F52A58"/>
    <w:rsid w:val="00F52B05"/>
    <w:rsid w:val="00F52B84"/>
    <w:rsid w:val="00F52B8E"/>
    <w:rsid w:val="00F52DA8"/>
    <w:rsid w:val="00F52DC9"/>
    <w:rsid w:val="00F52EB2"/>
    <w:rsid w:val="00F52FB2"/>
    <w:rsid w:val="00F52FBC"/>
    <w:rsid w:val="00F52FD5"/>
    <w:rsid w:val="00F53021"/>
    <w:rsid w:val="00F53040"/>
    <w:rsid w:val="00F53041"/>
    <w:rsid w:val="00F53062"/>
    <w:rsid w:val="00F530DC"/>
    <w:rsid w:val="00F5316A"/>
    <w:rsid w:val="00F53299"/>
    <w:rsid w:val="00F53314"/>
    <w:rsid w:val="00F5336F"/>
    <w:rsid w:val="00F534E1"/>
    <w:rsid w:val="00F5359C"/>
    <w:rsid w:val="00F5361B"/>
    <w:rsid w:val="00F53681"/>
    <w:rsid w:val="00F536D0"/>
    <w:rsid w:val="00F536E9"/>
    <w:rsid w:val="00F53771"/>
    <w:rsid w:val="00F539AB"/>
    <w:rsid w:val="00F539B6"/>
    <w:rsid w:val="00F53A52"/>
    <w:rsid w:val="00F53AA6"/>
    <w:rsid w:val="00F53E59"/>
    <w:rsid w:val="00F53F2B"/>
    <w:rsid w:val="00F53FE0"/>
    <w:rsid w:val="00F540C5"/>
    <w:rsid w:val="00F541B0"/>
    <w:rsid w:val="00F5426F"/>
    <w:rsid w:val="00F5430C"/>
    <w:rsid w:val="00F543C8"/>
    <w:rsid w:val="00F54683"/>
    <w:rsid w:val="00F546FA"/>
    <w:rsid w:val="00F54715"/>
    <w:rsid w:val="00F548F9"/>
    <w:rsid w:val="00F54977"/>
    <w:rsid w:val="00F54A8A"/>
    <w:rsid w:val="00F54AE9"/>
    <w:rsid w:val="00F54C8A"/>
    <w:rsid w:val="00F54D1E"/>
    <w:rsid w:val="00F54DCE"/>
    <w:rsid w:val="00F54E41"/>
    <w:rsid w:val="00F54E4F"/>
    <w:rsid w:val="00F54F60"/>
    <w:rsid w:val="00F54FF0"/>
    <w:rsid w:val="00F5509B"/>
    <w:rsid w:val="00F550B7"/>
    <w:rsid w:val="00F550C3"/>
    <w:rsid w:val="00F5513E"/>
    <w:rsid w:val="00F55224"/>
    <w:rsid w:val="00F55232"/>
    <w:rsid w:val="00F55288"/>
    <w:rsid w:val="00F5539C"/>
    <w:rsid w:val="00F5547E"/>
    <w:rsid w:val="00F55545"/>
    <w:rsid w:val="00F555FA"/>
    <w:rsid w:val="00F55719"/>
    <w:rsid w:val="00F557DB"/>
    <w:rsid w:val="00F55806"/>
    <w:rsid w:val="00F5581D"/>
    <w:rsid w:val="00F5587B"/>
    <w:rsid w:val="00F559EA"/>
    <w:rsid w:val="00F55A00"/>
    <w:rsid w:val="00F55AF3"/>
    <w:rsid w:val="00F55C71"/>
    <w:rsid w:val="00F55D77"/>
    <w:rsid w:val="00F560BC"/>
    <w:rsid w:val="00F560F3"/>
    <w:rsid w:val="00F5628F"/>
    <w:rsid w:val="00F562C1"/>
    <w:rsid w:val="00F562FA"/>
    <w:rsid w:val="00F56354"/>
    <w:rsid w:val="00F5639D"/>
    <w:rsid w:val="00F56570"/>
    <w:rsid w:val="00F565A3"/>
    <w:rsid w:val="00F56626"/>
    <w:rsid w:val="00F5663E"/>
    <w:rsid w:val="00F5667C"/>
    <w:rsid w:val="00F566EC"/>
    <w:rsid w:val="00F5677C"/>
    <w:rsid w:val="00F5685B"/>
    <w:rsid w:val="00F56909"/>
    <w:rsid w:val="00F56953"/>
    <w:rsid w:val="00F56B5E"/>
    <w:rsid w:val="00F56B62"/>
    <w:rsid w:val="00F56C3F"/>
    <w:rsid w:val="00F56C68"/>
    <w:rsid w:val="00F56DC9"/>
    <w:rsid w:val="00F56DF9"/>
    <w:rsid w:val="00F56FA1"/>
    <w:rsid w:val="00F57184"/>
    <w:rsid w:val="00F57192"/>
    <w:rsid w:val="00F572F8"/>
    <w:rsid w:val="00F574E3"/>
    <w:rsid w:val="00F57535"/>
    <w:rsid w:val="00F5758E"/>
    <w:rsid w:val="00F576C0"/>
    <w:rsid w:val="00F57702"/>
    <w:rsid w:val="00F57725"/>
    <w:rsid w:val="00F57776"/>
    <w:rsid w:val="00F57789"/>
    <w:rsid w:val="00F57802"/>
    <w:rsid w:val="00F578BD"/>
    <w:rsid w:val="00F5799D"/>
    <w:rsid w:val="00F579D1"/>
    <w:rsid w:val="00F57AAF"/>
    <w:rsid w:val="00F57B5E"/>
    <w:rsid w:val="00F57B87"/>
    <w:rsid w:val="00F57C75"/>
    <w:rsid w:val="00F57D10"/>
    <w:rsid w:val="00F57D4F"/>
    <w:rsid w:val="00F57E3C"/>
    <w:rsid w:val="00F57E80"/>
    <w:rsid w:val="00F57F41"/>
    <w:rsid w:val="00F57FB2"/>
    <w:rsid w:val="00F60090"/>
    <w:rsid w:val="00F600C2"/>
    <w:rsid w:val="00F600CA"/>
    <w:rsid w:val="00F600E0"/>
    <w:rsid w:val="00F60221"/>
    <w:rsid w:val="00F6040A"/>
    <w:rsid w:val="00F604A2"/>
    <w:rsid w:val="00F60532"/>
    <w:rsid w:val="00F60545"/>
    <w:rsid w:val="00F6057C"/>
    <w:rsid w:val="00F605AC"/>
    <w:rsid w:val="00F605EF"/>
    <w:rsid w:val="00F60684"/>
    <w:rsid w:val="00F60692"/>
    <w:rsid w:val="00F60754"/>
    <w:rsid w:val="00F6075B"/>
    <w:rsid w:val="00F607A2"/>
    <w:rsid w:val="00F6086E"/>
    <w:rsid w:val="00F60898"/>
    <w:rsid w:val="00F609FD"/>
    <w:rsid w:val="00F60B63"/>
    <w:rsid w:val="00F60DC5"/>
    <w:rsid w:val="00F60E4F"/>
    <w:rsid w:val="00F60F60"/>
    <w:rsid w:val="00F61155"/>
    <w:rsid w:val="00F611A5"/>
    <w:rsid w:val="00F611D8"/>
    <w:rsid w:val="00F611DA"/>
    <w:rsid w:val="00F61216"/>
    <w:rsid w:val="00F6128B"/>
    <w:rsid w:val="00F61301"/>
    <w:rsid w:val="00F61475"/>
    <w:rsid w:val="00F615A3"/>
    <w:rsid w:val="00F616BC"/>
    <w:rsid w:val="00F616FC"/>
    <w:rsid w:val="00F61776"/>
    <w:rsid w:val="00F618A8"/>
    <w:rsid w:val="00F61967"/>
    <w:rsid w:val="00F6196B"/>
    <w:rsid w:val="00F619D2"/>
    <w:rsid w:val="00F61A14"/>
    <w:rsid w:val="00F61AF8"/>
    <w:rsid w:val="00F61C10"/>
    <w:rsid w:val="00F61C5A"/>
    <w:rsid w:val="00F61CA7"/>
    <w:rsid w:val="00F61E0B"/>
    <w:rsid w:val="00F61F54"/>
    <w:rsid w:val="00F6203F"/>
    <w:rsid w:val="00F62087"/>
    <w:rsid w:val="00F6213C"/>
    <w:rsid w:val="00F62201"/>
    <w:rsid w:val="00F62220"/>
    <w:rsid w:val="00F62258"/>
    <w:rsid w:val="00F62361"/>
    <w:rsid w:val="00F6238E"/>
    <w:rsid w:val="00F6243C"/>
    <w:rsid w:val="00F62537"/>
    <w:rsid w:val="00F626E6"/>
    <w:rsid w:val="00F62797"/>
    <w:rsid w:val="00F627C5"/>
    <w:rsid w:val="00F627DC"/>
    <w:rsid w:val="00F6286C"/>
    <w:rsid w:val="00F628B5"/>
    <w:rsid w:val="00F62A88"/>
    <w:rsid w:val="00F62B07"/>
    <w:rsid w:val="00F62BF6"/>
    <w:rsid w:val="00F62C4D"/>
    <w:rsid w:val="00F62C66"/>
    <w:rsid w:val="00F62E16"/>
    <w:rsid w:val="00F62E9F"/>
    <w:rsid w:val="00F62F4E"/>
    <w:rsid w:val="00F62F73"/>
    <w:rsid w:val="00F62F8E"/>
    <w:rsid w:val="00F630CD"/>
    <w:rsid w:val="00F63138"/>
    <w:rsid w:val="00F631F4"/>
    <w:rsid w:val="00F63211"/>
    <w:rsid w:val="00F633F7"/>
    <w:rsid w:val="00F634BD"/>
    <w:rsid w:val="00F635FE"/>
    <w:rsid w:val="00F63619"/>
    <w:rsid w:val="00F6361D"/>
    <w:rsid w:val="00F63638"/>
    <w:rsid w:val="00F636C3"/>
    <w:rsid w:val="00F6377C"/>
    <w:rsid w:val="00F638DC"/>
    <w:rsid w:val="00F63955"/>
    <w:rsid w:val="00F639AF"/>
    <w:rsid w:val="00F63A3D"/>
    <w:rsid w:val="00F63A76"/>
    <w:rsid w:val="00F63B1D"/>
    <w:rsid w:val="00F63B70"/>
    <w:rsid w:val="00F63BAF"/>
    <w:rsid w:val="00F63C74"/>
    <w:rsid w:val="00F63CA6"/>
    <w:rsid w:val="00F63D1D"/>
    <w:rsid w:val="00F63D58"/>
    <w:rsid w:val="00F63EF6"/>
    <w:rsid w:val="00F63F41"/>
    <w:rsid w:val="00F64076"/>
    <w:rsid w:val="00F64141"/>
    <w:rsid w:val="00F6423A"/>
    <w:rsid w:val="00F64303"/>
    <w:rsid w:val="00F64334"/>
    <w:rsid w:val="00F64350"/>
    <w:rsid w:val="00F643E3"/>
    <w:rsid w:val="00F643F0"/>
    <w:rsid w:val="00F64470"/>
    <w:rsid w:val="00F644B5"/>
    <w:rsid w:val="00F64507"/>
    <w:rsid w:val="00F645B0"/>
    <w:rsid w:val="00F64601"/>
    <w:rsid w:val="00F6474C"/>
    <w:rsid w:val="00F647CC"/>
    <w:rsid w:val="00F6489E"/>
    <w:rsid w:val="00F648BE"/>
    <w:rsid w:val="00F6495B"/>
    <w:rsid w:val="00F649DF"/>
    <w:rsid w:val="00F64A44"/>
    <w:rsid w:val="00F64AC8"/>
    <w:rsid w:val="00F64ACF"/>
    <w:rsid w:val="00F64AFA"/>
    <w:rsid w:val="00F64BE3"/>
    <w:rsid w:val="00F64D15"/>
    <w:rsid w:val="00F64EB8"/>
    <w:rsid w:val="00F65005"/>
    <w:rsid w:val="00F65086"/>
    <w:rsid w:val="00F6523E"/>
    <w:rsid w:val="00F6524B"/>
    <w:rsid w:val="00F65410"/>
    <w:rsid w:val="00F6555C"/>
    <w:rsid w:val="00F65570"/>
    <w:rsid w:val="00F655EC"/>
    <w:rsid w:val="00F655F0"/>
    <w:rsid w:val="00F65674"/>
    <w:rsid w:val="00F656F1"/>
    <w:rsid w:val="00F65751"/>
    <w:rsid w:val="00F6575A"/>
    <w:rsid w:val="00F65809"/>
    <w:rsid w:val="00F6581F"/>
    <w:rsid w:val="00F6582F"/>
    <w:rsid w:val="00F65884"/>
    <w:rsid w:val="00F65911"/>
    <w:rsid w:val="00F659AF"/>
    <w:rsid w:val="00F659C5"/>
    <w:rsid w:val="00F65AC4"/>
    <w:rsid w:val="00F65B4E"/>
    <w:rsid w:val="00F65B51"/>
    <w:rsid w:val="00F65B73"/>
    <w:rsid w:val="00F65BAF"/>
    <w:rsid w:val="00F65C32"/>
    <w:rsid w:val="00F65CB5"/>
    <w:rsid w:val="00F65CB7"/>
    <w:rsid w:val="00F65D6C"/>
    <w:rsid w:val="00F65DAD"/>
    <w:rsid w:val="00F65F04"/>
    <w:rsid w:val="00F65F12"/>
    <w:rsid w:val="00F65F41"/>
    <w:rsid w:val="00F65FA5"/>
    <w:rsid w:val="00F660E2"/>
    <w:rsid w:val="00F66202"/>
    <w:rsid w:val="00F66206"/>
    <w:rsid w:val="00F66361"/>
    <w:rsid w:val="00F6637C"/>
    <w:rsid w:val="00F66467"/>
    <w:rsid w:val="00F66507"/>
    <w:rsid w:val="00F66549"/>
    <w:rsid w:val="00F665A5"/>
    <w:rsid w:val="00F665AA"/>
    <w:rsid w:val="00F66602"/>
    <w:rsid w:val="00F6664F"/>
    <w:rsid w:val="00F66667"/>
    <w:rsid w:val="00F666D2"/>
    <w:rsid w:val="00F6672F"/>
    <w:rsid w:val="00F66949"/>
    <w:rsid w:val="00F669CD"/>
    <w:rsid w:val="00F669DD"/>
    <w:rsid w:val="00F669F1"/>
    <w:rsid w:val="00F66AE6"/>
    <w:rsid w:val="00F66B02"/>
    <w:rsid w:val="00F66B6D"/>
    <w:rsid w:val="00F66B7D"/>
    <w:rsid w:val="00F66BFC"/>
    <w:rsid w:val="00F66C74"/>
    <w:rsid w:val="00F66E8C"/>
    <w:rsid w:val="00F66F1E"/>
    <w:rsid w:val="00F66F2B"/>
    <w:rsid w:val="00F66FD9"/>
    <w:rsid w:val="00F670A6"/>
    <w:rsid w:val="00F6712C"/>
    <w:rsid w:val="00F6741B"/>
    <w:rsid w:val="00F6745F"/>
    <w:rsid w:val="00F674A7"/>
    <w:rsid w:val="00F67641"/>
    <w:rsid w:val="00F67651"/>
    <w:rsid w:val="00F6771E"/>
    <w:rsid w:val="00F67A72"/>
    <w:rsid w:val="00F67B3B"/>
    <w:rsid w:val="00F67DBB"/>
    <w:rsid w:val="00F67F30"/>
    <w:rsid w:val="00F67FE3"/>
    <w:rsid w:val="00F70012"/>
    <w:rsid w:val="00F700E2"/>
    <w:rsid w:val="00F7026A"/>
    <w:rsid w:val="00F702D5"/>
    <w:rsid w:val="00F702E9"/>
    <w:rsid w:val="00F7033C"/>
    <w:rsid w:val="00F703C1"/>
    <w:rsid w:val="00F70423"/>
    <w:rsid w:val="00F70478"/>
    <w:rsid w:val="00F706D9"/>
    <w:rsid w:val="00F7089B"/>
    <w:rsid w:val="00F708B9"/>
    <w:rsid w:val="00F708F3"/>
    <w:rsid w:val="00F70A92"/>
    <w:rsid w:val="00F70ABD"/>
    <w:rsid w:val="00F70C01"/>
    <w:rsid w:val="00F70C35"/>
    <w:rsid w:val="00F70C95"/>
    <w:rsid w:val="00F70CA1"/>
    <w:rsid w:val="00F70D37"/>
    <w:rsid w:val="00F70E37"/>
    <w:rsid w:val="00F70E54"/>
    <w:rsid w:val="00F71060"/>
    <w:rsid w:val="00F7107B"/>
    <w:rsid w:val="00F71095"/>
    <w:rsid w:val="00F711FA"/>
    <w:rsid w:val="00F71398"/>
    <w:rsid w:val="00F7145C"/>
    <w:rsid w:val="00F714E0"/>
    <w:rsid w:val="00F71521"/>
    <w:rsid w:val="00F715DE"/>
    <w:rsid w:val="00F71690"/>
    <w:rsid w:val="00F71691"/>
    <w:rsid w:val="00F71918"/>
    <w:rsid w:val="00F71995"/>
    <w:rsid w:val="00F71A25"/>
    <w:rsid w:val="00F71A5F"/>
    <w:rsid w:val="00F71B42"/>
    <w:rsid w:val="00F71B5A"/>
    <w:rsid w:val="00F71CDD"/>
    <w:rsid w:val="00F71E1E"/>
    <w:rsid w:val="00F71EB5"/>
    <w:rsid w:val="00F71FB6"/>
    <w:rsid w:val="00F7210F"/>
    <w:rsid w:val="00F723A5"/>
    <w:rsid w:val="00F723C4"/>
    <w:rsid w:val="00F724C7"/>
    <w:rsid w:val="00F725AB"/>
    <w:rsid w:val="00F726BE"/>
    <w:rsid w:val="00F72762"/>
    <w:rsid w:val="00F727E0"/>
    <w:rsid w:val="00F72878"/>
    <w:rsid w:val="00F72A11"/>
    <w:rsid w:val="00F72A32"/>
    <w:rsid w:val="00F72B4C"/>
    <w:rsid w:val="00F72DD3"/>
    <w:rsid w:val="00F72E3B"/>
    <w:rsid w:val="00F72EEE"/>
    <w:rsid w:val="00F72FAC"/>
    <w:rsid w:val="00F72FAF"/>
    <w:rsid w:val="00F73050"/>
    <w:rsid w:val="00F7307B"/>
    <w:rsid w:val="00F731C2"/>
    <w:rsid w:val="00F731D2"/>
    <w:rsid w:val="00F7327C"/>
    <w:rsid w:val="00F733F9"/>
    <w:rsid w:val="00F7346D"/>
    <w:rsid w:val="00F7347E"/>
    <w:rsid w:val="00F73497"/>
    <w:rsid w:val="00F734BB"/>
    <w:rsid w:val="00F73574"/>
    <w:rsid w:val="00F73596"/>
    <w:rsid w:val="00F73790"/>
    <w:rsid w:val="00F737AC"/>
    <w:rsid w:val="00F7383B"/>
    <w:rsid w:val="00F7394C"/>
    <w:rsid w:val="00F73993"/>
    <w:rsid w:val="00F73A2B"/>
    <w:rsid w:val="00F73AAE"/>
    <w:rsid w:val="00F73B8B"/>
    <w:rsid w:val="00F73BBA"/>
    <w:rsid w:val="00F73D86"/>
    <w:rsid w:val="00F73ED0"/>
    <w:rsid w:val="00F73F0F"/>
    <w:rsid w:val="00F73F51"/>
    <w:rsid w:val="00F74034"/>
    <w:rsid w:val="00F74064"/>
    <w:rsid w:val="00F7418B"/>
    <w:rsid w:val="00F74241"/>
    <w:rsid w:val="00F742E1"/>
    <w:rsid w:val="00F74348"/>
    <w:rsid w:val="00F7435C"/>
    <w:rsid w:val="00F744BF"/>
    <w:rsid w:val="00F74793"/>
    <w:rsid w:val="00F747BE"/>
    <w:rsid w:val="00F74816"/>
    <w:rsid w:val="00F748CC"/>
    <w:rsid w:val="00F74A07"/>
    <w:rsid w:val="00F74A49"/>
    <w:rsid w:val="00F74A59"/>
    <w:rsid w:val="00F74AC0"/>
    <w:rsid w:val="00F74ADB"/>
    <w:rsid w:val="00F74B8A"/>
    <w:rsid w:val="00F74C24"/>
    <w:rsid w:val="00F74C6C"/>
    <w:rsid w:val="00F74CD8"/>
    <w:rsid w:val="00F74F38"/>
    <w:rsid w:val="00F74FB3"/>
    <w:rsid w:val="00F75060"/>
    <w:rsid w:val="00F750F8"/>
    <w:rsid w:val="00F7511D"/>
    <w:rsid w:val="00F75180"/>
    <w:rsid w:val="00F75183"/>
    <w:rsid w:val="00F751C6"/>
    <w:rsid w:val="00F751E2"/>
    <w:rsid w:val="00F75255"/>
    <w:rsid w:val="00F753C0"/>
    <w:rsid w:val="00F755AE"/>
    <w:rsid w:val="00F755C9"/>
    <w:rsid w:val="00F75609"/>
    <w:rsid w:val="00F757C8"/>
    <w:rsid w:val="00F757E9"/>
    <w:rsid w:val="00F75849"/>
    <w:rsid w:val="00F7585B"/>
    <w:rsid w:val="00F7585D"/>
    <w:rsid w:val="00F758D1"/>
    <w:rsid w:val="00F758DC"/>
    <w:rsid w:val="00F759A7"/>
    <w:rsid w:val="00F75A10"/>
    <w:rsid w:val="00F75A3B"/>
    <w:rsid w:val="00F75AB0"/>
    <w:rsid w:val="00F75B8D"/>
    <w:rsid w:val="00F75C08"/>
    <w:rsid w:val="00F75CAD"/>
    <w:rsid w:val="00F75CFC"/>
    <w:rsid w:val="00F75DC4"/>
    <w:rsid w:val="00F75DFA"/>
    <w:rsid w:val="00F75ED6"/>
    <w:rsid w:val="00F75F58"/>
    <w:rsid w:val="00F7607B"/>
    <w:rsid w:val="00F76092"/>
    <w:rsid w:val="00F760FD"/>
    <w:rsid w:val="00F76221"/>
    <w:rsid w:val="00F76240"/>
    <w:rsid w:val="00F76291"/>
    <w:rsid w:val="00F7629C"/>
    <w:rsid w:val="00F762C8"/>
    <w:rsid w:val="00F762DA"/>
    <w:rsid w:val="00F7639C"/>
    <w:rsid w:val="00F7644D"/>
    <w:rsid w:val="00F7649E"/>
    <w:rsid w:val="00F76554"/>
    <w:rsid w:val="00F76572"/>
    <w:rsid w:val="00F765A8"/>
    <w:rsid w:val="00F76679"/>
    <w:rsid w:val="00F7672D"/>
    <w:rsid w:val="00F76860"/>
    <w:rsid w:val="00F76861"/>
    <w:rsid w:val="00F76931"/>
    <w:rsid w:val="00F769A5"/>
    <w:rsid w:val="00F769BA"/>
    <w:rsid w:val="00F769FF"/>
    <w:rsid w:val="00F76AC3"/>
    <w:rsid w:val="00F76B40"/>
    <w:rsid w:val="00F76BFD"/>
    <w:rsid w:val="00F76C6A"/>
    <w:rsid w:val="00F76C7F"/>
    <w:rsid w:val="00F76CC6"/>
    <w:rsid w:val="00F76E5A"/>
    <w:rsid w:val="00F76F87"/>
    <w:rsid w:val="00F76F93"/>
    <w:rsid w:val="00F76FC4"/>
    <w:rsid w:val="00F76FE5"/>
    <w:rsid w:val="00F77083"/>
    <w:rsid w:val="00F77299"/>
    <w:rsid w:val="00F77329"/>
    <w:rsid w:val="00F773A0"/>
    <w:rsid w:val="00F773DA"/>
    <w:rsid w:val="00F773E5"/>
    <w:rsid w:val="00F774AF"/>
    <w:rsid w:val="00F775A8"/>
    <w:rsid w:val="00F7761D"/>
    <w:rsid w:val="00F776CA"/>
    <w:rsid w:val="00F7772C"/>
    <w:rsid w:val="00F77816"/>
    <w:rsid w:val="00F778EC"/>
    <w:rsid w:val="00F7792A"/>
    <w:rsid w:val="00F7797B"/>
    <w:rsid w:val="00F779F7"/>
    <w:rsid w:val="00F77AE6"/>
    <w:rsid w:val="00F77B16"/>
    <w:rsid w:val="00F77B99"/>
    <w:rsid w:val="00F77BA3"/>
    <w:rsid w:val="00F77BC2"/>
    <w:rsid w:val="00F77CFD"/>
    <w:rsid w:val="00F77D68"/>
    <w:rsid w:val="00F77DB2"/>
    <w:rsid w:val="00F77DF0"/>
    <w:rsid w:val="00F77E43"/>
    <w:rsid w:val="00F77EA7"/>
    <w:rsid w:val="00F77F0B"/>
    <w:rsid w:val="00F77F0D"/>
    <w:rsid w:val="00F80026"/>
    <w:rsid w:val="00F80046"/>
    <w:rsid w:val="00F80353"/>
    <w:rsid w:val="00F80445"/>
    <w:rsid w:val="00F804DF"/>
    <w:rsid w:val="00F805FD"/>
    <w:rsid w:val="00F8063A"/>
    <w:rsid w:val="00F807D5"/>
    <w:rsid w:val="00F80859"/>
    <w:rsid w:val="00F808B2"/>
    <w:rsid w:val="00F808B4"/>
    <w:rsid w:val="00F80A20"/>
    <w:rsid w:val="00F80B97"/>
    <w:rsid w:val="00F80C75"/>
    <w:rsid w:val="00F80C99"/>
    <w:rsid w:val="00F80DCA"/>
    <w:rsid w:val="00F80F82"/>
    <w:rsid w:val="00F81089"/>
    <w:rsid w:val="00F810E4"/>
    <w:rsid w:val="00F8117B"/>
    <w:rsid w:val="00F8125E"/>
    <w:rsid w:val="00F81270"/>
    <w:rsid w:val="00F81291"/>
    <w:rsid w:val="00F812A1"/>
    <w:rsid w:val="00F812C4"/>
    <w:rsid w:val="00F812F6"/>
    <w:rsid w:val="00F81357"/>
    <w:rsid w:val="00F81462"/>
    <w:rsid w:val="00F8148D"/>
    <w:rsid w:val="00F81492"/>
    <w:rsid w:val="00F814D3"/>
    <w:rsid w:val="00F8150B"/>
    <w:rsid w:val="00F8156E"/>
    <w:rsid w:val="00F81765"/>
    <w:rsid w:val="00F8179B"/>
    <w:rsid w:val="00F818DA"/>
    <w:rsid w:val="00F819F0"/>
    <w:rsid w:val="00F81A18"/>
    <w:rsid w:val="00F81A8F"/>
    <w:rsid w:val="00F81AD0"/>
    <w:rsid w:val="00F81BA8"/>
    <w:rsid w:val="00F81C4E"/>
    <w:rsid w:val="00F81D8A"/>
    <w:rsid w:val="00F81DC1"/>
    <w:rsid w:val="00F81DDA"/>
    <w:rsid w:val="00F81E31"/>
    <w:rsid w:val="00F81E5C"/>
    <w:rsid w:val="00F81E89"/>
    <w:rsid w:val="00F81FAC"/>
    <w:rsid w:val="00F81FEF"/>
    <w:rsid w:val="00F82029"/>
    <w:rsid w:val="00F82088"/>
    <w:rsid w:val="00F8210B"/>
    <w:rsid w:val="00F82117"/>
    <w:rsid w:val="00F8214D"/>
    <w:rsid w:val="00F821BA"/>
    <w:rsid w:val="00F821E2"/>
    <w:rsid w:val="00F82253"/>
    <w:rsid w:val="00F822D7"/>
    <w:rsid w:val="00F8235F"/>
    <w:rsid w:val="00F8241D"/>
    <w:rsid w:val="00F82430"/>
    <w:rsid w:val="00F824C9"/>
    <w:rsid w:val="00F827A3"/>
    <w:rsid w:val="00F8280F"/>
    <w:rsid w:val="00F82896"/>
    <w:rsid w:val="00F82970"/>
    <w:rsid w:val="00F82A0B"/>
    <w:rsid w:val="00F82A21"/>
    <w:rsid w:val="00F82B2B"/>
    <w:rsid w:val="00F82BBE"/>
    <w:rsid w:val="00F82BF9"/>
    <w:rsid w:val="00F82D13"/>
    <w:rsid w:val="00F82D71"/>
    <w:rsid w:val="00F82DD4"/>
    <w:rsid w:val="00F82F3F"/>
    <w:rsid w:val="00F8312B"/>
    <w:rsid w:val="00F832B6"/>
    <w:rsid w:val="00F832D8"/>
    <w:rsid w:val="00F83405"/>
    <w:rsid w:val="00F834A1"/>
    <w:rsid w:val="00F83532"/>
    <w:rsid w:val="00F8356E"/>
    <w:rsid w:val="00F8372B"/>
    <w:rsid w:val="00F83754"/>
    <w:rsid w:val="00F837F7"/>
    <w:rsid w:val="00F8392C"/>
    <w:rsid w:val="00F83941"/>
    <w:rsid w:val="00F8396D"/>
    <w:rsid w:val="00F83A3C"/>
    <w:rsid w:val="00F83A7D"/>
    <w:rsid w:val="00F83A90"/>
    <w:rsid w:val="00F83B28"/>
    <w:rsid w:val="00F83B7F"/>
    <w:rsid w:val="00F83C99"/>
    <w:rsid w:val="00F83E01"/>
    <w:rsid w:val="00F83ED3"/>
    <w:rsid w:val="00F83EE6"/>
    <w:rsid w:val="00F83FD7"/>
    <w:rsid w:val="00F83FD8"/>
    <w:rsid w:val="00F83FD9"/>
    <w:rsid w:val="00F840C2"/>
    <w:rsid w:val="00F8412B"/>
    <w:rsid w:val="00F841DB"/>
    <w:rsid w:val="00F84218"/>
    <w:rsid w:val="00F84285"/>
    <w:rsid w:val="00F842D2"/>
    <w:rsid w:val="00F84459"/>
    <w:rsid w:val="00F844A8"/>
    <w:rsid w:val="00F845C4"/>
    <w:rsid w:val="00F845DA"/>
    <w:rsid w:val="00F84665"/>
    <w:rsid w:val="00F846DE"/>
    <w:rsid w:val="00F846F4"/>
    <w:rsid w:val="00F8473B"/>
    <w:rsid w:val="00F84759"/>
    <w:rsid w:val="00F84828"/>
    <w:rsid w:val="00F848AC"/>
    <w:rsid w:val="00F849A9"/>
    <w:rsid w:val="00F849C7"/>
    <w:rsid w:val="00F84A2C"/>
    <w:rsid w:val="00F84A60"/>
    <w:rsid w:val="00F84C17"/>
    <w:rsid w:val="00F84C25"/>
    <w:rsid w:val="00F84CF3"/>
    <w:rsid w:val="00F84DC3"/>
    <w:rsid w:val="00F84DCA"/>
    <w:rsid w:val="00F84E18"/>
    <w:rsid w:val="00F8505A"/>
    <w:rsid w:val="00F85103"/>
    <w:rsid w:val="00F85156"/>
    <w:rsid w:val="00F85177"/>
    <w:rsid w:val="00F85289"/>
    <w:rsid w:val="00F852AF"/>
    <w:rsid w:val="00F852C3"/>
    <w:rsid w:val="00F8543E"/>
    <w:rsid w:val="00F854AA"/>
    <w:rsid w:val="00F85533"/>
    <w:rsid w:val="00F8559C"/>
    <w:rsid w:val="00F855F0"/>
    <w:rsid w:val="00F856EE"/>
    <w:rsid w:val="00F85844"/>
    <w:rsid w:val="00F85861"/>
    <w:rsid w:val="00F85918"/>
    <w:rsid w:val="00F8592B"/>
    <w:rsid w:val="00F8599E"/>
    <w:rsid w:val="00F85AE9"/>
    <w:rsid w:val="00F85CC8"/>
    <w:rsid w:val="00F85CEA"/>
    <w:rsid w:val="00F85D51"/>
    <w:rsid w:val="00F85DD2"/>
    <w:rsid w:val="00F85E03"/>
    <w:rsid w:val="00F85E68"/>
    <w:rsid w:val="00F85E92"/>
    <w:rsid w:val="00F85EAD"/>
    <w:rsid w:val="00F85FFD"/>
    <w:rsid w:val="00F86059"/>
    <w:rsid w:val="00F86064"/>
    <w:rsid w:val="00F86190"/>
    <w:rsid w:val="00F863D3"/>
    <w:rsid w:val="00F8644E"/>
    <w:rsid w:val="00F86457"/>
    <w:rsid w:val="00F8645B"/>
    <w:rsid w:val="00F864F9"/>
    <w:rsid w:val="00F86706"/>
    <w:rsid w:val="00F8672A"/>
    <w:rsid w:val="00F8685C"/>
    <w:rsid w:val="00F868A9"/>
    <w:rsid w:val="00F86AB4"/>
    <w:rsid w:val="00F86B1D"/>
    <w:rsid w:val="00F86BC2"/>
    <w:rsid w:val="00F86BE9"/>
    <w:rsid w:val="00F86CEC"/>
    <w:rsid w:val="00F86EA0"/>
    <w:rsid w:val="00F86EF3"/>
    <w:rsid w:val="00F871C8"/>
    <w:rsid w:val="00F8758D"/>
    <w:rsid w:val="00F8758E"/>
    <w:rsid w:val="00F8760E"/>
    <w:rsid w:val="00F87861"/>
    <w:rsid w:val="00F878E2"/>
    <w:rsid w:val="00F87917"/>
    <w:rsid w:val="00F87987"/>
    <w:rsid w:val="00F87A73"/>
    <w:rsid w:val="00F87A80"/>
    <w:rsid w:val="00F87BAA"/>
    <w:rsid w:val="00F87BB0"/>
    <w:rsid w:val="00F87C07"/>
    <w:rsid w:val="00F87D12"/>
    <w:rsid w:val="00F87EAE"/>
    <w:rsid w:val="00F87EF2"/>
    <w:rsid w:val="00F87F59"/>
    <w:rsid w:val="00F90120"/>
    <w:rsid w:val="00F9019B"/>
    <w:rsid w:val="00F901A4"/>
    <w:rsid w:val="00F90220"/>
    <w:rsid w:val="00F90261"/>
    <w:rsid w:val="00F90300"/>
    <w:rsid w:val="00F9030C"/>
    <w:rsid w:val="00F903FC"/>
    <w:rsid w:val="00F9048F"/>
    <w:rsid w:val="00F90518"/>
    <w:rsid w:val="00F9065D"/>
    <w:rsid w:val="00F90697"/>
    <w:rsid w:val="00F906B7"/>
    <w:rsid w:val="00F9076D"/>
    <w:rsid w:val="00F9079D"/>
    <w:rsid w:val="00F907F2"/>
    <w:rsid w:val="00F907F6"/>
    <w:rsid w:val="00F909AD"/>
    <w:rsid w:val="00F90A12"/>
    <w:rsid w:val="00F90A28"/>
    <w:rsid w:val="00F90A9C"/>
    <w:rsid w:val="00F90C64"/>
    <w:rsid w:val="00F90C95"/>
    <w:rsid w:val="00F90CEB"/>
    <w:rsid w:val="00F90CF5"/>
    <w:rsid w:val="00F90D06"/>
    <w:rsid w:val="00F90E94"/>
    <w:rsid w:val="00F90EB7"/>
    <w:rsid w:val="00F90F1C"/>
    <w:rsid w:val="00F91021"/>
    <w:rsid w:val="00F9107C"/>
    <w:rsid w:val="00F910C7"/>
    <w:rsid w:val="00F910CA"/>
    <w:rsid w:val="00F9113D"/>
    <w:rsid w:val="00F9119D"/>
    <w:rsid w:val="00F91253"/>
    <w:rsid w:val="00F91287"/>
    <w:rsid w:val="00F91459"/>
    <w:rsid w:val="00F91491"/>
    <w:rsid w:val="00F91583"/>
    <w:rsid w:val="00F916B3"/>
    <w:rsid w:val="00F91759"/>
    <w:rsid w:val="00F91760"/>
    <w:rsid w:val="00F9187C"/>
    <w:rsid w:val="00F918FE"/>
    <w:rsid w:val="00F91928"/>
    <w:rsid w:val="00F91A38"/>
    <w:rsid w:val="00F91B59"/>
    <w:rsid w:val="00F91CA5"/>
    <w:rsid w:val="00F91CEE"/>
    <w:rsid w:val="00F91D1B"/>
    <w:rsid w:val="00F91E9C"/>
    <w:rsid w:val="00F91EA1"/>
    <w:rsid w:val="00F91EA6"/>
    <w:rsid w:val="00F91F90"/>
    <w:rsid w:val="00F9200C"/>
    <w:rsid w:val="00F920C3"/>
    <w:rsid w:val="00F92127"/>
    <w:rsid w:val="00F92139"/>
    <w:rsid w:val="00F921A3"/>
    <w:rsid w:val="00F921C6"/>
    <w:rsid w:val="00F921CF"/>
    <w:rsid w:val="00F92333"/>
    <w:rsid w:val="00F9238C"/>
    <w:rsid w:val="00F924C5"/>
    <w:rsid w:val="00F92543"/>
    <w:rsid w:val="00F925CF"/>
    <w:rsid w:val="00F925FE"/>
    <w:rsid w:val="00F92697"/>
    <w:rsid w:val="00F92736"/>
    <w:rsid w:val="00F927B7"/>
    <w:rsid w:val="00F9283B"/>
    <w:rsid w:val="00F928C9"/>
    <w:rsid w:val="00F92902"/>
    <w:rsid w:val="00F929D6"/>
    <w:rsid w:val="00F92B51"/>
    <w:rsid w:val="00F92BB9"/>
    <w:rsid w:val="00F92C46"/>
    <w:rsid w:val="00F92DA7"/>
    <w:rsid w:val="00F92DC3"/>
    <w:rsid w:val="00F92E6D"/>
    <w:rsid w:val="00F92EDC"/>
    <w:rsid w:val="00F93024"/>
    <w:rsid w:val="00F930C6"/>
    <w:rsid w:val="00F93145"/>
    <w:rsid w:val="00F931A4"/>
    <w:rsid w:val="00F931DF"/>
    <w:rsid w:val="00F93208"/>
    <w:rsid w:val="00F93269"/>
    <w:rsid w:val="00F932B2"/>
    <w:rsid w:val="00F932B5"/>
    <w:rsid w:val="00F932ED"/>
    <w:rsid w:val="00F93317"/>
    <w:rsid w:val="00F9338B"/>
    <w:rsid w:val="00F93409"/>
    <w:rsid w:val="00F93419"/>
    <w:rsid w:val="00F93470"/>
    <w:rsid w:val="00F93471"/>
    <w:rsid w:val="00F934B5"/>
    <w:rsid w:val="00F934EC"/>
    <w:rsid w:val="00F93534"/>
    <w:rsid w:val="00F93566"/>
    <w:rsid w:val="00F93572"/>
    <w:rsid w:val="00F93615"/>
    <w:rsid w:val="00F9363A"/>
    <w:rsid w:val="00F936C5"/>
    <w:rsid w:val="00F936CB"/>
    <w:rsid w:val="00F937A6"/>
    <w:rsid w:val="00F93848"/>
    <w:rsid w:val="00F93865"/>
    <w:rsid w:val="00F93942"/>
    <w:rsid w:val="00F9398B"/>
    <w:rsid w:val="00F93B0D"/>
    <w:rsid w:val="00F93C37"/>
    <w:rsid w:val="00F93D76"/>
    <w:rsid w:val="00F93D9A"/>
    <w:rsid w:val="00F93E0D"/>
    <w:rsid w:val="00F93FB8"/>
    <w:rsid w:val="00F94059"/>
    <w:rsid w:val="00F9409D"/>
    <w:rsid w:val="00F941B9"/>
    <w:rsid w:val="00F941E4"/>
    <w:rsid w:val="00F941E8"/>
    <w:rsid w:val="00F9426D"/>
    <w:rsid w:val="00F942F7"/>
    <w:rsid w:val="00F942FF"/>
    <w:rsid w:val="00F9450F"/>
    <w:rsid w:val="00F94515"/>
    <w:rsid w:val="00F9459B"/>
    <w:rsid w:val="00F945E5"/>
    <w:rsid w:val="00F945FB"/>
    <w:rsid w:val="00F9463C"/>
    <w:rsid w:val="00F94641"/>
    <w:rsid w:val="00F94765"/>
    <w:rsid w:val="00F9477B"/>
    <w:rsid w:val="00F947FB"/>
    <w:rsid w:val="00F9482F"/>
    <w:rsid w:val="00F948A8"/>
    <w:rsid w:val="00F948D2"/>
    <w:rsid w:val="00F94ABF"/>
    <w:rsid w:val="00F94AD1"/>
    <w:rsid w:val="00F94B23"/>
    <w:rsid w:val="00F94D55"/>
    <w:rsid w:val="00F94D64"/>
    <w:rsid w:val="00F94D65"/>
    <w:rsid w:val="00F94DF4"/>
    <w:rsid w:val="00F94DF9"/>
    <w:rsid w:val="00F94E0D"/>
    <w:rsid w:val="00F94E2C"/>
    <w:rsid w:val="00F94ED7"/>
    <w:rsid w:val="00F94F18"/>
    <w:rsid w:val="00F94F27"/>
    <w:rsid w:val="00F95204"/>
    <w:rsid w:val="00F95207"/>
    <w:rsid w:val="00F95292"/>
    <w:rsid w:val="00F952DD"/>
    <w:rsid w:val="00F95326"/>
    <w:rsid w:val="00F953B3"/>
    <w:rsid w:val="00F953E5"/>
    <w:rsid w:val="00F953E8"/>
    <w:rsid w:val="00F95497"/>
    <w:rsid w:val="00F95606"/>
    <w:rsid w:val="00F95649"/>
    <w:rsid w:val="00F956D3"/>
    <w:rsid w:val="00F956E8"/>
    <w:rsid w:val="00F957B3"/>
    <w:rsid w:val="00F95804"/>
    <w:rsid w:val="00F9582F"/>
    <w:rsid w:val="00F9584E"/>
    <w:rsid w:val="00F958AB"/>
    <w:rsid w:val="00F958DF"/>
    <w:rsid w:val="00F9594F"/>
    <w:rsid w:val="00F9599D"/>
    <w:rsid w:val="00F959E2"/>
    <w:rsid w:val="00F95A33"/>
    <w:rsid w:val="00F95B88"/>
    <w:rsid w:val="00F95C77"/>
    <w:rsid w:val="00F95D4E"/>
    <w:rsid w:val="00F95D57"/>
    <w:rsid w:val="00F95E01"/>
    <w:rsid w:val="00F960CD"/>
    <w:rsid w:val="00F96134"/>
    <w:rsid w:val="00F96153"/>
    <w:rsid w:val="00F96165"/>
    <w:rsid w:val="00F961CB"/>
    <w:rsid w:val="00F961F1"/>
    <w:rsid w:val="00F9634F"/>
    <w:rsid w:val="00F9635D"/>
    <w:rsid w:val="00F9636D"/>
    <w:rsid w:val="00F963C4"/>
    <w:rsid w:val="00F963EB"/>
    <w:rsid w:val="00F9644A"/>
    <w:rsid w:val="00F9645F"/>
    <w:rsid w:val="00F964F2"/>
    <w:rsid w:val="00F96683"/>
    <w:rsid w:val="00F966B6"/>
    <w:rsid w:val="00F967D3"/>
    <w:rsid w:val="00F967F1"/>
    <w:rsid w:val="00F96864"/>
    <w:rsid w:val="00F96883"/>
    <w:rsid w:val="00F9694B"/>
    <w:rsid w:val="00F96967"/>
    <w:rsid w:val="00F969F3"/>
    <w:rsid w:val="00F96A23"/>
    <w:rsid w:val="00F96A4F"/>
    <w:rsid w:val="00F96A9A"/>
    <w:rsid w:val="00F96BAF"/>
    <w:rsid w:val="00F96C2B"/>
    <w:rsid w:val="00F96EA7"/>
    <w:rsid w:val="00F96EAD"/>
    <w:rsid w:val="00F96F16"/>
    <w:rsid w:val="00F97011"/>
    <w:rsid w:val="00F9702F"/>
    <w:rsid w:val="00F970E7"/>
    <w:rsid w:val="00F97150"/>
    <w:rsid w:val="00F971EA"/>
    <w:rsid w:val="00F9724B"/>
    <w:rsid w:val="00F97286"/>
    <w:rsid w:val="00F97346"/>
    <w:rsid w:val="00F973D7"/>
    <w:rsid w:val="00F9746A"/>
    <w:rsid w:val="00F9765D"/>
    <w:rsid w:val="00F976EC"/>
    <w:rsid w:val="00F97856"/>
    <w:rsid w:val="00F9788E"/>
    <w:rsid w:val="00F97922"/>
    <w:rsid w:val="00F97934"/>
    <w:rsid w:val="00F979DD"/>
    <w:rsid w:val="00F97A47"/>
    <w:rsid w:val="00F97AE4"/>
    <w:rsid w:val="00F97C27"/>
    <w:rsid w:val="00F97C48"/>
    <w:rsid w:val="00F97C7B"/>
    <w:rsid w:val="00F97C8F"/>
    <w:rsid w:val="00F97CF6"/>
    <w:rsid w:val="00F97D83"/>
    <w:rsid w:val="00F97DB2"/>
    <w:rsid w:val="00F97E5D"/>
    <w:rsid w:val="00F97F10"/>
    <w:rsid w:val="00F97F53"/>
    <w:rsid w:val="00FA003E"/>
    <w:rsid w:val="00FA0293"/>
    <w:rsid w:val="00FA02B7"/>
    <w:rsid w:val="00FA0347"/>
    <w:rsid w:val="00FA03F1"/>
    <w:rsid w:val="00FA063F"/>
    <w:rsid w:val="00FA06B6"/>
    <w:rsid w:val="00FA0702"/>
    <w:rsid w:val="00FA070E"/>
    <w:rsid w:val="00FA07FB"/>
    <w:rsid w:val="00FA094C"/>
    <w:rsid w:val="00FA09BA"/>
    <w:rsid w:val="00FA0A63"/>
    <w:rsid w:val="00FA0B6B"/>
    <w:rsid w:val="00FA0B9E"/>
    <w:rsid w:val="00FA0BAC"/>
    <w:rsid w:val="00FA0DBE"/>
    <w:rsid w:val="00FA0DFC"/>
    <w:rsid w:val="00FA0E66"/>
    <w:rsid w:val="00FA0FBA"/>
    <w:rsid w:val="00FA0FC1"/>
    <w:rsid w:val="00FA1001"/>
    <w:rsid w:val="00FA1082"/>
    <w:rsid w:val="00FA12A4"/>
    <w:rsid w:val="00FA12B6"/>
    <w:rsid w:val="00FA130A"/>
    <w:rsid w:val="00FA13C9"/>
    <w:rsid w:val="00FA13DD"/>
    <w:rsid w:val="00FA1484"/>
    <w:rsid w:val="00FA14A7"/>
    <w:rsid w:val="00FA14F7"/>
    <w:rsid w:val="00FA1727"/>
    <w:rsid w:val="00FA173C"/>
    <w:rsid w:val="00FA17BC"/>
    <w:rsid w:val="00FA197A"/>
    <w:rsid w:val="00FA1BE4"/>
    <w:rsid w:val="00FA1D28"/>
    <w:rsid w:val="00FA1FA0"/>
    <w:rsid w:val="00FA1FC1"/>
    <w:rsid w:val="00FA203E"/>
    <w:rsid w:val="00FA20B0"/>
    <w:rsid w:val="00FA20B7"/>
    <w:rsid w:val="00FA21CA"/>
    <w:rsid w:val="00FA242E"/>
    <w:rsid w:val="00FA24C2"/>
    <w:rsid w:val="00FA25C9"/>
    <w:rsid w:val="00FA271B"/>
    <w:rsid w:val="00FA2769"/>
    <w:rsid w:val="00FA2780"/>
    <w:rsid w:val="00FA2786"/>
    <w:rsid w:val="00FA28D7"/>
    <w:rsid w:val="00FA29F9"/>
    <w:rsid w:val="00FA2A01"/>
    <w:rsid w:val="00FA2A62"/>
    <w:rsid w:val="00FA2AFE"/>
    <w:rsid w:val="00FA2BB9"/>
    <w:rsid w:val="00FA2D83"/>
    <w:rsid w:val="00FA2F47"/>
    <w:rsid w:val="00FA3069"/>
    <w:rsid w:val="00FA30AC"/>
    <w:rsid w:val="00FA312D"/>
    <w:rsid w:val="00FA3369"/>
    <w:rsid w:val="00FA33A6"/>
    <w:rsid w:val="00FA3433"/>
    <w:rsid w:val="00FA35D1"/>
    <w:rsid w:val="00FA3660"/>
    <w:rsid w:val="00FA373C"/>
    <w:rsid w:val="00FA37BB"/>
    <w:rsid w:val="00FA38C7"/>
    <w:rsid w:val="00FA393C"/>
    <w:rsid w:val="00FA39FE"/>
    <w:rsid w:val="00FA3A3F"/>
    <w:rsid w:val="00FA3A8B"/>
    <w:rsid w:val="00FA3AC4"/>
    <w:rsid w:val="00FA3BA5"/>
    <w:rsid w:val="00FA3BD6"/>
    <w:rsid w:val="00FA3C67"/>
    <w:rsid w:val="00FA3CE2"/>
    <w:rsid w:val="00FA3D6A"/>
    <w:rsid w:val="00FA3D92"/>
    <w:rsid w:val="00FA3D94"/>
    <w:rsid w:val="00FA3E39"/>
    <w:rsid w:val="00FA3F2A"/>
    <w:rsid w:val="00FA400B"/>
    <w:rsid w:val="00FA408C"/>
    <w:rsid w:val="00FA40EF"/>
    <w:rsid w:val="00FA415B"/>
    <w:rsid w:val="00FA41C3"/>
    <w:rsid w:val="00FA41D5"/>
    <w:rsid w:val="00FA43F4"/>
    <w:rsid w:val="00FA446E"/>
    <w:rsid w:val="00FA447A"/>
    <w:rsid w:val="00FA4481"/>
    <w:rsid w:val="00FA44B5"/>
    <w:rsid w:val="00FA452B"/>
    <w:rsid w:val="00FA4552"/>
    <w:rsid w:val="00FA4568"/>
    <w:rsid w:val="00FA456C"/>
    <w:rsid w:val="00FA4623"/>
    <w:rsid w:val="00FA4628"/>
    <w:rsid w:val="00FA4638"/>
    <w:rsid w:val="00FA4653"/>
    <w:rsid w:val="00FA4691"/>
    <w:rsid w:val="00FA46B7"/>
    <w:rsid w:val="00FA46FC"/>
    <w:rsid w:val="00FA4737"/>
    <w:rsid w:val="00FA47BA"/>
    <w:rsid w:val="00FA4994"/>
    <w:rsid w:val="00FA4A08"/>
    <w:rsid w:val="00FA4A18"/>
    <w:rsid w:val="00FA4BCD"/>
    <w:rsid w:val="00FA4C28"/>
    <w:rsid w:val="00FA4CE1"/>
    <w:rsid w:val="00FA4D1D"/>
    <w:rsid w:val="00FA4E5C"/>
    <w:rsid w:val="00FA4E85"/>
    <w:rsid w:val="00FA4E9B"/>
    <w:rsid w:val="00FA4EC2"/>
    <w:rsid w:val="00FA5082"/>
    <w:rsid w:val="00FA50AA"/>
    <w:rsid w:val="00FA520A"/>
    <w:rsid w:val="00FA5311"/>
    <w:rsid w:val="00FA5357"/>
    <w:rsid w:val="00FA53CF"/>
    <w:rsid w:val="00FA5524"/>
    <w:rsid w:val="00FA5658"/>
    <w:rsid w:val="00FA5676"/>
    <w:rsid w:val="00FA56AB"/>
    <w:rsid w:val="00FA5791"/>
    <w:rsid w:val="00FA57E1"/>
    <w:rsid w:val="00FA598D"/>
    <w:rsid w:val="00FA5A5B"/>
    <w:rsid w:val="00FA5B1E"/>
    <w:rsid w:val="00FA5B8C"/>
    <w:rsid w:val="00FA5BF8"/>
    <w:rsid w:val="00FA5C0A"/>
    <w:rsid w:val="00FA5C44"/>
    <w:rsid w:val="00FA5C64"/>
    <w:rsid w:val="00FA5D6A"/>
    <w:rsid w:val="00FA5D9E"/>
    <w:rsid w:val="00FA5DEB"/>
    <w:rsid w:val="00FA5EF6"/>
    <w:rsid w:val="00FA5F04"/>
    <w:rsid w:val="00FA5F81"/>
    <w:rsid w:val="00FA5FCF"/>
    <w:rsid w:val="00FA5FD9"/>
    <w:rsid w:val="00FA618C"/>
    <w:rsid w:val="00FA61B5"/>
    <w:rsid w:val="00FA61B8"/>
    <w:rsid w:val="00FA638B"/>
    <w:rsid w:val="00FA63ED"/>
    <w:rsid w:val="00FA652F"/>
    <w:rsid w:val="00FA6600"/>
    <w:rsid w:val="00FA662D"/>
    <w:rsid w:val="00FA66FB"/>
    <w:rsid w:val="00FA6856"/>
    <w:rsid w:val="00FA6871"/>
    <w:rsid w:val="00FA6906"/>
    <w:rsid w:val="00FA693B"/>
    <w:rsid w:val="00FA69CB"/>
    <w:rsid w:val="00FA6A49"/>
    <w:rsid w:val="00FA6AF9"/>
    <w:rsid w:val="00FA6B70"/>
    <w:rsid w:val="00FA6C32"/>
    <w:rsid w:val="00FA6D2F"/>
    <w:rsid w:val="00FA6DD4"/>
    <w:rsid w:val="00FA6EC4"/>
    <w:rsid w:val="00FA6EF2"/>
    <w:rsid w:val="00FA70F5"/>
    <w:rsid w:val="00FA7229"/>
    <w:rsid w:val="00FA7380"/>
    <w:rsid w:val="00FA73C5"/>
    <w:rsid w:val="00FA7442"/>
    <w:rsid w:val="00FA74FF"/>
    <w:rsid w:val="00FA7532"/>
    <w:rsid w:val="00FA756D"/>
    <w:rsid w:val="00FA7640"/>
    <w:rsid w:val="00FA771B"/>
    <w:rsid w:val="00FA7789"/>
    <w:rsid w:val="00FA77C7"/>
    <w:rsid w:val="00FA7AC0"/>
    <w:rsid w:val="00FA7BCE"/>
    <w:rsid w:val="00FA7CFC"/>
    <w:rsid w:val="00FA7D89"/>
    <w:rsid w:val="00FA7D98"/>
    <w:rsid w:val="00FA7DDF"/>
    <w:rsid w:val="00FA7EFA"/>
    <w:rsid w:val="00FB0052"/>
    <w:rsid w:val="00FB0069"/>
    <w:rsid w:val="00FB0093"/>
    <w:rsid w:val="00FB025A"/>
    <w:rsid w:val="00FB026D"/>
    <w:rsid w:val="00FB028D"/>
    <w:rsid w:val="00FB038A"/>
    <w:rsid w:val="00FB048E"/>
    <w:rsid w:val="00FB04CE"/>
    <w:rsid w:val="00FB053D"/>
    <w:rsid w:val="00FB05AA"/>
    <w:rsid w:val="00FB05B9"/>
    <w:rsid w:val="00FB0661"/>
    <w:rsid w:val="00FB080E"/>
    <w:rsid w:val="00FB0811"/>
    <w:rsid w:val="00FB0B2D"/>
    <w:rsid w:val="00FB0B31"/>
    <w:rsid w:val="00FB0B7F"/>
    <w:rsid w:val="00FB0D22"/>
    <w:rsid w:val="00FB0DD9"/>
    <w:rsid w:val="00FB0E82"/>
    <w:rsid w:val="00FB0F1C"/>
    <w:rsid w:val="00FB0F6B"/>
    <w:rsid w:val="00FB1013"/>
    <w:rsid w:val="00FB1058"/>
    <w:rsid w:val="00FB1137"/>
    <w:rsid w:val="00FB118A"/>
    <w:rsid w:val="00FB11C3"/>
    <w:rsid w:val="00FB11DD"/>
    <w:rsid w:val="00FB1292"/>
    <w:rsid w:val="00FB134D"/>
    <w:rsid w:val="00FB13B7"/>
    <w:rsid w:val="00FB14C6"/>
    <w:rsid w:val="00FB14D5"/>
    <w:rsid w:val="00FB14FE"/>
    <w:rsid w:val="00FB159E"/>
    <w:rsid w:val="00FB15E0"/>
    <w:rsid w:val="00FB1619"/>
    <w:rsid w:val="00FB16D3"/>
    <w:rsid w:val="00FB173D"/>
    <w:rsid w:val="00FB1741"/>
    <w:rsid w:val="00FB1795"/>
    <w:rsid w:val="00FB1891"/>
    <w:rsid w:val="00FB1973"/>
    <w:rsid w:val="00FB1A5C"/>
    <w:rsid w:val="00FB1AC7"/>
    <w:rsid w:val="00FB1BDF"/>
    <w:rsid w:val="00FB1BE9"/>
    <w:rsid w:val="00FB1C1E"/>
    <w:rsid w:val="00FB1CCB"/>
    <w:rsid w:val="00FB1D2D"/>
    <w:rsid w:val="00FB1D79"/>
    <w:rsid w:val="00FB1E27"/>
    <w:rsid w:val="00FB1F23"/>
    <w:rsid w:val="00FB2057"/>
    <w:rsid w:val="00FB210A"/>
    <w:rsid w:val="00FB215A"/>
    <w:rsid w:val="00FB2188"/>
    <w:rsid w:val="00FB21D4"/>
    <w:rsid w:val="00FB220F"/>
    <w:rsid w:val="00FB2225"/>
    <w:rsid w:val="00FB2248"/>
    <w:rsid w:val="00FB2290"/>
    <w:rsid w:val="00FB22F9"/>
    <w:rsid w:val="00FB2342"/>
    <w:rsid w:val="00FB2402"/>
    <w:rsid w:val="00FB243B"/>
    <w:rsid w:val="00FB24E0"/>
    <w:rsid w:val="00FB25C1"/>
    <w:rsid w:val="00FB2803"/>
    <w:rsid w:val="00FB2872"/>
    <w:rsid w:val="00FB2A09"/>
    <w:rsid w:val="00FB2AC2"/>
    <w:rsid w:val="00FB2C3E"/>
    <w:rsid w:val="00FB2C8C"/>
    <w:rsid w:val="00FB2CA6"/>
    <w:rsid w:val="00FB2D83"/>
    <w:rsid w:val="00FB2E41"/>
    <w:rsid w:val="00FB309D"/>
    <w:rsid w:val="00FB30CA"/>
    <w:rsid w:val="00FB3105"/>
    <w:rsid w:val="00FB3142"/>
    <w:rsid w:val="00FB3154"/>
    <w:rsid w:val="00FB3226"/>
    <w:rsid w:val="00FB3273"/>
    <w:rsid w:val="00FB33E7"/>
    <w:rsid w:val="00FB3500"/>
    <w:rsid w:val="00FB3511"/>
    <w:rsid w:val="00FB355E"/>
    <w:rsid w:val="00FB355F"/>
    <w:rsid w:val="00FB35B8"/>
    <w:rsid w:val="00FB35C4"/>
    <w:rsid w:val="00FB35FC"/>
    <w:rsid w:val="00FB3670"/>
    <w:rsid w:val="00FB3689"/>
    <w:rsid w:val="00FB377B"/>
    <w:rsid w:val="00FB37DA"/>
    <w:rsid w:val="00FB37FD"/>
    <w:rsid w:val="00FB38D6"/>
    <w:rsid w:val="00FB396B"/>
    <w:rsid w:val="00FB3A1F"/>
    <w:rsid w:val="00FB3A24"/>
    <w:rsid w:val="00FB3B0A"/>
    <w:rsid w:val="00FB3B59"/>
    <w:rsid w:val="00FB3C8F"/>
    <w:rsid w:val="00FB3CAA"/>
    <w:rsid w:val="00FB3D0B"/>
    <w:rsid w:val="00FB3D65"/>
    <w:rsid w:val="00FB3D75"/>
    <w:rsid w:val="00FB3DC5"/>
    <w:rsid w:val="00FB3E57"/>
    <w:rsid w:val="00FB3FAC"/>
    <w:rsid w:val="00FB3FBD"/>
    <w:rsid w:val="00FB4108"/>
    <w:rsid w:val="00FB41BC"/>
    <w:rsid w:val="00FB422C"/>
    <w:rsid w:val="00FB424D"/>
    <w:rsid w:val="00FB42E9"/>
    <w:rsid w:val="00FB431C"/>
    <w:rsid w:val="00FB4329"/>
    <w:rsid w:val="00FB4433"/>
    <w:rsid w:val="00FB4696"/>
    <w:rsid w:val="00FB46FF"/>
    <w:rsid w:val="00FB47A4"/>
    <w:rsid w:val="00FB47A8"/>
    <w:rsid w:val="00FB47D9"/>
    <w:rsid w:val="00FB4863"/>
    <w:rsid w:val="00FB488E"/>
    <w:rsid w:val="00FB49B3"/>
    <w:rsid w:val="00FB4A03"/>
    <w:rsid w:val="00FB4B16"/>
    <w:rsid w:val="00FB4C25"/>
    <w:rsid w:val="00FB4CA7"/>
    <w:rsid w:val="00FB4D0D"/>
    <w:rsid w:val="00FB4DB7"/>
    <w:rsid w:val="00FB5103"/>
    <w:rsid w:val="00FB5112"/>
    <w:rsid w:val="00FB52D3"/>
    <w:rsid w:val="00FB5354"/>
    <w:rsid w:val="00FB5416"/>
    <w:rsid w:val="00FB54C7"/>
    <w:rsid w:val="00FB5521"/>
    <w:rsid w:val="00FB554F"/>
    <w:rsid w:val="00FB5647"/>
    <w:rsid w:val="00FB5695"/>
    <w:rsid w:val="00FB56CF"/>
    <w:rsid w:val="00FB56E3"/>
    <w:rsid w:val="00FB5710"/>
    <w:rsid w:val="00FB5731"/>
    <w:rsid w:val="00FB5746"/>
    <w:rsid w:val="00FB577A"/>
    <w:rsid w:val="00FB57BE"/>
    <w:rsid w:val="00FB592A"/>
    <w:rsid w:val="00FB59AC"/>
    <w:rsid w:val="00FB5B90"/>
    <w:rsid w:val="00FB5C7B"/>
    <w:rsid w:val="00FB5C92"/>
    <w:rsid w:val="00FB5D40"/>
    <w:rsid w:val="00FB5D44"/>
    <w:rsid w:val="00FB5E32"/>
    <w:rsid w:val="00FB5E45"/>
    <w:rsid w:val="00FB5E4E"/>
    <w:rsid w:val="00FB5F48"/>
    <w:rsid w:val="00FB60F8"/>
    <w:rsid w:val="00FB6201"/>
    <w:rsid w:val="00FB627E"/>
    <w:rsid w:val="00FB62B9"/>
    <w:rsid w:val="00FB6311"/>
    <w:rsid w:val="00FB6394"/>
    <w:rsid w:val="00FB6595"/>
    <w:rsid w:val="00FB668C"/>
    <w:rsid w:val="00FB66AC"/>
    <w:rsid w:val="00FB66FC"/>
    <w:rsid w:val="00FB675B"/>
    <w:rsid w:val="00FB6819"/>
    <w:rsid w:val="00FB6856"/>
    <w:rsid w:val="00FB6870"/>
    <w:rsid w:val="00FB689D"/>
    <w:rsid w:val="00FB6937"/>
    <w:rsid w:val="00FB6B7F"/>
    <w:rsid w:val="00FB6B96"/>
    <w:rsid w:val="00FB6BF1"/>
    <w:rsid w:val="00FB6C38"/>
    <w:rsid w:val="00FB6C5A"/>
    <w:rsid w:val="00FB6C99"/>
    <w:rsid w:val="00FB6CFE"/>
    <w:rsid w:val="00FB6D18"/>
    <w:rsid w:val="00FB6E73"/>
    <w:rsid w:val="00FB6F4C"/>
    <w:rsid w:val="00FB6F95"/>
    <w:rsid w:val="00FB708D"/>
    <w:rsid w:val="00FB70D0"/>
    <w:rsid w:val="00FB7106"/>
    <w:rsid w:val="00FB7164"/>
    <w:rsid w:val="00FB724C"/>
    <w:rsid w:val="00FB72E9"/>
    <w:rsid w:val="00FB7445"/>
    <w:rsid w:val="00FB74D3"/>
    <w:rsid w:val="00FB74DF"/>
    <w:rsid w:val="00FB74E9"/>
    <w:rsid w:val="00FB7503"/>
    <w:rsid w:val="00FB7522"/>
    <w:rsid w:val="00FB7663"/>
    <w:rsid w:val="00FB76BF"/>
    <w:rsid w:val="00FB77B7"/>
    <w:rsid w:val="00FB7992"/>
    <w:rsid w:val="00FB79FC"/>
    <w:rsid w:val="00FB7B3C"/>
    <w:rsid w:val="00FB7B5C"/>
    <w:rsid w:val="00FB7BD1"/>
    <w:rsid w:val="00FB7C87"/>
    <w:rsid w:val="00FB7D1D"/>
    <w:rsid w:val="00FB7D40"/>
    <w:rsid w:val="00FB7DA8"/>
    <w:rsid w:val="00FB7DCC"/>
    <w:rsid w:val="00FB7EBA"/>
    <w:rsid w:val="00FB7F62"/>
    <w:rsid w:val="00FC0056"/>
    <w:rsid w:val="00FC0220"/>
    <w:rsid w:val="00FC0242"/>
    <w:rsid w:val="00FC0298"/>
    <w:rsid w:val="00FC04B3"/>
    <w:rsid w:val="00FC04EA"/>
    <w:rsid w:val="00FC052A"/>
    <w:rsid w:val="00FC06DB"/>
    <w:rsid w:val="00FC06E4"/>
    <w:rsid w:val="00FC0830"/>
    <w:rsid w:val="00FC0A72"/>
    <w:rsid w:val="00FC0A94"/>
    <w:rsid w:val="00FC0AFB"/>
    <w:rsid w:val="00FC0B55"/>
    <w:rsid w:val="00FC0CE8"/>
    <w:rsid w:val="00FC0D07"/>
    <w:rsid w:val="00FC0E2A"/>
    <w:rsid w:val="00FC0F6B"/>
    <w:rsid w:val="00FC0FE2"/>
    <w:rsid w:val="00FC10EF"/>
    <w:rsid w:val="00FC1105"/>
    <w:rsid w:val="00FC1236"/>
    <w:rsid w:val="00FC124C"/>
    <w:rsid w:val="00FC12F7"/>
    <w:rsid w:val="00FC13B5"/>
    <w:rsid w:val="00FC13B9"/>
    <w:rsid w:val="00FC13C8"/>
    <w:rsid w:val="00FC13D5"/>
    <w:rsid w:val="00FC13ED"/>
    <w:rsid w:val="00FC13FC"/>
    <w:rsid w:val="00FC143A"/>
    <w:rsid w:val="00FC14C3"/>
    <w:rsid w:val="00FC15D5"/>
    <w:rsid w:val="00FC16BC"/>
    <w:rsid w:val="00FC176C"/>
    <w:rsid w:val="00FC17BC"/>
    <w:rsid w:val="00FC18FB"/>
    <w:rsid w:val="00FC196A"/>
    <w:rsid w:val="00FC19C1"/>
    <w:rsid w:val="00FC19FC"/>
    <w:rsid w:val="00FC1A4F"/>
    <w:rsid w:val="00FC1C18"/>
    <w:rsid w:val="00FC1CE8"/>
    <w:rsid w:val="00FC1D91"/>
    <w:rsid w:val="00FC1E51"/>
    <w:rsid w:val="00FC1EE5"/>
    <w:rsid w:val="00FC208F"/>
    <w:rsid w:val="00FC20CD"/>
    <w:rsid w:val="00FC2104"/>
    <w:rsid w:val="00FC2121"/>
    <w:rsid w:val="00FC21B3"/>
    <w:rsid w:val="00FC21D5"/>
    <w:rsid w:val="00FC2294"/>
    <w:rsid w:val="00FC23D8"/>
    <w:rsid w:val="00FC241F"/>
    <w:rsid w:val="00FC24C3"/>
    <w:rsid w:val="00FC24CE"/>
    <w:rsid w:val="00FC2503"/>
    <w:rsid w:val="00FC2543"/>
    <w:rsid w:val="00FC2576"/>
    <w:rsid w:val="00FC2599"/>
    <w:rsid w:val="00FC25FF"/>
    <w:rsid w:val="00FC268B"/>
    <w:rsid w:val="00FC2746"/>
    <w:rsid w:val="00FC2764"/>
    <w:rsid w:val="00FC283E"/>
    <w:rsid w:val="00FC2954"/>
    <w:rsid w:val="00FC29CE"/>
    <w:rsid w:val="00FC2B0D"/>
    <w:rsid w:val="00FC2B26"/>
    <w:rsid w:val="00FC2B37"/>
    <w:rsid w:val="00FC2BD0"/>
    <w:rsid w:val="00FC2BE6"/>
    <w:rsid w:val="00FC2C35"/>
    <w:rsid w:val="00FC2C5D"/>
    <w:rsid w:val="00FC2C7F"/>
    <w:rsid w:val="00FC2D2C"/>
    <w:rsid w:val="00FC2D69"/>
    <w:rsid w:val="00FC2D6F"/>
    <w:rsid w:val="00FC2D92"/>
    <w:rsid w:val="00FC2DF1"/>
    <w:rsid w:val="00FC2DF3"/>
    <w:rsid w:val="00FC2E3E"/>
    <w:rsid w:val="00FC2E4B"/>
    <w:rsid w:val="00FC2E96"/>
    <w:rsid w:val="00FC3077"/>
    <w:rsid w:val="00FC3080"/>
    <w:rsid w:val="00FC30DE"/>
    <w:rsid w:val="00FC3119"/>
    <w:rsid w:val="00FC31C6"/>
    <w:rsid w:val="00FC31CC"/>
    <w:rsid w:val="00FC31E2"/>
    <w:rsid w:val="00FC31FA"/>
    <w:rsid w:val="00FC3241"/>
    <w:rsid w:val="00FC327B"/>
    <w:rsid w:val="00FC33F4"/>
    <w:rsid w:val="00FC33F9"/>
    <w:rsid w:val="00FC3402"/>
    <w:rsid w:val="00FC3488"/>
    <w:rsid w:val="00FC34B1"/>
    <w:rsid w:val="00FC359D"/>
    <w:rsid w:val="00FC3655"/>
    <w:rsid w:val="00FC3687"/>
    <w:rsid w:val="00FC3732"/>
    <w:rsid w:val="00FC374A"/>
    <w:rsid w:val="00FC3762"/>
    <w:rsid w:val="00FC37C8"/>
    <w:rsid w:val="00FC37E4"/>
    <w:rsid w:val="00FC38C3"/>
    <w:rsid w:val="00FC3938"/>
    <w:rsid w:val="00FC39E8"/>
    <w:rsid w:val="00FC3A32"/>
    <w:rsid w:val="00FC3A87"/>
    <w:rsid w:val="00FC3B13"/>
    <w:rsid w:val="00FC3B27"/>
    <w:rsid w:val="00FC3B5C"/>
    <w:rsid w:val="00FC3BE0"/>
    <w:rsid w:val="00FC3C18"/>
    <w:rsid w:val="00FC3C1C"/>
    <w:rsid w:val="00FC3C71"/>
    <w:rsid w:val="00FC3CB8"/>
    <w:rsid w:val="00FC3CDD"/>
    <w:rsid w:val="00FC3D6E"/>
    <w:rsid w:val="00FC3F56"/>
    <w:rsid w:val="00FC4111"/>
    <w:rsid w:val="00FC42A8"/>
    <w:rsid w:val="00FC43E4"/>
    <w:rsid w:val="00FC43EB"/>
    <w:rsid w:val="00FC43EC"/>
    <w:rsid w:val="00FC45B1"/>
    <w:rsid w:val="00FC45E7"/>
    <w:rsid w:val="00FC460E"/>
    <w:rsid w:val="00FC4648"/>
    <w:rsid w:val="00FC4666"/>
    <w:rsid w:val="00FC4812"/>
    <w:rsid w:val="00FC48E9"/>
    <w:rsid w:val="00FC4937"/>
    <w:rsid w:val="00FC4961"/>
    <w:rsid w:val="00FC4A6E"/>
    <w:rsid w:val="00FC4AD4"/>
    <w:rsid w:val="00FC4B00"/>
    <w:rsid w:val="00FC4B23"/>
    <w:rsid w:val="00FC4B25"/>
    <w:rsid w:val="00FC4DA2"/>
    <w:rsid w:val="00FC4DAC"/>
    <w:rsid w:val="00FC4E70"/>
    <w:rsid w:val="00FC4E78"/>
    <w:rsid w:val="00FC4F22"/>
    <w:rsid w:val="00FC4F3A"/>
    <w:rsid w:val="00FC50DA"/>
    <w:rsid w:val="00FC5176"/>
    <w:rsid w:val="00FC526C"/>
    <w:rsid w:val="00FC52CD"/>
    <w:rsid w:val="00FC52E0"/>
    <w:rsid w:val="00FC52F1"/>
    <w:rsid w:val="00FC5366"/>
    <w:rsid w:val="00FC5393"/>
    <w:rsid w:val="00FC5394"/>
    <w:rsid w:val="00FC5407"/>
    <w:rsid w:val="00FC54C9"/>
    <w:rsid w:val="00FC55FD"/>
    <w:rsid w:val="00FC560F"/>
    <w:rsid w:val="00FC56C6"/>
    <w:rsid w:val="00FC5749"/>
    <w:rsid w:val="00FC589B"/>
    <w:rsid w:val="00FC59A6"/>
    <w:rsid w:val="00FC5A6D"/>
    <w:rsid w:val="00FC5C06"/>
    <w:rsid w:val="00FC5C7F"/>
    <w:rsid w:val="00FC5D97"/>
    <w:rsid w:val="00FC5ED1"/>
    <w:rsid w:val="00FC5F37"/>
    <w:rsid w:val="00FC6122"/>
    <w:rsid w:val="00FC6206"/>
    <w:rsid w:val="00FC6314"/>
    <w:rsid w:val="00FC631C"/>
    <w:rsid w:val="00FC6361"/>
    <w:rsid w:val="00FC63CD"/>
    <w:rsid w:val="00FC645D"/>
    <w:rsid w:val="00FC64D9"/>
    <w:rsid w:val="00FC64DC"/>
    <w:rsid w:val="00FC6585"/>
    <w:rsid w:val="00FC662D"/>
    <w:rsid w:val="00FC67CB"/>
    <w:rsid w:val="00FC67F9"/>
    <w:rsid w:val="00FC686B"/>
    <w:rsid w:val="00FC6887"/>
    <w:rsid w:val="00FC695A"/>
    <w:rsid w:val="00FC69CC"/>
    <w:rsid w:val="00FC69CD"/>
    <w:rsid w:val="00FC6A34"/>
    <w:rsid w:val="00FC6B50"/>
    <w:rsid w:val="00FC6C3A"/>
    <w:rsid w:val="00FC6C87"/>
    <w:rsid w:val="00FC6DA5"/>
    <w:rsid w:val="00FC6DA9"/>
    <w:rsid w:val="00FC6EB7"/>
    <w:rsid w:val="00FC6F9B"/>
    <w:rsid w:val="00FC7060"/>
    <w:rsid w:val="00FC70A7"/>
    <w:rsid w:val="00FC70D0"/>
    <w:rsid w:val="00FC711B"/>
    <w:rsid w:val="00FC7282"/>
    <w:rsid w:val="00FC7292"/>
    <w:rsid w:val="00FC7349"/>
    <w:rsid w:val="00FC74E1"/>
    <w:rsid w:val="00FC752E"/>
    <w:rsid w:val="00FC7562"/>
    <w:rsid w:val="00FC75C1"/>
    <w:rsid w:val="00FC75CC"/>
    <w:rsid w:val="00FC7617"/>
    <w:rsid w:val="00FC772E"/>
    <w:rsid w:val="00FC791D"/>
    <w:rsid w:val="00FC79E7"/>
    <w:rsid w:val="00FC79F6"/>
    <w:rsid w:val="00FC7A3A"/>
    <w:rsid w:val="00FC7B8B"/>
    <w:rsid w:val="00FC7C6C"/>
    <w:rsid w:val="00FC7C89"/>
    <w:rsid w:val="00FC7D81"/>
    <w:rsid w:val="00FC7FA0"/>
    <w:rsid w:val="00FD0051"/>
    <w:rsid w:val="00FD00FB"/>
    <w:rsid w:val="00FD0105"/>
    <w:rsid w:val="00FD01DF"/>
    <w:rsid w:val="00FD01E2"/>
    <w:rsid w:val="00FD0489"/>
    <w:rsid w:val="00FD04E8"/>
    <w:rsid w:val="00FD05CF"/>
    <w:rsid w:val="00FD064F"/>
    <w:rsid w:val="00FD06B1"/>
    <w:rsid w:val="00FD0736"/>
    <w:rsid w:val="00FD073C"/>
    <w:rsid w:val="00FD0748"/>
    <w:rsid w:val="00FD0749"/>
    <w:rsid w:val="00FD082F"/>
    <w:rsid w:val="00FD08AB"/>
    <w:rsid w:val="00FD08F0"/>
    <w:rsid w:val="00FD08FB"/>
    <w:rsid w:val="00FD0A86"/>
    <w:rsid w:val="00FD0A91"/>
    <w:rsid w:val="00FD0B08"/>
    <w:rsid w:val="00FD0B69"/>
    <w:rsid w:val="00FD0DE7"/>
    <w:rsid w:val="00FD0E71"/>
    <w:rsid w:val="00FD0E96"/>
    <w:rsid w:val="00FD102A"/>
    <w:rsid w:val="00FD1084"/>
    <w:rsid w:val="00FD11C8"/>
    <w:rsid w:val="00FD1207"/>
    <w:rsid w:val="00FD1270"/>
    <w:rsid w:val="00FD12C6"/>
    <w:rsid w:val="00FD1304"/>
    <w:rsid w:val="00FD138B"/>
    <w:rsid w:val="00FD1392"/>
    <w:rsid w:val="00FD13AB"/>
    <w:rsid w:val="00FD16A9"/>
    <w:rsid w:val="00FD16CB"/>
    <w:rsid w:val="00FD16D4"/>
    <w:rsid w:val="00FD1776"/>
    <w:rsid w:val="00FD17F8"/>
    <w:rsid w:val="00FD180C"/>
    <w:rsid w:val="00FD180F"/>
    <w:rsid w:val="00FD1834"/>
    <w:rsid w:val="00FD187C"/>
    <w:rsid w:val="00FD1897"/>
    <w:rsid w:val="00FD19E6"/>
    <w:rsid w:val="00FD1A44"/>
    <w:rsid w:val="00FD1A69"/>
    <w:rsid w:val="00FD1ACB"/>
    <w:rsid w:val="00FD1AFF"/>
    <w:rsid w:val="00FD1B23"/>
    <w:rsid w:val="00FD1F27"/>
    <w:rsid w:val="00FD1F7F"/>
    <w:rsid w:val="00FD1F84"/>
    <w:rsid w:val="00FD1FE4"/>
    <w:rsid w:val="00FD1FE8"/>
    <w:rsid w:val="00FD200B"/>
    <w:rsid w:val="00FD2087"/>
    <w:rsid w:val="00FD2113"/>
    <w:rsid w:val="00FD2185"/>
    <w:rsid w:val="00FD21AB"/>
    <w:rsid w:val="00FD2264"/>
    <w:rsid w:val="00FD230B"/>
    <w:rsid w:val="00FD2334"/>
    <w:rsid w:val="00FD2343"/>
    <w:rsid w:val="00FD240B"/>
    <w:rsid w:val="00FD24EA"/>
    <w:rsid w:val="00FD2563"/>
    <w:rsid w:val="00FD28CB"/>
    <w:rsid w:val="00FD28D1"/>
    <w:rsid w:val="00FD292F"/>
    <w:rsid w:val="00FD293D"/>
    <w:rsid w:val="00FD2A5E"/>
    <w:rsid w:val="00FD2B09"/>
    <w:rsid w:val="00FD2D7C"/>
    <w:rsid w:val="00FD2EA4"/>
    <w:rsid w:val="00FD2EB7"/>
    <w:rsid w:val="00FD2EE1"/>
    <w:rsid w:val="00FD2F98"/>
    <w:rsid w:val="00FD3001"/>
    <w:rsid w:val="00FD3126"/>
    <w:rsid w:val="00FD3170"/>
    <w:rsid w:val="00FD31BB"/>
    <w:rsid w:val="00FD31CE"/>
    <w:rsid w:val="00FD3207"/>
    <w:rsid w:val="00FD329C"/>
    <w:rsid w:val="00FD332D"/>
    <w:rsid w:val="00FD3364"/>
    <w:rsid w:val="00FD34E5"/>
    <w:rsid w:val="00FD364C"/>
    <w:rsid w:val="00FD36ED"/>
    <w:rsid w:val="00FD385B"/>
    <w:rsid w:val="00FD38ED"/>
    <w:rsid w:val="00FD3944"/>
    <w:rsid w:val="00FD39AD"/>
    <w:rsid w:val="00FD3BB0"/>
    <w:rsid w:val="00FD3BFD"/>
    <w:rsid w:val="00FD3C2D"/>
    <w:rsid w:val="00FD3C5A"/>
    <w:rsid w:val="00FD3D5D"/>
    <w:rsid w:val="00FD3D76"/>
    <w:rsid w:val="00FD3DA5"/>
    <w:rsid w:val="00FD3E58"/>
    <w:rsid w:val="00FD3E7F"/>
    <w:rsid w:val="00FD3F45"/>
    <w:rsid w:val="00FD4049"/>
    <w:rsid w:val="00FD4071"/>
    <w:rsid w:val="00FD411C"/>
    <w:rsid w:val="00FD41C9"/>
    <w:rsid w:val="00FD422C"/>
    <w:rsid w:val="00FD422D"/>
    <w:rsid w:val="00FD425D"/>
    <w:rsid w:val="00FD4348"/>
    <w:rsid w:val="00FD4362"/>
    <w:rsid w:val="00FD4398"/>
    <w:rsid w:val="00FD4402"/>
    <w:rsid w:val="00FD4403"/>
    <w:rsid w:val="00FD4471"/>
    <w:rsid w:val="00FD4484"/>
    <w:rsid w:val="00FD452D"/>
    <w:rsid w:val="00FD45E3"/>
    <w:rsid w:val="00FD45ED"/>
    <w:rsid w:val="00FD4738"/>
    <w:rsid w:val="00FD478C"/>
    <w:rsid w:val="00FD47A1"/>
    <w:rsid w:val="00FD47FE"/>
    <w:rsid w:val="00FD4971"/>
    <w:rsid w:val="00FD4A8A"/>
    <w:rsid w:val="00FD4A95"/>
    <w:rsid w:val="00FD4BD0"/>
    <w:rsid w:val="00FD4E14"/>
    <w:rsid w:val="00FD4FA7"/>
    <w:rsid w:val="00FD4FE8"/>
    <w:rsid w:val="00FD505C"/>
    <w:rsid w:val="00FD50FF"/>
    <w:rsid w:val="00FD5113"/>
    <w:rsid w:val="00FD5250"/>
    <w:rsid w:val="00FD53C4"/>
    <w:rsid w:val="00FD53FC"/>
    <w:rsid w:val="00FD5421"/>
    <w:rsid w:val="00FD54F8"/>
    <w:rsid w:val="00FD556C"/>
    <w:rsid w:val="00FD56F2"/>
    <w:rsid w:val="00FD583E"/>
    <w:rsid w:val="00FD5859"/>
    <w:rsid w:val="00FD5881"/>
    <w:rsid w:val="00FD5888"/>
    <w:rsid w:val="00FD5B78"/>
    <w:rsid w:val="00FD5C73"/>
    <w:rsid w:val="00FD5D96"/>
    <w:rsid w:val="00FD5E3D"/>
    <w:rsid w:val="00FD5F1A"/>
    <w:rsid w:val="00FD5FED"/>
    <w:rsid w:val="00FD605C"/>
    <w:rsid w:val="00FD612C"/>
    <w:rsid w:val="00FD6259"/>
    <w:rsid w:val="00FD62E5"/>
    <w:rsid w:val="00FD62F9"/>
    <w:rsid w:val="00FD638B"/>
    <w:rsid w:val="00FD638F"/>
    <w:rsid w:val="00FD6479"/>
    <w:rsid w:val="00FD65AA"/>
    <w:rsid w:val="00FD6615"/>
    <w:rsid w:val="00FD675E"/>
    <w:rsid w:val="00FD67CD"/>
    <w:rsid w:val="00FD67E6"/>
    <w:rsid w:val="00FD67FA"/>
    <w:rsid w:val="00FD6966"/>
    <w:rsid w:val="00FD6991"/>
    <w:rsid w:val="00FD6A10"/>
    <w:rsid w:val="00FD6A5F"/>
    <w:rsid w:val="00FD6A92"/>
    <w:rsid w:val="00FD6C1F"/>
    <w:rsid w:val="00FD6C2A"/>
    <w:rsid w:val="00FD6CE0"/>
    <w:rsid w:val="00FD6F22"/>
    <w:rsid w:val="00FD6F78"/>
    <w:rsid w:val="00FD7047"/>
    <w:rsid w:val="00FD70B6"/>
    <w:rsid w:val="00FD70FC"/>
    <w:rsid w:val="00FD7185"/>
    <w:rsid w:val="00FD71E1"/>
    <w:rsid w:val="00FD7203"/>
    <w:rsid w:val="00FD7261"/>
    <w:rsid w:val="00FD73DC"/>
    <w:rsid w:val="00FD74E7"/>
    <w:rsid w:val="00FD77F0"/>
    <w:rsid w:val="00FD78F3"/>
    <w:rsid w:val="00FD7A65"/>
    <w:rsid w:val="00FD7B14"/>
    <w:rsid w:val="00FD7C26"/>
    <w:rsid w:val="00FD7D74"/>
    <w:rsid w:val="00FD7D79"/>
    <w:rsid w:val="00FD7D8D"/>
    <w:rsid w:val="00FD7F80"/>
    <w:rsid w:val="00FD7F85"/>
    <w:rsid w:val="00FD7FE4"/>
    <w:rsid w:val="00FE0027"/>
    <w:rsid w:val="00FE008B"/>
    <w:rsid w:val="00FE0090"/>
    <w:rsid w:val="00FE019D"/>
    <w:rsid w:val="00FE0332"/>
    <w:rsid w:val="00FE058A"/>
    <w:rsid w:val="00FE065D"/>
    <w:rsid w:val="00FE06DE"/>
    <w:rsid w:val="00FE078C"/>
    <w:rsid w:val="00FE07A4"/>
    <w:rsid w:val="00FE0948"/>
    <w:rsid w:val="00FE096E"/>
    <w:rsid w:val="00FE0ABE"/>
    <w:rsid w:val="00FE0B40"/>
    <w:rsid w:val="00FE0BAD"/>
    <w:rsid w:val="00FE0C74"/>
    <w:rsid w:val="00FE0CDF"/>
    <w:rsid w:val="00FE0DE4"/>
    <w:rsid w:val="00FE0F02"/>
    <w:rsid w:val="00FE0FE7"/>
    <w:rsid w:val="00FE1178"/>
    <w:rsid w:val="00FE11E2"/>
    <w:rsid w:val="00FE11E3"/>
    <w:rsid w:val="00FE1246"/>
    <w:rsid w:val="00FE1256"/>
    <w:rsid w:val="00FE12BA"/>
    <w:rsid w:val="00FE134F"/>
    <w:rsid w:val="00FE13B0"/>
    <w:rsid w:val="00FE13B7"/>
    <w:rsid w:val="00FE14FC"/>
    <w:rsid w:val="00FE1503"/>
    <w:rsid w:val="00FE15B7"/>
    <w:rsid w:val="00FE1782"/>
    <w:rsid w:val="00FE1836"/>
    <w:rsid w:val="00FE1A42"/>
    <w:rsid w:val="00FE1A44"/>
    <w:rsid w:val="00FE1A9A"/>
    <w:rsid w:val="00FE1ABB"/>
    <w:rsid w:val="00FE1ABE"/>
    <w:rsid w:val="00FE1AEB"/>
    <w:rsid w:val="00FE1B6F"/>
    <w:rsid w:val="00FE1B84"/>
    <w:rsid w:val="00FE1C86"/>
    <w:rsid w:val="00FE1E47"/>
    <w:rsid w:val="00FE1F9C"/>
    <w:rsid w:val="00FE2082"/>
    <w:rsid w:val="00FE209E"/>
    <w:rsid w:val="00FE2125"/>
    <w:rsid w:val="00FE218D"/>
    <w:rsid w:val="00FE2264"/>
    <w:rsid w:val="00FE235B"/>
    <w:rsid w:val="00FE24C0"/>
    <w:rsid w:val="00FE24CC"/>
    <w:rsid w:val="00FE25CE"/>
    <w:rsid w:val="00FE264D"/>
    <w:rsid w:val="00FE26FC"/>
    <w:rsid w:val="00FE270A"/>
    <w:rsid w:val="00FE2746"/>
    <w:rsid w:val="00FE27A9"/>
    <w:rsid w:val="00FE2812"/>
    <w:rsid w:val="00FE2835"/>
    <w:rsid w:val="00FE286C"/>
    <w:rsid w:val="00FE28CF"/>
    <w:rsid w:val="00FE29D5"/>
    <w:rsid w:val="00FE2ADA"/>
    <w:rsid w:val="00FE2D7C"/>
    <w:rsid w:val="00FE2DCD"/>
    <w:rsid w:val="00FE2EC4"/>
    <w:rsid w:val="00FE3039"/>
    <w:rsid w:val="00FE3098"/>
    <w:rsid w:val="00FE31D0"/>
    <w:rsid w:val="00FE33AC"/>
    <w:rsid w:val="00FE3491"/>
    <w:rsid w:val="00FE34AF"/>
    <w:rsid w:val="00FE35E6"/>
    <w:rsid w:val="00FE35F2"/>
    <w:rsid w:val="00FE365E"/>
    <w:rsid w:val="00FE3760"/>
    <w:rsid w:val="00FE37A3"/>
    <w:rsid w:val="00FE386E"/>
    <w:rsid w:val="00FE39AB"/>
    <w:rsid w:val="00FE3AAD"/>
    <w:rsid w:val="00FE3AC8"/>
    <w:rsid w:val="00FE3B94"/>
    <w:rsid w:val="00FE3C00"/>
    <w:rsid w:val="00FE3D18"/>
    <w:rsid w:val="00FE3DA9"/>
    <w:rsid w:val="00FE3E61"/>
    <w:rsid w:val="00FE4097"/>
    <w:rsid w:val="00FE4185"/>
    <w:rsid w:val="00FE421B"/>
    <w:rsid w:val="00FE425D"/>
    <w:rsid w:val="00FE4288"/>
    <w:rsid w:val="00FE42AC"/>
    <w:rsid w:val="00FE42AF"/>
    <w:rsid w:val="00FE463D"/>
    <w:rsid w:val="00FE46A1"/>
    <w:rsid w:val="00FE499F"/>
    <w:rsid w:val="00FE4A19"/>
    <w:rsid w:val="00FE4AE3"/>
    <w:rsid w:val="00FE4B64"/>
    <w:rsid w:val="00FE4C0D"/>
    <w:rsid w:val="00FE4C99"/>
    <w:rsid w:val="00FE4CE3"/>
    <w:rsid w:val="00FE4D77"/>
    <w:rsid w:val="00FE4DFC"/>
    <w:rsid w:val="00FE4E0C"/>
    <w:rsid w:val="00FE4ED1"/>
    <w:rsid w:val="00FE4F5B"/>
    <w:rsid w:val="00FE5058"/>
    <w:rsid w:val="00FE506D"/>
    <w:rsid w:val="00FE518F"/>
    <w:rsid w:val="00FE51EF"/>
    <w:rsid w:val="00FE5216"/>
    <w:rsid w:val="00FE528B"/>
    <w:rsid w:val="00FE52A6"/>
    <w:rsid w:val="00FE538B"/>
    <w:rsid w:val="00FE54DB"/>
    <w:rsid w:val="00FE55F9"/>
    <w:rsid w:val="00FE5674"/>
    <w:rsid w:val="00FE568E"/>
    <w:rsid w:val="00FE5941"/>
    <w:rsid w:val="00FE5A05"/>
    <w:rsid w:val="00FE5A73"/>
    <w:rsid w:val="00FE5AF0"/>
    <w:rsid w:val="00FE5B91"/>
    <w:rsid w:val="00FE5BB9"/>
    <w:rsid w:val="00FE5D10"/>
    <w:rsid w:val="00FE5D1A"/>
    <w:rsid w:val="00FE5D30"/>
    <w:rsid w:val="00FE5DB2"/>
    <w:rsid w:val="00FE5E0F"/>
    <w:rsid w:val="00FE5ED3"/>
    <w:rsid w:val="00FE5F43"/>
    <w:rsid w:val="00FE5F54"/>
    <w:rsid w:val="00FE5F8A"/>
    <w:rsid w:val="00FE6027"/>
    <w:rsid w:val="00FE61B7"/>
    <w:rsid w:val="00FE622B"/>
    <w:rsid w:val="00FE6267"/>
    <w:rsid w:val="00FE62D2"/>
    <w:rsid w:val="00FE657B"/>
    <w:rsid w:val="00FE65D4"/>
    <w:rsid w:val="00FE65DB"/>
    <w:rsid w:val="00FE663B"/>
    <w:rsid w:val="00FE690C"/>
    <w:rsid w:val="00FE694E"/>
    <w:rsid w:val="00FE697C"/>
    <w:rsid w:val="00FE6992"/>
    <w:rsid w:val="00FE6998"/>
    <w:rsid w:val="00FE6A3E"/>
    <w:rsid w:val="00FE6A8E"/>
    <w:rsid w:val="00FE6AD2"/>
    <w:rsid w:val="00FE6B17"/>
    <w:rsid w:val="00FE6B2A"/>
    <w:rsid w:val="00FE6B88"/>
    <w:rsid w:val="00FE6BBD"/>
    <w:rsid w:val="00FE6C8A"/>
    <w:rsid w:val="00FE6CB0"/>
    <w:rsid w:val="00FE6D08"/>
    <w:rsid w:val="00FE6E55"/>
    <w:rsid w:val="00FE6ECD"/>
    <w:rsid w:val="00FE6FBD"/>
    <w:rsid w:val="00FE6FE0"/>
    <w:rsid w:val="00FE7086"/>
    <w:rsid w:val="00FE7341"/>
    <w:rsid w:val="00FE73A4"/>
    <w:rsid w:val="00FE7498"/>
    <w:rsid w:val="00FE7530"/>
    <w:rsid w:val="00FE7533"/>
    <w:rsid w:val="00FE754D"/>
    <w:rsid w:val="00FE754E"/>
    <w:rsid w:val="00FE76B8"/>
    <w:rsid w:val="00FE778D"/>
    <w:rsid w:val="00FE779B"/>
    <w:rsid w:val="00FE7876"/>
    <w:rsid w:val="00FE7958"/>
    <w:rsid w:val="00FE7A96"/>
    <w:rsid w:val="00FE7AB6"/>
    <w:rsid w:val="00FE7ABC"/>
    <w:rsid w:val="00FE7B8E"/>
    <w:rsid w:val="00FE7BA3"/>
    <w:rsid w:val="00FE7BD8"/>
    <w:rsid w:val="00FE7C67"/>
    <w:rsid w:val="00FE7CDD"/>
    <w:rsid w:val="00FE7E15"/>
    <w:rsid w:val="00FE7E6F"/>
    <w:rsid w:val="00FE7F23"/>
    <w:rsid w:val="00FE7FB0"/>
    <w:rsid w:val="00FF001F"/>
    <w:rsid w:val="00FF006E"/>
    <w:rsid w:val="00FF011E"/>
    <w:rsid w:val="00FF01E0"/>
    <w:rsid w:val="00FF0204"/>
    <w:rsid w:val="00FF0214"/>
    <w:rsid w:val="00FF03FC"/>
    <w:rsid w:val="00FF0434"/>
    <w:rsid w:val="00FF04C2"/>
    <w:rsid w:val="00FF05FF"/>
    <w:rsid w:val="00FF06B5"/>
    <w:rsid w:val="00FF0716"/>
    <w:rsid w:val="00FF07DE"/>
    <w:rsid w:val="00FF07E2"/>
    <w:rsid w:val="00FF0898"/>
    <w:rsid w:val="00FF096C"/>
    <w:rsid w:val="00FF09C4"/>
    <w:rsid w:val="00FF0AA1"/>
    <w:rsid w:val="00FF0AEC"/>
    <w:rsid w:val="00FF0C06"/>
    <w:rsid w:val="00FF0C31"/>
    <w:rsid w:val="00FF0CAA"/>
    <w:rsid w:val="00FF0D55"/>
    <w:rsid w:val="00FF0E25"/>
    <w:rsid w:val="00FF0E43"/>
    <w:rsid w:val="00FF0EFD"/>
    <w:rsid w:val="00FF0F52"/>
    <w:rsid w:val="00FF10B2"/>
    <w:rsid w:val="00FF111C"/>
    <w:rsid w:val="00FF113E"/>
    <w:rsid w:val="00FF115C"/>
    <w:rsid w:val="00FF11EF"/>
    <w:rsid w:val="00FF12FE"/>
    <w:rsid w:val="00FF1505"/>
    <w:rsid w:val="00FF1557"/>
    <w:rsid w:val="00FF1595"/>
    <w:rsid w:val="00FF1756"/>
    <w:rsid w:val="00FF178B"/>
    <w:rsid w:val="00FF196F"/>
    <w:rsid w:val="00FF1974"/>
    <w:rsid w:val="00FF19A0"/>
    <w:rsid w:val="00FF1A0B"/>
    <w:rsid w:val="00FF1A1D"/>
    <w:rsid w:val="00FF1A79"/>
    <w:rsid w:val="00FF1B35"/>
    <w:rsid w:val="00FF1C76"/>
    <w:rsid w:val="00FF1CAB"/>
    <w:rsid w:val="00FF1D14"/>
    <w:rsid w:val="00FF1D33"/>
    <w:rsid w:val="00FF1DAD"/>
    <w:rsid w:val="00FF1E39"/>
    <w:rsid w:val="00FF1E8D"/>
    <w:rsid w:val="00FF1EB5"/>
    <w:rsid w:val="00FF1F6A"/>
    <w:rsid w:val="00FF1FF6"/>
    <w:rsid w:val="00FF200E"/>
    <w:rsid w:val="00FF20A0"/>
    <w:rsid w:val="00FF211E"/>
    <w:rsid w:val="00FF22BF"/>
    <w:rsid w:val="00FF230B"/>
    <w:rsid w:val="00FF2403"/>
    <w:rsid w:val="00FF241F"/>
    <w:rsid w:val="00FF24C9"/>
    <w:rsid w:val="00FF2501"/>
    <w:rsid w:val="00FF2578"/>
    <w:rsid w:val="00FF2609"/>
    <w:rsid w:val="00FF27E3"/>
    <w:rsid w:val="00FF286F"/>
    <w:rsid w:val="00FF28A8"/>
    <w:rsid w:val="00FF2B07"/>
    <w:rsid w:val="00FF2B73"/>
    <w:rsid w:val="00FF2BCD"/>
    <w:rsid w:val="00FF2C1E"/>
    <w:rsid w:val="00FF2C36"/>
    <w:rsid w:val="00FF2EE7"/>
    <w:rsid w:val="00FF2F63"/>
    <w:rsid w:val="00FF2F98"/>
    <w:rsid w:val="00FF2FB8"/>
    <w:rsid w:val="00FF30CD"/>
    <w:rsid w:val="00FF3107"/>
    <w:rsid w:val="00FF310C"/>
    <w:rsid w:val="00FF3115"/>
    <w:rsid w:val="00FF33B7"/>
    <w:rsid w:val="00FF3438"/>
    <w:rsid w:val="00FF3479"/>
    <w:rsid w:val="00FF36B5"/>
    <w:rsid w:val="00FF36FB"/>
    <w:rsid w:val="00FF37D5"/>
    <w:rsid w:val="00FF37E3"/>
    <w:rsid w:val="00FF384B"/>
    <w:rsid w:val="00FF38A5"/>
    <w:rsid w:val="00FF38FD"/>
    <w:rsid w:val="00FF39D6"/>
    <w:rsid w:val="00FF3B22"/>
    <w:rsid w:val="00FF3B59"/>
    <w:rsid w:val="00FF3CD4"/>
    <w:rsid w:val="00FF3D02"/>
    <w:rsid w:val="00FF3D36"/>
    <w:rsid w:val="00FF3D66"/>
    <w:rsid w:val="00FF3DCB"/>
    <w:rsid w:val="00FF3DD2"/>
    <w:rsid w:val="00FF3E91"/>
    <w:rsid w:val="00FF3F4F"/>
    <w:rsid w:val="00FF3F71"/>
    <w:rsid w:val="00FF413A"/>
    <w:rsid w:val="00FF416A"/>
    <w:rsid w:val="00FF4269"/>
    <w:rsid w:val="00FF435C"/>
    <w:rsid w:val="00FF43C3"/>
    <w:rsid w:val="00FF4556"/>
    <w:rsid w:val="00FF456D"/>
    <w:rsid w:val="00FF45FF"/>
    <w:rsid w:val="00FF4747"/>
    <w:rsid w:val="00FF4804"/>
    <w:rsid w:val="00FF4916"/>
    <w:rsid w:val="00FF4984"/>
    <w:rsid w:val="00FF4AA0"/>
    <w:rsid w:val="00FF4B7A"/>
    <w:rsid w:val="00FF4B90"/>
    <w:rsid w:val="00FF4BDF"/>
    <w:rsid w:val="00FF4DEB"/>
    <w:rsid w:val="00FF4E2D"/>
    <w:rsid w:val="00FF4ED9"/>
    <w:rsid w:val="00FF4F0C"/>
    <w:rsid w:val="00FF5172"/>
    <w:rsid w:val="00FF517B"/>
    <w:rsid w:val="00FF5213"/>
    <w:rsid w:val="00FF5223"/>
    <w:rsid w:val="00FF532D"/>
    <w:rsid w:val="00FF544F"/>
    <w:rsid w:val="00FF546F"/>
    <w:rsid w:val="00FF54F6"/>
    <w:rsid w:val="00FF551C"/>
    <w:rsid w:val="00FF553F"/>
    <w:rsid w:val="00FF55C6"/>
    <w:rsid w:val="00FF56EF"/>
    <w:rsid w:val="00FF5753"/>
    <w:rsid w:val="00FF5785"/>
    <w:rsid w:val="00FF57B1"/>
    <w:rsid w:val="00FF5C0E"/>
    <w:rsid w:val="00FF5C5B"/>
    <w:rsid w:val="00FF5CF0"/>
    <w:rsid w:val="00FF5D7A"/>
    <w:rsid w:val="00FF5DE0"/>
    <w:rsid w:val="00FF5E23"/>
    <w:rsid w:val="00FF602B"/>
    <w:rsid w:val="00FF608A"/>
    <w:rsid w:val="00FF612B"/>
    <w:rsid w:val="00FF6273"/>
    <w:rsid w:val="00FF6344"/>
    <w:rsid w:val="00FF6392"/>
    <w:rsid w:val="00FF6444"/>
    <w:rsid w:val="00FF647D"/>
    <w:rsid w:val="00FF653A"/>
    <w:rsid w:val="00FF6621"/>
    <w:rsid w:val="00FF6711"/>
    <w:rsid w:val="00FF682F"/>
    <w:rsid w:val="00FF6855"/>
    <w:rsid w:val="00FF68B1"/>
    <w:rsid w:val="00FF68FC"/>
    <w:rsid w:val="00FF6ABA"/>
    <w:rsid w:val="00FF6AD9"/>
    <w:rsid w:val="00FF6AF9"/>
    <w:rsid w:val="00FF6B5D"/>
    <w:rsid w:val="00FF6BBF"/>
    <w:rsid w:val="00FF6BCB"/>
    <w:rsid w:val="00FF6BF4"/>
    <w:rsid w:val="00FF6C51"/>
    <w:rsid w:val="00FF6CA7"/>
    <w:rsid w:val="00FF6E63"/>
    <w:rsid w:val="00FF6EB6"/>
    <w:rsid w:val="00FF6F6E"/>
    <w:rsid w:val="00FF6FCA"/>
    <w:rsid w:val="00FF6FD1"/>
    <w:rsid w:val="00FF7093"/>
    <w:rsid w:val="00FF7199"/>
    <w:rsid w:val="00FF71AA"/>
    <w:rsid w:val="00FF7337"/>
    <w:rsid w:val="00FF73E2"/>
    <w:rsid w:val="00FF73EF"/>
    <w:rsid w:val="00FF7528"/>
    <w:rsid w:val="00FF75A4"/>
    <w:rsid w:val="00FF75C4"/>
    <w:rsid w:val="00FF76FB"/>
    <w:rsid w:val="00FF779E"/>
    <w:rsid w:val="00FF7943"/>
    <w:rsid w:val="00FF797F"/>
    <w:rsid w:val="00FF799D"/>
    <w:rsid w:val="00FF7A84"/>
    <w:rsid w:val="00FF7C46"/>
    <w:rsid w:val="00FF7D23"/>
    <w:rsid w:val="00FF7D3D"/>
    <w:rsid w:val="00FF7D68"/>
    <w:rsid w:val="00FF7E04"/>
    <w:rsid w:val="00FF7F7E"/>
    <w:rsid w:val="00FF7F9E"/>
    <w:rsid w:val="01237682"/>
    <w:rsid w:val="01444786"/>
    <w:rsid w:val="01798785"/>
    <w:rsid w:val="01AF5C9E"/>
    <w:rsid w:val="01B2ADC8"/>
    <w:rsid w:val="01C85FB1"/>
    <w:rsid w:val="01F1FD23"/>
    <w:rsid w:val="020681CD"/>
    <w:rsid w:val="02F1AF26"/>
    <w:rsid w:val="033270DB"/>
    <w:rsid w:val="0336031A"/>
    <w:rsid w:val="034F3961"/>
    <w:rsid w:val="035AFACF"/>
    <w:rsid w:val="036CC334"/>
    <w:rsid w:val="037ADB44"/>
    <w:rsid w:val="03860C54"/>
    <w:rsid w:val="0389F13B"/>
    <w:rsid w:val="03B822C7"/>
    <w:rsid w:val="040BAA8F"/>
    <w:rsid w:val="040D293E"/>
    <w:rsid w:val="041CB076"/>
    <w:rsid w:val="043A3BA8"/>
    <w:rsid w:val="045A6247"/>
    <w:rsid w:val="046EE2CC"/>
    <w:rsid w:val="049AC469"/>
    <w:rsid w:val="049C44F5"/>
    <w:rsid w:val="04B711FC"/>
    <w:rsid w:val="04C36038"/>
    <w:rsid w:val="04CAD5A8"/>
    <w:rsid w:val="04EA696D"/>
    <w:rsid w:val="04F2F38A"/>
    <w:rsid w:val="053AE354"/>
    <w:rsid w:val="0551A6B0"/>
    <w:rsid w:val="062DA40B"/>
    <w:rsid w:val="065E105E"/>
    <w:rsid w:val="0677C7DE"/>
    <w:rsid w:val="06A5E5DB"/>
    <w:rsid w:val="07188190"/>
    <w:rsid w:val="07260D45"/>
    <w:rsid w:val="074CA281"/>
    <w:rsid w:val="07544B93"/>
    <w:rsid w:val="0779644E"/>
    <w:rsid w:val="0790C800"/>
    <w:rsid w:val="07F3D96E"/>
    <w:rsid w:val="08253485"/>
    <w:rsid w:val="08409E16"/>
    <w:rsid w:val="08549EEA"/>
    <w:rsid w:val="08875655"/>
    <w:rsid w:val="089B3092"/>
    <w:rsid w:val="08A59D28"/>
    <w:rsid w:val="08EA7A20"/>
    <w:rsid w:val="09028530"/>
    <w:rsid w:val="094D7DD3"/>
    <w:rsid w:val="0973F60B"/>
    <w:rsid w:val="09CEBB58"/>
    <w:rsid w:val="09F20A04"/>
    <w:rsid w:val="0A972315"/>
    <w:rsid w:val="0AA54F47"/>
    <w:rsid w:val="0AE76CF8"/>
    <w:rsid w:val="0AEDB982"/>
    <w:rsid w:val="0B0558E6"/>
    <w:rsid w:val="0B5B2FC6"/>
    <w:rsid w:val="0B89680D"/>
    <w:rsid w:val="0B95B290"/>
    <w:rsid w:val="0BF082A0"/>
    <w:rsid w:val="0BF29A79"/>
    <w:rsid w:val="0C09E9A8"/>
    <w:rsid w:val="0C270ADC"/>
    <w:rsid w:val="0C28C159"/>
    <w:rsid w:val="0C2D31FA"/>
    <w:rsid w:val="0C555E8C"/>
    <w:rsid w:val="0C85E3C6"/>
    <w:rsid w:val="0C94A92F"/>
    <w:rsid w:val="0C9BBCBC"/>
    <w:rsid w:val="0CC3EF9C"/>
    <w:rsid w:val="0D6C11FF"/>
    <w:rsid w:val="0DC89535"/>
    <w:rsid w:val="0DD4116B"/>
    <w:rsid w:val="0DEA32EE"/>
    <w:rsid w:val="0DF107AF"/>
    <w:rsid w:val="0E8369E0"/>
    <w:rsid w:val="0E92191E"/>
    <w:rsid w:val="0EA1C05E"/>
    <w:rsid w:val="0EC2B8A0"/>
    <w:rsid w:val="0ED5DD00"/>
    <w:rsid w:val="0F21376A"/>
    <w:rsid w:val="101C66A7"/>
    <w:rsid w:val="1024069A"/>
    <w:rsid w:val="10252381"/>
    <w:rsid w:val="102F0DD7"/>
    <w:rsid w:val="1073BFE7"/>
    <w:rsid w:val="10749B43"/>
    <w:rsid w:val="1089F3E7"/>
    <w:rsid w:val="109A3BBD"/>
    <w:rsid w:val="10A2751C"/>
    <w:rsid w:val="10E6C51C"/>
    <w:rsid w:val="11042AD5"/>
    <w:rsid w:val="111848F6"/>
    <w:rsid w:val="1161CA16"/>
    <w:rsid w:val="116D7727"/>
    <w:rsid w:val="11AB4AD9"/>
    <w:rsid w:val="11EF2B61"/>
    <w:rsid w:val="120158AA"/>
    <w:rsid w:val="120782FA"/>
    <w:rsid w:val="12679DD5"/>
    <w:rsid w:val="12820D7C"/>
    <w:rsid w:val="12C1B64B"/>
    <w:rsid w:val="1321BE25"/>
    <w:rsid w:val="133CE958"/>
    <w:rsid w:val="134EC3E3"/>
    <w:rsid w:val="13569FF1"/>
    <w:rsid w:val="136C2199"/>
    <w:rsid w:val="13963D7D"/>
    <w:rsid w:val="13B3DAD6"/>
    <w:rsid w:val="13CD13B3"/>
    <w:rsid w:val="13E78001"/>
    <w:rsid w:val="140D3308"/>
    <w:rsid w:val="142CF2C3"/>
    <w:rsid w:val="147EF08B"/>
    <w:rsid w:val="14848FE1"/>
    <w:rsid w:val="148D3705"/>
    <w:rsid w:val="14B2DF74"/>
    <w:rsid w:val="14DCF74E"/>
    <w:rsid w:val="14F0EAAF"/>
    <w:rsid w:val="15199083"/>
    <w:rsid w:val="15A43374"/>
    <w:rsid w:val="15A81DEF"/>
    <w:rsid w:val="15DD200B"/>
    <w:rsid w:val="15F588B7"/>
    <w:rsid w:val="16480B87"/>
    <w:rsid w:val="1668DEE9"/>
    <w:rsid w:val="166910BF"/>
    <w:rsid w:val="168772D0"/>
    <w:rsid w:val="1690F3ED"/>
    <w:rsid w:val="16A54642"/>
    <w:rsid w:val="16D2E5D4"/>
    <w:rsid w:val="16DCCB98"/>
    <w:rsid w:val="17054BBE"/>
    <w:rsid w:val="1707FC37"/>
    <w:rsid w:val="17357E58"/>
    <w:rsid w:val="17682FB3"/>
    <w:rsid w:val="176E1857"/>
    <w:rsid w:val="17744557"/>
    <w:rsid w:val="17921CE6"/>
    <w:rsid w:val="17F20C37"/>
    <w:rsid w:val="181DC468"/>
    <w:rsid w:val="186BB2F1"/>
    <w:rsid w:val="1915D15C"/>
    <w:rsid w:val="19439259"/>
    <w:rsid w:val="19AFB036"/>
    <w:rsid w:val="19F08A53"/>
    <w:rsid w:val="1A1AF1A4"/>
    <w:rsid w:val="1A226588"/>
    <w:rsid w:val="1A3E8DA1"/>
    <w:rsid w:val="1A71EBF1"/>
    <w:rsid w:val="1B17FF1F"/>
    <w:rsid w:val="1B5F9420"/>
    <w:rsid w:val="1B6EAEB9"/>
    <w:rsid w:val="1B8B8E6C"/>
    <w:rsid w:val="1BA4C4EB"/>
    <w:rsid w:val="1BE4B10E"/>
    <w:rsid w:val="1C0AEFFA"/>
    <w:rsid w:val="1CAF4CD3"/>
    <w:rsid w:val="1CF19B81"/>
    <w:rsid w:val="1D09D93C"/>
    <w:rsid w:val="1D2B5CDB"/>
    <w:rsid w:val="1D83CFDB"/>
    <w:rsid w:val="1D8D9F74"/>
    <w:rsid w:val="1DC48D52"/>
    <w:rsid w:val="1DE5D028"/>
    <w:rsid w:val="1E19B0EB"/>
    <w:rsid w:val="1E243B35"/>
    <w:rsid w:val="1E472A18"/>
    <w:rsid w:val="1E4E5735"/>
    <w:rsid w:val="1E56449A"/>
    <w:rsid w:val="1E734EBE"/>
    <w:rsid w:val="1E81D330"/>
    <w:rsid w:val="1EB35817"/>
    <w:rsid w:val="1F1D648C"/>
    <w:rsid w:val="1F3E278A"/>
    <w:rsid w:val="1F48CE4B"/>
    <w:rsid w:val="1F95EEE8"/>
    <w:rsid w:val="1F9CFEEC"/>
    <w:rsid w:val="1FC7F1DF"/>
    <w:rsid w:val="200A09C3"/>
    <w:rsid w:val="207D843C"/>
    <w:rsid w:val="20A3BB66"/>
    <w:rsid w:val="20EB168C"/>
    <w:rsid w:val="210FFDB9"/>
    <w:rsid w:val="214552E8"/>
    <w:rsid w:val="217213FC"/>
    <w:rsid w:val="21771ADF"/>
    <w:rsid w:val="217E940E"/>
    <w:rsid w:val="2190106B"/>
    <w:rsid w:val="219016F4"/>
    <w:rsid w:val="21A84A72"/>
    <w:rsid w:val="21B1958D"/>
    <w:rsid w:val="21F81063"/>
    <w:rsid w:val="21FDAEBE"/>
    <w:rsid w:val="21FF6576"/>
    <w:rsid w:val="221C11C4"/>
    <w:rsid w:val="2253AB6A"/>
    <w:rsid w:val="2275BFB5"/>
    <w:rsid w:val="22868D7D"/>
    <w:rsid w:val="22DAC3DA"/>
    <w:rsid w:val="232F35B3"/>
    <w:rsid w:val="233F4295"/>
    <w:rsid w:val="234A37D5"/>
    <w:rsid w:val="235648F6"/>
    <w:rsid w:val="235DF99D"/>
    <w:rsid w:val="2383C2CF"/>
    <w:rsid w:val="2389261F"/>
    <w:rsid w:val="2396FCC2"/>
    <w:rsid w:val="23C53464"/>
    <w:rsid w:val="23E10C3F"/>
    <w:rsid w:val="242383A6"/>
    <w:rsid w:val="247494E9"/>
    <w:rsid w:val="2494B3CB"/>
    <w:rsid w:val="24AF3556"/>
    <w:rsid w:val="24D071AD"/>
    <w:rsid w:val="25E54A74"/>
    <w:rsid w:val="25ED6A7E"/>
    <w:rsid w:val="25F4BEE3"/>
    <w:rsid w:val="26135C9E"/>
    <w:rsid w:val="2676E357"/>
    <w:rsid w:val="2689BCF2"/>
    <w:rsid w:val="26E6CEC3"/>
    <w:rsid w:val="26F939F3"/>
    <w:rsid w:val="2713702B"/>
    <w:rsid w:val="275AEB93"/>
    <w:rsid w:val="27724AF3"/>
    <w:rsid w:val="27758732"/>
    <w:rsid w:val="2823989D"/>
    <w:rsid w:val="2826BFCB"/>
    <w:rsid w:val="28375A51"/>
    <w:rsid w:val="28434CBF"/>
    <w:rsid w:val="2888FE47"/>
    <w:rsid w:val="28A9E05E"/>
    <w:rsid w:val="28DEC9F8"/>
    <w:rsid w:val="290F3C34"/>
    <w:rsid w:val="291D61EB"/>
    <w:rsid w:val="2924645B"/>
    <w:rsid w:val="2924F78E"/>
    <w:rsid w:val="2A022629"/>
    <w:rsid w:val="2A0ED679"/>
    <w:rsid w:val="2A249FF4"/>
    <w:rsid w:val="2A28EB7A"/>
    <w:rsid w:val="2AA223EB"/>
    <w:rsid w:val="2AA64DB3"/>
    <w:rsid w:val="2AB7725F"/>
    <w:rsid w:val="2AD1A1E3"/>
    <w:rsid w:val="2B1E3A8C"/>
    <w:rsid w:val="2B28C8DD"/>
    <w:rsid w:val="2B300CDD"/>
    <w:rsid w:val="2B4A632F"/>
    <w:rsid w:val="2B4E5F3E"/>
    <w:rsid w:val="2B51AEA5"/>
    <w:rsid w:val="2B5EC117"/>
    <w:rsid w:val="2B86B558"/>
    <w:rsid w:val="2BA61F81"/>
    <w:rsid w:val="2BC96492"/>
    <w:rsid w:val="2BF8013E"/>
    <w:rsid w:val="2BFD75A1"/>
    <w:rsid w:val="2C2BDEC9"/>
    <w:rsid w:val="2C2DB594"/>
    <w:rsid w:val="2C616525"/>
    <w:rsid w:val="2D07AE1A"/>
    <w:rsid w:val="2D906175"/>
    <w:rsid w:val="2D942696"/>
    <w:rsid w:val="2DB8FE41"/>
    <w:rsid w:val="2DD75CAE"/>
    <w:rsid w:val="2DDB4219"/>
    <w:rsid w:val="2DF4EFE0"/>
    <w:rsid w:val="2E1304D8"/>
    <w:rsid w:val="2E1BCB92"/>
    <w:rsid w:val="2E484472"/>
    <w:rsid w:val="2E52EBEA"/>
    <w:rsid w:val="2E73DC20"/>
    <w:rsid w:val="2E87E989"/>
    <w:rsid w:val="2EA618C9"/>
    <w:rsid w:val="2ED0D4C6"/>
    <w:rsid w:val="2EE6A36F"/>
    <w:rsid w:val="2EE6F0A2"/>
    <w:rsid w:val="2F0991EB"/>
    <w:rsid w:val="2F1FADA7"/>
    <w:rsid w:val="2F811CA0"/>
    <w:rsid w:val="2FC8623D"/>
    <w:rsid w:val="2FDF390D"/>
    <w:rsid w:val="2FF6DD2B"/>
    <w:rsid w:val="30020DD0"/>
    <w:rsid w:val="300785EA"/>
    <w:rsid w:val="309C58E7"/>
    <w:rsid w:val="309FA2D4"/>
    <w:rsid w:val="30C5CD54"/>
    <w:rsid w:val="30D63B5B"/>
    <w:rsid w:val="3160DF1A"/>
    <w:rsid w:val="317C7C4C"/>
    <w:rsid w:val="31E2AADE"/>
    <w:rsid w:val="31E3F837"/>
    <w:rsid w:val="31F0C7BF"/>
    <w:rsid w:val="31F371F8"/>
    <w:rsid w:val="3238B0AE"/>
    <w:rsid w:val="3245ED6C"/>
    <w:rsid w:val="32A21684"/>
    <w:rsid w:val="32D95E71"/>
    <w:rsid w:val="33169013"/>
    <w:rsid w:val="335217F3"/>
    <w:rsid w:val="335C5802"/>
    <w:rsid w:val="3368447D"/>
    <w:rsid w:val="33871EA6"/>
    <w:rsid w:val="33B04F0D"/>
    <w:rsid w:val="33DFC2CE"/>
    <w:rsid w:val="33DFD9A7"/>
    <w:rsid w:val="33E17EE8"/>
    <w:rsid w:val="33EAF711"/>
    <w:rsid w:val="33EEFB7D"/>
    <w:rsid w:val="3401DDCE"/>
    <w:rsid w:val="341ACA0F"/>
    <w:rsid w:val="3422058E"/>
    <w:rsid w:val="342B7D1E"/>
    <w:rsid w:val="344118AB"/>
    <w:rsid w:val="344495CB"/>
    <w:rsid w:val="34AB43B2"/>
    <w:rsid w:val="3500C412"/>
    <w:rsid w:val="35071065"/>
    <w:rsid w:val="350DEF0F"/>
    <w:rsid w:val="35841CF8"/>
    <w:rsid w:val="3584D791"/>
    <w:rsid w:val="35F64864"/>
    <w:rsid w:val="3667F62A"/>
    <w:rsid w:val="366E5ECE"/>
    <w:rsid w:val="36790348"/>
    <w:rsid w:val="369996E3"/>
    <w:rsid w:val="36C11618"/>
    <w:rsid w:val="36C2DC3A"/>
    <w:rsid w:val="3712C61F"/>
    <w:rsid w:val="376B2D8C"/>
    <w:rsid w:val="378404CE"/>
    <w:rsid w:val="37BD7C12"/>
    <w:rsid w:val="37E0260A"/>
    <w:rsid w:val="380703E4"/>
    <w:rsid w:val="38140960"/>
    <w:rsid w:val="38488AA9"/>
    <w:rsid w:val="3854FBDD"/>
    <w:rsid w:val="38604ACA"/>
    <w:rsid w:val="3898D3B5"/>
    <w:rsid w:val="38E44023"/>
    <w:rsid w:val="38F88E56"/>
    <w:rsid w:val="39583C9D"/>
    <w:rsid w:val="39833CC9"/>
    <w:rsid w:val="39CE545B"/>
    <w:rsid w:val="39E3B7AF"/>
    <w:rsid w:val="39E6EAC0"/>
    <w:rsid w:val="39EA2C36"/>
    <w:rsid w:val="39F991F0"/>
    <w:rsid w:val="3A98B039"/>
    <w:rsid w:val="3AA8F56C"/>
    <w:rsid w:val="3AB6F802"/>
    <w:rsid w:val="3AC832D9"/>
    <w:rsid w:val="3ACC72CC"/>
    <w:rsid w:val="3AF303CD"/>
    <w:rsid w:val="3B18B436"/>
    <w:rsid w:val="3B3E8800"/>
    <w:rsid w:val="3B532C03"/>
    <w:rsid w:val="3B650BCB"/>
    <w:rsid w:val="3B7501FA"/>
    <w:rsid w:val="3B87A23C"/>
    <w:rsid w:val="3CBA1ED5"/>
    <w:rsid w:val="3D56973D"/>
    <w:rsid w:val="3D916484"/>
    <w:rsid w:val="3DAAAF07"/>
    <w:rsid w:val="3DC2A072"/>
    <w:rsid w:val="3DF44081"/>
    <w:rsid w:val="3E079F63"/>
    <w:rsid w:val="3E4CBDE1"/>
    <w:rsid w:val="3EA226C3"/>
    <w:rsid w:val="3EB3C9A3"/>
    <w:rsid w:val="3EE0CE9B"/>
    <w:rsid w:val="3EF93747"/>
    <w:rsid w:val="3F09FB69"/>
    <w:rsid w:val="3F17FDFF"/>
    <w:rsid w:val="3F79D6D9"/>
    <w:rsid w:val="3F88527D"/>
    <w:rsid w:val="3FFA6BD3"/>
    <w:rsid w:val="4023AAAF"/>
    <w:rsid w:val="40BDA474"/>
    <w:rsid w:val="410C19A2"/>
    <w:rsid w:val="411E6CC3"/>
    <w:rsid w:val="4130D428"/>
    <w:rsid w:val="41A15A85"/>
    <w:rsid w:val="41AFD3BD"/>
    <w:rsid w:val="41FB2171"/>
    <w:rsid w:val="4204A3D5"/>
    <w:rsid w:val="42439BDC"/>
    <w:rsid w:val="424606CF"/>
    <w:rsid w:val="425496EF"/>
    <w:rsid w:val="42A6A8FE"/>
    <w:rsid w:val="4328570B"/>
    <w:rsid w:val="4370FA0F"/>
    <w:rsid w:val="443C52FF"/>
    <w:rsid w:val="444E53CB"/>
    <w:rsid w:val="44550ACC"/>
    <w:rsid w:val="4481AA41"/>
    <w:rsid w:val="4488F09F"/>
    <w:rsid w:val="44C17942"/>
    <w:rsid w:val="44E37883"/>
    <w:rsid w:val="44F9182D"/>
    <w:rsid w:val="44FA295E"/>
    <w:rsid w:val="45020A45"/>
    <w:rsid w:val="45344A48"/>
    <w:rsid w:val="4539B4E1"/>
    <w:rsid w:val="4598D4AE"/>
    <w:rsid w:val="45BAF8BC"/>
    <w:rsid w:val="46168D03"/>
    <w:rsid w:val="461E8D23"/>
    <w:rsid w:val="469A08F5"/>
    <w:rsid w:val="46B336D2"/>
    <w:rsid w:val="46E3A8CA"/>
    <w:rsid w:val="476502C6"/>
    <w:rsid w:val="479F2591"/>
    <w:rsid w:val="47F22D02"/>
    <w:rsid w:val="47F916F3"/>
    <w:rsid w:val="48533613"/>
    <w:rsid w:val="48B6A6A1"/>
    <w:rsid w:val="48BBE055"/>
    <w:rsid w:val="48CB22EE"/>
    <w:rsid w:val="490F4B77"/>
    <w:rsid w:val="49374A50"/>
    <w:rsid w:val="493F9D72"/>
    <w:rsid w:val="4951F019"/>
    <w:rsid w:val="495A6DA1"/>
    <w:rsid w:val="496E5C8F"/>
    <w:rsid w:val="4A945CEE"/>
    <w:rsid w:val="4AA2BF13"/>
    <w:rsid w:val="4ACB3367"/>
    <w:rsid w:val="4AEF3DE6"/>
    <w:rsid w:val="4B0205D9"/>
    <w:rsid w:val="4B07CECB"/>
    <w:rsid w:val="4B1585AF"/>
    <w:rsid w:val="4B34CC4D"/>
    <w:rsid w:val="4B384094"/>
    <w:rsid w:val="4BD20788"/>
    <w:rsid w:val="4BE2CE08"/>
    <w:rsid w:val="4C28B4AA"/>
    <w:rsid w:val="4C4E9331"/>
    <w:rsid w:val="4CC68514"/>
    <w:rsid w:val="4CF98693"/>
    <w:rsid w:val="4CFDA174"/>
    <w:rsid w:val="4DAD6CEB"/>
    <w:rsid w:val="4DC0628F"/>
    <w:rsid w:val="4DF1C1CA"/>
    <w:rsid w:val="4E0F127E"/>
    <w:rsid w:val="4E362BD9"/>
    <w:rsid w:val="4EB7352A"/>
    <w:rsid w:val="4ECFCC8A"/>
    <w:rsid w:val="4F1FE30A"/>
    <w:rsid w:val="4F294CBC"/>
    <w:rsid w:val="4F398990"/>
    <w:rsid w:val="4F9A07C3"/>
    <w:rsid w:val="4FA3E4C5"/>
    <w:rsid w:val="4FC2DB5F"/>
    <w:rsid w:val="50317BE2"/>
    <w:rsid w:val="5034E6C2"/>
    <w:rsid w:val="505E47F8"/>
    <w:rsid w:val="50854504"/>
    <w:rsid w:val="50A1D28E"/>
    <w:rsid w:val="50F3266E"/>
    <w:rsid w:val="510B4D94"/>
    <w:rsid w:val="513A6FAA"/>
    <w:rsid w:val="514262B0"/>
    <w:rsid w:val="51463106"/>
    <w:rsid w:val="516E96E4"/>
    <w:rsid w:val="519C1862"/>
    <w:rsid w:val="51E0B6B0"/>
    <w:rsid w:val="525647AA"/>
    <w:rsid w:val="5269FCBA"/>
    <w:rsid w:val="52FC1A50"/>
    <w:rsid w:val="52FEE352"/>
    <w:rsid w:val="5300ADD7"/>
    <w:rsid w:val="53267468"/>
    <w:rsid w:val="537B2CC6"/>
    <w:rsid w:val="53935904"/>
    <w:rsid w:val="53A1C6BC"/>
    <w:rsid w:val="542D944F"/>
    <w:rsid w:val="543A45B7"/>
    <w:rsid w:val="5464AFE6"/>
    <w:rsid w:val="54B60D68"/>
    <w:rsid w:val="54BD9647"/>
    <w:rsid w:val="54D91EDD"/>
    <w:rsid w:val="54E9C659"/>
    <w:rsid w:val="551204F9"/>
    <w:rsid w:val="551B7B7C"/>
    <w:rsid w:val="5537A6ED"/>
    <w:rsid w:val="553F44FC"/>
    <w:rsid w:val="55427954"/>
    <w:rsid w:val="558C4485"/>
    <w:rsid w:val="55937C21"/>
    <w:rsid w:val="55BE0E76"/>
    <w:rsid w:val="55BE1A09"/>
    <w:rsid w:val="55D565D3"/>
    <w:rsid w:val="55E13949"/>
    <w:rsid w:val="560DDCB0"/>
    <w:rsid w:val="5616ACD1"/>
    <w:rsid w:val="56801AD0"/>
    <w:rsid w:val="56AC41C3"/>
    <w:rsid w:val="56AF9BC2"/>
    <w:rsid w:val="56BD8363"/>
    <w:rsid w:val="56FA95B3"/>
    <w:rsid w:val="570B3A0D"/>
    <w:rsid w:val="57290D7F"/>
    <w:rsid w:val="5768524B"/>
    <w:rsid w:val="5775DAB0"/>
    <w:rsid w:val="5784B6D9"/>
    <w:rsid w:val="57A9C759"/>
    <w:rsid w:val="57B13EDB"/>
    <w:rsid w:val="57BEB543"/>
    <w:rsid w:val="57DEA338"/>
    <w:rsid w:val="5858A2DE"/>
    <w:rsid w:val="5893D65E"/>
    <w:rsid w:val="5949ECDD"/>
    <w:rsid w:val="59A61E83"/>
    <w:rsid w:val="59B0C7D8"/>
    <w:rsid w:val="59B7595A"/>
    <w:rsid w:val="59BD103E"/>
    <w:rsid w:val="5A29E543"/>
    <w:rsid w:val="5A87B3AF"/>
    <w:rsid w:val="5B257E9A"/>
    <w:rsid w:val="5B3963F6"/>
    <w:rsid w:val="5B43C65F"/>
    <w:rsid w:val="5B6D4E37"/>
    <w:rsid w:val="5B71BC6A"/>
    <w:rsid w:val="5B9547B6"/>
    <w:rsid w:val="5C190A9B"/>
    <w:rsid w:val="5C29A8B1"/>
    <w:rsid w:val="5C2DA87C"/>
    <w:rsid w:val="5C6AC322"/>
    <w:rsid w:val="5C77809D"/>
    <w:rsid w:val="5C818307"/>
    <w:rsid w:val="5C985C64"/>
    <w:rsid w:val="5CAB553E"/>
    <w:rsid w:val="5D0254AA"/>
    <w:rsid w:val="5D12A535"/>
    <w:rsid w:val="5D4FA23D"/>
    <w:rsid w:val="5D6834EB"/>
    <w:rsid w:val="5D744714"/>
    <w:rsid w:val="5DC84B7A"/>
    <w:rsid w:val="5DEFDAB3"/>
    <w:rsid w:val="5E284A7B"/>
    <w:rsid w:val="5E525AA8"/>
    <w:rsid w:val="5E5328F5"/>
    <w:rsid w:val="5E621E01"/>
    <w:rsid w:val="5E64173A"/>
    <w:rsid w:val="5E96E1CB"/>
    <w:rsid w:val="5EA14CF9"/>
    <w:rsid w:val="5EC2FED9"/>
    <w:rsid w:val="5F00093D"/>
    <w:rsid w:val="5F4B28DD"/>
    <w:rsid w:val="5F74A7AC"/>
    <w:rsid w:val="5FA5258D"/>
    <w:rsid w:val="5FABD551"/>
    <w:rsid w:val="6071766A"/>
    <w:rsid w:val="60835869"/>
    <w:rsid w:val="6096B3B7"/>
    <w:rsid w:val="60A6E6DC"/>
    <w:rsid w:val="60E3168F"/>
    <w:rsid w:val="6102AEC3"/>
    <w:rsid w:val="612EE714"/>
    <w:rsid w:val="61324127"/>
    <w:rsid w:val="613D2C56"/>
    <w:rsid w:val="618854C5"/>
    <w:rsid w:val="619E4853"/>
    <w:rsid w:val="61AA3001"/>
    <w:rsid w:val="61DABBAA"/>
    <w:rsid w:val="61EA4734"/>
    <w:rsid w:val="61EF152D"/>
    <w:rsid w:val="62140561"/>
    <w:rsid w:val="6219CBF5"/>
    <w:rsid w:val="62A611CD"/>
    <w:rsid w:val="62B5B570"/>
    <w:rsid w:val="6311DFEE"/>
    <w:rsid w:val="631DEFC6"/>
    <w:rsid w:val="6363EE67"/>
    <w:rsid w:val="63DF61CF"/>
    <w:rsid w:val="64288CE6"/>
    <w:rsid w:val="6451FE93"/>
    <w:rsid w:val="6460000D"/>
    <w:rsid w:val="647A47CB"/>
    <w:rsid w:val="64AF7347"/>
    <w:rsid w:val="64D22E26"/>
    <w:rsid w:val="64E27F8B"/>
    <w:rsid w:val="65538816"/>
    <w:rsid w:val="65585D23"/>
    <w:rsid w:val="660D52B7"/>
    <w:rsid w:val="66A2DDC1"/>
    <w:rsid w:val="66C066D4"/>
    <w:rsid w:val="66E12C45"/>
    <w:rsid w:val="6743CF68"/>
    <w:rsid w:val="6744B6F8"/>
    <w:rsid w:val="6772B415"/>
    <w:rsid w:val="67861285"/>
    <w:rsid w:val="67A0DF8C"/>
    <w:rsid w:val="67A6A87E"/>
    <w:rsid w:val="67D6C796"/>
    <w:rsid w:val="67F6D3E9"/>
    <w:rsid w:val="68594D70"/>
    <w:rsid w:val="6864FD72"/>
    <w:rsid w:val="688AE669"/>
    <w:rsid w:val="68C4E8B7"/>
    <w:rsid w:val="6933E806"/>
    <w:rsid w:val="69C9E5BC"/>
    <w:rsid w:val="6A19E8B1"/>
    <w:rsid w:val="6A4B0E11"/>
    <w:rsid w:val="6A849A5A"/>
    <w:rsid w:val="6ABBA0C1"/>
    <w:rsid w:val="6AC8331D"/>
    <w:rsid w:val="6ACF06A7"/>
    <w:rsid w:val="6B3BB902"/>
    <w:rsid w:val="6B806727"/>
    <w:rsid w:val="6B8C1D42"/>
    <w:rsid w:val="6B9823DE"/>
    <w:rsid w:val="6B9D7255"/>
    <w:rsid w:val="6BB85C0E"/>
    <w:rsid w:val="6BC0DBF4"/>
    <w:rsid w:val="6BE9570B"/>
    <w:rsid w:val="6BFB4B0F"/>
    <w:rsid w:val="6C069C31"/>
    <w:rsid w:val="6C2AE7F7"/>
    <w:rsid w:val="6C653195"/>
    <w:rsid w:val="6C6F5EF9"/>
    <w:rsid w:val="6C70D6E8"/>
    <w:rsid w:val="6CA7754F"/>
    <w:rsid w:val="6CFF1E06"/>
    <w:rsid w:val="6D0C4123"/>
    <w:rsid w:val="6D0FD127"/>
    <w:rsid w:val="6D33973F"/>
    <w:rsid w:val="6D494A8C"/>
    <w:rsid w:val="6D4A797C"/>
    <w:rsid w:val="6D596F69"/>
    <w:rsid w:val="6DA315D7"/>
    <w:rsid w:val="6DBA1108"/>
    <w:rsid w:val="6DC9415C"/>
    <w:rsid w:val="6DCB0F93"/>
    <w:rsid w:val="6E098438"/>
    <w:rsid w:val="6E16F060"/>
    <w:rsid w:val="6E399E50"/>
    <w:rsid w:val="6E4A3D92"/>
    <w:rsid w:val="6EA8383C"/>
    <w:rsid w:val="6EBA15FD"/>
    <w:rsid w:val="6ECCD5BA"/>
    <w:rsid w:val="6F01179F"/>
    <w:rsid w:val="6F0CB634"/>
    <w:rsid w:val="6F93E6F1"/>
    <w:rsid w:val="6FDCA022"/>
    <w:rsid w:val="701AC62A"/>
    <w:rsid w:val="70482C70"/>
    <w:rsid w:val="708269B5"/>
    <w:rsid w:val="70B1B512"/>
    <w:rsid w:val="70E1EF47"/>
    <w:rsid w:val="70EF7B28"/>
    <w:rsid w:val="7110274C"/>
    <w:rsid w:val="711E28E7"/>
    <w:rsid w:val="71240FC0"/>
    <w:rsid w:val="7159BC5A"/>
    <w:rsid w:val="71ABC6BE"/>
    <w:rsid w:val="71FBC311"/>
    <w:rsid w:val="720463EB"/>
    <w:rsid w:val="7215198A"/>
    <w:rsid w:val="7277E20F"/>
    <w:rsid w:val="72A5CC91"/>
    <w:rsid w:val="72B26051"/>
    <w:rsid w:val="7317A7FD"/>
    <w:rsid w:val="732A32E4"/>
    <w:rsid w:val="732D8CE3"/>
    <w:rsid w:val="7361F186"/>
    <w:rsid w:val="739A889E"/>
    <w:rsid w:val="739F4A66"/>
    <w:rsid w:val="73E4CAE9"/>
    <w:rsid w:val="740D30BA"/>
    <w:rsid w:val="74435F9A"/>
    <w:rsid w:val="749BDA67"/>
    <w:rsid w:val="74C11D40"/>
    <w:rsid w:val="74F50F30"/>
    <w:rsid w:val="7513AA56"/>
    <w:rsid w:val="752BD1B3"/>
    <w:rsid w:val="755C3BF3"/>
    <w:rsid w:val="75726029"/>
    <w:rsid w:val="757DA29C"/>
    <w:rsid w:val="758EFEA3"/>
    <w:rsid w:val="7594C26A"/>
    <w:rsid w:val="75A140E6"/>
    <w:rsid w:val="75B9C21B"/>
    <w:rsid w:val="75DEAEF6"/>
    <w:rsid w:val="75FE3047"/>
    <w:rsid w:val="76206D9B"/>
    <w:rsid w:val="7659FC4B"/>
    <w:rsid w:val="76760DA4"/>
    <w:rsid w:val="77269E8C"/>
    <w:rsid w:val="7769A927"/>
    <w:rsid w:val="77973AF3"/>
    <w:rsid w:val="7799C33F"/>
    <w:rsid w:val="77A8BDD7"/>
    <w:rsid w:val="77B97249"/>
    <w:rsid w:val="7834B506"/>
    <w:rsid w:val="7869D1E4"/>
    <w:rsid w:val="787406D4"/>
    <w:rsid w:val="78D061F6"/>
    <w:rsid w:val="790B67B9"/>
    <w:rsid w:val="7986FBEC"/>
    <w:rsid w:val="79EBD583"/>
    <w:rsid w:val="7A36C40F"/>
    <w:rsid w:val="7A547C76"/>
    <w:rsid w:val="7AB8BDEC"/>
    <w:rsid w:val="7AD858FF"/>
    <w:rsid w:val="7AD8F260"/>
    <w:rsid w:val="7AFCA7BF"/>
    <w:rsid w:val="7B18BF4B"/>
    <w:rsid w:val="7B18C368"/>
    <w:rsid w:val="7B26143E"/>
    <w:rsid w:val="7B33829C"/>
    <w:rsid w:val="7BD431A0"/>
    <w:rsid w:val="7BEC564B"/>
    <w:rsid w:val="7BFE67D5"/>
    <w:rsid w:val="7C02D9E3"/>
    <w:rsid w:val="7C0450DF"/>
    <w:rsid w:val="7C1FD616"/>
    <w:rsid w:val="7C634A81"/>
    <w:rsid w:val="7C812653"/>
    <w:rsid w:val="7C817372"/>
    <w:rsid w:val="7C89A3FB"/>
    <w:rsid w:val="7CE324BA"/>
    <w:rsid w:val="7CEF1986"/>
    <w:rsid w:val="7CF35F7D"/>
    <w:rsid w:val="7CF5D881"/>
    <w:rsid w:val="7CF7F44A"/>
    <w:rsid w:val="7D1F0AEE"/>
    <w:rsid w:val="7D5D5BD0"/>
    <w:rsid w:val="7D74D265"/>
    <w:rsid w:val="7E0551B0"/>
    <w:rsid w:val="7E09FCC5"/>
    <w:rsid w:val="7E2F1732"/>
    <w:rsid w:val="7E470729"/>
    <w:rsid w:val="7E57D8A6"/>
    <w:rsid w:val="7E7D5FAC"/>
    <w:rsid w:val="7EA359E7"/>
    <w:rsid w:val="7EC31751"/>
    <w:rsid w:val="7EE1F156"/>
    <w:rsid w:val="7F2E3AD6"/>
    <w:rsid w:val="7FAD275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B9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63B"/>
    <w:pPr>
      <w:spacing w:after="170"/>
    </w:pPr>
    <w:rPr>
      <w:lang w:val="en-AU"/>
    </w:rPr>
  </w:style>
  <w:style w:type="paragraph" w:styleId="Heading1">
    <w:name w:val="heading 1"/>
    <w:basedOn w:val="Normal"/>
    <w:next w:val="Normal"/>
    <w:link w:val="Heading1Char"/>
    <w:uiPriority w:val="1"/>
    <w:qFormat/>
    <w:rsid w:val="003C3850"/>
    <w:pPr>
      <w:keepNext/>
      <w:keepLines/>
      <w:pageBreakBefore/>
      <w:numPr>
        <w:numId w:val="12"/>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3C3850"/>
    <w:pPr>
      <w:keepNext/>
      <w:keepLines/>
      <w:numPr>
        <w:ilvl w:val="1"/>
        <w:numId w:val="21"/>
      </w:numPr>
      <w:spacing w:before="240" w:after="0" w:line="280" w:lineRule="atLeast"/>
      <w:outlineLvl w:val="1"/>
    </w:pPr>
    <w:rPr>
      <w:rFonts w:eastAsiaTheme="majorEastAsia" w:cstheme="majorBidi"/>
      <w:b/>
      <w:bCs/>
      <w:color w:val="62B5E5" w:themeColor="accent3"/>
      <w:sz w:val="22"/>
      <w:szCs w:val="26"/>
    </w:rPr>
  </w:style>
  <w:style w:type="paragraph" w:styleId="Heading3">
    <w:name w:val="heading 3"/>
    <w:basedOn w:val="Normal"/>
    <w:next w:val="Normal"/>
    <w:link w:val="Heading3Char"/>
    <w:uiPriority w:val="1"/>
    <w:qFormat/>
    <w:rsid w:val="003C3850"/>
    <w:pPr>
      <w:keepNext/>
      <w:keepLines/>
      <w:numPr>
        <w:ilvl w:val="2"/>
        <w:numId w:val="21"/>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3C3850"/>
    <w:pPr>
      <w:keepNext/>
      <w:keepLines/>
      <w:numPr>
        <w:ilvl w:val="3"/>
        <w:numId w:val="21"/>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3C3850"/>
    <w:pPr>
      <w:keepNext/>
      <w:keepLines/>
      <w:numPr>
        <w:ilvl w:val="4"/>
        <w:numId w:val="21"/>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3C3850"/>
    <w:pPr>
      <w:keepNext/>
      <w:keepLines/>
      <w:numPr>
        <w:ilvl w:val="5"/>
        <w:numId w:val="21"/>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3C3850"/>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3C3850"/>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3C3850"/>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3850"/>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3C3850"/>
    <w:rPr>
      <w:rFonts w:eastAsiaTheme="majorEastAsia" w:cstheme="majorBidi"/>
      <w:b/>
      <w:bCs/>
      <w:color w:val="62B5E5" w:themeColor="accent3"/>
      <w:sz w:val="22"/>
      <w:szCs w:val="26"/>
      <w:lang w:val="en-AU"/>
    </w:rPr>
  </w:style>
  <w:style w:type="table" w:styleId="TableGrid">
    <w:name w:val="Table Grid"/>
    <w:basedOn w:val="TableNormal"/>
    <w:uiPriority w:val="99"/>
    <w:rsid w:val="003C385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rsid w:val="003C385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rsid w:val="003C3850"/>
    <w:rPr>
      <w:sz w:val="14"/>
      <w:lang w:val="en-AU"/>
    </w:rPr>
  </w:style>
  <w:style w:type="paragraph" w:styleId="Footer">
    <w:name w:val="footer"/>
    <w:basedOn w:val="Normal"/>
    <w:link w:val="FooterChar"/>
    <w:uiPriority w:val="10"/>
    <w:qFormat/>
    <w:rsid w:val="003C3850"/>
    <w:pPr>
      <w:tabs>
        <w:tab w:val="right" w:pos="7371"/>
      </w:tabs>
      <w:spacing w:after="0" w:line="200" w:lineRule="atLeast"/>
    </w:pPr>
    <w:rPr>
      <w:sz w:val="16"/>
    </w:rPr>
  </w:style>
  <w:style w:type="character" w:customStyle="1" w:styleId="FooterChar">
    <w:name w:val="Footer Char"/>
    <w:basedOn w:val="DefaultParagraphFont"/>
    <w:link w:val="Footer"/>
    <w:uiPriority w:val="10"/>
    <w:rsid w:val="003C3850"/>
    <w:rPr>
      <w:sz w:val="16"/>
      <w:lang w:val="en-AU"/>
    </w:rPr>
  </w:style>
  <w:style w:type="paragraph" w:styleId="BalloonText">
    <w:name w:val="Balloon Text"/>
    <w:basedOn w:val="Normal"/>
    <w:link w:val="BalloonTextChar"/>
    <w:uiPriority w:val="99"/>
    <w:semiHidden/>
    <w:rsid w:val="003C38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850"/>
    <w:rPr>
      <w:rFonts w:ascii="Tahoma" w:hAnsi="Tahoma" w:cs="Tahoma"/>
      <w:sz w:val="16"/>
      <w:szCs w:val="16"/>
      <w:lang w:val="en-AU"/>
    </w:rPr>
  </w:style>
  <w:style w:type="paragraph" w:customStyle="1" w:styleId="Subject">
    <w:name w:val="Subject"/>
    <w:basedOn w:val="Normal"/>
    <w:uiPriority w:val="6"/>
    <w:semiHidden/>
    <w:qFormat/>
    <w:rsid w:val="003C3850"/>
    <w:pPr>
      <w:spacing w:after="0"/>
    </w:pPr>
    <w:rPr>
      <w:b/>
    </w:rPr>
  </w:style>
  <w:style w:type="character" w:styleId="PlaceholderText">
    <w:name w:val="Placeholder Text"/>
    <w:basedOn w:val="DefaultParagraphFont"/>
    <w:uiPriority w:val="10"/>
    <w:semiHidden/>
    <w:rsid w:val="003C3850"/>
    <w:rPr>
      <w:color w:val="808080"/>
      <w:lang w:val="en-AU"/>
    </w:rPr>
  </w:style>
  <w:style w:type="paragraph" w:styleId="ListBullet">
    <w:name w:val="List Bullet"/>
    <w:basedOn w:val="Normal"/>
    <w:uiPriority w:val="3"/>
    <w:qFormat/>
    <w:rsid w:val="003C3850"/>
    <w:pPr>
      <w:numPr>
        <w:numId w:val="8"/>
      </w:numPr>
      <w:spacing w:after="0"/>
      <w:contextualSpacing/>
    </w:pPr>
    <w:rPr>
      <w:szCs w:val="17"/>
    </w:rPr>
  </w:style>
  <w:style w:type="paragraph" w:styleId="ListBullet2">
    <w:name w:val="List Bullet 2"/>
    <w:basedOn w:val="Normal"/>
    <w:uiPriority w:val="3"/>
    <w:rsid w:val="003C3850"/>
    <w:pPr>
      <w:numPr>
        <w:numId w:val="60"/>
      </w:numPr>
      <w:spacing w:after="0"/>
      <w:contextualSpacing/>
    </w:pPr>
    <w:rPr>
      <w:szCs w:val="17"/>
    </w:rPr>
  </w:style>
  <w:style w:type="paragraph" w:styleId="ListNumber">
    <w:name w:val="List Number"/>
    <w:basedOn w:val="Normal"/>
    <w:uiPriority w:val="3"/>
    <w:qFormat/>
    <w:rsid w:val="003C3850"/>
    <w:pPr>
      <w:numPr>
        <w:numId w:val="62"/>
      </w:numPr>
      <w:spacing w:after="0"/>
      <w:contextualSpacing/>
    </w:pPr>
    <w:rPr>
      <w:szCs w:val="17"/>
    </w:rPr>
  </w:style>
  <w:style w:type="paragraph" w:styleId="ListNumber2">
    <w:name w:val="List Number 2"/>
    <w:basedOn w:val="Normal"/>
    <w:uiPriority w:val="3"/>
    <w:qFormat/>
    <w:rsid w:val="003C3850"/>
    <w:pPr>
      <w:numPr>
        <w:ilvl w:val="1"/>
        <w:numId w:val="63"/>
      </w:numPr>
      <w:spacing w:after="0"/>
      <w:contextualSpacing/>
    </w:pPr>
  </w:style>
  <w:style w:type="character" w:customStyle="1" w:styleId="Heading3Char">
    <w:name w:val="Heading 3 Char"/>
    <w:basedOn w:val="DefaultParagraphFont"/>
    <w:link w:val="Heading3"/>
    <w:uiPriority w:val="1"/>
    <w:rsid w:val="003C3850"/>
    <w:rPr>
      <w:rFonts w:eastAsiaTheme="majorEastAsia" w:cstheme="majorBidi"/>
      <w:b/>
      <w:bCs/>
      <w:lang w:val="en-AU"/>
    </w:rPr>
  </w:style>
  <w:style w:type="character" w:customStyle="1" w:styleId="Heading4Char">
    <w:name w:val="Heading 4 Char"/>
    <w:basedOn w:val="DefaultParagraphFont"/>
    <w:link w:val="Heading4"/>
    <w:uiPriority w:val="1"/>
    <w:rsid w:val="003C3850"/>
    <w:rPr>
      <w:rFonts w:eastAsiaTheme="majorEastAsia" w:cstheme="majorBidi"/>
      <w:b/>
      <w:bCs/>
      <w:iCs/>
      <w:color w:val="75787B" w:themeColor="accent6"/>
      <w:lang w:val="en-AU"/>
    </w:rPr>
  </w:style>
  <w:style w:type="paragraph" w:styleId="FootnoteText">
    <w:name w:val="footnote text"/>
    <w:basedOn w:val="Normal"/>
    <w:link w:val="FootnoteTextChar"/>
    <w:uiPriority w:val="10"/>
    <w:semiHidden/>
    <w:qFormat/>
    <w:rsid w:val="003C3850"/>
    <w:pPr>
      <w:spacing w:after="0" w:line="240" w:lineRule="auto"/>
    </w:pPr>
    <w:rPr>
      <w:sz w:val="16"/>
      <w:szCs w:val="20"/>
    </w:rPr>
  </w:style>
  <w:style w:type="character" w:customStyle="1" w:styleId="FootnoteTextChar">
    <w:name w:val="Footnote Text Char"/>
    <w:basedOn w:val="DefaultParagraphFont"/>
    <w:link w:val="FootnoteText"/>
    <w:uiPriority w:val="10"/>
    <w:semiHidden/>
    <w:rsid w:val="003C3850"/>
    <w:rPr>
      <w:sz w:val="16"/>
      <w:szCs w:val="20"/>
      <w:lang w:val="en-AU"/>
    </w:rPr>
  </w:style>
  <w:style w:type="paragraph" w:customStyle="1" w:styleId="Documenttitle">
    <w:name w:val="Document title"/>
    <w:next w:val="Documentsubtitle"/>
    <w:uiPriority w:val="7"/>
    <w:rsid w:val="003C385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3C3850"/>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3C3850"/>
    <w:rPr>
      <w:vertAlign w:val="superscript"/>
      <w:lang w:val="en-AU"/>
    </w:rPr>
  </w:style>
  <w:style w:type="paragraph" w:customStyle="1" w:styleId="Sectionintro">
    <w:name w:val="Section intro"/>
    <w:basedOn w:val="Normal"/>
    <w:next w:val="Normal"/>
    <w:uiPriority w:val="2"/>
    <w:qFormat/>
    <w:rsid w:val="003C3850"/>
    <w:pPr>
      <w:spacing w:after="360" w:line="360" w:lineRule="atLeast"/>
      <w:contextualSpacing/>
    </w:pPr>
    <w:rPr>
      <w:sz w:val="28"/>
    </w:rPr>
  </w:style>
  <w:style w:type="paragraph" w:customStyle="1" w:styleId="Documentdate">
    <w:name w:val="Document date"/>
    <w:uiPriority w:val="7"/>
    <w:rsid w:val="003C3850"/>
    <w:rPr>
      <w:lang w:val="en-AU"/>
    </w:rPr>
  </w:style>
  <w:style w:type="paragraph" w:customStyle="1" w:styleId="Heading1un-numbered">
    <w:name w:val="Heading 1 (un-numbered)"/>
    <w:basedOn w:val="Normal"/>
    <w:next w:val="Normal"/>
    <w:uiPriority w:val="2"/>
    <w:qFormat/>
    <w:rsid w:val="003C3850"/>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3C3850"/>
    <w:pPr>
      <w:spacing w:after="0" w:line="360" w:lineRule="atLeast"/>
    </w:pPr>
    <w:rPr>
      <w:color w:val="62B5E5" w:themeColor="accent3"/>
      <w:sz w:val="28"/>
    </w:rPr>
  </w:style>
  <w:style w:type="paragraph" w:customStyle="1" w:styleId="Contacttext">
    <w:name w:val="Contact text"/>
    <w:basedOn w:val="Normal"/>
    <w:uiPriority w:val="7"/>
    <w:semiHidden/>
    <w:rsid w:val="003C3850"/>
    <w:pPr>
      <w:spacing w:after="0"/>
    </w:pPr>
  </w:style>
  <w:style w:type="paragraph" w:customStyle="1" w:styleId="Contactus">
    <w:name w:val="Contact us"/>
    <w:basedOn w:val="Contacttext"/>
    <w:next w:val="Contacttext"/>
    <w:uiPriority w:val="7"/>
    <w:semiHidden/>
    <w:rsid w:val="003C3850"/>
    <w:pPr>
      <w:spacing w:after="240" w:line="340" w:lineRule="atLeast"/>
    </w:pPr>
    <w:rPr>
      <w:sz w:val="28"/>
    </w:rPr>
  </w:style>
  <w:style w:type="paragraph" w:styleId="Caption">
    <w:name w:val="caption"/>
    <w:basedOn w:val="Normal"/>
    <w:next w:val="Normal"/>
    <w:uiPriority w:val="3"/>
    <w:qFormat/>
    <w:rsid w:val="003C3850"/>
    <w:pPr>
      <w:keepNext/>
      <w:keepLines/>
      <w:spacing w:before="240" w:after="240"/>
    </w:pPr>
    <w:rPr>
      <w:iCs/>
      <w:color w:val="75787B" w:themeColor="accent6"/>
      <w:sz w:val="17"/>
    </w:rPr>
  </w:style>
  <w:style w:type="character" w:styleId="Hyperlink">
    <w:name w:val="Hyperlink"/>
    <w:basedOn w:val="DefaultParagraphFont"/>
    <w:uiPriority w:val="99"/>
    <w:rsid w:val="003C3850"/>
    <w:rPr>
      <w:color w:val="00A3E0" w:themeColor="hyperlink"/>
      <w:u w:val="single"/>
      <w:lang w:val="en-AU"/>
    </w:rPr>
  </w:style>
  <w:style w:type="paragraph" w:customStyle="1" w:styleId="PulloutGreen">
    <w:name w:val="Pullout Green"/>
    <w:basedOn w:val="PulloutBlue"/>
    <w:next w:val="Normal"/>
    <w:uiPriority w:val="6"/>
    <w:rsid w:val="003C3850"/>
    <w:rPr>
      <w:color w:val="86BC25" w:themeColor="accent1"/>
    </w:rPr>
  </w:style>
  <w:style w:type="paragraph" w:customStyle="1" w:styleId="QuotesourceBlue">
    <w:name w:val="Quote source Blue"/>
    <w:basedOn w:val="Normal"/>
    <w:next w:val="Normal"/>
    <w:uiPriority w:val="6"/>
    <w:rsid w:val="003C3850"/>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3C3850"/>
    <w:rPr>
      <w:color w:val="86BC25" w:themeColor="accent1"/>
    </w:rPr>
  </w:style>
  <w:style w:type="paragraph" w:customStyle="1" w:styleId="Paneltext">
    <w:name w:val="Panel text"/>
    <w:basedOn w:val="Normal"/>
    <w:uiPriority w:val="6"/>
    <w:rsid w:val="003C3850"/>
    <w:pPr>
      <w:spacing w:after="0"/>
    </w:pPr>
    <w:rPr>
      <w:color w:val="FFFFFF"/>
      <w:sz w:val="17"/>
    </w:rPr>
  </w:style>
  <w:style w:type="paragraph" w:customStyle="1" w:styleId="Paneltitle">
    <w:name w:val="Panel title"/>
    <w:basedOn w:val="Paneltext"/>
    <w:next w:val="Paneltext"/>
    <w:uiPriority w:val="6"/>
    <w:rsid w:val="003C3850"/>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3C3850"/>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3C3850"/>
    <w:pPr>
      <w:spacing w:after="120" w:line="440" w:lineRule="atLeast"/>
    </w:pPr>
    <w:rPr>
      <w:sz w:val="36"/>
    </w:rPr>
  </w:style>
  <w:style w:type="paragraph" w:customStyle="1" w:styleId="Contentstitle">
    <w:name w:val="Contents title"/>
    <w:basedOn w:val="Heading1un-numbered"/>
    <w:next w:val="Normal"/>
    <w:uiPriority w:val="7"/>
    <w:semiHidden/>
    <w:rsid w:val="003C3850"/>
  </w:style>
  <w:style w:type="paragraph" w:styleId="TOC1">
    <w:name w:val="toc 1"/>
    <w:basedOn w:val="Normal"/>
    <w:next w:val="Normal"/>
    <w:uiPriority w:val="39"/>
    <w:rsid w:val="003C3850"/>
    <w:pPr>
      <w:tabs>
        <w:tab w:val="left" w:pos="567"/>
        <w:tab w:val="right" w:pos="6917"/>
      </w:tabs>
      <w:spacing w:after="120" w:line="320" w:lineRule="atLeast"/>
      <w:ind w:left="567" w:right="567" w:hanging="567"/>
    </w:pPr>
  </w:style>
  <w:style w:type="paragraph" w:customStyle="1" w:styleId="Quotetext">
    <w:name w:val="Quote text"/>
    <w:basedOn w:val="PulloutBlue"/>
    <w:uiPriority w:val="6"/>
    <w:rsid w:val="003C3850"/>
    <w:pPr>
      <w:spacing w:line="720" w:lineRule="atLeast"/>
    </w:pPr>
    <w:rPr>
      <w:color w:val="FFFFFF"/>
      <w:sz w:val="60"/>
    </w:rPr>
  </w:style>
  <w:style w:type="paragraph" w:customStyle="1" w:styleId="Legaltext">
    <w:name w:val="Legal text"/>
    <w:basedOn w:val="Normal"/>
    <w:uiPriority w:val="7"/>
    <w:semiHidden/>
    <w:qFormat/>
    <w:rsid w:val="003C3850"/>
    <w:pPr>
      <w:spacing w:after="0" w:line="180" w:lineRule="atLeast"/>
    </w:pPr>
    <w:rPr>
      <w:sz w:val="14"/>
    </w:rPr>
  </w:style>
  <w:style w:type="table" w:customStyle="1" w:styleId="Deloittetable">
    <w:name w:val="Deloitte table"/>
    <w:basedOn w:val="TableNormal"/>
    <w:uiPriority w:val="99"/>
    <w:rsid w:val="003C3850"/>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3C3850"/>
    <w:pPr>
      <w:spacing w:after="0" w:line="200" w:lineRule="atLeast"/>
      <w:ind w:left="57" w:right="57"/>
    </w:pPr>
    <w:rPr>
      <w:sz w:val="17"/>
    </w:rPr>
  </w:style>
  <w:style w:type="paragraph" w:customStyle="1" w:styleId="TableHeadingLeft">
    <w:name w:val="Table Heading Left"/>
    <w:basedOn w:val="TabletextLeft"/>
    <w:uiPriority w:val="5"/>
    <w:rsid w:val="003C3850"/>
    <w:rPr>
      <w:b/>
      <w:color w:val="62B5E5" w:themeColor="accent3"/>
    </w:rPr>
  </w:style>
  <w:style w:type="paragraph" w:customStyle="1" w:styleId="Source">
    <w:name w:val="Source"/>
    <w:basedOn w:val="Caption"/>
    <w:next w:val="Normal"/>
    <w:uiPriority w:val="6"/>
    <w:rsid w:val="003C3850"/>
    <w:pPr>
      <w:keepNext w:val="0"/>
      <w:keepLines w:val="0"/>
      <w:spacing w:before="120"/>
    </w:pPr>
    <w:rPr>
      <w:sz w:val="14"/>
    </w:rPr>
  </w:style>
  <w:style w:type="paragraph" w:customStyle="1" w:styleId="Tablebullets">
    <w:name w:val="Table bullets"/>
    <w:basedOn w:val="TabletextLeft"/>
    <w:uiPriority w:val="5"/>
    <w:rsid w:val="003C3850"/>
    <w:pPr>
      <w:framePr w:hSpace="180" w:wrap="around" w:vAnchor="text" w:hAnchor="text" w:y="1"/>
      <w:numPr>
        <w:numId w:val="46"/>
      </w:numPr>
      <w:suppressOverlap/>
    </w:pPr>
  </w:style>
  <w:style w:type="paragraph" w:customStyle="1" w:styleId="Tablenumbered">
    <w:name w:val="Table numbered"/>
    <w:basedOn w:val="TabletextLeft"/>
    <w:uiPriority w:val="5"/>
    <w:rsid w:val="003C3850"/>
    <w:pPr>
      <w:framePr w:hSpace="180" w:wrap="around" w:vAnchor="text" w:hAnchor="text" w:y="1"/>
      <w:ind w:left="720" w:hanging="360"/>
      <w:suppressOverlap/>
    </w:pPr>
  </w:style>
  <w:style w:type="paragraph" w:customStyle="1" w:styleId="Charttitle">
    <w:name w:val="Chart title"/>
    <w:uiPriority w:val="7"/>
    <w:rsid w:val="003C3850"/>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3C3850"/>
  </w:style>
  <w:style w:type="paragraph" w:styleId="BlockText">
    <w:name w:val="Block Text"/>
    <w:basedOn w:val="Normal"/>
    <w:uiPriority w:val="99"/>
    <w:semiHidden/>
    <w:rsid w:val="003C3850"/>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rsid w:val="003C3850"/>
    <w:pPr>
      <w:spacing w:after="240"/>
    </w:pPr>
  </w:style>
  <w:style w:type="character" w:customStyle="1" w:styleId="BodyTextChar">
    <w:name w:val="Body Text Char"/>
    <w:basedOn w:val="DefaultParagraphFont"/>
    <w:link w:val="BodyText"/>
    <w:rsid w:val="003C3850"/>
    <w:rPr>
      <w:lang w:val="en-AU"/>
    </w:rPr>
  </w:style>
  <w:style w:type="paragraph" w:styleId="BodyText2">
    <w:name w:val="Body Text 2"/>
    <w:basedOn w:val="Normal"/>
    <w:link w:val="BodyText2Char"/>
    <w:uiPriority w:val="99"/>
    <w:semiHidden/>
    <w:rsid w:val="003C3850"/>
    <w:pPr>
      <w:spacing w:after="120" w:line="480" w:lineRule="auto"/>
    </w:pPr>
  </w:style>
  <w:style w:type="character" w:customStyle="1" w:styleId="BodyText2Char">
    <w:name w:val="Body Text 2 Char"/>
    <w:basedOn w:val="DefaultParagraphFont"/>
    <w:link w:val="BodyText2"/>
    <w:uiPriority w:val="99"/>
    <w:semiHidden/>
    <w:rsid w:val="003C3850"/>
    <w:rPr>
      <w:lang w:val="en-AU"/>
    </w:rPr>
  </w:style>
  <w:style w:type="paragraph" w:styleId="BodyText3">
    <w:name w:val="Body Text 3"/>
    <w:basedOn w:val="Normal"/>
    <w:link w:val="BodyText3Char"/>
    <w:uiPriority w:val="99"/>
    <w:semiHidden/>
    <w:rsid w:val="003C3850"/>
    <w:pPr>
      <w:spacing w:after="120"/>
    </w:pPr>
    <w:rPr>
      <w:sz w:val="16"/>
      <w:szCs w:val="16"/>
    </w:rPr>
  </w:style>
  <w:style w:type="character" w:customStyle="1" w:styleId="BodyText3Char">
    <w:name w:val="Body Text 3 Char"/>
    <w:basedOn w:val="DefaultParagraphFont"/>
    <w:link w:val="BodyText3"/>
    <w:uiPriority w:val="99"/>
    <w:semiHidden/>
    <w:rsid w:val="003C3850"/>
    <w:rPr>
      <w:sz w:val="16"/>
      <w:szCs w:val="16"/>
      <w:lang w:val="en-AU"/>
    </w:rPr>
  </w:style>
  <w:style w:type="paragraph" w:styleId="BodyTextFirstIndent">
    <w:name w:val="Body Text First Indent"/>
    <w:basedOn w:val="BodyText"/>
    <w:link w:val="BodyTextFirstIndentChar"/>
    <w:uiPriority w:val="99"/>
    <w:semiHidden/>
    <w:rsid w:val="003C3850"/>
    <w:pPr>
      <w:ind w:firstLine="360"/>
    </w:pPr>
  </w:style>
  <w:style w:type="character" w:customStyle="1" w:styleId="BodyTextFirstIndentChar">
    <w:name w:val="Body Text First Indent Char"/>
    <w:basedOn w:val="BodyTextChar"/>
    <w:link w:val="BodyTextFirstIndent"/>
    <w:uiPriority w:val="99"/>
    <w:semiHidden/>
    <w:rsid w:val="003C3850"/>
    <w:rPr>
      <w:lang w:val="en-AU"/>
    </w:rPr>
  </w:style>
  <w:style w:type="paragraph" w:styleId="BodyTextIndent">
    <w:name w:val="Body Text Indent"/>
    <w:basedOn w:val="Normal"/>
    <w:link w:val="BodyTextIndentChar"/>
    <w:uiPriority w:val="99"/>
    <w:semiHidden/>
    <w:rsid w:val="003C3850"/>
    <w:pPr>
      <w:spacing w:after="120"/>
      <w:ind w:left="283"/>
    </w:pPr>
  </w:style>
  <w:style w:type="character" w:customStyle="1" w:styleId="BodyTextIndentChar">
    <w:name w:val="Body Text Indent Char"/>
    <w:basedOn w:val="DefaultParagraphFont"/>
    <w:link w:val="BodyTextIndent"/>
    <w:uiPriority w:val="99"/>
    <w:semiHidden/>
    <w:rsid w:val="003C3850"/>
    <w:rPr>
      <w:lang w:val="en-AU"/>
    </w:rPr>
  </w:style>
  <w:style w:type="paragraph" w:styleId="BodyTextFirstIndent2">
    <w:name w:val="Body Text First Indent 2"/>
    <w:basedOn w:val="BodyTextIndent"/>
    <w:link w:val="BodyTextFirstIndent2Char"/>
    <w:uiPriority w:val="99"/>
    <w:semiHidden/>
    <w:rsid w:val="003C3850"/>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3C3850"/>
    <w:rPr>
      <w:lang w:val="en-AU"/>
    </w:rPr>
  </w:style>
  <w:style w:type="paragraph" w:styleId="BodyTextIndent2">
    <w:name w:val="Body Text Indent 2"/>
    <w:basedOn w:val="Normal"/>
    <w:link w:val="BodyTextIndent2Char"/>
    <w:uiPriority w:val="99"/>
    <w:semiHidden/>
    <w:rsid w:val="003C3850"/>
    <w:pPr>
      <w:spacing w:after="120" w:line="480" w:lineRule="auto"/>
      <w:ind w:left="283"/>
    </w:pPr>
  </w:style>
  <w:style w:type="character" w:customStyle="1" w:styleId="BodyTextIndent2Char">
    <w:name w:val="Body Text Indent 2 Char"/>
    <w:basedOn w:val="DefaultParagraphFont"/>
    <w:link w:val="BodyTextIndent2"/>
    <w:uiPriority w:val="99"/>
    <w:semiHidden/>
    <w:rsid w:val="003C3850"/>
    <w:rPr>
      <w:lang w:val="en-AU"/>
    </w:rPr>
  </w:style>
  <w:style w:type="paragraph" w:styleId="BodyTextIndent3">
    <w:name w:val="Body Text Indent 3"/>
    <w:basedOn w:val="Normal"/>
    <w:link w:val="BodyTextIndent3Char"/>
    <w:uiPriority w:val="99"/>
    <w:semiHidden/>
    <w:rsid w:val="003C385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C3850"/>
    <w:rPr>
      <w:sz w:val="16"/>
      <w:szCs w:val="16"/>
      <w:lang w:val="en-AU"/>
    </w:rPr>
  </w:style>
  <w:style w:type="character" w:styleId="BookTitle">
    <w:name w:val="Book Title"/>
    <w:basedOn w:val="DefaultParagraphFont"/>
    <w:uiPriority w:val="99"/>
    <w:qFormat/>
    <w:rsid w:val="003C3850"/>
    <w:rPr>
      <w:b/>
      <w:bCs/>
      <w:smallCaps/>
      <w:spacing w:val="5"/>
      <w:lang w:val="en-AU"/>
    </w:rPr>
  </w:style>
  <w:style w:type="paragraph" w:styleId="Closing">
    <w:name w:val="Closing"/>
    <w:basedOn w:val="Normal"/>
    <w:link w:val="ClosingChar"/>
    <w:uiPriority w:val="99"/>
    <w:semiHidden/>
    <w:rsid w:val="003C3850"/>
    <w:pPr>
      <w:spacing w:line="240" w:lineRule="auto"/>
      <w:ind w:left="4252"/>
    </w:pPr>
  </w:style>
  <w:style w:type="character" w:customStyle="1" w:styleId="ClosingChar">
    <w:name w:val="Closing Char"/>
    <w:basedOn w:val="DefaultParagraphFont"/>
    <w:link w:val="Closing"/>
    <w:uiPriority w:val="99"/>
    <w:semiHidden/>
    <w:rsid w:val="003C3850"/>
    <w:rPr>
      <w:lang w:val="en-AU"/>
    </w:rPr>
  </w:style>
  <w:style w:type="table" w:styleId="ColorfulGrid">
    <w:name w:val="Colorful Grid"/>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3C3850"/>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C3850"/>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3C3850"/>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3C3850"/>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3C3850"/>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3C3850"/>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3C3850"/>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3C3850"/>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C3850"/>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C3850"/>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C3850"/>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3C3850"/>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C3850"/>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C3850"/>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3C3850"/>
    <w:rPr>
      <w:sz w:val="16"/>
      <w:szCs w:val="16"/>
      <w:lang w:val="en-AU"/>
    </w:rPr>
  </w:style>
  <w:style w:type="paragraph" w:styleId="CommentText">
    <w:name w:val="annotation text"/>
    <w:basedOn w:val="Normal"/>
    <w:link w:val="CommentTextChar"/>
    <w:uiPriority w:val="99"/>
    <w:rsid w:val="003C3850"/>
    <w:pPr>
      <w:spacing w:line="240" w:lineRule="auto"/>
    </w:pPr>
    <w:rPr>
      <w:sz w:val="20"/>
      <w:szCs w:val="20"/>
    </w:rPr>
  </w:style>
  <w:style w:type="character" w:customStyle="1" w:styleId="CommentTextChar">
    <w:name w:val="Comment Text Char"/>
    <w:basedOn w:val="DefaultParagraphFont"/>
    <w:link w:val="CommentText"/>
    <w:uiPriority w:val="99"/>
    <w:rsid w:val="003C3850"/>
    <w:rPr>
      <w:sz w:val="20"/>
      <w:szCs w:val="20"/>
      <w:lang w:val="en-AU"/>
    </w:rPr>
  </w:style>
  <w:style w:type="paragraph" w:styleId="CommentSubject">
    <w:name w:val="annotation subject"/>
    <w:basedOn w:val="CommentText"/>
    <w:next w:val="CommentText"/>
    <w:link w:val="CommentSubjectChar"/>
    <w:uiPriority w:val="99"/>
    <w:semiHidden/>
    <w:rsid w:val="003C3850"/>
    <w:rPr>
      <w:b/>
      <w:bCs/>
    </w:rPr>
  </w:style>
  <w:style w:type="character" w:customStyle="1" w:styleId="CommentSubjectChar">
    <w:name w:val="Comment Subject Char"/>
    <w:basedOn w:val="CommentTextChar"/>
    <w:link w:val="CommentSubject"/>
    <w:uiPriority w:val="99"/>
    <w:semiHidden/>
    <w:rsid w:val="003C3850"/>
    <w:rPr>
      <w:b/>
      <w:bCs/>
      <w:sz w:val="20"/>
      <w:szCs w:val="20"/>
      <w:lang w:val="en-AU"/>
    </w:rPr>
  </w:style>
  <w:style w:type="table" w:styleId="DarkList">
    <w:name w:val="Dark List"/>
    <w:basedOn w:val="TableNormal"/>
    <w:uiPriority w:val="70"/>
    <w:rsid w:val="003C385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C3850"/>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3C3850"/>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3C3850"/>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3C3850"/>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3C3850"/>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3C3850"/>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3C3850"/>
  </w:style>
  <w:style w:type="character" w:customStyle="1" w:styleId="DateChar">
    <w:name w:val="Date Char"/>
    <w:basedOn w:val="DefaultParagraphFont"/>
    <w:link w:val="Date"/>
    <w:uiPriority w:val="99"/>
    <w:semiHidden/>
    <w:rsid w:val="003C3850"/>
    <w:rPr>
      <w:lang w:val="en-AU"/>
    </w:rPr>
  </w:style>
  <w:style w:type="paragraph" w:styleId="DocumentMap">
    <w:name w:val="Document Map"/>
    <w:basedOn w:val="Normal"/>
    <w:link w:val="DocumentMapChar"/>
    <w:uiPriority w:val="99"/>
    <w:semiHidden/>
    <w:rsid w:val="003C385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3850"/>
    <w:rPr>
      <w:rFonts w:ascii="Tahoma" w:hAnsi="Tahoma" w:cs="Tahoma"/>
      <w:sz w:val="16"/>
      <w:szCs w:val="16"/>
      <w:lang w:val="en-AU"/>
    </w:rPr>
  </w:style>
  <w:style w:type="paragraph" w:styleId="E-mailSignature">
    <w:name w:val="E-mail Signature"/>
    <w:basedOn w:val="Normal"/>
    <w:link w:val="E-mailSignatureChar"/>
    <w:uiPriority w:val="99"/>
    <w:semiHidden/>
    <w:rsid w:val="003C3850"/>
    <w:pPr>
      <w:spacing w:line="240" w:lineRule="auto"/>
    </w:pPr>
  </w:style>
  <w:style w:type="character" w:customStyle="1" w:styleId="E-mailSignatureChar">
    <w:name w:val="E-mail Signature Char"/>
    <w:basedOn w:val="DefaultParagraphFont"/>
    <w:link w:val="E-mailSignature"/>
    <w:uiPriority w:val="99"/>
    <w:semiHidden/>
    <w:rsid w:val="003C3850"/>
    <w:rPr>
      <w:lang w:val="en-AU"/>
    </w:rPr>
  </w:style>
  <w:style w:type="character" w:styleId="Emphasis">
    <w:name w:val="Emphasis"/>
    <w:basedOn w:val="DefaultParagraphFont"/>
    <w:uiPriority w:val="20"/>
    <w:rsid w:val="003C3850"/>
    <w:rPr>
      <w:b/>
      <w:i w:val="0"/>
      <w:iCs/>
      <w:color w:val="44546A" w:themeColor="text2"/>
      <w:lang w:val="en-AU"/>
    </w:rPr>
  </w:style>
  <w:style w:type="character" w:styleId="EndnoteReference">
    <w:name w:val="endnote reference"/>
    <w:basedOn w:val="DefaultParagraphFont"/>
    <w:uiPriority w:val="99"/>
    <w:semiHidden/>
    <w:rsid w:val="003C3850"/>
    <w:rPr>
      <w:vertAlign w:val="superscript"/>
      <w:lang w:val="en-AU"/>
    </w:rPr>
  </w:style>
  <w:style w:type="paragraph" w:styleId="EndnoteText">
    <w:name w:val="endnote text"/>
    <w:basedOn w:val="Normal"/>
    <w:link w:val="EndnoteTextChar"/>
    <w:uiPriority w:val="99"/>
    <w:semiHidden/>
    <w:rsid w:val="003C3850"/>
    <w:pPr>
      <w:spacing w:line="240" w:lineRule="auto"/>
    </w:pPr>
    <w:rPr>
      <w:szCs w:val="20"/>
    </w:rPr>
  </w:style>
  <w:style w:type="character" w:customStyle="1" w:styleId="EndnoteTextChar">
    <w:name w:val="Endnote Text Char"/>
    <w:basedOn w:val="DefaultParagraphFont"/>
    <w:link w:val="EndnoteText"/>
    <w:uiPriority w:val="99"/>
    <w:semiHidden/>
    <w:rsid w:val="003C3850"/>
    <w:rPr>
      <w:szCs w:val="20"/>
      <w:lang w:val="en-AU"/>
    </w:rPr>
  </w:style>
  <w:style w:type="paragraph" w:styleId="EnvelopeAddress">
    <w:name w:val="envelope address"/>
    <w:basedOn w:val="Normal"/>
    <w:uiPriority w:val="99"/>
    <w:semiHidden/>
    <w:rsid w:val="003C385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3C3850"/>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3C3850"/>
    <w:rPr>
      <w:color w:val="53565A"/>
      <w:u w:val="single"/>
      <w:lang w:val="en-AU"/>
    </w:rPr>
  </w:style>
  <w:style w:type="character" w:customStyle="1" w:styleId="Heading5Char">
    <w:name w:val="Heading 5 Char"/>
    <w:basedOn w:val="DefaultParagraphFont"/>
    <w:link w:val="Heading5"/>
    <w:uiPriority w:val="1"/>
    <w:rsid w:val="003C3850"/>
    <w:rPr>
      <w:rFonts w:eastAsiaTheme="majorEastAsia" w:cstheme="majorBidi"/>
      <w:b/>
      <w:lang w:val="en-AU"/>
    </w:rPr>
  </w:style>
  <w:style w:type="character" w:customStyle="1" w:styleId="Heading6Char">
    <w:name w:val="Heading 6 Char"/>
    <w:basedOn w:val="DefaultParagraphFont"/>
    <w:link w:val="Heading6"/>
    <w:uiPriority w:val="1"/>
    <w:semiHidden/>
    <w:rsid w:val="003C3850"/>
    <w:rPr>
      <w:rFonts w:eastAsiaTheme="majorEastAsia" w:cstheme="majorBidi"/>
      <w:b/>
      <w:iCs/>
      <w:lang w:val="en-AU"/>
    </w:rPr>
  </w:style>
  <w:style w:type="character" w:customStyle="1" w:styleId="Heading7Char">
    <w:name w:val="Heading 7 Char"/>
    <w:basedOn w:val="DefaultParagraphFont"/>
    <w:link w:val="Heading7"/>
    <w:uiPriority w:val="1"/>
    <w:semiHidden/>
    <w:rsid w:val="003C3850"/>
    <w:rPr>
      <w:rFonts w:eastAsiaTheme="majorEastAsia" w:cstheme="majorBidi"/>
      <w:b/>
      <w:iCs/>
      <w:lang w:val="en-AU"/>
    </w:rPr>
  </w:style>
  <w:style w:type="character" w:customStyle="1" w:styleId="Heading8Char">
    <w:name w:val="Heading 8 Char"/>
    <w:basedOn w:val="DefaultParagraphFont"/>
    <w:link w:val="Heading8"/>
    <w:uiPriority w:val="1"/>
    <w:semiHidden/>
    <w:rsid w:val="003C3850"/>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3C3850"/>
    <w:rPr>
      <w:rFonts w:eastAsiaTheme="majorEastAsia" w:cstheme="majorBidi"/>
      <w:b/>
      <w:iCs/>
      <w:szCs w:val="20"/>
      <w:lang w:val="en-AU"/>
    </w:rPr>
  </w:style>
  <w:style w:type="character" w:styleId="HTMLAcronym">
    <w:name w:val="HTML Acronym"/>
    <w:basedOn w:val="DefaultParagraphFont"/>
    <w:uiPriority w:val="99"/>
    <w:semiHidden/>
    <w:rsid w:val="003C3850"/>
    <w:rPr>
      <w:lang w:val="en-AU"/>
    </w:rPr>
  </w:style>
  <w:style w:type="paragraph" w:styleId="HTMLAddress">
    <w:name w:val="HTML Address"/>
    <w:basedOn w:val="Normal"/>
    <w:link w:val="HTMLAddressChar"/>
    <w:uiPriority w:val="99"/>
    <w:semiHidden/>
    <w:rsid w:val="003C3850"/>
    <w:pPr>
      <w:spacing w:line="240" w:lineRule="auto"/>
    </w:pPr>
    <w:rPr>
      <w:i/>
      <w:iCs/>
    </w:rPr>
  </w:style>
  <w:style w:type="character" w:customStyle="1" w:styleId="HTMLAddressChar">
    <w:name w:val="HTML Address Char"/>
    <w:basedOn w:val="DefaultParagraphFont"/>
    <w:link w:val="HTMLAddress"/>
    <w:uiPriority w:val="99"/>
    <w:semiHidden/>
    <w:rsid w:val="003C3850"/>
    <w:rPr>
      <w:i/>
      <w:iCs/>
      <w:lang w:val="en-AU"/>
    </w:rPr>
  </w:style>
  <w:style w:type="character" w:styleId="HTMLCite">
    <w:name w:val="HTML Cite"/>
    <w:basedOn w:val="DefaultParagraphFont"/>
    <w:uiPriority w:val="99"/>
    <w:semiHidden/>
    <w:rsid w:val="003C3850"/>
    <w:rPr>
      <w:i/>
      <w:iCs/>
      <w:lang w:val="en-AU"/>
    </w:rPr>
  </w:style>
  <w:style w:type="character" w:styleId="HTMLCode">
    <w:name w:val="HTML Code"/>
    <w:basedOn w:val="DefaultParagraphFont"/>
    <w:uiPriority w:val="99"/>
    <w:semiHidden/>
    <w:rsid w:val="003C3850"/>
    <w:rPr>
      <w:rFonts w:ascii="Consolas" w:hAnsi="Consolas"/>
      <w:sz w:val="20"/>
      <w:szCs w:val="20"/>
      <w:lang w:val="en-AU"/>
    </w:rPr>
  </w:style>
  <w:style w:type="character" w:styleId="HTMLDefinition">
    <w:name w:val="HTML Definition"/>
    <w:basedOn w:val="DefaultParagraphFont"/>
    <w:uiPriority w:val="99"/>
    <w:semiHidden/>
    <w:rsid w:val="003C3850"/>
    <w:rPr>
      <w:i/>
      <w:iCs/>
      <w:lang w:val="en-AU"/>
    </w:rPr>
  </w:style>
  <w:style w:type="character" w:styleId="HTMLKeyboard">
    <w:name w:val="HTML Keyboard"/>
    <w:basedOn w:val="DefaultParagraphFont"/>
    <w:uiPriority w:val="99"/>
    <w:semiHidden/>
    <w:rsid w:val="003C3850"/>
    <w:rPr>
      <w:rFonts w:ascii="Consolas" w:hAnsi="Consolas"/>
      <w:sz w:val="20"/>
      <w:szCs w:val="20"/>
      <w:lang w:val="en-AU"/>
    </w:rPr>
  </w:style>
  <w:style w:type="paragraph" w:styleId="HTMLPreformatted">
    <w:name w:val="HTML Preformatted"/>
    <w:basedOn w:val="Normal"/>
    <w:link w:val="HTMLPreformattedChar"/>
    <w:uiPriority w:val="99"/>
    <w:semiHidden/>
    <w:rsid w:val="003C385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C3850"/>
    <w:rPr>
      <w:rFonts w:ascii="Consolas" w:hAnsi="Consolas"/>
      <w:sz w:val="20"/>
      <w:szCs w:val="20"/>
      <w:lang w:val="en-AU"/>
    </w:rPr>
  </w:style>
  <w:style w:type="character" w:styleId="HTMLSample">
    <w:name w:val="HTML Sample"/>
    <w:basedOn w:val="DefaultParagraphFont"/>
    <w:uiPriority w:val="99"/>
    <w:semiHidden/>
    <w:rsid w:val="003C3850"/>
    <w:rPr>
      <w:rFonts w:ascii="Consolas" w:hAnsi="Consolas"/>
      <w:sz w:val="24"/>
      <w:szCs w:val="24"/>
      <w:lang w:val="en-AU"/>
    </w:rPr>
  </w:style>
  <w:style w:type="character" w:styleId="HTMLTypewriter">
    <w:name w:val="HTML Typewriter"/>
    <w:basedOn w:val="DefaultParagraphFont"/>
    <w:uiPriority w:val="99"/>
    <w:semiHidden/>
    <w:rsid w:val="003C3850"/>
    <w:rPr>
      <w:rFonts w:ascii="Consolas" w:hAnsi="Consolas"/>
      <w:sz w:val="20"/>
      <w:szCs w:val="20"/>
      <w:lang w:val="en-AU"/>
    </w:rPr>
  </w:style>
  <w:style w:type="character" w:styleId="HTMLVariable">
    <w:name w:val="HTML Variable"/>
    <w:basedOn w:val="DefaultParagraphFont"/>
    <w:uiPriority w:val="99"/>
    <w:semiHidden/>
    <w:rsid w:val="003C3850"/>
    <w:rPr>
      <w:i/>
      <w:iCs/>
      <w:lang w:val="en-AU"/>
    </w:rPr>
  </w:style>
  <w:style w:type="paragraph" w:styleId="Index1">
    <w:name w:val="index 1"/>
    <w:basedOn w:val="Normal"/>
    <w:next w:val="Normal"/>
    <w:autoRedefine/>
    <w:uiPriority w:val="99"/>
    <w:semiHidden/>
    <w:rsid w:val="003C3850"/>
    <w:pPr>
      <w:spacing w:line="240" w:lineRule="auto"/>
      <w:ind w:left="180" w:hanging="180"/>
    </w:pPr>
  </w:style>
  <w:style w:type="paragraph" w:styleId="Index2">
    <w:name w:val="index 2"/>
    <w:basedOn w:val="Normal"/>
    <w:next w:val="Normal"/>
    <w:autoRedefine/>
    <w:uiPriority w:val="99"/>
    <w:semiHidden/>
    <w:rsid w:val="003C3850"/>
    <w:pPr>
      <w:spacing w:line="240" w:lineRule="auto"/>
      <w:ind w:left="360" w:hanging="180"/>
    </w:pPr>
  </w:style>
  <w:style w:type="paragraph" w:styleId="Index3">
    <w:name w:val="index 3"/>
    <w:basedOn w:val="Normal"/>
    <w:next w:val="Normal"/>
    <w:autoRedefine/>
    <w:uiPriority w:val="99"/>
    <w:semiHidden/>
    <w:rsid w:val="003C3850"/>
    <w:pPr>
      <w:spacing w:line="240" w:lineRule="auto"/>
      <w:ind w:left="540" w:hanging="180"/>
    </w:pPr>
  </w:style>
  <w:style w:type="paragraph" w:styleId="Index4">
    <w:name w:val="index 4"/>
    <w:basedOn w:val="Normal"/>
    <w:next w:val="Normal"/>
    <w:autoRedefine/>
    <w:uiPriority w:val="99"/>
    <w:semiHidden/>
    <w:rsid w:val="003C3850"/>
    <w:pPr>
      <w:spacing w:line="240" w:lineRule="auto"/>
      <w:ind w:left="720" w:hanging="180"/>
    </w:pPr>
  </w:style>
  <w:style w:type="paragraph" w:styleId="Index5">
    <w:name w:val="index 5"/>
    <w:basedOn w:val="Normal"/>
    <w:next w:val="Normal"/>
    <w:autoRedefine/>
    <w:uiPriority w:val="99"/>
    <w:semiHidden/>
    <w:rsid w:val="003C3850"/>
    <w:pPr>
      <w:spacing w:line="240" w:lineRule="auto"/>
      <w:ind w:left="900" w:hanging="180"/>
    </w:pPr>
  </w:style>
  <w:style w:type="paragraph" w:styleId="Index6">
    <w:name w:val="index 6"/>
    <w:basedOn w:val="Normal"/>
    <w:next w:val="Normal"/>
    <w:autoRedefine/>
    <w:uiPriority w:val="99"/>
    <w:semiHidden/>
    <w:rsid w:val="003C3850"/>
    <w:pPr>
      <w:spacing w:line="240" w:lineRule="auto"/>
      <w:ind w:left="1080" w:hanging="180"/>
    </w:pPr>
  </w:style>
  <w:style w:type="paragraph" w:styleId="Index7">
    <w:name w:val="index 7"/>
    <w:basedOn w:val="Normal"/>
    <w:next w:val="Normal"/>
    <w:autoRedefine/>
    <w:uiPriority w:val="99"/>
    <w:semiHidden/>
    <w:rsid w:val="003C3850"/>
    <w:pPr>
      <w:spacing w:line="240" w:lineRule="auto"/>
      <w:ind w:left="1260" w:hanging="180"/>
    </w:pPr>
  </w:style>
  <w:style w:type="paragraph" w:styleId="Index8">
    <w:name w:val="index 8"/>
    <w:basedOn w:val="Normal"/>
    <w:next w:val="Normal"/>
    <w:autoRedefine/>
    <w:uiPriority w:val="99"/>
    <w:semiHidden/>
    <w:rsid w:val="003C3850"/>
    <w:pPr>
      <w:spacing w:line="240" w:lineRule="auto"/>
      <w:ind w:left="1440" w:hanging="180"/>
    </w:pPr>
  </w:style>
  <w:style w:type="paragraph" w:styleId="Index9">
    <w:name w:val="index 9"/>
    <w:basedOn w:val="Normal"/>
    <w:next w:val="Normal"/>
    <w:autoRedefine/>
    <w:uiPriority w:val="99"/>
    <w:semiHidden/>
    <w:rsid w:val="003C3850"/>
    <w:pPr>
      <w:spacing w:line="240" w:lineRule="auto"/>
      <w:ind w:left="1620" w:hanging="180"/>
    </w:pPr>
  </w:style>
  <w:style w:type="paragraph" w:styleId="IndexHeading">
    <w:name w:val="index heading"/>
    <w:basedOn w:val="Normal"/>
    <w:next w:val="Index1"/>
    <w:uiPriority w:val="99"/>
    <w:semiHidden/>
    <w:rsid w:val="003C3850"/>
    <w:rPr>
      <w:rFonts w:asciiTheme="majorHAnsi" w:eastAsiaTheme="majorEastAsia" w:hAnsiTheme="majorHAnsi" w:cstheme="majorBidi"/>
      <w:b/>
      <w:bCs/>
    </w:rPr>
  </w:style>
  <w:style w:type="character" w:styleId="IntenseEmphasis">
    <w:name w:val="Intense Emphasis"/>
    <w:basedOn w:val="DefaultParagraphFont"/>
    <w:uiPriority w:val="21"/>
    <w:qFormat/>
    <w:rsid w:val="003C3850"/>
    <w:rPr>
      <w:b/>
      <w:bCs/>
      <w:i/>
      <w:iCs/>
      <w:color w:val="86BC25" w:themeColor="accent1"/>
      <w:lang w:val="en-AU"/>
    </w:rPr>
  </w:style>
  <w:style w:type="paragraph" w:styleId="IntenseQuote">
    <w:name w:val="Intense Quote"/>
    <w:basedOn w:val="Normal"/>
    <w:next w:val="Normal"/>
    <w:link w:val="IntenseQuoteChar"/>
    <w:uiPriority w:val="30"/>
    <w:rsid w:val="003C3850"/>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rsid w:val="003C3850"/>
    <w:rPr>
      <w:b/>
      <w:bCs/>
      <w:i/>
      <w:iCs/>
      <w:color w:val="86BC25" w:themeColor="accent1"/>
      <w:lang w:val="en-AU"/>
    </w:rPr>
  </w:style>
  <w:style w:type="character" w:styleId="IntenseReference">
    <w:name w:val="Intense Reference"/>
    <w:basedOn w:val="DefaultParagraphFont"/>
    <w:uiPriority w:val="99"/>
    <w:qFormat/>
    <w:rsid w:val="003C3850"/>
    <w:rPr>
      <w:b/>
      <w:bCs/>
      <w:smallCaps/>
      <w:color w:val="046A38" w:themeColor="accent2"/>
      <w:spacing w:val="5"/>
      <w:u w:val="single"/>
      <w:lang w:val="en-AU"/>
    </w:rPr>
  </w:style>
  <w:style w:type="table" w:styleId="LightGrid">
    <w:name w:val="Light Grid"/>
    <w:basedOn w:val="TableNormal"/>
    <w:uiPriority w:val="62"/>
    <w:rsid w:val="003C385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C3850"/>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3C3850"/>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3C3850"/>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3C3850"/>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3C3850"/>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3C3850"/>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3C385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C3850"/>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3C3850"/>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3C3850"/>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3C3850"/>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3C3850"/>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3C3850"/>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3C385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C3850"/>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3C3850"/>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3C3850"/>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3C3850"/>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3C3850"/>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3C3850"/>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3C3850"/>
    <w:rPr>
      <w:lang w:val="en-AU"/>
    </w:rPr>
  </w:style>
  <w:style w:type="paragraph" w:styleId="List">
    <w:name w:val="List"/>
    <w:basedOn w:val="Normal"/>
    <w:uiPriority w:val="99"/>
    <w:semiHidden/>
    <w:rsid w:val="003C3850"/>
    <w:pPr>
      <w:ind w:left="283" w:hanging="283"/>
      <w:contextualSpacing/>
    </w:pPr>
  </w:style>
  <w:style w:type="paragraph" w:styleId="List2">
    <w:name w:val="List 2"/>
    <w:basedOn w:val="Normal"/>
    <w:uiPriority w:val="99"/>
    <w:semiHidden/>
    <w:rsid w:val="003C3850"/>
    <w:pPr>
      <w:ind w:left="566" w:hanging="283"/>
      <w:contextualSpacing/>
    </w:pPr>
  </w:style>
  <w:style w:type="paragraph" w:styleId="List3">
    <w:name w:val="List 3"/>
    <w:basedOn w:val="Normal"/>
    <w:uiPriority w:val="99"/>
    <w:semiHidden/>
    <w:rsid w:val="003C3850"/>
    <w:pPr>
      <w:ind w:left="849" w:hanging="283"/>
      <w:contextualSpacing/>
    </w:pPr>
  </w:style>
  <w:style w:type="paragraph" w:styleId="List4">
    <w:name w:val="List 4"/>
    <w:basedOn w:val="Normal"/>
    <w:uiPriority w:val="99"/>
    <w:semiHidden/>
    <w:rsid w:val="003C3850"/>
    <w:pPr>
      <w:ind w:left="1132" w:hanging="283"/>
      <w:contextualSpacing/>
    </w:pPr>
  </w:style>
  <w:style w:type="paragraph" w:styleId="List5">
    <w:name w:val="List 5"/>
    <w:basedOn w:val="Normal"/>
    <w:uiPriority w:val="99"/>
    <w:semiHidden/>
    <w:rsid w:val="003C3850"/>
    <w:pPr>
      <w:ind w:left="1415" w:hanging="283"/>
      <w:contextualSpacing/>
    </w:pPr>
  </w:style>
  <w:style w:type="paragraph" w:styleId="ListBullet3">
    <w:name w:val="List Bullet 3"/>
    <w:basedOn w:val="Normal"/>
    <w:uiPriority w:val="3"/>
    <w:rsid w:val="003C3850"/>
    <w:pPr>
      <w:numPr>
        <w:numId w:val="61"/>
      </w:numPr>
      <w:spacing w:after="0"/>
      <w:contextualSpacing/>
    </w:pPr>
  </w:style>
  <w:style w:type="paragraph" w:styleId="ListBullet4">
    <w:name w:val="List Bullet 4"/>
    <w:basedOn w:val="Normal"/>
    <w:uiPriority w:val="99"/>
    <w:semiHidden/>
    <w:rsid w:val="003C3850"/>
    <w:pPr>
      <w:numPr>
        <w:numId w:val="45"/>
      </w:numPr>
      <w:contextualSpacing/>
    </w:pPr>
  </w:style>
  <w:style w:type="paragraph" w:styleId="ListBullet5">
    <w:name w:val="List Bullet 5"/>
    <w:basedOn w:val="Normal"/>
    <w:uiPriority w:val="99"/>
    <w:semiHidden/>
    <w:rsid w:val="003C3850"/>
    <w:pPr>
      <w:numPr>
        <w:numId w:val="2"/>
      </w:numPr>
      <w:contextualSpacing/>
    </w:pPr>
  </w:style>
  <w:style w:type="paragraph" w:styleId="ListContinue">
    <w:name w:val="List Continue"/>
    <w:basedOn w:val="Normal"/>
    <w:uiPriority w:val="99"/>
    <w:semiHidden/>
    <w:rsid w:val="003C3850"/>
    <w:pPr>
      <w:spacing w:after="120"/>
      <w:ind w:left="283"/>
      <w:contextualSpacing/>
    </w:pPr>
  </w:style>
  <w:style w:type="paragraph" w:styleId="ListContinue2">
    <w:name w:val="List Continue 2"/>
    <w:basedOn w:val="Normal"/>
    <w:uiPriority w:val="99"/>
    <w:semiHidden/>
    <w:rsid w:val="003C3850"/>
    <w:pPr>
      <w:spacing w:after="120"/>
      <w:ind w:left="566"/>
      <w:contextualSpacing/>
    </w:pPr>
  </w:style>
  <w:style w:type="paragraph" w:styleId="ListContinue3">
    <w:name w:val="List Continue 3"/>
    <w:basedOn w:val="Normal"/>
    <w:uiPriority w:val="99"/>
    <w:semiHidden/>
    <w:rsid w:val="003C3850"/>
    <w:pPr>
      <w:spacing w:after="120"/>
      <w:ind w:left="849"/>
      <w:contextualSpacing/>
    </w:pPr>
  </w:style>
  <w:style w:type="paragraph" w:styleId="ListContinue4">
    <w:name w:val="List Continue 4"/>
    <w:basedOn w:val="Normal"/>
    <w:uiPriority w:val="99"/>
    <w:semiHidden/>
    <w:rsid w:val="003C3850"/>
    <w:pPr>
      <w:spacing w:after="120"/>
      <w:ind w:left="1132"/>
      <w:contextualSpacing/>
    </w:pPr>
  </w:style>
  <w:style w:type="paragraph" w:styleId="ListContinue5">
    <w:name w:val="List Continue 5"/>
    <w:basedOn w:val="Normal"/>
    <w:uiPriority w:val="99"/>
    <w:semiHidden/>
    <w:rsid w:val="003C3850"/>
    <w:pPr>
      <w:spacing w:after="120"/>
      <w:ind w:left="1415"/>
      <w:contextualSpacing/>
    </w:pPr>
  </w:style>
  <w:style w:type="paragraph" w:styleId="ListNumber3">
    <w:name w:val="List Number 3"/>
    <w:basedOn w:val="Normal"/>
    <w:uiPriority w:val="99"/>
    <w:semiHidden/>
    <w:rsid w:val="003C3850"/>
    <w:pPr>
      <w:numPr>
        <w:ilvl w:val="2"/>
        <w:numId w:val="63"/>
      </w:numPr>
      <w:contextualSpacing/>
    </w:pPr>
  </w:style>
  <w:style w:type="paragraph" w:styleId="ListNumber4">
    <w:name w:val="List Number 4"/>
    <w:basedOn w:val="Normal"/>
    <w:uiPriority w:val="99"/>
    <w:semiHidden/>
    <w:rsid w:val="003C3850"/>
    <w:pPr>
      <w:numPr>
        <w:numId w:val="3"/>
      </w:numPr>
      <w:contextualSpacing/>
    </w:pPr>
  </w:style>
  <w:style w:type="paragraph" w:styleId="ListNumber5">
    <w:name w:val="List Number 5"/>
    <w:basedOn w:val="Normal"/>
    <w:uiPriority w:val="99"/>
    <w:semiHidden/>
    <w:rsid w:val="003C3850"/>
    <w:pPr>
      <w:numPr>
        <w:numId w:val="4"/>
      </w:numPr>
      <w:contextualSpacing/>
    </w:pPr>
  </w:style>
  <w:style w:type="paragraph" w:styleId="ListParagraph">
    <w:name w:val="List Paragraph"/>
    <w:aliases w:val="Use Case List Paragraph,List Paragraph - bullets,standard lewis,Numbered Para 1,Dot pt,No Spacing1,List Paragraph Char Char Char,Indicator Text,List Paragraph1,Bullet Points,Bullet (1st level),First level bullet point,Recommendation,B1,L"/>
    <w:basedOn w:val="Normal"/>
    <w:link w:val="ListParagraphChar"/>
    <w:uiPriority w:val="34"/>
    <w:qFormat/>
    <w:rsid w:val="003C3850"/>
    <w:pPr>
      <w:ind w:left="720"/>
      <w:contextualSpacing/>
    </w:pPr>
  </w:style>
  <w:style w:type="paragraph" w:styleId="MacroText">
    <w:name w:val="macro"/>
    <w:link w:val="MacroTextChar"/>
    <w:uiPriority w:val="99"/>
    <w:semiHidden/>
    <w:rsid w:val="003C385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3C3850"/>
    <w:rPr>
      <w:rFonts w:ascii="Consolas" w:hAnsi="Consolas"/>
      <w:sz w:val="20"/>
      <w:szCs w:val="20"/>
      <w:lang w:val="en-AU"/>
    </w:rPr>
  </w:style>
  <w:style w:type="table" w:styleId="MediumGrid1">
    <w:name w:val="Medium Grid 1"/>
    <w:basedOn w:val="TableNormal"/>
    <w:uiPriority w:val="67"/>
    <w:rsid w:val="003C385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C3850"/>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3C3850"/>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3C3850"/>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3C3850"/>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3C3850"/>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3C3850"/>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3C3850"/>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C3850"/>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3C3850"/>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3C3850"/>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3C3850"/>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3C3850"/>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3C3850"/>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3C385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C3850"/>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C3850"/>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C3850"/>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C3850"/>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C3850"/>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C3850"/>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3C385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C3850"/>
    <w:rPr>
      <w:rFonts w:asciiTheme="majorHAnsi" w:eastAsiaTheme="majorEastAsia" w:hAnsiTheme="majorHAnsi" w:cstheme="majorBidi"/>
      <w:sz w:val="24"/>
      <w:szCs w:val="24"/>
      <w:shd w:val="pct20" w:color="auto" w:fill="auto"/>
      <w:lang w:val="en-AU"/>
    </w:rPr>
  </w:style>
  <w:style w:type="paragraph" w:styleId="NoSpacing">
    <w:name w:val="No Spacing"/>
    <w:qFormat/>
    <w:rsid w:val="003C3850"/>
    <w:rPr>
      <w:lang w:val="en-AU"/>
    </w:rPr>
  </w:style>
  <w:style w:type="paragraph" w:styleId="NormalWeb">
    <w:name w:val="Normal (Web)"/>
    <w:basedOn w:val="Normal"/>
    <w:uiPriority w:val="99"/>
    <w:semiHidden/>
    <w:rsid w:val="003C3850"/>
    <w:rPr>
      <w:rFonts w:ascii="Times New Roman" w:hAnsi="Times New Roman" w:cs="Times New Roman"/>
      <w:sz w:val="24"/>
      <w:szCs w:val="24"/>
    </w:rPr>
  </w:style>
  <w:style w:type="paragraph" w:styleId="NormalIndent">
    <w:name w:val="Normal Indent"/>
    <w:basedOn w:val="Normal"/>
    <w:uiPriority w:val="99"/>
    <w:semiHidden/>
    <w:rsid w:val="003C3850"/>
    <w:pPr>
      <w:ind w:left="1304"/>
    </w:pPr>
  </w:style>
  <w:style w:type="paragraph" w:styleId="NoteHeading">
    <w:name w:val="Note Heading"/>
    <w:basedOn w:val="Normal"/>
    <w:next w:val="Normal"/>
    <w:link w:val="NoteHeadingChar"/>
    <w:uiPriority w:val="99"/>
    <w:semiHidden/>
    <w:rsid w:val="003C3850"/>
    <w:pPr>
      <w:spacing w:line="240" w:lineRule="auto"/>
    </w:pPr>
  </w:style>
  <w:style w:type="character" w:customStyle="1" w:styleId="NoteHeadingChar">
    <w:name w:val="Note Heading Char"/>
    <w:basedOn w:val="DefaultParagraphFont"/>
    <w:link w:val="NoteHeading"/>
    <w:uiPriority w:val="99"/>
    <w:semiHidden/>
    <w:rsid w:val="003C3850"/>
    <w:rPr>
      <w:lang w:val="en-AU"/>
    </w:rPr>
  </w:style>
  <w:style w:type="character" w:styleId="PageNumber">
    <w:name w:val="page number"/>
    <w:basedOn w:val="DefaultParagraphFont"/>
    <w:uiPriority w:val="10"/>
    <w:semiHidden/>
    <w:rsid w:val="003C3850"/>
    <w:rPr>
      <w:lang w:val="en-AU"/>
    </w:rPr>
  </w:style>
  <w:style w:type="paragraph" w:styleId="PlainText">
    <w:name w:val="Plain Text"/>
    <w:basedOn w:val="Normal"/>
    <w:link w:val="PlainTextChar"/>
    <w:uiPriority w:val="99"/>
    <w:semiHidden/>
    <w:rsid w:val="003C385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C3850"/>
    <w:rPr>
      <w:rFonts w:ascii="Consolas" w:hAnsi="Consolas"/>
      <w:sz w:val="21"/>
      <w:szCs w:val="21"/>
      <w:lang w:val="en-AU"/>
    </w:rPr>
  </w:style>
  <w:style w:type="paragraph" w:styleId="Quote">
    <w:name w:val="Quote"/>
    <w:basedOn w:val="Normal"/>
    <w:next w:val="Normal"/>
    <w:link w:val="QuoteChar"/>
    <w:uiPriority w:val="29"/>
    <w:qFormat/>
    <w:rsid w:val="003C3850"/>
    <w:pPr>
      <w:spacing w:after="0"/>
    </w:pPr>
    <w:rPr>
      <w:i/>
      <w:iCs/>
      <w:color w:val="000000" w:themeColor="text1"/>
    </w:rPr>
  </w:style>
  <w:style w:type="character" w:customStyle="1" w:styleId="QuoteChar">
    <w:name w:val="Quote Char"/>
    <w:basedOn w:val="DefaultParagraphFont"/>
    <w:link w:val="Quote"/>
    <w:uiPriority w:val="29"/>
    <w:rsid w:val="003C3850"/>
    <w:rPr>
      <w:i/>
      <w:iCs/>
      <w:color w:val="000000" w:themeColor="text1"/>
      <w:lang w:val="en-AU"/>
    </w:rPr>
  </w:style>
  <w:style w:type="paragraph" w:styleId="Salutation">
    <w:name w:val="Salutation"/>
    <w:basedOn w:val="Normal"/>
    <w:next w:val="Normal"/>
    <w:link w:val="SalutationChar"/>
    <w:uiPriority w:val="99"/>
    <w:semiHidden/>
    <w:rsid w:val="003C3850"/>
  </w:style>
  <w:style w:type="character" w:customStyle="1" w:styleId="SalutationChar">
    <w:name w:val="Salutation Char"/>
    <w:basedOn w:val="DefaultParagraphFont"/>
    <w:link w:val="Salutation"/>
    <w:uiPriority w:val="99"/>
    <w:semiHidden/>
    <w:rsid w:val="003C3850"/>
    <w:rPr>
      <w:lang w:val="en-AU"/>
    </w:rPr>
  </w:style>
  <w:style w:type="paragraph" w:styleId="Signature">
    <w:name w:val="Signature"/>
    <w:basedOn w:val="Normal"/>
    <w:link w:val="SignatureChar"/>
    <w:uiPriority w:val="99"/>
    <w:semiHidden/>
    <w:rsid w:val="003C3850"/>
    <w:pPr>
      <w:keepNext/>
      <w:keepLines/>
    </w:pPr>
  </w:style>
  <w:style w:type="character" w:customStyle="1" w:styleId="SignatureChar">
    <w:name w:val="Signature Char"/>
    <w:basedOn w:val="DefaultParagraphFont"/>
    <w:link w:val="Signature"/>
    <w:uiPriority w:val="99"/>
    <w:semiHidden/>
    <w:rsid w:val="003C3850"/>
    <w:rPr>
      <w:lang w:val="en-AU"/>
    </w:rPr>
  </w:style>
  <w:style w:type="character" w:styleId="Strong">
    <w:name w:val="Strong"/>
    <w:basedOn w:val="DefaultParagraphFont"/>
    <w:uiPriority w:val="22"/>
    <w:qFormat/>
    <w:rsid w:val="003C3850"/>
    <w:rPr>
      <w:b/>
      <w:bCs/>
      <w:lang w:val="en-AU"/>
    </w:rPr>
  </w:style>
  <w:style w:type="paragraph" w:styleId="Subtitle">
    <w:name w:val="Subtitle"/>
    <w:basedOn w:val="Normal"/>
    <w:next w:val="Normal"/>
    <w:link w:val="SubtitleChar"/>
    <w:uiPriority w:val="11"/>
    <w:qFormat/>
    <w:rsid w:val="003C3850"/>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rsid w:val="003C3850"/>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qFormat/>
    <w:rsid w:val="003C3850"/>
    <w:rPr>
      <w:i/>
      <w:iCs/>
      <w:color w:val="808080" w:themeColor="text1" w:themeTint="7F"/>
      <w:lang w:val="en-AU"/>
    </w:rPr>
  </w:style>
  <w:style w:type="character" w:styleId="SubtleReference">
    <w:name w:val="Subtle Reference"/>
    <w:basedOn w:val="DefaultParagraphFont"/>
    <w:uiPriority w:val="99"/>
    <w:qFormat/>
    <w:rsid w:val="003C3850"/>
    <w:rPr>
      <w:smallCaps/>
      <w:color w:val="046A38" w:themeColor="accent2"/>
      <w:u w:val="single"/>
      <w:lang w:val="en-AU"/>
    </w:rPr>
  </w:style>
  <w:style w:type="table" w:styleId="Table3Deffects1">
    <w:name w:val="Table 3D effects 1"/>
    <w:basedOn w:val="TableNormal"/>
    <w:uiPriority w:val="99"/>
    <w:semiHidden/>
    <w:unhideWhenUsed/>
    <w:rsid w:val="003C3850"/>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C3850"/>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C3850"/>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C3850"/>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C3850"/>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C3850"/>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C3850"/>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C3850"/>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C3850"/>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C3850"/>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C3850"/>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C3850"/>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C3850"/>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C3850"/>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C3850"/>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C3850"/>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C3850"/>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C3850"/>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C3850"/>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C3850"/>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C3850"/>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C3850"/>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C3850"/>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C3850"/>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C3850"/>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C3850"/>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C3850"/>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C3850"/>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C3850"/>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C3850"/>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C3850"/>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C3850"/>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C3850"/>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C3850"/>
    <w:pPr>
      <w:ind w:left="180" w:hanging="180"/>
    </w:pPr>
  </w:style>
  <w:style w:type="paragraph" w:styleId="TableofFigures">
    <w:name w:val="table of figures"/>
    <w:basedOn w:val="Normal"/>
    <w:next w:val="Normal"/>
    <w:uiPriority w:val="99"/>
    <w:semiHidden/>
    <w:rsid w:val="003C3850"/>
  </w:style>
  <w:style w:type="table" w:styleId="TableProfessional">
    <w:name w:val="Table Professional"/>
    <w:basedOn w:val="TableNormal"/>
    <w:uiPriority w:val="99"/>
    <w:semiHidden/>
    <w:unhideWhenUsed/>
    <w:rsid w:val="003C3850"/>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C3850"/>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C3850"/>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C3850"/>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C3850"/>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C3850"/>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C3850"/>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C3850"/>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C3850"/>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C3850"/>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3C3850"/>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C3850"/>
    <w:rPr>
      <w:rFonts w:eastAsiaTheme="majorEastAsi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3C3850"/>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3C3850"/>
    <w:pPr>
      <w:tabs>
        <w:tab w:val="left" w:pos="567"/>
        <w:tab w:val="right" w:pos="6917"/>
      </w:tabs>
      <w:spacing w:after="100"/>
      <w:ind w:left="1134" w:right="567" w:hanging="567"/>
      <w:contextualSpacing/>
    </w:pPr>
  </w:style>
  <w:style w:type="paragraph" w:styleId="TOC3">
    <w:name w:val="toc 3"/>
    <w:basedOn w:val="Normal"/>
    <w:next w:val="Normal"/>
    <w:uiPriority w:val="39"/>
    <w:rsid w:val="003C3850"/>
    <w:pPr>
      <w:tabs>
        <w:tab w:val="left" w:pos="1021"/>
        <w:tab w:val="right" w:pos="6917"/>
      </w:tabs>
      <w:spacing w:after="100"/>
      <w:ind w:left="567" w:right="567"/>
      <w:contextualSpacing/>
    </w:pPr>
  </w:style>
  <w:style w:type="paragraph" w:styleId="TOC4">
    <w:name w:val="toc 4"/>
    <w:basedOn w:val="Normal"/>
    <w:next w:val="Normal"/>
    <w:uiPriority w:val="39"/>
    <w:rsid w:val="003C3850"/>
    <w:pPr>
      <w:spacing w:after="100"/>
      <w:ind w:right="567"/>
      <w:contextualSpacing/>
    </w:pPr>
  </w:style>
  <w:style w:type="paragraph" w:styleId="TOC5">
    <w:name w:val="toc 5"/>
    <w:basedOn w:val="Normal"/>
    <w:next w:val="Normal"/>
    <w:uiPriority w:val="39"/>
    <w:rsid w:val="003C3850"/>
    <w:pPr>
      <w:spacing w:after="100"/>
      <w:ind w:left="567" w:right="567"/>
      <w:contextualSpacing/>
    </w:pPr>
  </w:style>
  <w:style w:type="paragraph" w:styleId="TOC6">
    <w:name w:val="toc 6"/>
    <w:basedOn w:val="Normal"/>
    <w:next w:val="Normal"/>
    <w:uiPriority w:val="39"/>
    <w:rsid w:val="003C3850"/>
    <w:pPr>
      <w:spacing w:after="100"/>
      <w:ind w:right="567"/>
      <w:contextualSpacing/>
    </w:pPr>
  </w:style>
  <w:style w:type="paragraph" w:styleId="TOC7">
    <w:name w:val="toc 7"/>
    <w:basedOn w:val="Normal"/>
    <w:next w:val="Normal"/>
    <w:uiPriority w:val="39"/>
    <w:rsid w:val="003C3850"/>
    <w:pPr>
      <w:spacing w:after="100"/>
      <w:ind w:right="567"/>
      <w:contextualSpacing/>
    </w:pPr>
  </w:style>
  <w:style w:type="paragraph" w:styleId="TOC8">
    <w:name w:val="toc 8"/>
    <w:basedOn w:val="Normal"/>
    <w:next w:val="Normal"/>
    <w:uiPriority w:val="39"/>
    <w:rsid w:val="003C3850"/>
    <w:pPr>
      <w:spacing w:after="100"/>
      <w:ind w:right="567"/>
      <w:contextualSpacing/>
    </w:pPr>
  </w:style>
  <w:style w:type="paragraph" w:styleId="TOC9">
    <w:name w:val="toc 9"/>
    <w:basedOn w:val="Normal"/>
    <w:next w:val="Normal"/>
    <w:uiPriority w:val="39"/>
    <w:rsid w:val="003C3850"/>
    <w:pPr>
      <w:spacing w:after="100"/>
      <w:ind w:left="567" w:right="567"/>
      <w:contextualSpacing/>
    </w:pPr>
  </w:style>
  <w:style w:type="paragraph" w:styleId="TOCHeading">
    <w:name w:val="TOC Heading"/>
    <w:next w:val="Normal"/>
    <w:uiPriority w:val="39"/>
    <w:qFormat/>
    <w:rsid w:val="003C3850"/>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3C3850"/>
    <w:pPr>
      <w:tabs>
        <w:tab w:val="left" w:pos="567"/>
      </w:tabs>
      <w:spacing w:after="0" w:line="280" w:lineRule="atLeast"/>
    </w:pPr>
    <w:rPr>
      <w:noProof/>
      <w:sz w:val="16"/>
    </w:rPr>
  </w:style>
  <w:style w:type="paragraph" w:customStyle="1" w:styleId="Template-Dato">
    <w:name w:val="Template - Dato"/>
    <w:basedOn w:val="Normal"/>
    <w:uiPriority w:val="9"/>
    <w:semiHidden/>
    <w:rsid w:val="003C3850"/>
    <w:pPr>
      <w:spacing w:after="0" w:line="280" w:lineRule="atLeast"/>
    </w:pPr>
    <w:rPr>
      <w:noProof/>
      <w:sz w:val="16"/>
    </w:rPr>
  </w:style>
  <w:style w:type="paragraph" w:customStyle="1" w:styleId="Letterheadaddressnospacing">
    <w:name w:val="Letterhead address (no spacing)"/>
    <w:uiPriority w:val="99"/>
    <w:semiHidden/>
    <w:qFormat/>
    <w:rsid w:val="003C3850"/>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3C3850"/>
    <w:pPr>
      <w:suppressAutoHyphens/>
      <w:spacing w:before="240" w:after="240"/>
    </w:pPr>
    <w:rPr>
      <w:b/>
    </w:rPr>
  </w:style>
  <w:style w:type="paragraph" w:customStyle="1" w:styleId="Disclaimer">
    <w:name w:val="Disclaimer"/>
    <w:basedOn w:val="Footer"/>
    <w:uiPriority w:val="11"/>
    <w:semiHidden/>
    <w:rsid w:val="003C3850"/>
    <w:pPr>
      <w:tabs>
        <w:tab w:val="clear" w:pos="7371"/>
      </w:tabs>
      <w:spacing w:line="130" w:lineRule="atLeast"/>
      <w:suppressOverlap/>
    </w:pPr>
    <w:rPr>
      <w:rFonts w:eastAsia="Times New Roman" w:cs="Arial"/>
      <w:noProof/>
      <w:sz w:val="11"/>
      <w:szCs w:val="17"/>
      <w:lang w:eastAsia="en-GB"/>
    </w:rPr>
  </w:style>
  <w:style w:type="paragraph" w:customStyle="1" w:styleId="SenderName">
    <w:name w:val="Sender Name"/>
    <w:basedOn w:val="Normal"/>
    <w:uiPriority w:val="8"/>
    <w:rsid w:val="003C3850"/>
    <w:pPr>
      <w:keepNext/>
      <w:keepLines/>
      <w:spacing w:after="0"/>
    </w:pPr>
    <w:rPr>
      <w:b/>
      <w:szCs w:val="17"/>
    </w:rPr>
  </w:style>
  <w:style w:type="paragraph" w:customStyle="1" w:styleId="SignatureName">
    <w:name w:val="Signature Name"/>
    <w:basedOn w:val="Normal"/>
    <w:next w:val="SignatureTitle"/>
    <w:uiPriority w:val="7"/>
    <w:semiHidden/>
    <w:rsid w:val="003C3850"/>
    <w:pPr>
      <w:keepNext/>
      <w:keepLines/>
      <w:spacing w:after="0"/>
    </w:pPr>
    <w:rPr>
      <w:b/>
      <w:color w:val="62B5E5" w:themeColor="accent3"/>
    </w:rPr>
  </w:style>
  <w:style w:type="paragraph" w:customStyle="1" w:styleId="SignatureTitle">
    <w:name w:val="Signature Title"/>
    <w:basedOn w:val="Normal"/>
    <w:next w:val="BodyText"/>
    <w:uiPriority w:val="7"/>
    <w:semiHidden/>
    <w:rsid w:val="003C3850"/>
    <w:pPr>
      <w:spacing w:after="0"/>
    </w:pPr>
    <w:rPr>
      <w:b/>
    </w:rPr>
  </w:style>
  <w:style w:type="paragraph" w:customStyle="1" w:styleId="Heading2un-numbered">
    <w:name w:val="Heading 2 (un-numbered)"/>
    <w:basedOn w:val="Heading2"/>
    <w:next w:val="Normal"/>
    <w:uiPriority w:val="2"/>
    <w:qFormat/>
    <w:rsid w:val="003C3850"/>
    <w:pPr>
      <w:numPr>
        <w:ilvl w:val="0"/>
        <w:numId w:val="0"/>
      </w:numPr>
    </w:pPr>
  </w:style>
  <w:style w:type="paragraph" w:customStyle="1" w:styleId="Heading3un-numbered">
    <w:name w:val="Heading 3 (un-numbered)"/>
    <w:basedOn w:val="Heading3"/>
    <w:next w:val="Normal"/>
    <w:uiPriority w:val="2"/>
    <w:qFormat/>
    <w:rsid w:val="003C3850"/>
    <w:pPr>
      <w:numPr>
        <w:ilvl w:val="0"/>
        <w:numId w:val="0"/>
      </w:numPr>
    </w:pPr>
  </w:style>
  <w:style w:type="paragraph" w:customStyle="1" w:styleId="Heading4un-numbered">
    <w:name w:val="Heading 4 (un-numbered)"/>
    <w:basedOn w:val="Heading4"/>
    <w:next w:val="Normal"/>
    <w:uiPriority w:val="2"/>
    <w:qFormat/>
    <w:rsid w:val="003C3850"/>
    <w:pPr>
      <w:numPr>
        <w:ilvl w:val="0"/>
        <w:numId w:val="0"/>
      </w:numPr>
    </w:pPr>
  </w:style>
  <w:style w:type="paragraph" w:customStyle="1" w:styleId="BulletedText1">
    <w:name w:val="Bulleted Text 1"/>
    <w:basedOn w:val="Normal"/>
    <w:uiPriority w:val="4"/>
    <w:semiHidden/>
    <w:qFormat/>
    <w:rsid w:val="003C3850"/>
    <w:pPr>
      <w:numPr>
        <w:numId w:val="1"/>
      </w:numPr>
      <w:suppressAutoHyphens/>
      <w:spacing w:after="0" w:line="250" w:lineRule="atLeast"/>
    </w:pPr>
  </w:style>
  <w:style w:type="paragraph" w:customStyle="1" w:styleId="BulletedText2">
    <w:name w:val="Bulleted Text 2"/>
    <w:basedOn w:val="Normal"/>
    <w:uiPriority w:val="4"/>
    <w:semiHidden/>
    <w:rsid w:val="003C3850"/>
    <w:pPr>
      <w:numPr>
        <w:ilvl w:val="1"/>
        <w:numId w:val="58"/>
      </w:numPr>
      <w:suppressAutoHyphens/>
      <w:spacing w:after="0" w:line="250" w:lineRule="atLeast"/>
    </w:pPr>
  </w:style>
  <w:style w:type="paragraph" w:customStyle="1" w:styleId="Numberslevel1">
    <w:name w:val="Numbers level 1"/>
    <w:basedOn w:val="Normal"/>
    <w:uiPriority w:val="4"/>
    <w:semiHidden/>
    <w:qFormat/>
    <w:rsid w:val="003C3850"/>
    <w:pPr>
      <w:numPr>
        <w:numId w:val="5"/>
      </w:numPr>
      <w:suppressAutoHyphens/>
      <w:spacing w:after="0" w:line="250" w:lineRule="atLeast"/>
    </w:pPr>
  </w:style>
  <w:style w:type="paragraph" w:customStyle="1" w:styleId="Numberslevel2">
    <w:name w:val="Numbers level 2"/>
    <w:basedOn w:val="Normal"/>
    <w:uiPriority w:val="4"/>
    <w:semiHidden/>
    <w:rsid w:val="003C3850"/>
    <w:pPr>
      <w:numPr>
        <w:ilvl w:val="1"/>
        <w:numId w:val="64"/>
      </w:numPr>
      <w:suppressAutoHyphens/>
      <w:spacing w:after="0" w:line="250" w:lineRule="atLeast"/>
    </w:pPr>
  </w:style>
  <w:style w:type="paragraph" w:customStyle="1" w:styleId="Numberslevel3">
    <w:name w:val="Numbers level 3"/>
    <w:basedOn w:val="Normal"/>
    <w:uiPriority w:val="4"/>
    <w:semiHidden/>
    <w:rsid w:val="003C3850"/>
    <w:pPr>
      <w:numPr>
        <w:ilvl w:val="2"/>
        <w:numId w:val="64"/>
      </w:numPr>
      <w:suppressAutoHyphens/>
      <w:spacing w:after="0" w:line="250" w:lineRule="atLeast"/>
    </w:pPr>
  </w:style>
  <w:style w:type="paragraph" w:customStyle="1" w:styleId="TabletextLeftTotal">
    <w:name w:val="Table text Left Total"/>
    <w:basedOn w:val="TabletextLeft"/>
    <w:uiPriority w:val="5"/>
    <w:rsid w:val="003C3850"/>
    <w:rPr>
      <w:b/>
    </w:rPr>
  </w:style>
  <w:style w:type="paragraph" w:customStyle="1" w:styleId="TabletextRightTotal">
    <w:name w:val="Table text Right Total"/>
    <w:basedOn w:val="TabletextRight"/>
    <w:uiPriority w:val="5"/>
    <w:rsid w:val="003C3850"/>
    <w:rPr>
      <w:b/>
    </w:rPr>
  </w:style>
  <w:style w:type="table" w:customStyle="1" w:styleId="DeloitteBandedrows">
    <w:name w:val="Deloitte Banded rows"/>
    <w:basedOn w:val="TableNormal"/>
    <w:uiPriority w:val="99"/>
    <w:rsid w:val="003C3850"/>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3C3850"/>
    <w:pPr>
      <w:spacing w:after="0"/>
      <w:ind w:left="-57"/>
    </w:pPr>
    <w:rPr>
      <w:color w:val="FF0000"/>
      <w:sz w:val="36"/>
    </w:rPr>
  </w:style>
  <w:style w:type="paragraph" w:customStyle="1" w:styleId="CV-Name">
    <w:name w:val="CV - Name"/>
    <w:basedOn w:val="Normal"/>
    <w:uiPriority w:val="7"/>
    <w:rsid w:val="003C3850"/>
    <w:pPr>
      <w:spacing w:after="240"/>
      <w:contextualSpacing/>
    </w:pPr>
    <w:rPr>
      <w:b/>
      <w:color w:val="62B5E5" w:themeColor="accent3"/>
    </w:rPr>
  </w:style>
  <w:style w:type="paragraph" w:customStyle="1" w:styleId="HeadingA">
    <w:name w:val="Heading A"/>
    <w:next w:val="Normal"/>
    <w:uiPriority w:val="3"/>
    <w:rsid w:val="003C3850"/>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3C3850"/>
    <w:pPr>
      <w:spacing w:before="0"/>
    </w:pPr>
    <w:rPr>
      <w:color w:val="auto"/>
      <w:szCs w:val="26"/>
    </w:rPr>
  </w:style>
  <w:style w:type="paragraph" w:customStyle="1" w:styleId="HeadingC">
    <w:name w:val="Heading C"/>
    <w:basedOn w:val="Normal"/>
    <w:next w:val="Normal"/>
    <w:uiPriority w:val="3"/>
    <w:rsid w:val="003C3850"/>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3C3850"/>
    <w:pPr>
      <w:keepNext/>
      <w:keepLines/>
      <w:numPr>
        <w:ilvl w:val="6"/>
        <w:numId w:val="21"/>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3C3850"/>
    <w:pPr>
      <w:keepNext/>
      <w:keepLines/>
      <w:numPr>
        <w:ilvl w:val="8"/>
        <w:numId w:val="21"/>
      </w:numPr>
    </w:pPr>
    <w:rPr>
      <w:bCs/>
      <w:color w:val="75787B" w:themeColor="accent6"/>
      <w:sz w:val="17"/>
      <w:szCs w:val="22"/>
    </w:rPr>
  </w:style>
  <w:style w:type="paragraph" w:customStyle="1" w:styleId="CaptionChart">
    <w:name w:val="Caption_Chart"/>
    <w:basedOn w:val="Normal"/>
    <w:next w:val="Normal"/>
    <w:uiPriority w:val="4"/>
    <w:rsid w:val="003C3850"/>
    <w:pPr>
      <w:keepNext/>
      <w:keepLines/>
      <w:numPr>
        <w:ilvl w:val="7"/>
        <w:numId w:val="21"/>
      </w:numPr>
    </w:pPr>
    <w:rPr>
      <w:color w:val="75787B" w:themeColor="accent6"/>
      <w:sz w:val="17"/>
    </w:rPr>
  </w:style>
  <w:style w:type="paragraph" w:customStyle="1" w:styleId="ExecutiveHeading">
    <w:name w:val="Executive Heading"/>
    <w:basedOn w:val="Heading1un-numbered"/>
    <w:next w:val="Normal"/>
    <w:uiPriority w:val="3"/>
    <w:rsid w:val="003C3850"/>
    <w:pPr>
      <w:numPr>
        <w:numId w:val="6"/>
      </w:numPr>
    </w:pPr>
  </w:style>
  <w:style w:type="paragraph" w:customStyle="1" w:styleId="Reference">
    <w:name w:val="Reference"/>
    <w:basedOn w:val="Normal"/>
    <w:uiPriority w:val="4"/>
    <w:rsid w:val="003C385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3C3850"/>
    <w:pPr>
      <w:numPr>
        <w:ilvl w:val="2"/>
        <w:numId w:val="59"/>
      </w:numPr>
    </w:pPr>
    <w:rPr>
      <w:rFonts w:eastAsia="Times New Roman" w:cs="Times New Roman"/>
      <w:szCs w:val="20"/>
    </w:rPr>
  </w:style>
  <w:style w:type="paragraph" w:customStyle="1" w:styleId="ExecFigureCaption">
    <w:name w:val="Exec Figure Caption"/>
    <w:basedOn w:val="Caption"/>
    <w:next w:val="Normal"/>
    <w:uiPriority w:val="4"/>
    <w:rsid w:val="003C3850"/>
    <w:pPr>
      <w:numPr>
        <w:ilvl w:val="3"/>
        <w:numId w:val="59"/>
      </w:numPr>
    </w:pPr>
    <w:rPr>
      <w:rFonts w:eastAsia="Times New Roman" w:cs="Times New Roman"/>
      <w:szCs w:val="20"/>
    </w:rPr>
  </w:style>
  <w:style w:type="paragraph" w:customStyle="1" w:styleId="ExecTableCaption">
    <w:name w:val="Exec Table Caption"/>
    <w:basedOn w:val="Caption"/>
    <w:next w:val="Normal"/>
    <w:uiPriority w:val="4"/>
    <w:rsid w:val="003C3850"/>
    <w:pPr>
      <w:numPr>
        <w:ilvl w:val="1"/>
        <w:numId w:val="59"/>
      </w:numPr>
    </w:pPr>
    <w:rPr>
      <w:rFonts w:eastAsia="Times New Roman" w:cs="Times New Roman"/>
      <w:szCs w:val="20"/>
    </w:rPr>
  </w:style>
  <w:style w:type="paragraph" w:customStyle="1" w:styleId="Appendixhead2">
    <w:name w:val="Appendix_head_2"/>
    <w:basedOn w:val="Heading2"/>
    <w:next w:val="Normal"/>
    <w:link w:val="Appendixhead2Char"/>
    <w:uiPriority w:val="3"/>
    <w:rsid w:val="003C3850"/>
    <w:pPr>
      <w:numPr>
        <w:numId w:val="25"/>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3C3850"/>
    <w:pPr>
      <w:numPr>
        <w:numId w:val="25"/>
      </w:numPr>
      <w:outlineLvl w:val="9"/>
    </w:pPr>
    <w:rPr>
      <w:rFonts w:eastAsia="Times New Roman" w:cs="Times New Roman"/>
      <w:bCs w:val="0"/>
      <w:szCs w:val="20"/>
    </w:rPr>
  </w:style>
  <w:style w:type="paragraph" w:customStyle="1" w:styleId="Appendixhead4">
    <w:name w:val="Appendix_head_4"/>
    <w:basedOn w:val="Heading4"/>
    <w:next w:val="Normal"/>
    <w:uiPriority w:val="3"/>
    <w:rsid w:val="003C3850"/>
    <w:pPr>
      <w:numPr>
        <w:numId w:val="25"/>
      </w:numPr>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3C3850"/>
    <w:pPr>
      <w:keepNext/>
      <w:keepLines/>
      <w:pageBreakBefore/>
      <w:numPr>
        <w:numId w:val="25"/>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3C3850"/>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3C3850"/>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3C3850"/>
    <w:pPr>
      <w:numPr>
        <w:ilvl w:val="7"/>
      </w:numPr>
      <w:outlineLvl w:val="5"/>
    </w:pPr>
  </w:style>
  <w:style w:type="paragraph" w:customStyle="1" w:styleId="AppendixFigureCaption">
    <w:name w:val="Appendix Figure Caption"/>
    <w:basedOn w:val="AppendixChartCaption"/>
    <w:next w:val="Normal"/>
    <w:link w:val="AppendixFigureCaptionChar"/>
    <w:uiPriority w:val="4"/>
    <w:rsid w:val="003C3850"/>
    <w:pPr>
      <w:numPr>
        <w:ilvl w:val="8"/>
      </w:numPr>
      <w:outlineLvl w:val="6"/>
    </w:pPr>
  </w:style>
  <w:style w:type="character" w:customStyle="1" w:styleId="Appendixhead2Char">
    <w:name w:val="Appendix_head_2 Char"/>
    <w:basedOn w:val="DefaultParagraphFont"/>
    <w:link w:val="Appendixhead2"/>
    <w:uiPriority w:val="3"/>
    <w:rsid w:val="003C3850"/>
    <w:rPr>
      <w:rFonts w:eastAsia="Times New Roman"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3C3850"/>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3C3850"/>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3C3850"/>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3C3850"/>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3C3850"/>
    <w:pPr>
      <w:keepNext w:val="0"/>
      <w:keepLines w:val="0"/>
      <w:spacing w:before="120"/>
    </w:pPr>
    <w:rPr>
      <w:sz w:val="14"/>
    </w:rPr>
  </w:style>
  <w:style w:type="paragraph" w:customStyle="1" w:styleId="AlphabeticList">
    <w:name w:val="Alphabetic List"/>
    <w:basedOn w:val="Normal"/>
    <w:uiPriority w:val="4"/>
    <w:qFormat/>
    <w:rsid w:val="003C3850"/>
    <w:pPr>
      <w:numPr>
        <w:numId w:val="7"/>
      </w:numPr>
      <w:spacing w:after="0"/>
      <w:contextualSpacing/>
    </w:pPr>
    <w:rPr>
      <w:rFonts w:eastAsia="Times New Roman" w:cs="Times New Roman"/>
      <w:szCs w:val="20"/>
    </w:rPr>
  </w:style>
  <w:style w:type="paragraph" w:customStyle="1" w:styleId="CV-Heading">
    <w:name w:val="CV - Heading"/>
    <w:basedOn w:val="Normal"/>
    <w:uiPriority w:val="7"/>
    <w:rsid w:val="003C3850"/>
    <w:pPr>
      <w:spacing w:before="240" w:after="0"/>
      <w:contextualSpacing/>
    </w:pPr>
    <w:rPr>
      <w:b/>
    </w:rPr>
  </w:style>
  <w:style w:type="paragraph" w:customStyle="1" w:styleId="TableHeadingCentre">
    <w:name w:val="Table Heading Centre"/>
    <w:basedOn w:val="TableHeadingLeft"/>
    <w:uiPriority w:val="5"/>
    <w:rsid w:val="003C3850"/>
    <w:pPr>
      <w:jc w:val="center"/>
    </w:pPr>
  </w:style>
  <w:style w:type="paragraph" w:customStyle="1" w:styleId="TableHeadingRight">
    <w:name w:val="Table Heading Right"/>
    <w:basedOn w:val="TableHeadingCentre"/>
    <w:uiPriority w:val="5"/>
    <w:rsid w:val="003C3850"/>
    <w:pPr>
      <w:jc w:val="right"/>
    </w:pPr>
  </w:style>
  <w:style w:type="paragraph" w:customStyle="1" w:styleId="TabletextRight">
    <w:name w:val="Table text Right"/>
    <w:basedOn w:val="TabletextLeft"/>
    <w:uiPriority w:val="5"/>
    <w:rsid w:val="003C3850"/>
    <w:pPr>
      <w:jc w:val="right"/>
    </w:pPr>
  </w:style>
  <w:style w:type="paragraph" w:customStyle="1" w:styleId="TabletextCentre">
    <w:name w:val="Table text Centre"/>
    <w:basedOn w:val="TabletextRight"/>
    <w:uiPriority w:val="5"/>
    <w:rsid w:val="003C3850"/>
    <w:pPr>
      <w:jc w:val="center"/>
    </w:pPr>
  </w:style>
  <w:style w:type="paragraph" w:customStyle="1" w:styleId="TableNote">
    <w:name w:val="Table Note"/>
    <w:basedOn w:val="TabletextLeft"/>
    <w:uiPriority w:val="5"/>
    <w:semiHidden/>
    <w:rsid w:val="003C3850"/>
    <w:rPr>
      <w:sz w:val="15"/>
    </w:rPr>
  </w:style>
  <w:style w:type="paragraph" w:customStyle="1" w:styleId="TabletextCentreTotal">
    <w:name w:val="Table text Centre Total"/>
    <w:basedOn w:val="TabletextCentre"/>
    <w:uiPriority w:val="5"/>
    <w:rsid w:val="003C3850"/>
    <w:rPr>
      <w:b/>
    </w:rPr>
  </w:style>
  <w:style w:type="paragraph" w:customStyle="1" w:styleId="AlphabeticList2">
    <w:name w:val="Alphabetic List 2"/>
    <w:basedOn w:val="AlphabeticList"/>
    <w:uiPriority w:val="4"/>
    <w:qFormat/>
    <w:rsid w:val="003C3850"/>
    <w:pPr>
      <w:numPr>
        <w:ilvl w:val="1"/>
      </w:numPr>
    </w:pPr>
  </w:style>
  <w:style w:type="table" w:styleId="GridTable1Light">
    <w:name w:val="Grid Table 1 Light"/>
    <w:basedOn w:val="TableNormal"/>
    <w:uiPriority w:val="46"/>
    <w:rsid w:val="003C385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C385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C385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C385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C385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C385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C385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C385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C385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3C385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3C385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3C385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3C385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3C385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3C38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C385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3C385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3C385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3C385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3C385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3C385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3C38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C385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3C385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3C385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3C385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3C385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3C385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3C385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C385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3C385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3C385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3C385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3C385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3C385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3C385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C385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3C385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3C385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3C385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3C385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3C385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3C385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C385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3C385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3C385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3C385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3C385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3C385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3C385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C385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3C385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3C385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3C385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3C385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3C385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3C38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C385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3C385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3C385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3C385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3C385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3C385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3C38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C385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C385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C385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C385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C385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C385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C385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C385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3C385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3C385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3C385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3C385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3C385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3C385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C385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C385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C385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C385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C385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C385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C385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C385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C385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C385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C385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3C385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3C3850"/>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Normal"/>
    <w:next w:val="Normal"/>
    <w:uiPriority w:val="6"/>
    <w:rsid w:val="003C3850"/>
    <w:pPr>
      <w:spacing w:after="0" w:line="360" w:lineRule="atLeast"/>
      <w:ind w:left="227" w:right="227"/>
    </w:pPr>
    <w:rPr>
      <w:i/>
      <w:color w:val="62B5E5" w:themeColor="accent3"/>
      <w:sz w:val="28"/>
    </w:rPr>
  </w:style>
  <w:style w:type="paragraph" w:customStyle="1" w:styleId="Pullout-QuoteGreen">
    <w:name w:val="Pullout - Quote Green"/>
    <w:basedOn w:val="Pullout-QuoteBlue"/>
    <w:next w:val="Normal"/>
    <w:qFormat/>
    <w:rsid w:val="003C3850"/>
    <w:rPr>
      <w:color w:val="86BC25" w:themeColor="accent1"/>
    </w:rPr>
  </w:style>
  <w:style w:type="paragraph" w:customStyle="1" w:styleId="Default">
    <w:name w:val="Default"/>
    <w:rsid w:val="001C53B1"/>
    <w:pPr>
      <w:autoSpaceDE w:val="0"/>
      <w:autoSpaceDN w:val="0"/>
      <w:adjustRightInd w:val="0"/>
      <w:spacing w:line="240" w:lineRule="auto"/>
    </w:pPr>
    <w:rPr>
      <w:rFonts w:ascii="Arial" w:hAnsi="Arial" w:cs="Arial"/>
      <w:color w:val="000000"/>
      <w:sz w:val="24"/>
      <w:szCs w:val="24"/>
      <w:lang w:val="en-AU"/>
    </w:rPr>
  </w:style>
  <w:style w:type="paragraph" w:styleId="Revision">
    <w:name w:val="Revision"/>
    <w:hidden/>
    <w:uiPriority w:val="99"/>
    <w:semiHidden/>
    <w:rsid w:val="00AC7CBC"/>
    <w:pPr>
      <w:spacing w:line="240" w:lineRule="auto"/>
    </w:pPr>
    <w:rPr>
      <w:lang w:val="en-AU"/>
    </w:rPr>
  </w:style>
  <w:style w:type="character" w:customStyle="1" w:styleId="ListParagraphChar">
    <w:name w:val="List Paragraph Char"/>
    <w:aliases w:val="Use Case List Paragraph Char,List Paragraph - bullets Char,standard lewis Char,Numbered Para 1 Char,Dot pt Char,No Spacing1 Char,List Paragraph Char Char Char Char,Indicator Text Char,List Paragraph1 Char,Bullet Points Char,B1 Char"/>
    <w:basedOn w:val="DefaultParagraphFont"/>
    <w:link w:val="ListParagraph"/>
    <w:uiPriority w:val="34"/>
    <w:qFormat/>
    <w:locked/>
    <w:rsid w:val="009B2E04"/>
    <w:rPr>
      <w:lang w:val="en-AU"/>
    </w:rPr>
  </w:style>
  <w:style w:type="paragraph" w:customStyle="1" w:styleId="paragraph">
    <w:name w:val="paragraph"/>
    <w:basedOn w:val="Normal"/>
    <w:rsid w:val="0076308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3088"/>
  </w:style>
  <w:style w:type="character" w:customStyle="1" w:styleId="eop">
    <w:name w:val="eop"/>
    <w:basedOn w:val="DefaultParagraphFont"/>
    <w:rsid w:val="00763088"/>
  </w:style>
  <w:style w:type="character" w:customStyle="1" w:styleId="UnresolvedMention1">
    <w:name w:val="Unresolved Mention1"/>
    <w:basedOn w:val="DefaultParagraphFont"/>
    <w:uiPriority w:val="99"/>
    <w:semiHidden/>
    <w:unhideWhenUsed/>
    <w:rsid w:val="00763088"/>
    <w:rPr>
      <w:color w:val="605E5C"/>
      <w:shd w:val="clear" w:color="auto" w:fill="E1DFDD"/>
    </w:rPr>
  </w:style>
  <w:style w:type="paragraph" w:customStyle="1" w:styleId="AIATSISBodyText">
    <w:name w:val="AIATSIS Body Text"/>
    <w:basedOn w:val="BodyText"/>
    <w:rsid w:val="008452C9"/>
    <w:pPr>
      <w:spacing w:after="120" w:line="240" w:lineRule="auto"/>
    </w:pPr>
    <w:rPr>
      <w:rFonts w:ascii="Calibri" w:eastAsia="Times New Roman" w:hAnsi="Calibri" w:cs="Times New Roman"/>
      <w:sz w:val="22"/>
      <w:szCs w:val="24"/>
    </w:rPr>
  </w:style>
  <w:style w:type="character" w:customStyle="1" w:styleId="UnresolvedMention2">
    <w:name w:val="Unresolved Mention2"/>
    <w:basedOn w:val="DefaultParagraphFont"/>
    <w:uiPriority w:val="99"/>
    <w:unhideWhenUsed/>
    <w:rsid w:val="008452C9"/>
    <w:rPr>
      <w:color w:val="605E5C"/>
      <w:shd w:val="clear" w:color="auto" w:fill="E1DFDD"/>
    </w:rPr>
  </w:style>
  <w:style w:type="character" w:customStyle="1" w:styleId="advancedproofingissue">
    <w:name w:val="advancedproofingissue"/>
    <w:basedOn w:val="DefaultParagraphFont"/>
    <w:rsid w:val="00BC7341"/>
  </w:style>
  <w:style w:type="character" w:customStyle="1" w:styleId="findhit">
    <w:name w:val="findhit"/>
    <w:basedOn w:val="DefaultParagraphFont"/>
    <w:rsid w:val="00BC7341"/>
  </w:style>
  <w:style w:type="paragraph" w:customStyle="1" w:styleId="Heading11">
    <w:name w:val="Heading 11"/>
    <w:basedOn w:val="Normal"/>
    <w:next w:val="Normal"/>
    <w:uiPriority w:val="1"/>
    <w:qFormat/>
    <w:rsid w:val="008B26D6"/>
    <w:pPr>
      <w:keepNext/>
      <w:keepLines/>
      <w:pageBreakBefore/>
      <w:tabs>
        <w:tab w:val="num" w:pos="360"/>
      </w:tabs>
      <w:spacing w:after="480" w:line="720" w:lineRule="atLeast"/>
      <w:contextualSpacing/>
      <w:outlineLvl w:val="0"/>
    </w:pPr>
    <w:rPr>
      <w:rFonts w:eastAsia="MingLiU" w:cs="Times New Roman"/>
      <w:bCs/>
      <w:sz w:val="60"/>
      <w:szCs w:val="28"/>
    </w:rPr>
  </w:style>
  <w:style w:type="character" w:customStyle="1" w:styleId="UnresolvedMention3">
    <w:name w:val="Unresolved Mention3"/>
    <w:basedOn w:val="DefaultParagraphFont"/>
    <w:uiPriority w:val="99"/>
    <w:semiHidden/>
    <w:unhideWhenUsed/>
    <w:rsid w:val="00EE200A"/>
    <w:rPr>
      <w:color w:val="605E5C"/>
      <w:shd w:val="clear" w:color="auto" w:fill="E1DFDD"/>
    </w:rPr>
  </w:style>
  <w:style w:type="paragraph" w:customStyle="1" w:styleId="Normal0">
    <w:name w:val="[Normal]"/>
    <w:uiPriority w:val="99"/>
    <w:qFormat/>
    <w:rsid w:val="00CA1ED7"/>
    <w:pPr>
      <w:widowControl w:val="0"/>
      <w:autoSpaceDE w:val="0"/>
      <w:autoSpaceDN w:val="0"/>
      <w:adjustRightInd w:val="0"/>
      <w:spacing w:line="240" w:lineRule="auto"/>
    </w:pPr>
    <w:rPr>
      <w:rFonts w:ascii="Arial" w:hAnsi="Arial" w:cs="Arial"/>
      <w:sz w:val="24"/>
      <w:szCs w:val="24"/>
      <w:lang w:val="en-AU"/>
    </w:rPr>
  </w:style>
  <w:style w:type="table" w:customStyle="1" w:styleId="ListTable3-Accent61">
    <w:name w:val="List Table 3 - Accent 61"/>
    <w:basedOn w:val="TableNormal"/>
    <w:next w:val="ListTable3-Accent6"/>
    <w:uiPriority w:val="48"/>
    <w:rsid w:val="00F844A8"/>
    <w:pPr>
      <w:spacing w:line="240" w:lineRule="auto"/>
    </w:pPr>
    <w:rPr>
      <w:rFonts w:ascii="Calibri" w:hAnsi="Calibri"/>
      <w:sz w:val="22"/>
      <w:szCs w:val="22"/>
      <w:lang w:val="en-AU"/>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CommentText1">
    <w:name w:val="Comment Text1"/>
    <w:basedOn w:val="Normal"/>
    <w:next w:val="CommentText"/>
    <w:uiPriority w:val="99"/>
    <w:rsid w:val="00DA424B"/>
    <w:pPr>
      <w:spacing w:line="240" w:lineRule="auto"/>
    </w:pPr>
    <w:rPr>
      <w:rFonts w:asciiTheme="minorHAnsi" w:hAnsiTheme="minorHAnsi"/>
      <w:sz w:val="20"/>
      <w:szCs w:val="20"/>
    </w:rPr>
  </w:style>
  <w:style w:type="character" w:customStyle="1" w:styleId="UnresolvedMention4">
    <w:name w:val="Unresolved Mention4"/>
    <w:basedOn w:val="DefaultParagraphFont"/>
    <w:uiPriority w:val="99"/>
    <w:unhideWhenUsed/>
    <w:rsid w:val="00BE63FE"/>
    <w:rPr>
      <w:color w:val="605E5C"/>
      <w:shd w:val="clear" w:color="auto" w:fill="E1DFDD"/>
    </w:rPr>
  </w:style>
  <w:style w:type="character" w:customStyle="1" w:styleId="Mention1">
    <w:name w:val="Mention1"/>
    <w:basedOn w:val="DefaultParagraphFont"/>
    <w:uiPriority w:val="99"/>
    <w:unhideWhenUsed/>
    <w:rsid w:val="00BE63FE"/>
    <w:rPr>
      <w:color w:val="2B579A"/>
      <w:shd w:val="clear" w:color="auto" w:fill="E1DFDD"/>
    </w:rPr>
  </w:style>
  <w:style w:type="character" w:customStyle="1" w:styleId="UnresolvedMention5">
    <w:name w:val="Unresolved Mention5"/>
    <w:basedOn w:val="DefaultParagraphFont"/>
    <w:uiPriority w:val="99"/>
    <w:unhideWhenUsed/>
    <w:rsid w:val="00D84EF6"/>
    <w:rPr>
      <w:color w:val="605E5C"/>
      <w:shd w:val="clear" w:color="auto" w:fill="E1DFDD"/>
    </w:rPr>
  </w:style>
  <w:style w:type="character" w:customStyle="1" w:styleId="Mention2">
    <w:name w:val="Mention2"/>
    <w:basedOn w:val="DefaultParagraphFont"/>
    <w:uiPriority w:val="99"/>
    <w:unhideWhenUsed/>
    <w:rsid w:val="00D84EF6"/>
    <w:rPr>
      <w:color w:val="2B579A"/>
      <w:shd w:val="clear" w:color="auto" w:fill="E1DFDD"/>
    </w:rPr>
  </w:style>
  <w:style w:type="numbering" w:customStyle="1" w:styleId="NoList1">
    <w:name w:val="No List1"/>
    <w:next w:val="NoList"/>
    <w:uiPriority w:val="99"/>
    <w:semiHidden/>
    <w:unhideWhenUsed/>
    <w:rsid w:val="0040692E"/>
  </w:style>
  <w:style w:type="table" w:customStyle="1" w:styleId="TableGrid10">
    <w:name w:val="Table Grid1"/>
    <w:basedOn w:val="TableNormal"/>
    <w:next w:val="TableGrid"/>
    <w:uiPriority w:val="99"/>
    <w:rsid w:val="0040692E"/>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1">
    <w:name w:val="Deloitte table1"/>
    <w:basedOn w:val="TableNormal"/>
    <w:uiPriority w:val="99"/>
    <w:rsid w:val="0040692E"/>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ColorfulGrid1">
    <w:name w:val="Colorful Grid1"/>
    <w:basedOn w:val="TableNormal"/>
    <w:next w:val="ColorfulGrid"/>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customStyle="1" w:styleId="ColorfulGrid-Accent21">
    <w:name w:val="Colorful Grid - Accent 21"/>
    <w:basedOn w:val="TableNormal"/>
    <w:next w:val="ColorfulGrid-Accent2"/>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customStyle="1" w:styleId="ColorfulGrid-Accent31">
    <w:name w:val="Colorful Grid - Accent 31"/>
    <w:basedOn w:val="TableNormal"/>
    <w:next w:val="ColorfulGrid-Accent3"/>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customStyle="1" w:styleId="ColorfulGrid-Accent41">
    <w:name w:val="Colorful Grid - Accent 41"/>
    <w:basedOn w:val="TableNormal"/>
    <w:next w:val="ColorfulGrid-Accent4"/>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customStyle="1" w:styleId="ColorfulGrid-Accent51">
    <w:name w:val="Colorful Grid - Accent 51"/>
    <w:basedOn w:val="TableNormal"/>
    <w:next w:val="ColorfulGrid-Accent5"/>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customStyle="1" w:styleId="ColorfulGrid-Accent61">
    <w:name w:val="Colorful Grid - Accent 61"/>
    <w:basedOn w:val="TableNormal"/>
    <w:next w:val="ColorfulGrid-Accent6"/>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customStyle="1" w:styleId="ColorfulList1">
    <w:name w:val="Colorful List1"/>
    <w:basedOn w:val="TableNormal"/>
    <w:next w:val="ColorfulList"/>
    <w:uiPriority w:val="72"/>
    <w:rsid w:val="0040692E"/>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72"/>
    <w:rsid w:val="0040692E"/>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customStyle="1" w:styleId="ColorfulList-Accent21">
    <w:name w:val="Colorful List - Accent 21"/>
    <w:basedOn w:val="TableNormal"/>
    <w:next w:val="ColorfulList-Accent2"/>
    <w:uiPriority w:val="72"/>
    <w:rsid w:val="0040692E"/>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customStyle="1" w:styleId="ColorfulList-Accent31">
    <w:name w:val="Colorful List - Accent 31"/>
    <w:basedOn w:val="TableNormal"/>
    <w:next w:val="ColorfulList-Accent3"/>
    <w:uiPriority w:val="72"/>
    <w:rsid w:val="0040692E"/>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customStyle="1" w:styleId="ColorfulList-Accent41">
    <w:name w:val="Colorful List - Accent 41"/>
    <w:basedOn w:val="TableNormal"/>
    <w:next w:val="ColorfulList-Accent4"/>
    <w:uiPriority w:val="72"/>
    <w:rsid w:val="0040692E"/>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customStyle="1" w:styleId="ColorfulList-Accent51">
    <w:name w:val="Colorful List - Accent 51"/>
    <w:basedOn w:val="TableNormal"/>
    <w:next w:val="ColorfulList-Accent5"/>
    <w:uiPriority w:val="72"/>
    <w:rsid w:val="0040692E"/>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customStyle="1" w:styleId="ColorfulList-Accent61">
    <w:name w:val="Colorful List - Accent 61"/>
    <w:basedOn w:val="TableNormal"/>
    <w:next w:val="ColorfulList-Accent6"/>
    <w:uiPriority w:val="72"/>
    <w:rsid w:val="0040692E"/>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customStyle="1" w:styleId="ColorfulShading1">
    <w:name w:val="Colorful Shading1"/>
    <w:basedOn w:val="TableNormal"/>
    <w:next w:val="ColorfulShading"/>
    <w:uiPriority w:val="71"/>
    <w:rsid w:val="0040692E"/>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rsid w:val="0040692E"/>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rsid w:val="0040692E"/>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rsid w:val="0040692E"/>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customStyle="1" w:styleId="ColorfulShading-Accent41">
    <w:name w:val="Colorful Shading - Accent 41"/>
    <w:basedOn w:val="TableNormal"/>
    <w:next w:val="ColorfulShading-Accent4"/>
    <w:uiPriority w:val="71"/>
    <w:rsid w:val="0040692E"/>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rsid w:val="0040692E"/>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rsid w:val="0040692E"/>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rsid w:val="0040692E"/>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rsid w:val="0040692E"/>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customStyle="1" w:styleId="DarkList-Accent21">
    <w:name w:val="Dark List - Accent 21"/>
    <w:basedOn w:val="TableNormal"/>
    <w:next w:val="DarkList-Accent2"/>
    <w:uiPriority w:val="70"/>
    <w:rsid w:val="0040692E"/>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customStyle="1" w:styleId="DarkList-Accent31">
    <w:name w:val="Dark List - Accent 31"/>
    <w:basedOn w:val="TableNormal"/>
    <w:next w:val="DarkList-Accent3"/>
    <w:uiPriority w:val="70"/>
    <w:rsid w:val="0040692E"/>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customStyle="1" w:styleId="DarkList-Accent41">
    <w:name w:val="Dark List - Accent 41"/>
    <w:basedOn w:val="TableNormal"/>
    <w:next w:val="DarkList-Accent4"/>
    <w:uiPriority w:val="70"/>
    <w:rsid w:val="0040692E"/>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customStyle="1" w:styleId="DarkList-Accent51">
    <w:name w:val="Dark List - Accent 51"/>
    <w:basedOn w:val="TableNormal"/>
    <w:next w:val="DarkList-Accent5"/>
    <w:uiPriority w:val="70"/>
    <w:rsid w:val="0040692E"/>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customStyle="1" w:styleId="DarkList-Accent61">
    <w:name w:val="Dark List - Accent 61"/>
    <w:basedOn w:val="TableNormal"/>
    <w:next w:val="DarkList-Accent6"/>
    <w:uiPriority w:val="70"/>
    <w:rsid w:val="0040692E"/>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table" w:customStyle="1" w:styleId="LightGrid1">
    <w:name w:val="Light Grid1"/>
    <w:basedOn w:val="TableNormal"/>
    <w:next w:val="LightGrid"/>
    <w:uiPriority w:val="62"/>
    <w:rsid w:val="0040692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rsid w:val="0040692E"/>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customStyle="1" w:styleId="LightGrid-Accent21">
    <w:name w:val="Light Grid - Accent 21"/>
    <w:basedOn w:val="TableNormal"/>
    <w:next w:val="LightGrid-Accent2"/>
    <w:uiPriority w:val="62"/>
    <w:rsid w:val="0040692E"/>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customStyle="1" w:styleId="LightGrid-Accent31">
    <w:name w:val="Light Grid - Accent 31"/>
    <w:basedOn w:val="TableNormal"/>
    <w:next w:val="LightGrid-Accent3"/>
    <w:uiPriority w:val="62"/>
    <w:rsid w:val="0040692E"/>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customStyle="1" w:styleId="LightGrid-Accent41">
    <w:name w:val="Light Grid - Accent 41"/>
    <w:basedOn w:val="TableNormal"/>
    <w:next w:val="LightGrid-Accent4"/>
    <w:uiPriority w:val="62"/>
    <w:rsid w:val="0040692E"/>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customStyle="1" w:styleId="LightGrid-Accent51">
    <w:name w:val="Light Grid - Accent 51"/>
    <w:basedOn w:val="TableNormal"/>
    <w:next w:val="LightGrid-Accent5"/>
    <w:uiPriority w:val="62"/>
    <w:rsid w:val="0040692E"/>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customStyle="1" w:styleId="LightGrid-Accent61">
    <w:name w:val="Light Grid - Accent 61"/>
    <w:basedOn w:val="TableNormal"/>
    <w:next w:val="LightGrid-Accent6"/>
    <w:uiPriority w:val="62"/>
    <w:rsid w:val="0040692E"/>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customStyle="1" w:styleId="LightList1">
    <w:name w:val="Light List1"/>
    <w:basedOn w:val="TableNormal"/>
    <w:next w:val="LightList"/>
    <w:uiPriority w:val="61"/>
    <w:rsid w:val="0040692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rsid w:val="0040692E"/>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customStyle="1" w:styleId="LightList-Accent21">
    <w:name w:val="Light List - Accent 21"/>
    <w:basedOn w:val="TableNormal"/>
    <w:next w:val="LightList-Accent2"/>
    <w:uiPriority w:val="61"/>
    <w:rsid w:val="0040692E"/>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customStyle="1" w:styleId="LightList-Accent31">
    <w:name w:val="Light List - Accent 31"/>
    <w:basedOn w:val="TableNormal"/>
    <w:next w:val="LightList-Accent3"/>
    <w:uiPriority w:val="61"/>
    <w:rsid w:val="0040692E"/>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customStyle="1" w:styleId="LightList-Accent41">
    <w:name w:val="Light List - Accent 41"/>
    <w:basedOn w:val="TableNormal"/>
    <w:next w:val="LightList-Accent4"/>
    <w:uiPriority w:val="61"/>
    <w:rsid w:val="0040692E"/>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customStyle="1" w:styleId="LightList-Accent51">
    <w:name w:val="Light List - Accent 51"/>
    <w:basedOn w:val="TableNormal"/>
    <w:next w:val="LightList-Accent5"/>
    <w:uiPriority w:val="61"/>
    <w:rsid w:val="0040692E"/>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customStyle="1" w:styleId="LightList-Accent61">
    <w:name w:val="Light List - Accent 61"/>
    <w:basedOn w:val="TableNormal"/>
    <w:next w:val="LightList-Accent6"/>
    <w:uiPriority w:val="61"/>
    <w:rsid w:val="0040692E"/>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customStyle="1" w:styleId="LightShading1">
    <w:name w:val="Light Shading1"/>
    <w:basedOn w:val="TableNormal"/>
    <w:next w:val="LightShading"/>
    <w:uiPriority w:val="60"/>
    <w:rsid w:val="0040692E"/>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rsid w:val="0040692E"/>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customStyle="1" w:styleId="LightShading-Accent21">
    <w:name w:val="Light Shading - Accent 21"/>
    <w:basedOn w:val="TableNormal"/>
    <w:next w:val="LightShading-Accent2"/>
    <w:uiPriority w:val="60"/>
    <w:rsid w:val="0040692E"/>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customStyle="1" w:styleId="LightShading-Accent31">
    <w:name w:val="Light Shading - Accent 31"/>
    <w:basedOn w:val="TableNormal"/>
    <w:next w:val="LightShading-Accent3"/>
    <w:uiPriority w:val="60"/>
    <w:rsid w:val="0040692E"/>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customStyle="1" w:styleId="LightShading-Accent41">
    <w:name w:val="Light Shading - Accent 41"/>
    <w:basedOn w:val="TableNormal"/>
    <w:next w:val="LightShading-Accent4"/>
    <w:uiPriority w:val="60"/>
    <w:rsid w:val="0040692E"/>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customStyle="1" w:styleId="LightShading-Accent51">
    <w:name w:val="Light Shading - Accent 51"/>
    <w:basedOn w:val="TableNormal"/>
    <w:next w:val="LightShading-Accent5"/>
    <w:uiPriority w:val="60"/>
    <w:rsid w:val="0040692E"/>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customStyle="1" w:styleId="LightShading-Accent61">
    <w:name w:val="Light Shading - Accent 61"/>
    <w:basedOn w:val="TableNormal"/>
    <w:next w:val="LightShading-Accent6"/>
    <w:uiPriority w:val="60"/>
    <w:rsid w:val="0040692E"/>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table" w:customStyle="1" w:styleId="MediumGrid11">
    <w:name w:val="Medium Grid 11"/>
    <w:basedOn w:val="TableNormal"/>
    <w:next w:val="MediumGrid1"/>
    <w:uiPriority w:val="67"/>
    <w:rsid w:val="0040692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rsid w:val="0040692E"/>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customStyle="1" w:styleId="MediumGrid1-Accent21">
    <w:name w:val="Medium Grid 1 - Accent 21"/>
    <w:basedOn w:val="TableNormal"/>
    <w:next w:val="MediumGrid1-Accent2"/>
    <w:uiPriority w:val="67"/>
    <w:rsid w:val="0040692E"/>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customStyle="1" w:styleId="MediumGrid1-Accent31">
    <w:name w:val="Medium Grid 1 - Accent 31"/>
    <w:basedOn w:val="TableNormal"/>
    <w:next w:val="MediumGrid1-Accent3"/>
    <w:uiPriority w:val="67"/>
    <w:rsid w:val="0040692E"/>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customStyle="1" w:styleId="MediumGrid1-Accent41">
    <w:name w:val="Medium Grid 1 - Accent 41"/>
    <w:basedOn w:val="TableNormal"/>
    <w:next w:val="MediumGrid1-Accent4"/>
    <w:uiPriority w:val="67"/>
    <w:rsid w:val="0040692E"/>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customStyle="1" w:styleId="MediumGrid1-Accent51">
    <w:name w:val="Medium Grid 1 - Accent 51"/>
    <w:basedOn w:val="TableNormal"/>
    <w:next w:val="MediumGrid1-Accent5"/>
    <w:uiPriority w:val="67"/>
    <w:rsid w:val="0040692E"/>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customStyle="1" w:styleId="MediumGrid1-Accent61">
    <w:name w:val="Medium Grid 1 - Accent 61"/>
    <w:basedOn w:val="TableNormal"/>
    <w:next w:val="MediumGrid1-Accent6"/>
    <w:uiPriority w:val="67"/>
    <w:rsid w:val="0040692E"/>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customStyle="1" w:styleId="MediumGrid21">
    <w:name w:val="Medium Grid 21"/>
    <w:basedOn w:val="TableNormal"/>
    <w:next w:val="MediumGrid2"/>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customStyle="1" w:styleId="MediumGrid3-Accent21">
    <w:name w:val="Medium Grid 3 - Accent 21"/>
    <w:basedOn w:val="TableNormal"/>
    <w:next w:val="MediumGrid3-Accent2"/>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customStyle="1" w:styleId="MediumGrid3-Accent31">
    <w:name w:val="Medium Grid 3 - Accent 31"/>
    <w:basedOn w:val="TableNormal"/>
    <w:next w:val="MediumGrid3-Accent3"/>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customStyle="1" w:styleId="MediumGrid3-Accent41">
    <w:name w:val="Medium Grid 3 - Accent 41"/>
    <w:basedOn w:val="TableNormal"/>
    <w:next w:val="MediumGrid3-Accent4"/>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customStyle="1" w:styleId="MediumGrid3-Accent51">
    <w:name w:val="Medium Grid 3 - Accent 51"/>
    <w:basedOn w:val="TableNormal"/>
    <w:next w:val="MediumGrid3-Accent5"/>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customStyle="1" w:styleId="MediumGrid3-Accent61">
    <w:name w:val="Medium Grid 3 - Accent 61"/>
    <w:basedOn w:val="TableNormal"/>
    <w:next w:val="MediumGrid3-Accent6"/>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customStyle="1" w:styleId="MediumList11">
    <w:name w:val="Medium List 11"/>
    <w:basedOn w:val="TableNormal"/>
    <w:next w:val="MediumList1"/>
    <w:uiPriority w:val="65"/>
    <w:rsid w:val="0040692E"/>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rsid w:val="0040692E"/>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customStyle="1" w:styleId="MediumList1-Accent21">
    <w:name w:val="Medium List 1 - Accent 21"/>
    <w:basedOn w:val="TableNormal"/>
    <w:next w:val="MediumList1-Accent2"/>
    <w:uiPriority w:val="65"/>
    <w:rsid w:val="0040692E"/>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customStyle="1" w:styleId="MediumList1-Accent31">
    <w:name w:val="Medium List 1 - Accent 31"/>
    <w:basedOn w:val="TableNormal"/>
    <w:next w:val="MediumList1-Accent3"/>
    <w:uiPriority w:val="65"/>
    <w:rsid w:val="0040692E"/>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customStyle="1" w:styleId="MediumList1-Accent41">
    <w:name w:val="Medium List 1 - Accent 41"/>
    <w:basedOn w:val="TableNormal"/>
    <w:next w:val="MediumList1-Accent4"/>
    <w:uiPriority w:val="65"/>
    <w:rsid w:val="0040692E"/>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customStyle="1" w:styleId="MediumList1-Accent51">
    <w:name w:val="Medium List 1 - Accent 51"/>
    <w:basedOn w:val="TableNormal"/>
    <w:next w:val="MediumList1-Accent5"/>
    <w:uiPriority w:val="65"/>
    <w:rsid w:val="0040692E"/>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customStyle="1" w:styleId="MediumList1-Accent61">
    <w:name w:val="Medium List 1 - Accent 61"/>
    <w:basedOn w:val="TableNormal"/>
    <w:next w:val="MediumList1-Accent6"/>
    <w:uiPriority w:val="65"/>
    <w:rsid w:val="0040692E"/>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customStyle="1" w:styleId="MediumList21">
    <w:name w:val="Medium List 21"/>
    <w:basedOn w:val="TableNormal"/>
    <w:next w:val="MediumList2"/>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40692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40692E"/>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40692E"/>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40692E"/>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40692E"/>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40692E"/>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40692E"/>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40692E"/>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40692E"/>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40692E"/>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40692E"/>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40692E"/>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40692E"/>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40692E"/>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40692E"/>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40692E"/>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40692E"/>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40692E"/>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40692E"/>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40692E"/>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40692E"/>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40692E"/>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40692E"/>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40692E"/>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40692E"/>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40692E"/>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40692E"/>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40692E"/>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40692E"/>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40692E"/>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40692E"/>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40692E"/>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40692E"/>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40692E"/>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40692E"/>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40692E"/>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40692E"/>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40692E"/>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40692E"/>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40692E"/>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40692E"/>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40692E"/>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40692E"/>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40692E"/>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40692E"/>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40692E"/>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40692E"/>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40692E"/>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40692E"/>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40692E"/>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eloitteBandedrows1">
    <w:name w:val="Deloitte Banded rows1"/>
    <w:basedOn w:val="TableNormal"/>
    <w:uiPriority w:val="99"/>
    <w:rsid w:val="0040692E"/>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table" w:customStyle="1" w:styleId="GridTable1Light1">
    <w:name w:val="Grid Table 1 Light1"/>
    <w:basedOn w:val="TableNormal"/>
    <w:next w:val="GridTable1Light"/>
    <w:uiPriority w:val="46"/>
    <w:rsid w:val="0040692E"/>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40692E"/>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40692E"/>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40692E"/>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40692E"/>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40692E"/>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40692E"/>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40692E"/>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next w:val="GridTable2-Accent1"/>
    <w:uiPriority w:val="47"/>
    <w:rsid w:val="0040692E"/>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2-Accent21">
    <w:name w:val="Grid Table 2 - Accent 21"/>
    <w:basedOn w:val="TableNormal"/>
    <w:next w:val="GridTable2-Accent2"/>
    <w:uiPriority w:val="47"/>
    <w:rsid w:val="0040692E"/>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2-Accent31">
    <w:name w:val="Grid Table 2 - Accent 31"/>
    <w:basedOn w:val="TableNormal"/>
    <w:next w:val="GridTable2-Accent3"/>
    <w:uiPriority w:val="47"/>
    <w:rsid w:val="0040692E"/>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2-Accent41">
    <w:name w:val="Grid Table 2 - Accent 41"/>
    <w:basedOn w:val="TableNormal"/>
    <w:next w:val="GridTable2-Accent4"/>
    <w:uiPriority w:val="47"/>
    <w:rsid w:val="0040692E"/>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2-Accent51">
    <w:name w:val="Grid Table 2 - Accent 51"/>
    <w:basedOn w:val="TableNormal"/>
    <w:next w:val="GridTable2-Accent5"/>
    <w:uiPriority w:val="47"/>
    <w:rsid w:val="0040692E"/>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2-Accent61">
    <w:name w:val="Grid Table 2 - Accent 61"/>
    <w:basedOn w:val="TableNormal"/>
    <w:next w:val="GridTable2-Accent6"/>
    <w:uiPriority w:val="47"/>
    <w:rsid w:val="0040692E"/>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31">
    <w:name w:val="Grid Table 31"/>
    <w:basedOn w:val="TableNormal"/>
    <w:next w:val="GridTable3"/>
    <w:uiPriority w:val="48"/>
    <w:rsid w:val="0040692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next w:val="GridTable3-Accent1"/>
    <w:uiPriority w:val="48"/>
    <w:rsid w:val="0040692E"/>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3-Accent21">
    <w:name w:val="Grid Table 3 - Accent 21"/>
    <w:basedOn w:val="TableNormal"/>
    <w:next w:val="GridTable3-Accent2"/>
    <w:uiPriority w:val="48"/>
    <w:rsid w:val="0040692E"/>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3-Accent31">
    <w:name w:val="Grid Table 3 - Accent 31"/>
    <w:basedOn w:val="TableNormal"/>
    <w:next w:val="GridTable3-Accent3"/>
    <w:uiPriority w:val="48"/>
    <w:rsid w:val="0040692E"/>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3-Accent41">
    <w:name w:val="Grid Table 3 - Accent 41"/>
    <w:basedOn w:val="TableNormal"/>
    <w:next w:val="GridTable3-Accent4"/>
    <w:uiPriority w:val="48"/>
    <w:rsid w:val="0040692E"/>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3-Accent51">
    <w:name w:val="Grid Table 3 - Accent 51"/>
    <w:basedOn w:val="TableNormal"/>
    <w:next w:val="GridTable3-Accent5"/>
    <w:uiPriority w:val="48"/>
    <w:rsid w:val="0040692E"/>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3-Accent61">
    <w:name w:val="Grid Table 3 - Accent 61"/>
    <w:basedOn w:val="TableNormal"/>
    <w:next w:val="GridTable3-Accent6"/>
    <w:uiPriority w:val="48"/>
    <w:rsid w:val="0040692E"/>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GridTable41">
    <w:name w:val="Grid Table 41"/>
    <w:basedOn w:val="TableNormal"/>
    <w:next w:val="GridTable4"/>
    <w:uiPriority w:val="49"/>
    <w:rsid w:val="0040692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next w:val="GridTable4-Accent1"/>
    <w:uiPriority w:val="49"/>
    <w:rsid w:val="0040692E"/>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4-Accent21">
    <w:name w:val="Grid Table 4 - Accent 21"/>
    <w:basedOn w:val="TableNormal"/>
    <w:next w:val="GridTable4-Accent2"/>
    <w:uiPriority w:val="49"/>
    <w:rsid w:val="0040692E"/>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4-Accent31">
    <w:name w:val="Grid Table 4 - Accent 31"/>
    <w:basedOn w:val="TableNormal"/>
    <w:next w:val="GridTable4-Accent3"/>
    <w:uiPriority w:val="49"/>
    <w:rsid w:val="0040692E"/>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4-Accent41">
    <w:name w:val="Grid Table 4 - Accent 41"/>
    <w:basedOn w:val="TableNormal"/>
    <w:next w:val="GridTable4-Accent4"/>
    <w:uiPriority w:val="49"/>
    <w:rsid w:val="0040692E"/>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4-Accent51">
    <w:name w:val="Grid Table 4 - Accent 51"/>
    <w:basedOn w:val="TableNormal"/>
    <w:next w:val="GridTable4-Accent5"/>
    <w:uiPriority w:val="49"/>
    <w:rsid w:val="0040692E"/>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4-Accent61">
    <w:name w:val="Grid Table 4 - Accent 61"/>
    <w:basedOn w:val="TableNormal"/>
    <w:next w:val="GridTable4-Accent6"/>
    <w:uiPriority w:val="49"/>
    <w:rsid w:val="0040692E"/>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5Dark1">
    <w:name w:val="Grid Table 5 Dark1"/>
    <w:basedOn w:val="TableNormal"/>
    <w:next w:val="GridTable5Dark"/>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next w:val="GridTable5Dark-Accent1"/>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customStyle="1" w:styleId="GridTable5Dark-Accent21">
    <w:name w:val="Grid Table 5 Dark - Accent 21"/>
    <w:basedOn w:val="TableNormal"/>
    <w:next w:val="GridTable5Dark-Accent2"/>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customStyle="1" w:styleId="GridTable5Dark-Accent31">
    <w:name w:val="Grid Table 5 Dark - Accent 31"/>
    <w:basedOn w:val="TableNormal"/>
    <w:next w:val="GridTable5Dark-Accent3"/>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customStyle="1" w:styleId="GridTable5Dark-Accent41">
    <w:name w:val="Grid Table 5 Dark - Accent 41"/>
    <w:basedOn w:val="TableNormal"/>
    <w:next w:val="GridTable5Dark-Accent4"/>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customStyle="1" w:styleId="GridTable5Dark-Accent51">
    <w:name w:val="Grid Table 5 Dark - Accent 51"/>
    <w:basedOn w:val="TableNormal"/>
    <w:next w:val="GridTable5Dark-Accent5"/>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customStyle="1" w:styleId="GridTable5Dark-Accent61">
    <w:name w:val="Grid Table 5 Dark - Accent 61"/>
    <w:basedOn w:val="TableNormal"/>
    <w:next w:val="GridTable5Dark-Accent6"/>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customStyle="1" w:styleId="GridTable6Colorful1">
    <w:name w:val="Grid Table 6 Colorful1"/>
    <w:basedOn w:val="TableNormal"/>
    <w:next w:val="GridTable6Colorful"/>
    <w:uiPriority w:val="51"/>
    <w:rsid w:val="0040692E"/>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next w:val="GridTable6Colorful-Accent1"/>
    <w:uiPriority w:val="51"/>
    <w:rsid w:val="0040692E"/>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6Colorful-Accent21">
    <w:name w:val="Grid Table 6 Colorful - Accent 21"/>
    <w:basedOn w:val="TableNormal"/>
    <w:next w:val="GridTable6Colorful-Accent2"/>
    <w:uiPriority w:val="51"/>
    <w:rsid w:val="0040692E"/>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6Colorful-Accent31">
    <w:name w:val="Grid Table 6 Colorful - Accent 31"/>
    <w:basedOn w:val="TableNormal"/>
    <w:next w:val="GridTable6Colorful-Accent3"/>
    <w:uiPriority w:val="51"/>
    <w:rsid w:val="0040692E"/>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6Colorful-Accent41">
    <w:name w:val="Grid Table 6 Colorful - Accent 41"/>
    <w:basedOn w:val="TableNormal"/>
    <w:next w:val="GridTable6Colorful-Accent4"/>
    <w:uiPriority w:val="51"/>
    <w:rsid w:val="0040692E"/>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6Colorful-Accent51">
    <w:name w:val="Grid Table 6 Colorful - Accent 51"/>
    <w:basedOn w:val="TableNormal"/>
    <w:next w:val="GridTable6Colorful-Accent5"/>
    <w:uiPriority w:val="51"/>
    <w:rsid w:val="0040692E"/>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6Colorful-Accent61">
    <w:name w:val="Grid Table 6 Colorful - Accent 61"/>
    <w:basedOn w:val="TableNormal"/>
    <w:next w:val="GridTable6Colorful-Accent6"/>
    <w:uiPriority w:val="51"/>
    <w:rsid w:val="0040692E"/>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7Colorful1">
    <w:name w:val="Grid Table 7 Colorful1"/>
    <w:basedOn w:val="TableNormal"/>
    <w:next w:val="GridTable7Colorful"/>
    <w:uiPriority w:val="52"/>
    <w:rsid w:val="0040692E"/>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next w:val="GridTable7Colorful-Accent1"/>
    <w:uiPriority w:val="52"/>
    <w:rsid w:val="0040692E"/>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7Colorful-Accent21">
    <w:name w:val="Grid Table 7 Colorful - Accent 21"/>
    <w:basedOn w:val="TableNormal"/>
    <w:next w:val="GridTable7Colorful-Accent2"/>
    <w:uiPriority w:val="52"/>
    <w:rsid w:val="0040692E"/>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7Colorful-Accent31">
    <w:name w:val="Grid Table 7 Colorful - Accent 31"/>
    <w:basedOn w:val="TableNormal"/>
    <w:next w:val="GridTable7Colorful-Accent3"/>
    <w:uiPriority w:val="52"/>
    <w:rsid w:val="0040692E"/>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7Colorful-Accent41">
    <w:name w:val="Grid Table 7 Colorful - Accent 41"/>
    <w:basedOn w:val="TableNormal"/>
    <w:next w:val="GridTable7Colorful-Accent4"/>
    <w:uiPriority w:val="52"/>
    <w:rsid w:val="0040692E"/>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7Colorful-Accent51">
    <w:name w:val="Grid Table 7 Colorful - Accent 51"/>
    <w:basedOn w:val="TableNormal"/>
    <w:next w:val="GridTable7Colorful-Accent5"/>
    <w:uiPriority w:val="52"/>
    <w:rsid w:val="0040692E"/>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7Colorful-Accent61">
    <w:name w:val="Grid Table 7 Colorful - Accent 61"/>
    <w:basedOn w:val="TableNormal"/>
    <w:next w:val="GridTable7Colorful-Accent6"/>
    <w:uiPriority w:val="52"/>
    <w:rsid w:val="0040692E"/>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ListTable1Light1">
    <w:name w:val="List Table 1 Light1"/>
    <w:basedOn w:val="TableNormal"/>
    <w:next w:val="ListTable1Light"/>
    <w:uiPriority w:val="46"/>
    <w:rsid w:val="0040692E"/>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next w:val="ListTable1Light-Accent1"/>
    <w:uiPriority w:val="46"/>
    <w:rsid w:val="0040692E"/>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1Light-Accent21">
    <w:name w:val="List Table 1 Light - Accent 21"/>
    <w:basedOn w:val="TableNormal"/>
    <w:next w:val="ListTable1Light-Accent2"/>
    <w:uiPriority w:val="46"/>
    <w:rsid w:val="0040692E"/>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1Light-Accent31">
    <w:name w:val="List Table 1 Light - Accent 31"/>
    <w:basedOn w:val="TableNormal"/>
    <w:next w:val="ListTable1Light-Accent3"/>
    <w:uiPriority w:val="46"/>
    <w:rsid w:val="0040692E"/>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1Light-Accent41">
    <w:name w:val="List Table 1 Light - Accent 41"/>
    <w:basedOn w:val="TableNormal"/>
    <w:next w:val="ListTable1Light-Accent4"/>
    <w:uiPriority w:val="46"/>
    <w:rsid w:val="0040692E"/>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1Light-Accent51">
    <w:name w:val="List Table 1 Light - Accent 51"/>
    <w:basedOn w:val="TableNormal"/>
    <w:next w:val="ListTable1Light-Accent5"/>
    <w:uiPriority w:val="46"/>
    <w:rsid w:val="0040692E"/>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1Light-Accent61">
    <w:name w:val="List Table 1 Light - Accent 61"/>
    <w:basedOn w:val="TableNormal"/>
    <w:next w:val="ListTable1Light-Accent6"/>
    <w:uiPriority w:val="46"/>
    <w:rsid w:val="0040692E"/>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21">
    <w:name w:val="List Table 21"/>
    <w:basedOn w:val="TableNormal"/>
    <w:next w:val="ListTable2"/>
    <w:uiPriority w:val="47"/>
    <w:rsid w:val="0040692E"/>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next w:val="ListTable2-Accent1"/>
    <w:uiPriority w:val="47"/>
    <w:rsid w:val="0040692E"/>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2-Accent21">
    <w:name w:val="List Table 2 - Accent 21"/>
    <w:basedOn w:val="TableNormal"/>
    <w:next w:val="ListTable2-Accent2"/>
    <w:uiPriority w:val="47"/>
    <w:rsid w:val="0040692E"/>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2-Accent31">
    <w:name w:val="List Table 2 - Accent 31"/>
    <w:basedOn w:val="TableNormal"/>
    <w:next w:val="ListTable2-Accent3"/>
    <w:uiPriority w:val="47"/>
    <w:rsid w:val="0040692E"/>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2-Accent41">
    <w:name w:val="List Table 2 - Accent 41"/>
    <w:basedOn w:val="TableNormal"/>
    <w:next w:val="ListTable2-Accent4"/>
    <w:uiPriority w:val="47"/>
    <w:rsid w:val="0040692E"/>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2-Accent51">
    <w:name w:val="List Table 2 - Accent 51"/>
    <w:basedOn w:val="TableNormal"/>
    <w:next w:val="ListTable2-Accent5"/>
    <w:uiPriority w:val="47"/>
    <w:rsid w:val="0040692E"/>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2-Accent61">
    <w:name w:val="List Table 2 - Accent 61"/>
    <w:basedOn w:val="TableNormal"/>
    <w:next w:val="ListTable2-Accent6"/>
    <w:uiPriority w:val="47"/>
    <w:rsid w:val="0040692E"/>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31">
    <w:name w:val="List Table 31"/>
    <w:basedOn w:val="TableNormal"/>
    <w:next w:val="ListTable3"/>
    <w:uiPriority w:val="48"/>
    <w:rsid w:val="0040692E"/>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next w:val="ListTable3-Accent1"/>
    <w:uiPriority w:val="48"/>
    <w:rsid w:val="0040692E"/>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customStyle="1" w:styleId="ListTable3-Accent21">
    <w:name w:val="List Table 3 - Accent 21"/>
    <w:basedOn w:val="TableNormal"/>
    <w:next w:val="ListTable3-Accent2"/>
    <w:uiPriority w:val="48"/>
    <w:rsid w:val="0040692E"/>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customStyle="1" w:styleId="ListTable3-Accent31">
    <w:name w:val="List Table 3 - Accent 31"/>
    <w:basedOn w:val="TableNormal"/>
    <w:next w:val="ListTable3-Accent3"/>
    <w:uiPriority w:val="48"/>
    <w:rsid w:val="0040692E"/>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customStyle="1" w:styleId="ListTable3-Accent41">
    <w:name w:val="List Table 3 - Accent 41"/>
    <w:basedOn w:val="TableNormal"/>
    <w:next w:val="ListTable3-Accent4"/>
    <w:uiPriority w:val="48"/>
    <w:rsid w:val="0040692E"/>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customStyle="1" w:styleId="ListTable3-Accent51">
    <w:name w:val="List Table 3 - Accent 51"/>
    <w:basedOn w:val="TableNormal"/>
    <w:next w:val="ListTable3-Accent5"/>
    <w:uiPriority w:val="48"/>
    <w:rsid w:val="0040692E"/>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customStyle="1" w:styleId="ListTable3-Accent62">
    <w:name w:val="List Table 3 - Accent 62"/>
    <w:basedOn w:val="TableNormal"/>
    <w:next w:val="ListTable3-Accent6"/>
    <w:uiPriority w:val="48"/>
    <w:rsid w:val="0040692E"/>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customStyle="1" w:styleId="ListTable41">
    <w:name w:val="List Table 41"/>
    <w:basedOn w:val="TableNormal"/>
    <w:next w:val="ListTable4"/>
    <w:uiPriority w:val="49"/>
    <w:rsid w:val="0040692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next w:val="ListTable4-Accent1"/>
    <w:uiPriority w:val="49"/>
    <w:rsid w:val="0040692E"/>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4-Accent21">
    <w:name w:val="List Table 4 - Accent 21"/>
    <w:basedOn w:val="TableNormal"/>
    <w:next w:val="ListTable4-Accent2"/>
    <w:uiPriority w:val="49"/>
    <w:rsid w:val="0040692E"/>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4-Accent31">
    <w:name w:val="List Table 4 - Accent 31"/>
    <w:basedOn w:val="TableNormal"/>
    <w:next w:val="ListTable4-Accent3"/>
    <w:uiPriority w:val="49"/>
    <w:rsid w:val="0040692E"/>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4-Accent41">
    <w:name w:val="List Table 4 - Accent 41"/>
    <w:basedOn w:val="TableNormal"/>
    <w:next w:val="ListTable4-Accent4"/>
    <w:uiPriority w:val="49"/>
    <w:rsid w:val="0040692E"/>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4-Accent51">
    <w:name w:val="List Table 4 - Accent 51"/>
    <w:basedOn w:val="TableNormal"/>
    <w:next w:val="ListTable4-Accent5"/>
    <w:uiPriority w:val="49"/>
    <w:rsid w:val="0040692E"/>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4-Accent61">
    <w:name w:val="List Table 4 - Accent 61"/>
    <w:basedOn w:val="TableNormal"/>
    <w:next w:val="ListTable4-Accent6"/>
    <w:uiPriority w:val="49"/>
    <w:rsid w:val="0040692E"/>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5Dark1">
    <w:name w:val="List Table 5 Dark1"/>
    <w:basedOn w:val="TableNormal"/>
    <w:next w:val="ListTable5Dark"/>
    <w:uiPriority w:val="50"/>
    <w:rsid w:val="0040692E"/>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40692E"/>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40692E"/>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40692E"/>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40692E"/>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40692E"/>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40692E"/>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rful"/>
    <w:uiPriority w:val="51"/>
    <w:rsid w:val="0040692E"/>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next w:val="ListTable6Colorful-Accent1"/>
    <w:uiPriority w:val="51"/>
    <w:rsid w:val="0040692E"/>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6Colorful-Accent21">
    <w:name w:val="List Table 6 Colorful - Accent 21"/>
    <w:basedOn w:val="TableNormal"/>
    <w:next w:val="ListTable6Colorful-Accent2"/>
    <w:uiPriority w:val="51"/>
    <w:rsid w:val="0040692E"/>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6Colorful-Accent31">
    <w:name w:val="List Table 6 Colorful - Accent 31"/>
    <w:basedOn w:val="TableNormal"/>
    <w:next w:val="ListTable6Colorful-Accent3"/>
    <w:uiPriority w:val="51"/>
    <w:rsid w:val="0040692E"/>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6Colorful-Accent41">
    <w:name w:val="List Table 6 Colorful - Accent 41"/>
    <w:basedOn w:val="TableNormal"/>
    <w:next w:val="ListTable6Colorful-Accent4"/>
    <w:uiPriority w:val="51"/>
    <w:rsid w:val="0040692E"/>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6Colorful-Accent51">
    <w:name w:val="List Table 6 Colorful - Accent 51"/>
    <w:basedOn w:val="TableNormal"/>
    <w:next w:val="ListTable6Colorful-Accent5"/>
    <w:uiPriority w:val="51"/>
    <w:rsid w:val="0040692E"/>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6Colorful-Accent61">
    <w:name w:val="List Table 6 Colorful - Accent 61"/>
    <w:basedOn w:val="TableNormal"/>
    <w:next w:val="ListTable6Colorful-Accent6"/>
    <w:uiPriority w:val="51"/>
    <w:rsid w:val="0040692E"/>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7Colorful1">
    <w:name w:val="List Table 7 Colorful1"/>
    <w:basedOn w:val="TableNormal"/>
    <w:next w:val="ListTable7Colorful"/>
    <w:uiPriority w:val="52"/>
    <w:rsid w:val="0040692E"/>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40692E"/>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40692E"/>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40692E"/>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40692E"/>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40692E"/>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40692E"/>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next w:val="PlainTable1"/>
    <w:uiPriority w:val="41"/>
    <w:rsid w:val="0040692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next w:val="PlainTable2"/>
    <w:uiPriority w:val="42"/>
    <w:rsid w:val="0040692E"/>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next w:val="PlainTable3"/>
    <w:uiPriority w:val="43"/>
    <w:rsid w:val="0040692E"/>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40692E"/>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next w:val="PlainTable5"/>
    <w:uiPriority w:val="45"/>
    <w:rsid w:val="0040692E"/>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next w:val="TableGridLight"/>
    <w:uiPriority w:val="40"/>
    <w:rsid w:val="0040692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1">
    <w:name w:val="Tabel - Gitter11"/>
    <w:basedOn w:val="TableNormal"/>
    <w:next w:val="TableGrid"/>
    <w:uiPriority w:val="59"/>
    <w:rsid w:val="0040692E"/>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ListTable3-Accent611">
    <w:name w:val="List Table 3 - Accent 611"/>
    <w:basedOn w:val="TableNormal"/>
    <w:next w:val="ListTable3-Accent6"/>
    <w:uiPriority w:val="48"/>
    <w:rsid w:val="0040692E"/>
    <w:pPr>
      <w:spacing w:line="240" w:lineRule="auto"/>
    </w:pPr>
    <w:rPr>
      <w:rFonts w:ascii="Calibri" w:hAnsi="Calibri"/>
      <w:sz w:val="22"/>
      <w:szCs w:val="22"/>
      <w:lang w:val="en-AU"/>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UnresolvedMention6">
    <w:name w:val="Unresolved Mention6"/>
    <w:basedOn w:val="DefaultParagraphFont"/>
    <w:uiPriority w:val="99"/>
    <w:unhideWhenUsed/>
    <w:rsid w:val="0040692E"/>
    <w:rPr>
      <w:color w:val="605E5C"/>
      <w:shd w:val="clear" w:color="auto" w:fill="E1DFDD"/>
    </w:rPr>
  </w:style>
  <w:style w:type="character" w:customStyle="1" w:styleId="Mention3">
    <w:name w:val="Mention3"/>
    <w:basedOn w:val="DefaultParagraphFont"/>
    <w:uiPriority w:val="99"/>
    <w:unhideWhenUsed/>
    <w:rsid w:val="007E5826"/>
    <w:rPr>
      <w:color w:val="2B579A"/>
      <w:shd w:val="clear" w:color="auto" w:fill="E1DFDD"/>
    </w:rPr>
  </w:style>
  <w:style w:type="numbering" w:customStyle="1" w:styleId="NoList2">
    <w:name w:val="No List2"/>
    <w:next w:val="NoList"/>
    <w:uiPriority w:val="99"/>
    <w:semiHidden/>
    <w:unhideWhenUsed/>
    <w:rsid w:val="00A07D54"/>
  </w:style>
  <w:style w:type="paragraph" w:customStyle="1" w:styleId="Heading21">
    <w:name w:val="Heading 21"/>
    <w:basedOn w:val="Normal"/>
    <w:next w:val="Normal"/>
    <w:uiPriority w:val="1"/>
    <w:qFormat/>
    <w:rsid w:val="00A07D54"/>
    <w:pPr>
      <w:keepNext/>
      <w:keepLines/>
      <w:spacing w:before="240" w:after="0" w:line="280" w:lineRule="atLeast"/>
      <w:ind w:left="794" w:hanging="794"/>
      <w:outlineLvl w:val="1"/>
    </w:pPr>
    <w:rPr>
      <w:rFonts w:eastAsia="MingLiU" w:cs="Times New Roman"/>
      <w:b/>
      <w:bCs/>
      <w:color w:val="62B5E5"/>
      <w:sz w:val="22"/>
      <w:szCs w:val="26"/>
    </w:rPr>
  </w:style>
  <w:style w:type="paragraph" w:customStyle="1" w:styleId="Heading31">
    <w:name w:val="Heading 31"/>
    <w:basedOn w:val="Normal"/>
    <w:next w:val="Normal"/>
    <w:uiPriority w:val="1"/>
    <w:qFormat/>
    <w:rsid w:val="00A07D54"/>
    <w:pPr>
      <w:keepNext/>
      <w:keepLines/>
      <w:tabs>
        <w:tab w:val="num" w:pos="992"/>
      </w:tabs>
      <w:spacing w:after="0"/>
      <w:ind w:left="2013" w:hanging="2013"/>
      <w:outlineLvl w:val="2"/>
    </w:pPr>
    <w:rPr>
      <w:rFonts w:eastAsia="MingLiU" w:cs="Times New Roman"/>
      <w:b/>
      <w:bCs/>
    </w:rPr>
  </w:style>
  <w:style w:type="paragraph" w:customStyle="1" w:styleId="Heading41">
    <w:name w:val="Heading 41"/>
    <w:basedOn w:val="Normal"/>
    <w:next w:val="Normal"/>
    <w:uiPriority w:val="1"/>
    <w:qFormat/>
    <w:rsid w:val="00A07D54"/>
    <w:pPr>
      <w:keepNext/>
      <w:keepLines/>
      <w:tabs>
        <w:tab w:val="left" w:pos="340"/>
      </w:tabs>
      <w:spacing w:after="0"/>
      <w:ind w:left="1134" w:hanging="1134"/>
      <w:outlineLvl w:val="3"/>
    </w:pPr>
    <w:rPr>
      <w:rFonts w:eastAsia="MingLiU" w:cs="Times New Roman"/>
      <w:b/>
      <w:bCs/>
      <w:iCs/>
      <w:color w:val="75787B"/>
    </w:rPr>
  </w:style>
  <w:style w:type="paragraph" w:customStyle="1" w:styleId="Heading51">
    <w:name w:val="Heading 51"/>
    <w:basedOn w:val="Normal"/>
    <w:next w:val="Normal"/>
    <w:uiPriority w:val="1"/>
    <w:rsid w:val="00A07D54"/>
    <w:pPr>
      <w:keepNext/>
      <w:keepLines/>
      <w:spacing w:after="0"/>
      <w:ind w:left="1077" w:hanging="1077"/>
      <w:outlineLvl w:val="4"/>
    </w:pPr>
    <w:rPr>
      <w:rFonts w:eastAsia="MingLiU" w:cs="Times New Roman"/>
      <w:b/>
    </w:rPr>
  </w:style>
  <w:style w:type="paragraph" w:customStyle="1" w:styleId="Heading61">
    <w:name w:val="Heading 61"/>
    <w:basedOn w:val="Normal"/>
    <w:next w:val="Normal"/>
    <w:uiPriority w:val="1"/>
    <w:semiHidden/>
    <w:qFormat/>
    <w:rsid w:val="00A07D54"/>
    <w:pPr>
      <w:keepNext/>
      <w:keepLines/>
      <w:spacing w:after="0"/>
      <w:ind w:left="1247" w:hanging="1247"/>
      <w:outlineLvl w:val="5"/>
    </w:pPr>
    <w:rPr>
      <w:rFonts w:eastAsia="MingLiU" w:cs="Times New Roman"/>
      <w:b/>
      <w:iCs/>
    </w:rPr>
  </w:style>
  <w:style w:type="paragraph" w:customStyle="1" w:styleId="L1">
    <w:name w:val="L1"/>
    <w:basedOn w:val="Normal"/>
    <w:next w:val="ListParagraph"/>
    <w:uiPriority w:val="34"/>
    <w:qFormat/>
    <w:rsid w:val="00A07D54"/>
    <w:pPr>
      <w:ind w:left="720"/>
      <w:contextualSpacing/>
    </w:pPr>
  </w:style>
  <w:style w:type="character" w:customStyle="1" w:styleId="CommentTextChar1">
    <w:name w:val="Comment Text Char1"/>
    <w:basedOn w:val="DefaultParagraphFont"/>
    <w:uiPriority w:val="99"/>
    <w:rsid w:val="00A07D54"/>
    <w:rPr>
      <w:sz w:val="20"/>
      <w:szCs w:val="20"/>
    </w:rPr>
  </w:style>
  <w:style w:type="paragraph" w:customStyle="1" w:styleId="Heading12">
    <w:name w:val="Heading 12"/>
    <w:basedOn w:val="Normal"/>
    <w:next w:val="Normal"/>
    <w:uiPriority w:val="1"/>
    <w:qFormat/>
    <w:rsid w:val="00A07D54"/>
    <w:pPr>
      <w:keepNext/>
      <w:keepLines/>
      <w:pageBreakBefore/>
      <w:tabs>
        <w:tab w:val="num" w:pos="360"/>
      </w:tabs>
      <w:spacing w:after="480" w:line="720" w:lineRule="atLeast"/>
      <w:contextualSpacing/>
      <w:outlineLvl w:val="0"/>
    </w:pPr>
    <w:rPr>
      <w:rFonts w:eastAsia="MingLiU" w:cs="Times New Roman"/>
      <w:bCs/>
      <w:sz w:val="60"/>
      <w:szCs w:val="28"/>
    </w:rPr>
  </w:style>
  <w:style w:type="paragraph" w:customStyle="1" w:styleId="Heading22">
    <w:name w:val="Heading 22"/>
    <w:basedOn w:val="Normal"/>
    <w:next w:val="Normal"/>
    <w:uiPriority w:val="1"/>
    <w:qFormat/>
    <w:rsid w:val="00A07D54"/>
    <w:pPr>
      <w:keepNext/>
      <w:keepLines/>
      <w:tabs>
        <w:tab w:val="num" w:pos="360"/>
      </w:tabs>
      <w:spacing w:before="240" w:after="0" w:line="280" w:lineRule="atLeast"/>
      <w:outlineLvl w:val="1"/>
    </w:pPr>
    <w:rPr>
      <w:rFonts w:eastAsia="MingLiU" w:cs="Times New Roman"/>
      <w:b/>
      <w:bCs/>
      <w:color w:val="62B5E5"/>
      <w:sz w:val="22"/>
      <w:szCs w:val="26"/>
    </w:rPr>
  </w:style>
  <w:style w:type="paragraph" w:customStyle="1" w:styleId="Heading32">
    <w:name w:val="Heading 32"/>
    <w:basedOn w:val="Normal"/>
    <w:next w:val="Normal"/>
    <w:uiPriority w:val="1"/>
    <w:qFormat/>
    <w:rsid w:val="00A07D54"/>
    <w:pPr>
      <w:keepNext/>
      <w:keepLines/>
      <w:tabs>
        <w:tab w:val="num" w:pos="360"/>
      </w:tabs>
      <w:spacing w:after="0"/>
      <w:outlineLvl w:val="2"/>
    </w:pPr>
    <w:rPr>
      <w:rFonts w:eastAsia="MingLiU" w:cs="Times New Roman"/>
      <w:b/>
      <w:bCs/>
    </w:rPr>
  </w:style>
  <w:style w:type="paragraph" w:customStyle="1" w:styleId="Heading42">
    <w:name w:val="Heading 42"/>
    <w:basedOn w:val="Normal"/>
    <w:next w:val="Normal"/>
    <w:uiPriority w:val="1"/>
    <w:qFormat/>
    <w:rsid w:val="00A07D54"/>
    <w:pPr>
      <w:keepNext/>
      <w:keepLines/>
      <w:tabs>
        <w:tab w:val="left" w:pos="340"/>
      </w:tabs>
      <w:spacing w:after="0"/>
      <w:outlineLvl w:val="3"/>
    </w:pPr>
    <w:rPr>
      <w:rFonts w:eastAsia="MingLiU" w:cs="Times New Roman"/>
      <w:b/>
      <w:bCs/>
      <w:iCs/>
      <w:color w:val="75787B"/>
    </w:rPr>
  </w:style>
  <w:style w:type="paragraph" w:customStyle="1" w:styleId="Heading52">
    <w:name w:val="Heading 52"/>
    <w:basedOn w:val="Normal"/>
    <w:next w:val="Normal"/>
    <w:uiPriority w:val="1"/>
    <w:rsid w:val="00A07D54"/>
    <w:pPr>
      <w:keepNext/>
      <w:keepLines/>
      <w:tabs>
        <w:tab w:val="num" w:pos="360"/>
      </w:tabs>
      <w:spacing w:after="0"/>
      <w:outlineLvl w:val="4"/>
    </w:pPr>
    <w:rPr>
      <w:rFonts w:eastAsia="MingLiU" w:cs="Times New Roman"/>
      <w:b/>
    </w:rPr>
  </w:style>
  <w:style w:type="paragraph" w:customStyle="1" w:styleId="Heading62">
    <w:name w:val="Heading 62"/>
    <w:basedOn w:val="Normal"/>
    <w:next w:val="Normal"/>
    <w:uiPriority w:val="1"/>
    <w:semiHidden/>
    <w:qFormat/>
    <w:rsid w:val="00A07D54"/>
    <w:pPr>
      <w:keepNext/>
      <w:keepLines/>
      <w:tabs>
        <w:tab w:val="num" w:pos="360"/>
      </w:tabs>
      <w:spacing w:after="0"/>
      <w:outlineLvl w:val="5"/>
    </w:pPr>
    <w:rPr>
      <w:rFonts w:eastAsia="MingLiU" w:cs="Times New Roman"/>
      <w:b/>
      <w:iCs/>
    </w:rPr>
  </w:style>
  <w:style w:type="table" w:customStyle="1" w:styleId="Deloittetable2">
    <w:name w:val="Deloitte table2"/>
    <w:basedOn w:val="TableNormal"/>
    <w:uiPriority w:val="99"/>
    <w:rsid w:val="00A07D54"/>
    <w:pPr>
      <w:ind w:left="57" w:right="57"/>
    </w:pPr>
    <w:rPr>
      <w:sz w:val="17"/>
    </w:rPr>
    <w:tblPr>
      <w:tblBorders>
        <w:top w:val="single" w:sz="4" w:space="0" w:color="62B5E5"/>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62B5E5"/>
        </w:tcBorders>
      </w:tcPr>
    </w:tblStylePr>
  </w:style>
  <w:style w:type="table" w:customStyle="1" w:styleId="TableGrid20">
    <w:name w:val="Table Grid2"/>
    <w:basedOn w:val="TableNormal"/>
    <w:next w:val="TableGrid"/>
    <w:uiPriority w:val="39"/>
    <w:rsid w:val="00A07D54"/>
    <w:pPr>
      <w:spacing w:line="240" w:lineRule="auto"/>
    </w:pPr>
    <w:rPr>
      <w:rFonts w:ascii="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11">
    <w:name w:val="Deloitte table11"/>
    <w:basedOn w:val="TableNormal"/>
    <w:uiPriority w:val="99"/>
    <w:rsid w:val="00A07D54"/>
    <w:pPr>
      <w:ind w:left="57" w:right="57"/>
    </w:pPr>
    <w:rPr>
      <w:sz w:val="17"/>
    </w:rPr>
    <w:tblPr>
      <w:tblBorders>
        <w:top w:val="single" w:sz="4" w:space="0" w:color="62B5E5"/>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62B5E5"/>
        </w:tcBorders>
      </w:tcPr>
    </w:tblStylePr>
  </w:style>
  <w:style w:type="character" w:customStyle="1" w:styleId="webbibref">
    <w:name w:val="web_bibref"/>
    <w:basedOn w:val="DefaultParagraphFont"/>
    <w:rsid w:val="00A07D54"/>
  </w:style>
  <w:style w:type="character" w:customStyle="1" w:styleId="UnresolvedMention7000">
    <w:name w:val="Unresolved Mention7000"/>
    <w:basedOn w:val="DefaultParagraphFont"/>
    <w:uiPriority w:val="99"/>
    <w:unhideWhenUsed/>
    <w:rsid w:val="0018602B"/>
    <w:rPr>
      <w:color w:val="605E5C"/>
      <w:shd w:val="clear" w:color="auto" w:fill="E1DFDD"/>
    </w:rPr>
  </w:style>
  <w:style w:type="character" w:customStyle="1" w:styleId="Mention4000">
    <w:name w:val="Mention4000"/>
    <w:basedOn w:val="DefaultParagraphFont"/>
    <w:uiPriority w:val="99"/>
    <w:unhideWhenUsed/>
    <w:rsid w:val="0018602B"/>
    <w:rPr>
      <w:color w:val="2B579A"/>
      <w:shd w:val="clear" w:color="auto" w:fill="E1DFDD"/>
    </w:rPr>
  </w:style>
  <w:style w:type="character" w:customStyle="1" w:styleId="UnresolvedMention7">
    <w:name w:val="Unresolved Mention7"/>
    <w:basedOn w:val="DefaultParagraphFont"/>
    <w:uiPriority w:val="99"/>
    <w:unhideWhenUsed/>
    <w:rsid w:val="00CF634C"/>
    <w:rPr>
      <w:color w:val="605E5C"/>
      <w:shd w:val="clear" w:color="auto" w:fill="E1DFDD"/>
    </w:rPr>
  </w:style>
  <w:style w:type="character" w:customStyle="1" w:styleId="Mention4">
    <w:name w:val="Mention4"/>
    <w:basedOn w:val="DefaultParagraphFont"/>
    <w:uiPriority w:val="99"/>
    <w:unhideWhenUsed/>
    <w:rsid w:val="00CF634C"/>
    <w:rPr>
      <w:color w:val="2B579A"/>
      <w:shd w:val="clear" w:color="auto" w:fill="E1DFDD"/>
    </w:rPr>
  </w:style>
  <w:style w:type="character" w:customStyle="1" w:styleId="UnresolvedMention70">
    <w:name w:val="Unresolved Mention70"/>
    <w:basedOn w:val="DefaultParagraphFont"/>
    <w:uiPriority w:val="99"/>
    <w:unhideWhenUsed/>
    <w:rsid w:val="00FA40EF"/>
    <w:rPr>
      <w:color w:val="605E5C"/>
      <w:shd w:val="clear" w:color="auto" w:fill="E1DFDD"/>
    </w:rPr>
  </w:style>
  <w:style w:type="character" w:customStyle="1" w:styleId="Mention40">
    <w:name w:val="Mention40"/>
    <w:basedOn w:val="DefaultParagraphFont"/>
    <w:uiPriority w:val="99"/>
    <w:unhideWhenUsed/>
    <w:rsid w:val="00FA40EF"/>
    <w:rPr>
      <w:color w:val="2B579A"/>
      <w:shd w:val="clear" w:color="auto" w:fill="E1DFDD"/>
    </w:rPr>
  </w:style>
  <w:style w:type="character" w:customStyle="1" w:styleId="UnresolvedMention700">
    <w:name w:val="Unresolved Mention700"/>
    <w:basedOn w:val="DefaultParagraphFont"/>
    <w:uiPriority w:val="99"/>
    <w:unhideWhenUsed/>
    <w:rsid w:val="00FA40EF"/>
    <w:rPr>
      <w:color w:val="605E5C"/>
      <w:shd w:val="clear" w:color="auto" w:fill="E1DFDD"/>
    </w:rPr>
  </w:style>
  <w:style w:type="character" w:customStyle="1" w:styleId="Mention400">
    <w:name w:val="Mention400"/>
    <w:basedOn w:val="DefaultParagraphFont"/>
    <w:uiPriority w:val="99"/>
    <w:unhideWhenUsed/>
    <w:rsid w:val="00FA40EF"/>
    <w:rPr>
      <w:color w:val="2B579A"/>
      <w:shd w:val="clear" w:color="auto" w:fill="E1DFDD"/>
    </w:rPr>
  </w:style>
  <w:style w:type="character" w:customStyle="1" w:styleId="UnresolvedMention8">
    <w:name w:val="Unresolved Mention8"/>
    <w:basedOn w:val="DefaultParagraphFont"/>
    <w:uiPriority w:val="99"/>
    <w:unhideWhenUsed/>
    <w:rsid w:val="00857B1B"/>
    <w:rPr>
      <w:color w:val="605E5C"/>
      <w:shd w:val="clear" w:color="auto" w:fill="E1DFDD"/>
    </w:rPr>
  </w:style>
  <w:style w:type="character" w:customStyle="1" w:styleId="Mention5">
    <w:name w:val="Mention5"/>
    <w:basedOn w:val="DefaultParagraphFont"/>
    <w:uiPriority w:val="99"/>
    <w:unhideWhenUsed/>
    <w:rsid w:val="00857B1B"/>
    <w:rPr>
      <w:color w:val="2B579A"/>
      <w:shd w:val="clear" w:color="auto" w:fill="E1DFDD"/>
    </w:rPr>
  </w:style>
  <w:style w:type="character" w:customStyle="1" w:styleId="UnresolvedMention80">
    <w:name w:val="Unresolved Mention80"/>
    <w:basedOn w:val="DefaultParagraphFont"/>
    <w:uiPriority w:val="99"/>
    <w:unhideWhenUsed/>
    <w:rsid w:val="00F60221"/>
    <w:rPr>
      <w:color w:val="605E5C"/>
      <w:shd w:val="clear" w:color="auto" w:fill="E1DFDD"/>
    </w:rPr>
  </w:style>
  <w:style w:type="character" w:customStyle="1" w:styleId="Mention50">
    <w:name w:val="Mention50"/>
    <w:basedOn w:val="DefaultParagraphFont"/>
    <w:uiPriority w:val="99"/>
    <w:unhideWhenUsed/>
    <w:rsid w:val="00F60221"/>
    <w:rPr>
      <w:color w:val="2B579A"/>
      <w:shd w:val="clear" w:color="auto" w:fill="E1DFDD"/>
    </w:rPr>
  </w:style>
  <w:style w:type="character" w:customStyle="1" w:styleId="UnresolvedMention800">
    <w:name w:val="Unresolved Mention800"/>
    <w:basedOn w:val="DefaultParagraphFont"/>
    <w:uiPriority w:val="99"/>
    <w:unhideWhenUsed/>
    <w:rsid w:val="00E732BB"/>
    <w:rPr>
      <w:color w:val="605E5C"/>
      <w:shd w:val="clear" w:color="auto" w:fill="E1DFDD"/>
    </w:rPr>
  </w:style>
  <w:style w:type="character" w:customStyle="1" w:styleId="Mention500">
    <w:name w:val="Mention500"/>
    <w:basedOn w:val="DefaultParagraphFont"/>
    <w:uiPriority w:val="99"/>
    <w:unhideWhenUsed/>
    <w:rsid w:val="00E732BB"/>
    <w:rPr>
      <w:color w:val="2B579A"/>
      <w:shd w:val="clear" w:color="auto" w:fill="E1DFDD"/>
    </w:rPr>
  </w:style>
  <w:style w:type="character" w:customStyle="1" w:styleId="UnresolvedMention80000">
    <w:name w:val="Unresolved Mention80000"/>
    <w:basedOn w:val="DefaultParagraphFont"/>
    <w:uiPriority w:val="99"/>
    <w:unhideWhenUsed/>
    <w:rsid w:val="00D67E32"/>
    <w:rPr>
      <w:color w:val="605E5C"/>
      <w:shd w:val="clear" w:color="auto" w:fill="E1DFDD"/>
    </w:rPr>
  </w:style>
  <w:style w:type="character" w:customStyle="1" w:styleId="Mention50000">
    <w:name w:val="Mention50000"/>
    <w:basedOn w:val="DefaultParagraphFont"/>
    <w:uiPriority w:val="99"/>
    <w:unhideWhenUsed/>
    <w:rsid w:val="00D67E32"/>
    <w:rPr>
      <w:color w:val="2B579A"/>
      <w:shd w:val="clear" w:color="auto" w:fill="E1DFDD"/>
    </w:rPr>
  </w:style>
  <w:style w:type="character" w:customStyle="1" w:styleId="UnresolvedMention9">
    <w:name w:val="Unresolved Mention9"/>
    <w:basedOn w:val="DefaultParagraphFont"/>
    <w:uiPriority w:val="99"/>
    <w:unhideWhenUsed/>
    <w:rsid w:val="0094016E"/>
    <w:rPr>
      <w:color w:val="605E5C"/>
      <w:shd w:val="clear" w:color="auto" w:fill="E1DFDD"/>
    </w:rPr>
  </w:style>
  <w:style w:type="character" w:customStyle="1" w:styleId="Mention6">
    <w:name w:val="Mention6"/>
    <w:basedOn w:val="DefaultParagraphFont"/>
    <w:uiPriority w:val="99"/>
    <w:unhideWhenUsed/>
    <w:rsid w:val="0094016E"/>
    <w:rPr>
      <w:color w:val="2B579A"/>
      <w:shd w:val="clear" w:color="auto" w:fill="E1DFDD"/>
    </w:rPr>
  </w:style>
  <w:style w:type="character" w:customStyle="1" w:styleId="UnresolvedMention8000">
    <w:name w:val="Unresolved Mention8000"/>
    <w:basedOn w:val="DefaultParagraphFont"/>
    <w:uiPriority w:val="99"/>
    <w:unhideWhenUsed/>
    <w:rsid w:val="000237E1"/>
    <w:rPr>
      <w:color w:val="605E5C"/>
      <w:shd w:val="clear" w:color="auto" w:fill="E1DFDD"/>
    </w:rPr>
  </w:style>
  <w:style w:type="character" w:customStyle="1" w:styleId="Mention5000">
    <w:name w:val="Mention5000"/>
    <w:basedOn w:val="DefaultParagraphFont"/>
    <w:uiPriority w:val="99"/>
    <w:unhideWhenUsed/>
    <w:rsid w:val="000237E1"/>
    <w:rPr>
      <w:color w:val="2B579A"/>
      <w:shd w:val="clear" w:color="auto" w:fill="E1DFDD"/>
    </w:rPr>
  </w:style>
  <w:style w:type="character" w:customStyle="1" w:styleId="UnresolvedMention80001">
    <w:name w:val="Unresolved Mention80001"/>
    <w:basedOn w:val="DefaultParagraphFont"/>
    <w:uiPriority w:val="99"/>
    <w:unhideWhenUsed/>
    <w:rsid w:val="000237E1"/>
    <w:rPr>
      <w:color w:val="605E5C"/>
      <w:shd w:val="clear" w:color="auto" w:fill="E1DFDD"/>
    </w:rPr>
  </w:style>
  <w:style w:type="character" w:customStyle="1" w:styleId="Mention50001">
    <w:name w:val="Mention50001"/>
    <w:basedOn w:val="DefaultParagraphFont"/>
    <w:uiPriority w:val="99"/>
    <w:unhideWhenUsed/>
    <w:rsid w:val="000237E1"/>
    <w:rPr>
      <w:color w:val="2B579A"/>
      <w:shd w:val="clear" w:color="auto" w:fill="E1DFDD"/>
    </w:rPr>
  </w:style>
  <w:style w:type="character" w:customStyle="1" w:styleId="UnresolvedMention10">
    <w:name w:val="Unresolved Mention10"/>
    <w:basedOn w:val="DefaultParagraphFont"/>
    <w:uiPriority w:val="99"/>
    <w:unhideWhenUsed/>
    <w:rsid w:val="006932DD"/>
    <w:rPr>
      <w:color w:val="605E5C"/>
      <w:shd w:val="clear" w:color="auto" w:fill="E1DFDD"/>
    </w:rPr>
  </w:style>
  <w:style w:type="character" w:customStyle="1" w:styleId="Mention7">
    <w:name w:val="Mention7"/>
    <w:basedOn w:val="DefaultParagraphFont"/>
    <w:uiPriority w:val="99"/>
    <w:unhideWhenUsed/>
    <w:rsid w:val="006932DD"/>
    <w:rPr>
      <w:color w:val="2B579A"/>
      <w:shd w:val="clear" w:color="auto" w:fill="E1DFDD"/>
    </w:rPr>
  </w:style>
  <w:style w:type="character" w:customStyle="1" w:styleId="UnresolvedMention800010">
    <w:name w:val="Unresolved Mention800010"/>
    <w:basedOn w:val="DefaultParagraphFont"/>
    <w:uiPriority w:val="99"/>
    <w:unhideWhenUsed/>
    <w:rsid w:val="0012729A"/>
    <w:rPr>
      <w:color w:val="605E5C"/>
      <w:shd w:val="clear" w:color="auto" w:fill="E1DFDD"/>
    </w:rPr>
  </w:style>
  <w:style w:type="character" w:customStyle="1" w:styleId="Mention500010">
    <w:name w:val="Mention500010"/>
    <w:basedOn w:val="DefaultParagraphFont"/>
    <w:uiPriority w:val="99"/>
    <w:unhideWhenUsed/>
    <w:rsid w:val="0012729A"/>
    <w:rPr>
      <w:color w:val="2B579A"/>
      <w:shd w:val="clear" w:color="auto" w:fill="E1DFDD"/>
    </w:rPr>
  </w:style>
  <w:style w:type="character" w:customStyle="1" w:styleId="UnresolvedMention11">
    <w:name w:val="Unresolved Mention11"/>
    <w:basedOn w:val="DefaultParagraphFont"/>
    <w:uiPriority w:val="99"/>
    <w:unhideWhenUsed/>
    <w:rsid w:val="00BE0720"/>
    <w:rPr>
      <w:color w:val="605E5C"/>
      <w:shd w:val="clear" w:color="auto" w:fill="E1DFDD"/>
    </w:rPr>
  </w:style>
  <w:style w:type="character" w:customStyle="1" w:styleId="Mention8">
    <w:name w:val="Mention8"/>
    <w:basedOn w:val="DefaultParagraphFont"/>
    <w:uiPriority w:val="99"/>
    <w:unhideWhenUsed/>
    <w:rsid w:val="00BE0720"/>
    <w:rPr>
      <w:color w:val="2B579A"/>
      <w:shd w:val="clear" w:color="auto" w:fill="E1DFDD"/>
    </w:rPr>
  </w:style>
  <w:style w:type="character" w:customStyle="1" w:styleId="UnresolvedMention12">
    <w:name w:val="Unresolved Mention12"/>
    <w:basedOn w:val="DefaultParagraphFont"/>
    <w:uiPriority w:val="99"/>
    <w:unhideWhenUsed/>
    <w:rsid w:val="00D154CC"/>
    <w:rPr>
      <w:color w:val="605E5C"/>
      <w:shd w:val="clear" w:color="auto" w:fill="E1DFDD"/>
    </w:rPr>
  </w:style>
  <w:style w:type="character" w:customStyle="1" w:styleId="UnresolvedMention8000100">
    <w:name w:val="Unresolved Mention8000100"/>
    <w:basedOn w:val="DefaultParagraphFont"/>
    <w:uiPriority w:val="99"/>
    <w:unhideWhenUsed/>
    <w:rsid w:val="004F44AF"/>
    <w:rPr>
      <w:color w:val="605E5C"/>
      <w:shd w:val="clear" w:color="auto" w:fill="E1DFDD"/>
    </w:rPr>
  </w:style>
  <w:style w:type="character" w:customStyle="1" w:styleId="Mention5000100">
    <w:name w:val="Mention5000100"/>
    <w:basedOn w:val="DefaultParagraphFont"/>
    <w:uiPriority w:val="99"/>
    <w:unhideWhenUsed/>
    <w:rsid w:val="004F44AF"/>
    <w:rPr>
      <w:color w:val="2B579A"/>
      <w:shd w:val="clear" w:color="auto" w:fill="E1DFDD"/>
    </w:rPr>
  </w:style>
  <w:style w:type="character" w:customStyle="1" w:styleId="Mention9">
    <w:name w:val="Mention9"/>
    <w:basedOn w:val="DefaultParagraphFont"/>
    <w:uiPriority w:val="99"/>
    <w:unhideWhenUsed/>
    <w:rsid w:val="00D21699"/>
    <w:rPr>
      <w:color w:val="2B579A"/>
      <w:shd w:val="clear" w:color="auto" w:fill="E1DFDD"/>
    </w:rPr>
  </w:style>
  <w:style w:type="character" w:customStyle="1" w:styleId="UnresolvedMention80001000">
    <w:name w:val="Unresolved Mention80001000"/>
    <w:basedOn w:val="DefaultParagraphFont"/>
    <w:uiPriority w:val="99"/>
    <w:unhideWhenUsed/>
    <w:rsid w:val="000A3FF1"/>
    <w:rPr>
      <w:color w:val="605E5C"/>
      <w:shd w:val="clear" w:color="auto" w:fill="E1DFDD"/>
    </w:rPr>
  </w:style>
  <w:style w:type="character" w:customStyle="1" w:styleId="Mention50001000">
    <w:name w:val="Mention50001000"/>
    <w:basedOn w:val="DefaultParagraphFont"/>
    <w:uiPriority w:val="99"/>
    <w:unhideWhenUsed/>
    <w:rsid w:val="000A3FF1"/>
    <w:rPr>
      <w:color w:val="2B579A"/>
      <w:shd w:val="clear" w:color="auto" w:fill="E1DFDD"/>
    </w:rPr>
  </w:style>
  <w:style w:type="character" w:customStyle="1" w:styleId="Mention10">
    <w:name w:val="Mention10"/>
    <w:basedOn w:val="DefaultParagraphFont"/>
    <w:uiPriority w:val="99"/>
    <w:unhideWhenUsed/>
    <w:rsid w:val="00E20A0B"/>
    <w:rPr>
      <w:color w:val="2B579A"/>
      <w:shd w:val="clear" w:color="auto" w:fill="E1DFDD"/>
    </w:rPr>
  </w:style>
  <w:style w:type="character" w:customStyle="1" w:styleId="st">
    <w:name w:val="st"/>
    <w:basedOn w:val="DefaultParagraphFont"/>
    <w:uiPriority w:val="99"/>
    <w:rsid w:val="00693FCD"/>
  </w:style>
  <w:style w:type="character" w:customStyle="1" w:styleId="UnresolvedMention13">
    <w:name w:val="Unresolved Mention13"/>
    <w:basedOn w:val="DefaultParagraphFont"/>
    <w:uiPriority w:val="99"/>
    <w:unhideWhenUsed/>
    <w:rsid w:val="00036172"/>
    <w:rPr>
      <w:color w:val="605E5C"/>
      <w:shd w:val="clear" w:color="auto" w:fill="E1DFDD"/>
    </w:rPr>
  </w:style>
  <w:style w:type="character" w:customStyle="1" w:styleId="UnresolvedMention">
    <w:name w:val="Unresolved Mention"/>
    <w:basedOn w:val="DefaultParagraphFont"/>
    <w:uiPriority w:val="99"/>
    <w:unhideWhenUsed/>
    <w:rsid w:val="001F638B"/>
    <w:rPr>
      <w:color w:val="605E5C"/>
      <w:shd w:val="clear" w:color="auto" w:fill="E1DFDD"/>
    </w:rPr>
  </w:style>
  <w:style w:type="character" w:customStyle="1" w:styleId="Mention">
    <w:name w:val="Mention"/>
    <w:basedOn w:val="DefaultParagraphFont"/>
    <w:uiPriority w:val="99"/>
    <w:unhideWhenUsed/>
    <w:rsid w:val="001F638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0178">
      <w:bodyDiv w:val="1"/>
      <w:marLeft w:val="0"/>
      <w:marRight w:val="0"/>
      <w:marTop w:val="0"/>
      <w:marBottom w:val="0"/>
      <w:divBdr>
        <w:top w:val="none" w:sz="0" w:space="0" w:color="auto"/>
        <w:left w:val="none" w:sz="0" w:space="0" w:color="auto"/>
        <w:bottom w:val="none" w:sz="0" w:space="0" w:color="auto"/>
        <w:right w:val="none" w:sz="0" w:space="0" w:color="auto"/>
      </w:divBdr>
    </w:div>
    <w:div w:id="39911742">
      <w:bodyDiv w:val="1"/>
      <w:marLeft w:val="0"/>
      <w:marRight w:val="0"/>
      <w:marTop w:val="0"/>
      <w:marBottom w:val="0"/>
      <w:divBdr>
        <w:top w:val="none" w:sz="0" w:space="0" w:color="auto"/>
        <w:left w:val="none" w:sz="0" w:space="0" w:color="auto"/>
        <w:bottom w:val="none" w:sz="0" w:space="0" w:color="auto"/>
        <w:right w:val="none" w:sz="0" w:space="0" w:color="auto"/>
      </w:divBdr>
      <w:divsChild>
        <w:div w:id="1015306336">
          <w:marLeft w:val="893"/>
          <w:marRight w:val="0"/>
          <w:marTop w:val="0"/>
          <w:marBottom w:val="0"/>
          <w:divBdr>
            <w:top w:val="none" w:sz="0" w:space="0" w:color="auto"/>
            <w:left w:val="none" w:sz="0" w:space="0" w:color="auto"/>
            <w:bottom w:val="none" w:sz="0" w:space="0" w:color="auto"/>
            <w:right w:val="none" w:sz="0" w:space="0" w:color="auto"/>
          </w:divBdr>
        </w:div>
      </w:divsChild>
    </w:div>
    <w:div w:id="49421461">
      <w:bodyDiv w:val="1"/>
      <w:marLeft w:val="0"/>
      <w:marRight w:val="0"/>
      <w:marTop w:val="0"/>
      <w:marBottom w:val="0"/>
      <w:divBdr>
        <w:top w:val="none" w:sz="0" w:space="0" w:color="auto"/>
        <w:left w:val="none" w:sz="0" w:space="0" w:color="auto"/>
        <w:bottom w:val="none" w:sz="0" w:space="0" w:color="auto"/>
        <w:right w:val="none" w:sz="0" w:space="0" w:color="auto"/>
      </w:divBdr>
      <w:divsChild>
        <w:div w:id="1586843028">
          <w:marLeft w:val="274"/>
          <w:marRight w:val="0"/>
          <w:marTop w:val="0"/>
          <w:marBottom w:val="60"/>
          <w:divBdr>
            <w:top w:val="none" w:sz="0" w:space="0" w:color="auto"/>
            <w:left w:val="none" w:sz="0" w:space="0" w:color="auto"/>
            <w:bottom w:val="none" w:sz="0" w:space="0" w:color="auto"/>
            <w:right w:val="none" w:sz="0" w:space="0" w:color="auto"/>
          </w:divBdr>
        </w:div>
      </w:divsChild>
    </w:div>
    <w:div w:id="49883025">
      <w:bodyDiv w:val="1"/>
      <w:marLeft w:val="0"/>
      <w:marRight w:val="0"/>
      <w:marTop w:val="0"/>
      <w:marBottom w:val="0"/>
      <w:divBdr>
        <w:top w:val="none" w:sz="0" w:space="0" w:color="auto"/>
        <w:left w:val="none" w:sz="0" w:space="0" w:color="auto"/>
        <w:bottom w:val="none" w:sz="0" w:space="0" w:color="auto"/>
        <w:right w:val="none" w:sz="0" w:space="0" w:color="auto"/>
      </w:divBdr>
    </w:div>
    <w:div w:id="69892531">
      <w:bodyDiv w:val="1"/>
      <w:marLeft w:val="0"/>
      <w:marRight w:val="0"/>
      <w:marTop w:val="0"/>
      <w:marBottom w:val="0"/>
      <w:divBdr>
        <w:top w:val="none" w:sz="0" w:space="0" w:color="auto"/>
        <w:left w:val="none" w:sz="0" w:space="0" w:color="auto"/>
        <w:bottom w:val="none" w:sz="0" w:space="0" w:color="auto"/>
        <w:right w:val="none" w:sz="0" w:space="0" w:color="auto"/>
      </w:divBdr>
    </w:div>
    <w:div w:id="110321641">
      <w:bodyDiv w:val="1"/>
      <w:marLeft w:val="0"/>
      <w:marRight w:val="0"/>
      <w:marTop w:val="0"/>
      <w:marBottom w:val="0"/>
      <w:divBdr>
        <w:top w:val="none" w:sz="0" w:space="0" w:color="auto"/>
        <w:left w:val="none" w:sz="0" w:space="0" w:color="auto"/>
        <w:bottom w:val="none" w:sz="0" w:space="0" w:color="auto"/>
        <w:right w:val="none" w:sz="0" w:space="0" w:color="auto"/>
      </w:divBdr>
    </w:div>
    <w:div w:id="119543464">
      <w:bodyDiv w:val="1"/>
      <w:marLeft w:val="0"/>
      <w:marRight w:val="0"/>
      <w:marTop w:val="0"/>
      <w:marBottom w:val="0"/>
      <w:divBdr>
        <w:top w:val="none" w:sz="0" w:space="0" w:color="auto"/>
        <w:left w:val="none" w:sz="0" w:space="0" w:color="auto"/>
        <w:bottom w:val="none" w:sz="0" w:space="0" w:color="auto"/>
        <w:right w:val="none" w:sz="0" w:space="0" w:color="auto"/>
      </w:divBdr>
    </w:div>
    <w:div w:id="122626394">
      <w:bodyDiv w:val="1"/>
      <w:marLeft w:val="0"/>
      <w:marRight w:val="0"/>
      <w:marTop w:val="0"/>
      <w:marBottom w:val="0"/>
      <w:divBdr>
        <w:top w:val="none" w:sz="0" w:space="0" w:color="auto"/>
        <w:left w:val="none" w:sz="0" w:space="0" w:color="auto"/>
        <w:bottom w:val="none" w:sz="0" w:space="0" w:color="auto"/>
        <w:right w:val="none" w:sz="0" w:space="0" w:color="auto"/>
      </w:divBdr>
    </w:div>
    <w:div w:id="160705253">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74080099">
      <w:bodyDiv w:val="1"/>
      <w:marLeft w:val="0"/>
      <w:marRight w:val="0"/>
      <w:marTop w:val="0"/>
      <w:marBottom w:val="0"/>
      <w:divBdr>
        <w:top w:val="none" w:sz="0" w:space="0" w:color="auto"/>
        <w:left w:val="none" w:sz="0" w:space="0" w:color="auto"/>
        <w:bottom w:val="none" w:sz="0" w:space="0" w:color="auto"/>
        <w:right w:val="none" w:sz="0" w:space="0" w:color="auto"/>
      </w:divBdr>
      <w:divsChild>
        <w:div w:id="1632636779">
          <w:marLeft w:val="274"/>
          <w:marRight w:val="0"/>
          <w:marTop w:val="0"/>
          <w:marBottom w:val="0"/>
          <w:divBdr>
            <w:top w:val="none" w:sz="0" w:space="0" w:color="auto"/>
            <w:left w:val="none" w:sz="0" w:space="0" w:color="auto"/>
            <w:bottom w:val="none" w:sz="0" w:space="0" w:color="auto"/>
            <w:right w:val="none" w:sz="0" w:space="0" w:color="auto"/>
          </w:divBdr>
        </w:div>
      </w:divsChild>
    </w:div>
    <w:div w:id="180776796">
      <w:bodyDiv w:val="1"/>
      <w:marLeft w:val="0"/>
      <w:marRight w:val="0"/>
      <w:marTop w:val="0"/>
      <w:marBottom w:val="0"/>
      <w:divBdr>
        <w:top w:val="none" w:sz="0" w:space="0" w:color="auto"/>
        <w:left w:val="none" w:sz="0" w:space="0" w:color="auto"/>
        <w:bottom w:val="none" w:sz="0" w:space="0" w:color="auto"/>
        <w:right w:val="none" w:sz="0" w:space="0" w:color="auto"/>
      </w:divBdr>
      <w:divsChild>
        <w:div w:id="505903248">
          <w:marLeft w:val="274"/>
          <w:marRight w:val="0"/>
          <w:marTop w:val="40"/>
          <w:marBottom w:val="120"/>
          <w:divBdr>
            <w:top w:val="none" w:sz="0" w:space="0" w:color="auto"/>
            <w:left w:val="none" w:sz="0" w:space="0" w:color="auto"/>
            <w:bottom w:val="none" w:sz="0" w:space="0" w:color="auto"/>
            <w:right w:val="none" w:sz="0" w:space="0" w:color="auto"/>
          </w:divBdr>
        </w:div>
        <w:div w:id="608895212">
          <w:marLeft w:val="274"/>
          <w:marRight w:val="0"/>
          <w:marTop w:val="40"/>
          <w:marBottom w:val="120"/>
          <w:divBdr>
            <w:top w:val="none" w:sz="0" w:space="0" w:color="auto"/>
            <w:left w:val="none" w:sz="0" w:space="0" w:color="auto"/>
            <w:bottom w:val="none" w:sz="0" w:space="0" w:color="auto"/>
            <w:right w:val="none" w:sz="0" w:space="0" w:color="auto"/>
          </w:divBdr>
        </w:div>
        <w:div w:id="1546065378">
          <w:marLeft w:val="274"/>
          <w:marRight w:val="0"/>
          <w:marTop w:val="40"/>
          <w:marBottom w:val="120"/>
          <w:divBdr>
            <w:top w:val="none" w:sz="0" w:space="0" w:color="auto"/>
            <w:left w:val="none" w:sz="0" w:space="0" w:color="auto"/>
            <w:bottom w:val="none" w:sz="0" w:space="0" w:color="auto"/>
            <w:right w:val="none" w:sz="0" w:space="0" w:color="auto"/>
          </w:divBdr>
        </w:div>
        <w:div w:id="2087529135">
          <w:marLeft w:val="274"/>
          <w:marRight w:val="0"/>
          <w:marTop w:val="40"/>
          <w:marBottom w:val="120"/>
          <w:divBdr>
            <w:top w:val="none" w:sz="0" w:space="0" w:color="auto"/>
            <w:left w:val="none" w:sz="0" w:space="0" w:color="auto"/>
            <w:bottom w:val="none" w:sz="0" w:space="0" w:color="auto"/>
            <w:right w:val="none" w:sz="0" w:space="0" w:color="auto"/>
          </w:divBdr>
        </w:div>
      </w:divsChild>
    </w:div>
    <w:div w:id="181944235">
      <w:bodyDiv w:val="1"/>
      <w:marLeft w:val="0"/>
      <w:marRight w:val="0"/>
      <w:marTop w:val="0"/>
      <w:marBottom w:val="0"/>
      <w:divBdr>
        <w:top w:val="none" w:sz="0" w:space="0" w:color="auto"/>
        <w:left w:val="none" w:sz="0" w:space="0" w:color="auto"/>
        <w:bottom w:val="none" w:sz="0" w:space="0" w:color="auto"/>
        <w:right w:val="none" w:sz="0" w:space="0" w:color="auto"/>
      </w:divBdr>
      <w:divsChild>
        <w:div w:id="1222134910">
          <w:marLeft w:val="274"/>
          <w:marRight w:val="0"/>
          <w:marTop w:val="0"/>
          <w:marBottom w:val="170"/>
          <w:divBdr>
            <w:top w:val="none" w:sz="0" w:space="0" w:color="auto"/>
            <w:left w:val="none" w:sz="0" w:space="0" w:color="auto"/>
            <w:bottom w:val="none" w:sz="0" w:space="0" w:color="auto"/>
            <w:right w:val="none" w:sz="0" w:space="0" w:color="auto"/>
          </w:divBdr>
        </w:div>
      </w:divsChild>
    </w:div>
    <w:div w:id="212623762">
      <w:bodyDiv w:val="1"/>
      <w:marLeft w:val="0"/>
      <w:marRight w:val="0"/>
      <w:marTop w:val="0"/>
      <w:marBottom w:val="0"/>
      <w:divBdr>
        <w:top w:val="none" w:sz="0" w:space="0" w:color="auto"/>
        <w:left w:val="none" w:sz="0" w:space="0" w:color="auto"/>
        <w:bottom w:val="none" w:sz="0" w:space="0" w:color="auto"/>
        <w:right w:val="none" w:sz="0" w:space="0" w:color="auto"/>
      </w:divBdr>
    </w:div>
    <w:div w:id="241261616">
      <w:bodyDiv w:val="1"/>
      <w:marLeft w:val="0"/>
      <w:marRight w:val="0"/>
      <w:marTop w:val="0"/>
      <w:marBottom w:val="0"/>
      <w:divBdr>
        <w:top w:val="none" w:sz="0" w:space="0" w:color="auto"/>
        <w:left w:val="none" w:sz="0" w:space="0" w:color="auto"/>
        <w:bottom w:val="none" w:sz="0" w:space="0" w:color="auto"/>
        <w:right w:val="none" w:sz="0" w:space="0" w:color="auto"/>
      </w:divBdr>
    </w:div>
    <w:div w:id="242032861">
      <w:bodyDiv w:val="1"/>
      <w:marLeft w:val="0"/>
      <w:marRight w:val="0"/>
      <w:marTop w:val="0"/>
      <w:marBottom w:val="0"/>
      <w:divBdr>
        <w:top w:val="none" w:sz="0" w:space="0" w:color="auto"/>
        <w:left w:val="none" w:sz="0" w:space="0" w:color="auto"/>
        <w:bottom w:val="none" w:sz="0" w:space="0" w:color="auto"/>
        <w:right w:val="none" w:sz="0" w:space="0" w:color="auto"/>
      </w:divBdr>
    </w:div>
    <w:div w:id="246810889">
      <w:bodyDiv w:val="1"/>
      <w:marLeft w:val="0"/>
      <w:marRight w:val="0"/>
      <w:marTop w:val="0"/>
      <w:marBottom w:val="0"/>
      <w:divBdr>
        <w:top w:val="none" w:sz="0" w:space="0" w:color="auto"/>
        <w:left w:val="none" w:sz="0" w:space="0" w:color="auto"/>
        <w:bottom w:val="none" w:sz="0" w:space="0" w:color="auto"/>
        <w:right w:val="none" w:sz="0" w:space="0" w:color="auto"/>
      </w:divBdr>
    </w:div>
    <w:div w:id="263344374">
      <w:bodyDiv w:val="1"/>
      <w:marLeft w:val="0"/>
      <w:marRight w:val="0"/>
      <w:marTop w:val="0"/>
      <w:marBottom w:val="0"/>
      <w:divBdr>
        <w:top w:val="none" w:sz="0" w:space="0" w:color="auto"/>
        <w:left w:val="none" w:sz="0" w:space="0" w:color="auto"/>
        <w:bottom w:val="none" w:sz="0" w:space="0" w:color="auto"/>
        <w:right w:val="none" w:sz="0" w:space="0" w:color="auto"/>
      </w:divBdr>
    </w:div>
    <w:div w:id="269355751">
      <w:bodyDiv w:val="1"/>
      <w:marLeft w:val="0"/>
      <w:marRight w:val="0"/>
      <w:marTop w:val="0"/>
      <w:marBottom w:val="0"/>
      <w:divBdr>
        <w:top w:val="none" w:sz="0" w:space="0" w:color="auto"/>
        <w:left w:val="none" w:sz="0" w:space="0" w:color="auto"/>
        <w:bottom w:val="none" w:sz="0" w:space="0" w:color="auto"/>
        <w:right w:val="none" w:sz="0" w:space="0" w:color="auto"/>
      </w:divBdr>
    </w:div>
    <w:div w:id="281621819">
      <w:bodyDiv w:val="1"/>
      <w:marLeft w:val="0"/>
      <w:marRight w:val="0"/>
      <w:marTop w:val="0"/>
      <w:marBottom w:val="0"/>
      <w:divBdr>
        <w:top w:val="none" w:sz="0" w:space="0" w:color="auto"/>
        <w:left w:val="none" w:sz="0" w:space="0" w:color="auto"/>
        <w:bottom w:val="none" w:sz="0" w:space="0" w:color="auto"/>
        <w:right w:val="none" w:sz="0" w:space="0" w:color="auto"/>
      </w:divBdr>
    </w:div>
    <w:div w:id="287514218">
      <w:bodyDiv w:val="1"/>
      <w:marLeft w:val="0"/>
      <w:marRight w:val="0"/>
      <w:marTop w:val="0"/>
      <w:marBottom w:val="0"/>
      <w:divBdr>
        <w:top w:val="none" w:sz="0" w:space="0" w:color="auto"/>
        <w:left w:val="none" w:sz="0" w:space="0" w:color="auto"/>
        <w:bottom w:val="none" w:sz="0" w:space="0" w:color="auto"/>
        <w:right w:val="none" w:sz="0" w:space="0" w:color="auto"/>
      </w:divBdr>
    </w:div>
    <w:div w:id="297682952">
      <w:bodyDiv w:val="1"/>
      <w:marLeft w:val="0"/>
      <w:marRight w:val="0"/>
      <w:marTop w:val="0"/>
      <w:marBottom w:val="0"/>
      <w:divBdr>
        <w:top w:val="none" w:sz="0" w:space="0" w:color="auto"/>
        <w:left w:val="none" w:sz="0" w:space="0" w:color="auto"/>
        <w:bottom w:val="none" w:sz="0" w:space="0" w:color="auto"/>
        <w:right w:val="none" w:sz="0" w:space="0" w:color="auto"/>
      </w:divBdr>
    </w:div>
    <w:div w:id="301430267">
      <w:bodyDiv w:val="1"/>
      <w:marLeft w:val="0"/>
      <w:marRight w:val="0"/>
      <w:marTop w:val="0"/>
      <w:marBottom w:val="0"/>
      <w:divBdr>
        <w:top w:val="none" w:sz="0" w:space="0" w:color="auto"/>
        <w:left w:val="none" w:sz="0" w:space="0" w:color="auto"/>
        <w:bottom w:val="none" w:sz="0" w:space="0" w:color="auto"/>
        <w:right w:val="none" w:sz="0" w:space="0" w:color="auto"/>
      </w:divBdr>
    </w:div>
    <w:div w:id="305747762">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54692205">
      <w:bodyDiv w:val="1"/>
      <w:marLeft w:val="0"/>
      <w:marRight w:val="0"/>
      <w:marTop w:val="0"/>
      <w:marBottom w:val="0"/>
      <w:divBdr>
        <w:top w:val="none" w:sz="0" w:space="0" w:color="auto"/>
        <w:left w:val="none" w:sz="0" w:space="0" w:color="auto"/>
        <w:bottom w:val="none" w:sz="0" w:space="0" w:color="auto"/>
        <w:right w:val="none" w:sz="0" w:space="0" w:color="auto"/>
      </w:divBdr>
      <w:divsChild>
        <w:div w:id="602492997">
          <w:marLeft w:val="893"/>
          <w:marRight w:val="0"/>
          <w:marTop w:val="0"/>
          <w:marBottom w:val="0"/>
          <w:divBdr>
            <w:top w:val="none" w:sz="0" w:space="0" w:color="auto"/>
            <w:left w:val="none" w:sz="0" w:space="0" w:color="auto"/>
            <w:bottom w:val="none" w:sz="0" w:space="0" w:color="auto"/>
            <w:right w:val="none" w:sz="0" w:space="0" w:color="auto"/>
          </w:divBdr>
        </w:div>
      </w:divsChild>
    </w:div>
    <w:div w:id="385222811">
      <w:bodyDiv w:val="1"/>
      <w:marLeft w:val="0"/>
      <w:marRight w:val="0"/>
      <w:marTop w:val="0"/>
      <w:marBottom w:val="0"/>
      <w:divBdr>
        <w:top w:val="none" w:sz="0" w:space="0" w:color="auto"/>
        <w:left w:val="none" w:sz="0" w:space="0" w:color="auto"/>
        <w:bottom w:val="none" w:sz="0" w:space="0" w:color="auto"/>
        <w:right w:val="none" w:sz="0" w:space="0" w:color="auto"/>
      </w:divBdr>
    </w:div>
    <w:div w:id="398133392">
      <w:bodyDiv w:val="1"/>
      <w:marLeft w:val="0"/>
      <w:marRight w:val="0"/>
      <w:marTop w:val="0"/>
      <w:marBottom w:val="0"/>
      <w:divBdr>
        <w:top w:val="none" w:sz="0" w:space="0" w:color="auto"/>
        <w:left w:val="none" w:sz="0" w:space="0" w:color="auto"/>
        <w:bottom w:val="none" w:sz="0" w:space="0" w:color="auto"/>
        <w:right w:val="none" w:sz="0" w:space="0" w:color="auto"/>
      </w:divBdr>
    </w:div>
    <w:div w:id="400951356">
      <w:bodyDiv w:val="1"/>
      <w:marLeft w:val="0"/>
      <w:marRight w:val="0"/>
      <w:marTop w:val="0"/>
      <w:marBottom w:val="0"/>
      <w:divBdr>
        <w:top w:val="none" w:sz="0" w:space="0" w:color="auto"/>
        <w:left w:val="none" w:sz="0" w:space="0" w:color="auto"/>
        <w:bottom w:val="none" w:sz="0" w:space="0" w:color="auto"/>
        <w:right w:val="none" w:sz="0" w:space="0" w:color="auto"/>
      </w:divBdr>
      <w:divsChild>
        <w:div w:id="54746074">
          <w:marLeft w:val="274"/>
          <w:marRight w:val="0"/>
          <w:marTop w:val="0"/>
          <w:marBottom w:val="0"/>
          <w:divBdr>
            <w:top w:val="none" w:sz="0" w:space="0" w:color="auto"/>
            <w:left w:val="none" w:sz="0" w:space="0" w:color="auto"/>
            <w:bottom w:val="none" w:sz="0" w:space="0" w:color="auto"/>
            <w:right w:val="none" w:sz="0" w:space="0" w:color="auto"/>
          </w:divBdr>
        </w:div>
        <w:div w:id="82068001">
          <w:marLeft w:val="274"/>
          <w:marRight w:val="0"/>
          <w:marTop w:val="0"/>
          <w:marBottom w:val="0"/>
          <w:divBdr>
            <w:top w:val="none" w:sz="0" w:space="0" w:color="auto"/>
            <w:left w:val="none" w:sz="0" w:space="0" w:color="auto"/>
            <w:bottom w:val="none" w:sz="0" w:space="0" w:color="auto"/>
            <w:right w:val="none" w:sz="0" w:space="0" w:color="auto"/>
          </w:divBdr>
        </w:div>
        <w:div w:id="85855837">
          <w:marLeft w:val="274"/>
          <w:marRight w:val="0"/>
          <w:marTop w:val="0"/>
          <w:marBottom w:val="0"/>
          <w:divBdr>
            <w:top w:val="none" w:sz="0" w:space="0" w:color="auto"/>
            <w:left w:val="none" w:sz="0" w:space="0" w:color="auto"/>
            <w:bottom w:val="none" w:sz="0" w:space="0" w:color="auto"/>
            <w:right w:val="none" w:sz="0" w:space="0" w:color="auto"/>
          </w:divBdr>
        </w:div>
        <w:div w:id="256256730">
          <w:marLeft w:val="274"/>
          <w:marRight w:val="0"/>
          <w:marTop w:val="0"/>
          <w:marBottom w:val="0"/>
          <w:divBdr>
            <w:top w:val="none" w:sz="0" w:space="0" w:color="auto"/>
            <w:left w:val="none" w:sz="0" w:space="0" w:color="auto"/>
            <w:bottom w:val="none" w:sz="0" w:space="0" w:color="auto"/>
            <w:right w:val="none" w:sz="0" w:space="0" w:color="auto"/>
          </w:divBdr>
        </w:div>
        <w:div w:id="315846120">
          <w:marLeft w:val="274"/>
          <w:marRight w:val="0"/>
          <w:marTop w:val="0"/>
          <w:marBottom w:val="0"/>
          <w:divBdr>
            <w:top w:val="none" w:sz="0" w:space="0" w:color="auto"/>
            <w:left w:val="none" w:sz="0" w:space="0" w:color="auto"/>
            <w:bottom w:val="none" w:sz="0" w:space="0" w:color="auto"/>
            <w:right w:val="none" w:sz="0" w:space="0" w:color="auto"/>
          </w:divBdr>
        </w:div>
        <w:div w:id="365107476">
          <w:marLeft w:val="274"/>
          <w:marRight w:val="0"/>
          <w:marTop w:val="0"/>
          <w:marBottom w:val="0"/>
          <w:divBdr>
            <w:top w:val="none" w:sz="0" w:space="0" w:color="auto"/>
            <w:left w:val="none" w:sz="0" w:space="0" w:color="auto"/>
            <w:bottom w:val="none" w:sz="0" w:space="0" w:color="auto"/>
            <w:right w:val="none" w:sz="0" w:space="0" w:color="auto"/>
          </w:divBdr>
        </w:div>
        <w:div w:id="400838065">
          <w:marLeft w:val="274"/>
          <w:marRight w:val="0"/>
          <w:marTop w:val="0"/>
          <w:marBottom w:val="0"/>
          <w:divBdr>
            <w:top w:val="none" w:sz="0" w:space="0" w:color="auto"/>
            <w:left w:val="none" w:sz="0" w:space="0" w:color="auto"/>
            <w:bottom w:val="none" w:sz="0" w:space="0" w:color="auto"/>
            <w:right w:val="none" w:sz="0" w:space="0" w:color="auto"/>
          </w:divBdr>
        </w:div>
        <w:div w:id="418134871">
          <w:marLeft w:val="274"/>
          <w:marRight w:val="0"/>
          <w:marTop w:val="0"/>
          <w:marBottom w:val="0"/>
          <w:divBdr>
            <w:top w:val="none" w:sz="0" w:space="0" w:color="auto"/>
            <w:left w:val="none" w:sz="0" w:space="0" w:color="auto"/>
            <w:bottom w:val="none" w:sz="0" w:space="0" w:color="auto"/>
            <w:right w:val="none" w:sz="0" w:space="0" w:color="auto"/>
          </w:divBdr>
        </w:div>
        <w:div w:id="446438267">
          <w:marLeft w:val="274"/>
          <w:marRight w:val="0"/>
          <w:marTop w:val="0"/>
          <w:marBottom w:val="0"/>
          <w:divBdr>
            <w:top w:val="none" w:sz="0" w:space="0" w:color="auto"/>
            <w:left w:val="none" w:sz="0" w:space="0" w:color="auto"/>
            <w:bottom w:val="none" w:sz="0" w:space="0" w:color="auto"/>
            <w:right w:val="none" w:sz="0" w:space="0" w:color="auto"/>
          </w:divBdr>
        </w:div>
        <w:div w:id="459105896">
          <w:marLeft w:val="274"/>
          <w:marRight w:val="0"/>
          <w:marTop w:val="0"/>
          <w:marBottom w:val="0"/>
          <w:divBdr>
            <w:top w:val="none" w:sz="0" w:space="0" w:color="auto"/>
            <w:left w:val="none" w:sz="0" w:space="0" w:color="auto"/>
            <w:bottom w:val="none" w:sz="0" w:space="0" w:color="auto"/>
            <w:right w:val="none" w:sz="0" w:space="0" w:color="auto"/>
          </w:divBdr>
        </w:div>
        <w:div w:id="523055043">
          <w:marLeft w:val="274"/>
          <w:marRight w:val="0"/>
          <w:marTop w:val="0"/>
          <w:marBottom w:val="0"/>
          <w:divBdr>
            <w:top w:val="none" w:sz="0" w:space="0" w:color="auto"/>
            <w:left w:val="none" w:sz="0" w:space="0" w:color="auto"/>
            <w:bottom w:val="none" w:sz="0" w:space="0" w:color="auto"/>
            <w:right w:val="none" w:sz="0" w:space="0" w:color="auto"/>
          </w:divBdr>
        </w:div>
        <w:div w:id="537086011">
          <w:marLeft w:val="274"/>
          <w:marRight w:val="0"/>
          <w:marTop w:val="0"/>
          <w:marBottom w:val="0"/>
          <w:divBdr>
            <w:top w:val="none" w:sz="0" w:space="0" w:color="auto"/>
            <w:left w:val="none" w:sz="0" w:space="0" w:color="auto"/>
            <w:bottom w:val="none" w:sz="0" w:space="0" w:color="auto"/>
            <w:right w:val="none" w:sz="0" w:space="0" w:color="auto"/>
          </w:divBdr>
        </w:div>
        <w:div w:id="546458396">
          <w:marLeft w:val="274"/>
          <w:marRight w:val="0"/>
          <w:marTop w:val="0"/>
          <w:marBottom w:val="0"/>
          <w:divBdr>
            <w:top w:val="none" w:sz="0" w:space="0" w:color="auto"/>
            <w:left w:val="none" w:sz="0" w:space="0" w:color="auto"/>
            <w:bottom w:val="none" w:sz="0" w:space="0" w:color="auto"/>
            <w:right w:val="none" w:sz="0" w:space="0" w:color="auto"/>
          </w:divBdr>
        </w:div>
        <w:div w:id="570968734">
          <w:marLeft w:val="274"/>
          <w:marRight w:val="0"/>
          <w:marTop w:val="0"/>
          <w:marBottom w:val="0"/>
          <w:divBdr>
            <w:top w:val="none" w:sz="0" w:space="0" w:color="auto"/>
            <w:left w:val="none" w:sz="0" w:space="0" w:color="auto"/>
            <w:bottom w:val="none" w:sz="0" w:space="0" w:color="auto"/>
            <w:right w:val="none" w:sz="0" w:space="0" w:color="auto"/>
          </w:divBdr>
        </w:div>
        <w:div w:id="590045504">
          <w:marLeft w:val="274"/>
          <w:marRight w:val="0"/>
          <w:marTop w:val="0"/>
          <w:marBottom w:val="0"/>
          <w:divBdr>
            <w:top w:val="none" w:sz="0" w:space="0" w:color="auto"/>
            <w:left w:val="none" w:sz="0" w:space="0" w:color="auto"/>
            <w:bottom w:val="none" w:sz="0" w:space="0" w:color="auto"/>
            <w:right w:val="none" w:sz="0" w:space="0" w:color="auto"/>
          </w:divBdr>
        </w:div>
        <w:div w:id="599067103">
          <w:marLeft w:val="274"/>
          <w:marRight w:val="0"/>
          <w:marTop w:val="0"/>
          <w:marBottom w:val="0"/>
          <w:divBdr>
            <w:top w:val="none" w:sz="0" w:space="0" w:color="auto"/>
            <w:left w:val="none" w:sz="0" w:space="0" w:color="auto"/>
            <w:bottom w:val="none" w:sz="0" w:space="0" w:color="auto"/>
            <w:right w:val="none" w:sz="0" w:space="0" w:color="auto"/>
          </w:divBdr>
        </w:div>
        <w:div w:id="630599329">
          <w:marLeft w:val="274"/>
          <w:marRight w:val="0"/>
          <w:marTop w:val="0"/>
          <w:marBottom w:val="0"/>
          <w:divBdr>
            <w:top w:val="none" w:sz="0" w:space="0" w:color="auto"/>
            <w:left w:val="none" w:sz="0" w:space="0" w:color="auto"/>
            <w:bottom w:val="none" w:sz="0" w:space="0" w:color="auto"/>
            <w:right w:val="none" w:sz="0" w:space="0" w:color="auto"/>
          </w:divBdr>
        </w:div>
        <w:div w:id="639195054">
          <w:marLeft w:val="274"/>
          <w:marRight w:val="0"/>
          <w:marTop w:val="0"/>
          <w:marBottom w:val="0"/>
          <w:divBdr>
            <w:top w:val="none" w:sz="0" w:space="0" w:color="auto"/>
            <w:left w:val="none" w:sz="0" w:space="0" w:color="auto"/>
            <w:bottom w:val="none" w:sz="0" w:space="0" w:color="auto"/>
            <w:right w:val="none" w:sz="0" w:space="0" w:color="auto"/>
          </w:divBdr>
        </w:div>
        <w:div w:id="670373749">
          <w:marLeft w:val="274"/>
          <w:marRight w:val="0"/>
          <w:marTop w:val="0"/>
          <w:marBottom w:val="0"/>
          <w:divBdr>
            <w:top w:val="none" w:sz="0" w:space="0" w:color="auto"/>
            <w:left w:val="none" w:sz="0" w:space="0" w:color="auto"/>
            <w:bottom w:val="none" w:sz="0" w:space="0" w:color="auto"/>
            <w:right w:val="none" w:sz="0" w:space="0" w:color="auto"/>
          </w:divBdr>
        </w:div>
        <w:div w:id="677075228">
          <w:marLeft w:val="274"/>
          <w:marRight w:val="0"/>
          <w:marTop w:val="0"/>
          <w:marBottom w:val="0"/>
          <w:divBdr>
            <w:top w:val="none" w:sz="0" w:space="0" w:color="auto"/>
            <w:left w:val="none" w:sz="0" w:space="0" w:color="auto"/>
            <w:bottom w:val="none" w:sz="0" w:space="0" w:color="auto"/>
            <w:right w:val="none" w:sz="0" w:space="0" w:color="auto"/>
          </w:divBdr>
        </w:div>
        <w:div w:id="677191439">
          <w:marLeft w:val="274"/>
          <w:marRight w:val="0"/>
          <w:marTop w:val="0"/>
          <w:marBottom w:val="0"/>
          <w:divBdr>
            <w:top w:val="none" w:sz="0" w:space="0" w:color="auto"/>
            <w:left w:val="none" w:sz="0" w:space="0" w:color="auto"/>
            <w:bottom w:val="none" w:sz="0" w:space="0" w:color="auto"/>
            <w:right w:val="none" w:sz="0" w:space="0" w:color="auto"/>
          </w:divBdr>
        </w:div>
        <w:div w:id="721753040">
          <w:marLeft w:val="274"/>
          <w:marRight w:val="0"/>
          <w:marTop w:val="0"/>
          <w:marBottom w:val="0"/>
          <w:divBdr>
            <w:top w:val="none" w:sz="0" w:space="0" w:color="auto"/>
            <w:left w:val="none" w:sz="0" w:space="0" w:color="auto"/>
            <w:bottom w:val="none" w:sz="0" w:space="0" w:color="auto"/>
            <w:right w:val="none" w:sz="0" w:space="0" w:color="auto"/>
          </w:divBdr>
        </w:div>
        <w:div w:id="788742218">
          <w:marLeft w:val="274"/>
          <w:marRight w:val="0"/>
          <w:marTop w:val="0"/>
          <w:marBottom w:val="0"/>
          <w:divBdr>
            <w:top w:val="none" w:sz="0" w:space="0" w:color="auto"/>
            <w:left w:val="none" w:sz="0" w:space="0" w:color="auto"/>
            <w:bottom w:val="none" w:sz="0" w:space="0" w:color="auto"/>
            <w:right w:val="none" w:sz="0" w:space="0" w:color="auto"/>
          </w:divBdr>
        </w:div>
        <w:div w:id="819617458">
          <w:marLeft w:val="274"/>
          <w:marRight w:val="0"/>
          <w:marTop w:val="0"/>
          <w:marBottom w:val="0"/>
          <w:divBdr>
            <w:top w:val="none" w:sz="0" w:space="0" w:color="auto"/>
            <w:left w:val="none" w:sz="0" w:space="0" w:color="auto"/>
            <w:bottom w:val="none" w:sz="0" w:space="0" w:color="auto"/>
            <w:right w:val="none" w:sz="0" w:space="0" w:color="auto"/>
          </w:divBdr>
        </w:div>
        <w:div w:id="826626497">
          <w:marLeft w:val="274"/>
          <w:marRight w:val="0"/>
          <w:marTop w:val="0"/>
          <w:marBottom w:val="0"/>
          <w:divBdr>
            <w:top w:val="none" w:sz="0" w:space="0" w:color="auto"/>
            <w:left w:val="none" w:sz="0" w:space="0" w:color="auto"/>
            <w:bottom w:val="none" w:sz="0" w:space="0" w:color="auto"/>
            <w:right w:val="none" w:sz="0" w:space="0" w:color="auto"/>
          </w:divBdr>
        </w:div>
        <w:div w:id="921447980">
          <w:marLeft w:val="274"/>
          <w:marRight w:val="0"/>
          <w:marTop w:val="0"/>
          <w:marBottom w:val="0"/>
          <w:divBdr>
            <w:top w:val="none" w:sz="0" w:space="0" w:color="auto"/>
            <w:left w:val="none" w:sz="0" w:space="0" w:color="auto"/>
            <w:bottom w:val="none" w:sz="0" w:space="0" w:color="auto"/>
            <w:right w:val="none" w:sz="0" w:space="0" w:color="auto"/>
          </w:divBdr>
        </w:div>
        <w:div w:id="930283950">
          <w:marLeft w:val="274"/>
          <w:marRight w:val="0"/>
          <w:marTop w:val="0"/>
          <w:marBottom w:val="0"/>
          <w:divBdr>
            <w:top w:val="none" w:sz="0" w:space="0" w:color="auto"/>
            <w:left w:val="none" w:sz="0" w:space="0" w:color="auto"/>
            <w:bottom w:val="none" w:sz="0" w:space="0" w:color="auto"/>
            <w:right w:val="none" w:sz="0" w:space="0" w:color="auto"/>
          </w:divBdr>
        </w:div>
        <w:div w:id="940187997">
          <w:marLeft w:val="274"/>
          <w:marRight w:val="0"/>
          <w:marTop w:val="0"/>
          <w:marBottom w:val="0"/>
          <w:divBdr>
            <w:top w:val="none" w:sz="0" w:space="0" w:color="auto"/>
            <w:left w:val="none" w:sz="0" w:space="0" w:color="auto"/>
            <w:bottom w:val="none" w:sz="0" w:space="0" w:color="auto"/>
            <w:right w:val="none" w:sz="0" w:space="0" w:color="auto"/>
          </w:divBdr>
        </w:div>
        <w:div w:id="1004822658">
          <w:marLeft w:val="274"/>
          <w:marRight w:val="0"/>
          <w:marTop w:val="0"/>
          <w:marBottom w:val="0"/>
          <w:divBdr>
            <w:top w:val="none" w:sz="0" w:space="0" w:color="auto"/>
            <w:left w:val="none" w:sz="0" w:space="0" w:color="auto"/>
            <w:bottom w:val="none" w:sz="0" w:space="0" w:color="auto"/>
            <w:right w:val="none" w:sz="0" w:space="0" w:color="auto"/>
          </w:divBdr>
        </w:div>
        <w:div w:id="1042755911">
          <w:marLeft w:val="274"/>
          <w:marRight w:val="0"/>
          <w:marTop w:val="0"/>
          <w:marBottom w:val="0"/>
          <w:divBdr>
            <w:top w:val="none" w:sz="0" w:space="0" w:color="auto"/>
            <w:left w:val="none" w:sz="0" w:space="0" w:color="auto"/>
            <w:bottom w:val="none" w:sz="0" w:space="0" w:color="auto"/>
            <w:right w:val="none" w:sz="0" w:space="0" w:color="auto"/>
          </w:divBdr>
        </w:div>
        <w:div w:id="1050035648">
          <w:marLeft w:val="274"/>
          <w:marRight w:val="0"/>
          <w:marTop w:val="0"/>
          <w:marBottom w:val="0"/>
          <w:divBdr>
            <w:top w:val="none" w:sz="0" w:space="0" w:color="auto"/>
            <w:left w:val="none" w:sz="0" w:space="0" w:color="auto"/>
            <w:bottom w:val="none" w:sz="0" w:space="0" w:color="auto"/>
            <w:right w:val="none" w:sz="0" w:space="0" w:color="auto"/>
          </w:divBdr>
        </w:div>
        <w:div w:id="1140801196">
          <w:marLeft w:val="274"/>
          <w:marRight w:val="0"/>
          <w:marTop w:val="0"/>
          <w:marBottom w:val="0"/>
          <w:divBdr>
            <w:top w:val="none" w:sz="0" w:space="0" w:color="auto"/>
            <w:left w:val="none" w:sz="0" w:space="0" w:color="auto"/>
            <w:bottom w:val="none" w:sz="0" w:space="0" w:color="auto"/>
            <w:right w:val="none" w:sz="0" w:space="0" w:color="auto"/>
          </w:divBdr>
        </w:div>
        <w:div w:id="1218585376">
          <w:marLeft w:val="274"/>
          <w:marRight w:val="0"/>
          <w:marTop w:val="0"/>
          <w:marBottom w:val="0"/>
          <w:divBdr>
            <w:top w:val="none" w:sz="0" w:space="0" w:color="auto"/>
            <w:left w:val="none" w:sz="0" w:space="0" w:color="auto"/>
            <w:bottom w:val="none" w:sz="0" w:space="0" w:color="auto"/>
            <w:right w:val="none" w:sz="0" w:space="0" w:color="auto"/>
          </w:divBdr>
        </w:div>
        <w:div w:id="1252616530">
          <w:marLeft w:val="274"/>
          <w:marRight w:val="0"/>
          <w:marTop w:val="0"/>
          <w:marBottom w:val="0"/>
          <w:divBdr>
            <w:top w:val="none" w:sz="0" w:space="0" w:color="auto"/>
            <w:left w:val="none" w:sz="0" w:space="0" w:color="auto"/>
            <w:bottom w:val="none" w:sz="0" w:space="0" w:color="auto"/>
            <w:right w:val="none" w:sz="0" w:space="0" w:color="auto"/>
          </w:divBdr>
        </w:div>
        <w:div w:id="1284113549">
          <w:marLeft w:val="274"/>
          <w:marRight w:val="0"/>
          <w:marTop w:val="0"/>
          <w:marBottom w:val="0"/>
          <w:divBdr>
            <w:top w:val="none" w:sz="0" w:space="0" w:color="auto"/>
            <w:left w:val="none" w:sz="0" w:space="0" w:color="auto"/>
            <w:bottom w:val="none" w:sz="0" w:space="0" w:color="auto"/>
            <w:right w:val="none" w:sz="0" w:space="0" w:color="auto"/>
          </w:divBdr>
        </w:div>
        <w:div w:id="1309361880">
          <w:marLeft w:val="274"/>
          <w:marRight w:val="0"/>
          <w:marTop w:val="0"/>
          <w:marBottom w:val="0"/>
          <w:divBdr>
            <w:top w:val="none" w:sz="0" w:space="0" w:color="auto"/>
            <w:left w:val="none" w:sz="0" w:space="0" w:color="auto"/>
            <w:bottom w:val="none" w:sz="0" w:space="0" w:color="auto"/>
            <w:right w:val="none" w:sz="0" w:space="0" w:color="auto"/>
          </w:divBdr>
        </w:div>
        <w:div w:id="1377317200">
          <w:marLeft w:val="274"/>
          <w:marRight w:val="0"/>
          <w:marTop w:val="0"/>
          <w:marBottom w:val="0"/>
          <w:divBdr>
            <w:top w:val="none" w:sz="0" w:space="0" w:color="auto"/>
            <w:left w:val="none" w:sz="0" w:space="0" w:color="auto"/>
            <w:bottom w:val="none" w:sz="0" w:space="0" w:color="auto"/>
            <w:right w:val="none" w:sz="0" w:space="0" w:color="auto"/>
          </w:divBdr>
        </w:div>
        <w:div w:id="1412894066">
          <w:marLeft w:val="274"/>
          <w:marRight w:val="0"/>
          <w:marTop w:val="0"/>
          <w:marBottom w:val="0"/>
          <w:divBdr>
            <w:top w:val="none" w:sz="0" w:space="0" w:color="auto"/>
            <w:left w:val="none" w:sz="0" w:space="0" w:color="auto"/>
            <w:bottom w:val="none" w:sz="0" w:space="0" w:color="auto"/>
            <w:right w:val="none" w:sz="0" w:space="0" w:color="auto"/>
          </w:divBdr>
        </w:div>
        <w:div w:id="1545678979">
          <w:marLeft w:val="274"/>
          <w:marRight w:val="0"/>
          <w:marTop w:val="0"/>
          <w:marBottom w:val="0"/>
          <w:divBdr>
            <w:top w:val="none" w:sz="0" w:space="0" w:color="auto"/>
            <w:left w:val="none" w:sz="0" w:space="0" w:color="auto"/>
            <w:bottom w:val="none" w:sz="0" w:space="0" w:color="auto"/>
            <w:right w:val="none" w:sz="0" w:space="0" w:color="auto"/>
          </w:divBdr>
        </w:div>
        <w:div w:id="1609580909">
          <w:marLeft w:val="274"/>
          <w:marRight w:val="0"/>
          <w:marTop w:val="0"/>
          <w:marBottom w:val="0"/>
          <w:divBdr>
            <w:top w:val="none" w:sz="0" w:space="0" w:color="auto"/>
            <w:left w:val="none" w:sz="0" w:space="0" w:color="auto"/>
            <w:bottom w:val="none" w:sz="0" w:space="0" w:color="auto"/>
            <w:right w:val="none" w:sz="0" w:space="0" w:color="auto"/>
          </w:divBdr>
        </w:div>
        <w:div w:id="1659141751">
          <w:marLeft w:val="274"/>
          <w:marRight w:val="0"/>
          <w:marTop w:val="0"/>
          <w:marBottom w:val="0"/>
          <w:divBdr>
            <w:top w:val="none" w:sz="0" w:space="0" w:color="auto"/>
            <w:left w:val="none" w:sz="0" w:space="0" w:color="auto"/>
            <w:bottom w:val="none" w:sz="0" w:space="0" w:color="auto"/>
            <w:right w:val="none" w:sz="0" w:space="0" w:color="auto"/>
          </w:divBdr>
        </w:div>
        <w:div w:id="1715538039">
          <w:marLeft w:val="274"/>
          <w:marRight w:val="0"/>
          <w:marTop w:val="0"/>
          <w:marBottom w:val="0"/>
          <w:divBdr>
            <w:top w:val="none" w:sz="0" w:space="0" w:color="auto"/>
            <w:left w:val="none" w:sz="0" w:space="0" w:color="auto"/>
            <w:bottom w:val="none" w:sz="0" w:space="0" w:color="auto"/>
            <w:right w:val="none" w:sz="0" w:space="0" w:color="auto"/>
          </w:divBdr>
        </w:div>
        <w:div w:id="1730112985">
          <w:marLeft w:val="274"/>
          <w:marRight w:val="0"/>
          <w:marTop w:val="0"/>
          <w:marBottom w:val="0"/>
          <w:divBdr>
            <w:top w:val="none" w:sz="0" w:space="0" w:color="auto"/>
            <w:left w:val="none" w:sz="0" w:space="0" w:color="auto"/>
            <w:bottom w:val="none" w:sz="0" w:space="0" w:color="auto"/>
            <w:right w:val="none" w:sz="0" w:space="0" w:color="auto"/>
          </w:divBdr>
        </w:div>
        <w:div w:id="1755736191">
          <w:marLeft w:val="274"/>
          <w:marRight w:val="0"/>
          <w:marTop w:val="0"/>
          <w:marBottom w:val="0"/>
          <w:divBdr>
            <w:top w:val="none" w:sz="0" w:space="0" w:color="auto"/>
            <w:left w:val="none" w:sz="0" w:space="0" w:color="auto"/>
            <w:bottom w:val="none" w:sz="0" w:space="0" w:color="auto"/>
            <w:right w:val="none" w:sz="0" w:space="0" w:color="auto"/>
          </w:divBdr>
        </w:div>
        <w:div w:id="1768498574">
          <w:marLeft w:val="274"/>
          <w:marRight w:val="0"/>
          <w:marTop w:val="0"/>
          <w:marBottom w:val="0"/>
          <w:divBdr>
            <w:top w:val="none" w:sz="0" w:space="0" w:color="auto"/>
            <w:left w:val="none" w:sz="0" w:space="0" w:color="auto"/>
            <w:bottom w:val="none" w:sz="0" w:space="0" w:color="auto"/>
            <w:right w:val="none" w:sz="0" w:space="0" w:color="auto"/>
          </w:divBdr>
        </w:div>
        <w:div w:id="1821384161">
          <w:marLeft w:val="274"/>
          <w:marRight w:val="0"/>
          <w:marTop w:val="0"/>
          <w:marBottom w:val="0"/>
          <w:divBdr>
            <w:top w:val="none" w:sz="0" w:space="0" w:color="auto"/>
            <w:left w:val="none" w:sz="0" w:space="0" w:color="auto"/>
            <w:bottom w:val="none" w:sz="0" w:space="0" w:color="auto"/>
            <w:right w:val="none" w:sz="0" w:space="0" w:color="auto"/>
          </w:divBdr>
        </w:div>
        <w:div w:id="1831167439">
          <w:marLeft w:val="274"/>
          <w:marRight w:val="0"/>
          <w:marTop w:val="0"/>
          <w:marBottom w:val="0"/>
          <w:divBdr>
            <w:top w:val="none" w:sz="0" w:space="0" w:color="auto"/>
            <w:left w:val="none" w:sz="0" w:space="0" w:color="auto"/>
            <w:bottom w:val="none" w:sz="0" w:space="0" w:color="auto"/>
            <w:right w:val="none" w:sz="0" w:space="0" w:color="auto"/>
          </w:divBdr>
        </w:div>
        <w:div w:id="1890073021">
          <w:marLeft w:val="274"/>
          <w:marRight w:val="0"/>
          <w:marTop w:val="0"/>
          <w:marBottom w:val="0"/>
          <w:divBdr>
            <w:top w:val="none" w:sz="0" w:space="0" w:color="auto"/>
            <w:left w:val="none" w:sz="0" w:space="0" w:color="auto"/>
            <w:bottom w:val="none" w:sz="0" w:space="0" w:color="auto"/>
            <w:right w:val="none" w:sz="0" w:space="0" w:color="auto"/>
          </w:divBdr>
        </w:div>
        <w:div w:id="1901090622">
          <w:marLeft w:val="274"/>
          <w:marRight w:val="0"/>
          <w:marTop w:val="0"/>
          <w:marBottom w:val="0"/>
          <w:divBdr>
            <w:top w:val="none" w:sz="0" w:space="0" w:color="auto"/>
            <w:left w:val="none" w:sz="0" w:space="0" w:color="auto"/>
            <w:bottom w:val="none" w:sz="0" w:space="0" w:color="auto"/>
            <w:right w:val="none" w:sz="0" w:space="0" w:color="auto"/>
          </w:divBdr>
        </w:div>
        <w:div w:id="1919242783">
          <w:marLeft w:val="274"/>
          <w:marRight w:val="0"/>
          <w:marTop w:val="0"/>
          <w:marBottom w:val="0"/>
          <w:divBdr>
            <w:top w:val="none" w:sz="0" w:space="0" w:color="auto"/>
            <w:left w:val="none" w:sz="0" w:space="0" w:color="auto"/>
            <w:bottom w:val="none" w:sz="0" w:space="0" w:color="auto"/>
            <w:right w:val="none" w:sz="0" w:space="0" w:color="auto"/>
          </w:divBdr>
        </w:div>
        <w:div w:id="1949776721">
          <w:marLeft w:val="274"/>
          <w:marRight w:val="0"/>
          <w:marTop w:val="0"/>
          <w:marBottom w:val="0"/>
          <w:divBdr>
            <w:top w:val="none" w:sz="0" w:space="0" w:color="auto"/>
            <w:left w:val="none" w:sz="0" w:space="0" w:color="auto"/>
            <w:bottom w:val="none" w:sz="0" w:space="0" w:color="auto"/>
            <w:right w:val="none" w:sz="0" w:space="0" w:color="auto"/>
          </w:divBdr>
        </w:div>
        <w:div w:id="1955481404">
          <w:marLeft w:val="274"/>
          <w:marRight w:val="0"/>
          <w:marTop w:val="0"/>
          <w:marBottom w:val="0"/>
          <w:divBdr>
            <w:top w:val="none" w:sz="0" w:space="0" w:color="auto"/>
            <w:left w:val="none" w:sz="0" w:space="0" w:color="auto"/>
            <w:bottom w:val="none" w:sz="0" w:space="0" w:color="auto"/>
            <w:right w:val="none" w:sz="0" w:space="0" w:color="auto"/>
          </w:divBdr>
        </w:div>
        <w:div w:id="2083721193">
          <w:marLeft w:val="274"/>
          <w:marRight w:val="0"/>
          <w:marTop w:val="0"/>
          <w:marBottom w:val="0"/>
          <w:divBdr>
            <w:top w:val="none" w:sz="0" w:space="0" w:color="auto"/>
            <w:left w:val="none" w:sz="0" w:space="0" w:color="auto"/>
            <w:bottom w:val="none" w:sz="0" w:space="0" w:color="auto"/>
            <w:right w:val="none" w:sz="0" w:space="0" w:color="auto"/>
          </w:divBdr>
        </w:div>
        <w:div w:id="2125998483">
          <w:marLeft w:val="274"/>
          <w:marRight w:val="0"/>
          <w:marTop w:val="0"/>
          <w:marBottom w:val="0"/>
          <w:divBdr>
            <w:top w:val="none" w:sz="0" w:space="0" w:color="auto"/>
            <w:left w:val="none" w:sz="0" w:space="0" w:color="auto"/>
            <w:bottom w:val="none" w:sz="0" w:space="0" w:color="auto"/>
            <w:right w:val="none" w:sz="0" w:space="0" w:color="auto"/>
          </w:divBdr>
        </w:div>
        <w:div w:id="2139492327">
          <w:marLeft w:val="274"/>
          <w:marRight w:val="0"/>
          <w:marTop w:val="0"/>
          <w:marBottom w:val="0"/>
          <w:divBdr>
            <w:top w:val="none" w:sz="0" w:space="0" w:color="auto"/>
            <w:left w:val="none" w:sz="0" w:space="0" w:color="auto"/>
            <w:bottom w:val="none" w:sz="0" w:space="0" w:color="auto"/>
            <w:right w:val="none" w:sz="0" w:space="0" w:color="auto"/>
          </w:divBdr>
        </w:div>
      </w:divsChild>
    </w:div>
    <w:div w:id="417404147">
      <w:bodyDiv w:val="1"/>
      <w:marLeft w:val="0"/>
      <w:marRight w:val="0"/>
      <w:marTop w:val="0"/>
      <w:marBottom w:val="0"/>
      <w:divBdr>
        <w:top w:val="none" w:sz="0" w:space="0" w:color="auto"/>
        <w:left w:val="none" w:sz="0" w:space="0" w:color="auto"/>
        <w:bottom w:val="none" w:sz="0" w:space="0" w:color="auto"/>
        <w:right w:val="none" w:sz="0" w:space="0" w:color="auto"/>
      </w:divBdr>
    </w:div>
    <w:div w:id="421494450">
      <w:bodyDiv w:val="1"/>
      <w:marLeft w:val="0"/>
      <w:marRight w:val="0"/>
      <w:marTop w:val="0"/>
      <w:marBottom w:val="0"/>
      <w:divBdr>
        <w:top w:val="none" w:sz="0" w:space="0" w:color="auto"/>
        <w:left w:val="none" w:sz="0" w:space="0" w:color="auto"/>
        <w:bottom w:val="none" w:sz="0" w:space="0" w:color="auto"/>
        <w:right w:val="none" w:sz="0" w:space="0" w:color="auto"/>
      </w:divBdr>
    </w:div>
    <w:div w:id="422070017">
      <w:bodyDiv w:val="1"/>
      <w:marLeft w:val="0"/>
      <w:marRight w:val="0"/>
      <w:marTop w:val="0"/>
      <w:marBottom w:val="0"/>
      <w:divBdr>
        <w:top w:val="none" w:sz="0" w:space="0" w:color="auto"/>
        <w:left w:val="none" w:sz="0" w:space="0" w:color="auto"/>
        <w:bottom w:val="none" w:sz="0" w:space="0" w:color="auto"/>
        <w:right w:val="none" w:sz="0" w:space="0" w:color="auto"/>
      </w:divBdr>
    </w:div>
    <w:div w:id="423649364">
      <w:bodyDiv w:val="1"/>
      <w:marLeft w:val="0"/>
      <w:marRight w:val="0"/>
      <w:marTop w:val="0"/>
      <w:marBottom w:val="0"/>
      <w:divBdr>
        <w:top w:val="none" w:sz="0" w:space="0" w:color="auto"/>
        <w:left w:val="none" w:sz="0" w:space="0" w:color="auto"/>
        <w:bottom w:val="none" w:sz="0" w:space="0" w:color="auto"/>
        <w:right w:val="none" w:sz="0" w:space="0" w:color="auto"/>
      </w:divBdr>
    </w:div>
    <w:div w:id="443227830">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51366939">
      <w:bodyDiv w:val="1"/>
      <w:marLeft w:val="0"/>
      <w:marRight w:val="0"/>
      <w:marTop w:val="0"/>
      <w:marBottom w:val="0"/>
      <w:divBdr>
        <w:top w:val="none" w:sz="0" w:space="0" w:color="auto"/>
        <w:left w:val="none" w:sz="0" w:space="0" w:color="auto"/>
        <w:bottom w:val="none" w:sz="0" w:space="0" w:color="auto"/>
        <w:right w:val="none" w:sz="0" w:space="0" w:color="auto"/>
      </w:divBdr>
      <w:divsChild>
        <w:div w:id="1243679684">
          <w:marLeft w:val="893"/>
          <w:marRight w:val="0"/>
          <w:marTop w:val="0"/>
          <w:marBottom w:val="0"/>
          <w:divBdr>
            <w:top w:val="none" w:sz="0" w:space="0" w:color="auto"/>
            <w:left w:val="none" w:sz="0" w:space="0" w:color="auto"/>
            <w:bottom w:val="none" w:sz="0" w:space="0" w:color="auto"/>
            <w:right w:val="none" w:sz="0" w:space="0" w:color="auto"/>
          </w:divBdr>
        </w:div>
        <w:div w:id="1684017891">
          <w:marLeft w:val="893"/>
          <w:marRight w:val="0"/>
          <w:marTop w:val="0"/>
          <w:marBottom w:val="0"/>
          <w:divBdr>
            <w:top w:val="none" w:sz="0" w:space="0" w:color="auto"/>
            <w:left w:val="none" w:sz="0" w:space="0" w:color="auto"/>
            <w:bottom w:val="none" w:sz="0" w:space="0" w:color="auto"/>
            <w:right w:val="none" w:sz="0" w:space="0" w:color="auto"/>
          </w:divBdr>
        </w:div>
      </w:divsChild>
    </w:div>
    <w:div w:id="460149322">
      <w:bodyDiv w:val="1"/>
      <w:marLeft w:val="0"/>
      <w:marRight w:val="0"/>
      <w:marTop w:val="0"/>
      <w:marBottom w:val="0"/>
      <w:divBdr>
        <w:top w:val="none" w:sz="0" w:space="0" w:color="auto"/>
        <w:left w:val="none" w:sz="0" w:space="0" w:color="auto"/>
        <w:bottom w:val="none" w:sz="0" w:space="0" w:color="auto"/>
        <w:right w:val="none" w:sz="0" w:space="0" w:color="auto"/>
      </w:divBdr>
    </w:div>
    <w:div w:id="469173562">
      <w:bodyDiv w:val="1"/>
      <w:marLeft w:val="0"/>
      <w:marRight w:val="0"/>
      <w:marTop w:val="0"/>
      <w:marBottom w:val="0"/>
      <w:divBdr>
        <w:top w:val="none" w:sz="0" w:space="0" w:color="auto"/>
        <w:left w:val="none" w:sz="0" w:space="0" w:color="auto"/>
        <w:bottom w:val="none" w:sz="0" w:space="0" w:color="auto"/>
        <w:right w:val="none" w:sz="0" w:space="0" w:color="auto"/>
      </w:divBdr>
    </w:div>
    <w:div w:id="512040198">
      <w:bodyDiv w:val="1"/>
      <w:marLeft w:val="0"/>
      <w:marRight w:val="0"/>
      <w:marTop w:val="0"/>
      <w:marBottom w:val="0"/>
      <w:divBdr>
        <w:top w:val="none" w:sz="0" w:space="0" w:color="auto"/>
        <w:left w:val="none" w:sz="0" w:space="0" w:color="auto"/>
        <w:bottom w:val="none" w:sz="0" w:space="0" w:color="auto"/>
        <w:right w:val="none" w:sz="0" w:space="0" w:color="auto"/>
      </w:divBdr>
    </w:div>
    <w:div w:id="516502195">
      <w:bodyDiv w:val="1"/>
      <w:marLeft w:val="0"/>
      <w:marRight w:val="0"/>
      <w:marTop w:val="0"/>
      <w:marBottom w:val="0"/>
      <w:divBdr>
        <w:top w:val="none" w:sz="0" w:space="0" w:color="auto"/>
        <w:left w:val="none" w:sz="0" w:space="0" w:color="auto"/>
        <w:bottom w:val="none" w:sz="0" w:space="0" w:color="auto"/>
        <w:right w:val="none" w:sz="0" w:space="0" w:color="auto"/>
      </w:divBdr>
      <w:divsChild>
        <w:div w:id="1768111499">
          <w:marLeft w:val="893"/>
          <w:marRight w:val="0"/>
          <w:marTop w:val="0"/>
          <w:marBottom w:val="0"/>
          <w:divBdr>
            <w:top w:val="none" w:sz="0" w:space="0" w:color="auto"/>
            <w:left w:val="none" w:sz="0" w:space="0" w:color="auto"/>
            <w:bottom w:val="none" w:sz="0" w:space="0" w:color="auto"/>
            <w:right w:val="none" w:sz="0" w:space="0" w:color="auto"/>
          </w:divBdr>
        </w:div>
      </w:divsChild>
    </w:div>
    <w:div w:id="517236998">
      <w:bodyDiv w:val="1"/>
      <w:marLeft w:val="0"/>
      <w:marRight w:val="0"/>
      <w:marTop w:val="0"/>
      <w:marBottom w:val="0"/>
      <w:divBdr>
        <w:top w:val="none" w:sz="0" w:space="0" w:color="auto"/>
        <w:left w:val="none" w:sz="0" w:space="0" w:color="auto"/>
        <w:bottom w:val="none" w:sz="0" w:space="0" w:color="auto"/>
        <w:right w:val="none" w:sz="0" w:space="0" w:color="auto"/>
      </w:divBdr>
    </w:div>
    <w:div w:id="524558780">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31184626">
      <w:bodyDiv w:val="1"/>
      <w:marLeft w:val="0"/>
      <w:marRight w:val="0"/>
      <w:marTop w:val="0"/>
      <w:marBottom w:val="0"/>
      <w:divBdr>
        <w:top w:val="none" w:sz="0" w:space="0" w:color="auto"/>
        <w:left w:val="none" w:sz="0" w:space="0" w:color="auto"/>
        <w:bottom w:val="none" w:sz="0" w:space="0" w:color="auto"/>
        <w:right w:val="none" w:sz="0" w:space="0" w:color="auto"/>
      </w:divBdr>
    </w:div>
    <w:div w:id="543102058">
      <w:bodyDiv w:val="1"/>
      <w:marLeft w:val="0"/>
      <w:marRight w:val="0"/>
      <w:marTop w:val="0"/>
      <w:marBottom w:val="0"/>
      <w:divBdr>
        <w:top w:val="none" w:sz="0" w:space="0" w:color="auto"/>
        <w:left w:val="none" w:sz="0" w:space="0" w:color="auto"/>
        <w:bottom w:val="none" w:sz="0" w:space="0" w:color="auto"/>
        <w:right w:val="none" w:sz="0" w:space="0" w:color="auto"/>
      </w:divBdr>
    </w:div>
    <w:div w:id="552228892">
      <w:bodyDiv w:val="1"/>
      <w:marLeft w:val="0"/>
      <w:marRight w:val="0"/>
      <w:marTop w:val="0"/>
      <w:marBottom w:val="0"/>
      <w:divBdr>
        <w:top w:val="none" w:sz="0" w:space="0" w:color="auto"/>
        <w:left w:val="none" w:sz="0" w:space="0" w:color="auto"/>
        <w:bottom w:val="none" w:sz="0" w:space="0" w:color="auto"/>
        <w:right w:val="none" w:sz="0" w:space="0" w:color="auto"/>
      </w:divBdr>
    </w:div>
    <w:div w:id="594360184">
      <w:bodyDiv w:val="1"/>
      <w:marLeft w:val="0"/>
      <w:marRight w:val="0"/>
      <w:marTop w:val="0"/>
      <w:marBottom w:val="0"/>
      <w:divBdr>
        <w:top w:val="none" w:sz="0" w:space="0" w:color="auto"/>
        <w:left w:val="none" w:sz="0" w:space="0" w:color="auto"/>
        <w:bottom w:val="none" w:sz="0" w:space="0" w:color="auto"/>
        <w:right w:val="none" w:sz="0" w:space="0" w:color="auto"/>
      </w:divBdr>
      <w:divsChild>
        <w:div w:id="34625186">
          <w:marLeft w:val="0"/>
          <w:marRight w:val="0"/>
          <w:marTop w:val="0"/>
          <w:marBottom w:val="0"/>
          <w:divBdr>
            <w:top w:val="none" w:sz="0" w:space="0" w:color="auto"/>
            <w:left w:val="none" w:sz="0" w:space="0" w:color="auto"/>
            <w:bottom w:val="none" w:sz="0" w:space="0" w:color="auto"/>
            <w:right w:val="none" w:sz="0" w:space="0" w:color="auto"/>
          </w:divBdr>
        </w:div>
        <w:div w:id="594440930">
          <w:marLeft w:val="0"/>
          <w:marRight w:val="0"/>
          <w:marTop w:val="0"/>
          <w:marBottom w:val="0"/>
          <w:divBdr>
            <w:top w:val="none" w:sz="0" w:space="0" w:color="auto"/>
            <w:left w:val="none" w:sz="0" w:space="0" w:color="auto"/>
            <w:bottom w:val="none" w:sz="0" w:space="0" w:color="auto"/>
            <w:right w:val="none" w:sz="0" w:space="0" w:color="auto"/>
          </w:divBdr>
        </w:div>
        <w:div w:id="862403509">
          <w:marLeft w:val="0"/>
          <w:marRight w:val="0"/>
          <w:marTop w:val="0"/>
          <w:marBottom w:val="0"/>
          <w:divBdr>
            <w:top w:val="none" w:sz="0" w:space="0" w:color="auto"/>
            <w:left w:val="none" w:sz="0" w:space="0" w:color="auto"/>
            <w:bottom w:val="none" w:sz="0" w:space="0" w:color="auto"/>
            <w:right w:val="none" w:sz="0" w:space="0" w:color="auto"/>
          </w:divBdr>
        </w:div>
        <w:div w:id="981695811">
          <w:marLeft w:val="0"/>
          <w:marRight w:val="0"/>
          <w:marTop w:val="0"/>
          <w:marBottom w:val="0"/>
          <w:divBdr>
            <w:top w:val="none" w:sz="0" w:space="0" w:color="auto"/>
            <w:left w:val="none" w:sz="0" w:space="0" w:color="auto"/>
            <w:bottom w:val="none" w:sz="0" w:space="0" w:color="auto"/>
            <w:right w:val="none" w:sz="0" w:space="0" w:color="auto"/>
          </w:divBdr>
        </w:div>
        <w:div w:id="1045986885">
          <w:marLeft w:val="0"/>
          <w:marRight w:val="0"/>
          <w:marTop w:val="0"/>
          <w:marBottom w:val="0"/>
          <w:divBdr>
            <w:top w:val="none" w:sz="0" w:space="0" w:color="auto"/>
            <w:left w:val="none" w:sz="0" w:space="0" w:color="auto"/>
            <w:bottom w:val="none" w:sz="0" w:space="0" w:color="auto"/>
            <w:right w:val="none" w:sz="0" w:space="0" w:color="auto"/>
          </w:divBdr>
        </w:div>
        <w:div w:id="1582450567">
          <w:marLeft w:val="0"/>
          <w:marRight w:val="0"/>
          <w:marTop w:val="0"/>
          <w:marBottom w:val="0"/>
          <w:divBdr>
            <w:top w:val="none" w:sz="0" w:space="0" w:color="auto"/>
            <w:left w:val="none" w:sz="0" w:space="0" w:color="auto"/>
            <w:bottom w:val="none" w:sz="0" w:space="0" w:color="auto"/>
            <w:right w:val="none" w:sz="0" w:space="0" w:color="auto"/>
          </w:divBdr>
        </w:div>
        <w:div w:id="1655179978">
          <w:marLeft w:val="0"/>
          <w:marRight w:val="0"/>
          <w:marTop w:val="0"/>
          <w:marBottom w:val="0"/>
          <w:divBdr>
            <w:top w:val="none" w:sz="0" w:space="0" w:color="auto"/>
            <w:left w:val="none" w:sz="0" w:space="0" w:color="auto"/>
            <w:bottom w:val="none" w:sz="0" w:space="0" w:color="auto"/>
            <w:right w:val="none" w:sz="0" w:space="0" w:color="auto"/>
          </w:divBdr>
        </w:div>
      </w:divsChild>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30596463">
      <w:bodyDiv w:val="1"/>
      <w:marLeft w:val="0"/>
      <w:marRight w:val="0"/>
      <w:marTop w:val="0"/>
      <w:marBottom w:val="0"/>
      <w:divBdr>
        <w:top w:val="none" w:sz="0" w:space="0" w:color="auto"/>
        <w:left w:val="none" w:sz="0" w:space="0" w:color="auto"/>
        <w:bottom w:val="none" w:sz="0" w:space="0" w:color="auto"/>
        <w:right w:val="none" w:sz="0" w:space="0" w:color="auto"/>
      </w:divBdr>
    </w:div>
    <w:div w:id="636571531">
      <w:bodyDiv w:val="1"/>
      <w:marLeft w:val="0"/>
      <w:marRight w:val="0"/>
      <w:marTop w:val="0"/>
      <w:marBottom w:val="0"/>
      <w:divBdr>
        <w:top w:val="none" w:sz="0" w:space="0" w:color="auto"/>
        <w:left w:val="none" w:sz="0" w:space="0" w:color="auto"/>
        <w:bottom w:val="none" w:sz="0" w:space="0" w:color="auto"/>
        <w:right w:val="none" w:sz="0" w:space="0" w:color="auto"/>
      </w:divBdr>
    </w:div>
    <w:div w:id="636759198">
      <w:bodyDiv w:val="1"/>
      <w:marLeft w:val="0"/>
      <w:marRight w:val="0"/>
      <w:marTop w:val="0"/>
      <w:marBottom w:val="0"/>
      <w:divBdr>
        <w:top w:val="none" w:sz="0" w:space="0" w:color="auto"/>
        <w:left w:val="none" w:sz="0" w:space="0" w:color="auto"/>
        <w:bottom w:val="none" w:sz="0" w:space="0" w:color="auto"/>
        <w:right w:val="none" w:sz="0" w:space="0" w:color="auto"/>
      </w:divBdr>
    </w:div>
    <w:div w:id="638731640">
      <w:bodyDiv w:val="1"/>
      <w:marLeft w:val="0"/>
      <w:marRight w:val="0"/>
      <w:marTop w:val="0"/>
      <w:marBottom w:val="0"/>
      <w:divBdr>
        <w:top w:val="none" w:sz="0" w:space="0" w:color="auto"/>
        <w:left w:val="none" w:sz="0" w:space="0" w:color="auto"/>
        <w:bottom w:val="none" w:sz="0" w:space="0" w:color="auto"/>
        <w:right w:val="none" w:sz="0" w:space="0" w:color="auto"/>
      </w:divBdr>
      <w:divsChild>
        <w:div w:id="386951770">
          <w:marLeft w:val="274"/>
          <w:marRight w:val="0"/>
          <w:marTop w:val="0"/>
          <w:marBottom w:val="170"/>
          <w:divBdr>
            <w:top w:val="none" w:sz="0" w:space="0" w:color="auto"/>
            <w:left w:val="none" w:sz="0" w:space="0" w:color="auto"/>
            <w:bottom w:val="none" w:sz="0" w:space="0" w:color="auto"/>
            <w:right w:val="none" w:sz="0" w:space="0" w:color="auto"/>
          </w:divBdr>
        </w:div>
        <w:div w:id="504129121">
          <w:marLeft w:val="274"/>
          <w:marRight w:val="0"/>
          <w:marTop w:val="0"/>
          <w:marBottom w:val="170"/>
          <w:divBdr>
            <w:top w:val="none" w:sz="0" w:space="0" w:color="auto"/>
            <w:left w:val="none" w:sz="0" w:space="0" w:color="auto"/>
            <w:bottom w:val="none" w:sz="0" w:space="0" w:color="auto"/>
            <w:right w:val="none" w:sz="0" w:space="0" w:color="auto"/>
          </w:divBdr>
        </w:div>
      </w:divsChild>
    </w:div>
    <w:div w:id="639116874">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46059477">
      <w:bodyDiv w:val="1"/>
      <w:marLeft w:val="0"/>
      <w:marRight w:val="0"/>
      <w:marTop w:val="0"/>
      <w:marBottom w:val="0"/>
      <w:divBdr>
        <w:top w:val="none" w:sz="0" w:space="0" w:color="auto"/>
        <w:left w:val="none" w:sz="0" w:space="0" w:color="auto"/>
        <w:bottom w:val="none" w:sz="0" w:space="0" w:color="auto"/>
        <w:right w:val="none" w:sz="0" w:space="0" w:color="auto"/>
      </w:divBdr>
    </w:div>
    <w:div w:id="662853322">
      <w:bodyDiv w:val="1"/>
      <w:marLeft w:val="0"/>
      <w:marRight w:val="0"/>
      <w:marTop w:val="0"/>
      <w:marBottom w:val="0"/>
      <w:divBdr>
        <w:top w:val="none" w:sz="0" w:space="0" w:color="auto"/>
        <w:left w:val="none" w:sz="0" w:space="0" w:color="auto"/>
        <w:bottom w:val="none" w:sz="0" w:space="0" w:color="auto"/>
        <w:right w:val="none" w:sz="0" w:space="0" w:color="auto"/>
      </w:divBdr>
    </w:div>
    <w:div w:id="668799413">
      <w:bodyDiv w:val="1"/>
      <w:marLeft w:val="0"/>
      <w:marRight w:val="0"/>
      <w:marTop w:val="0"/>
      <w:marBottom w:val="0"/>
      <w:divBdr>
        <w:top w:val="none" w:sz="0" w:space="0" w:color="auto"/>
        <w:left w:val="none" w:sz="0" w:space="0" w:color="auto"/>
        <w:bottom w:val="none" w:sz="0" w:space="0" w:color="auto"/>
        <w:right w:val="none" w:sz="0" w:space="0" w:color="auto"/>
      </w:divBdr>
    </w:div>
    <w:div w:id="681854624">
      <w:bodyDiv w:val="1"/>
      <w:marLeft w:val="0"/>
      <w:marRight w:val="0"/>
      <w:marTop w:val="0"/>
      <w:marBottom w:val="0"/>
      <w:divBdr>
        <w:top w:val="none" w:sz="0" w:space="0" w:color="auto"/>
        <w:left w:val="none" w:sz="0" w:space="0" w:color="auto"/>
        <w:bottom w:val="none" w:sz="0" w:space="0" w:color="auto"/>
        <w:right w:val="none" w:sz="0" w:space="0" w:color="auto"/>
      </w:divBdr>
    </w:div>
    <w:div w:id="684214951">
      <w:bodyDiv w:val="1"/>
      <w:marLeft w:val="0"/>
      <w:marRight w:val="0"/>
      <w:marTop w:val="0"/>
      <w:marBottom w:val="0"/>
      <w:divBdr>
        <w:top w:val="none" w:sz="0" w:space="0" w:color="auto"/>
        <w:left w:val="none" w:sz="0" w:space="0" w:color="auto"/>
        <w:bottom w:val="none" w:sz="0" w:space="0" w:color="auto"/>
        <w:right w:val="none" w:sz="0" w:space="0" w:color="auto"/>
      </w:divBdr>
    </w:div>
    <w:div w:id="706179801">
      <w:bodyDiv w:val="1"/>
      <w:marLeft w:val="0"/>
      <w:marRight w:val="0"/>
      <w:marTop w:val="0"/>
      <w:marBottom w:val="0"/>
      <w:divBdr>
        <w:top w:val="none" w:sz="0" w:space="0" w:color="auto"/>
        <w:left w:val="none" w:sz="0" w:space="0" w:color="auto"/>
        <w:bottom w:val="none" w:sz="0" w:space="0" w:color="auto"/>
        <w:right w:val="none" w:sz="0" w:space="0" w:color="auto"/>
      </w:divBdr>
    </w:div>
    <w:div w:id="725638830">
      <w:bodyDiv w:val="1"/>
      <w:marLeft w:val="0"/>
      <w:marRight w:val="0"/>
      <w:marTop w:val="0"/>
      <w:marBottom w:val="0"/>
      <w:divBdr>
        <w:top w:val="none" w:sz="0" w:space="0" w:color="auto"/>
        <w:left w:val="none" w:sz="0" w:space="0" w:color="auto"/>
        <w:bottom w:val="none" w:sz="0" w:space="0" w:color="auto"/>
        <w:right w:val="none" w:sz="0" w:space="0" w:color="auto"/>
      </w:divBdr>
    </w:div>
    <w:div w:id="730033106">
      <w:bodyDiv w:val="1"/>
      <w:marLeft w:val="0"/>
      <w:marRight w:val="0"/>
      <w:marTop w:val="0"/>
      <w:marBottom w:val="0"/>
      <w:divBdr>
        <w:top w:val="none" w:sz="0" w:space="0" w:color="auto"/>
        <w:left w:val="none" w:sz="0" w:space="0" w:color="auto"/>
        <w:bottom w:val="none" w:sz="0" w:space="0" w:color="auto"/>
        <w:right w:val="none" w:sz="0" w:space="0" w:color="auto"/>
      </w:divBdr>
    </w:div>
    <w:div w:id="736172568">
      <w:bodyDiv w:val="1"/>
      <w:marLeft w:val="0"/>
      <w:marRight w:val="0"/>
      <w:marTop w:val="0"/>
      <w:marBottom w:val="0"/>
      <w:divBdr>
        <w:top w:val="none" w:sz="0" w:space="0" w:color="auto"/>
        <w:left w:val="none" w:sz="0" w:space="0" w:color="auto"/>
        <w:bottom w:val="none" w:sz="0" w:space="0" w:color="auto"/>
        <w:right w:val="none" w:sz="0" w:space="0" w:color="auto"/>
      </w:divBdr>
      <w:divsChild>
        <w:div w:id="1411074871">
          <w:marLeft w:val="893"/>
          <w:marRight w:val="0"/>
          <w:marTop w:val="0"/>
          <w:marBottom w:val="0"/>
          <w:divBdr>
            <w:top w:val="none" w:sz="0" w:space="0" w:color="auto"/>
            <w:left w:val="none" w:sz="0" w:space="0" w:color="auto"/>
            <w:bottom w:val="none" w:sz="0" w:space="0" w:color="auto"/>
            <w:right w:val="none" w:sz="0" w:space="0" w:color="auto"/>
          </w:divBdr>
        </w:div>
      </w:divsChild>
    </w:div>
    <w:div w:id="749932894">
      <w:bodyDiv w:val="1"/>
      <w:marLeft w:val="0"/>
      <w:marRight w:val="0"/>
      <w:marTop w:val="0"/>
      <w:marBottom w:val="0"/>
      <w:divBdr>
        <w:top w:val="none" w:sz="0" w:space="0" w:color="auto"/>
        <w:left w:val="none" w:sz="0" w:space="0" w:color="auto"/>
        <w:bottom w:val="none" w:sz="0" w:space="0" w:color="auto"/>
        <w:right w:val="none" w:sz="0" w:space="0" w:color="auto"/>
      </w:divBdr>
    </w:div>
    <w:div w:id="784159302">
      <w:bodyDiv w:val="1"/>
      <w:marLeft w:val="0"/>
      <w:marRight w:val="0"/>
      <w:marTop w:val="0"/>
      <w:marBottom w:val="0"/>
      <w:divBdr>
        <w:top w:val="none" w:sz="0" w:space="0" w:color="auto"/>
        <w:left w:val="none" w:sz="0" w:space="0" w:color="auto"/>
        <w:bottom w:val="none" w:sz="0" w:space="0" w:color="auto"/>
        <w:right w:val="none" w:sz="0" w:space="0" w:color="auto"/>
      </w:divBdr>
    </w:div>
    <w:div w:id="802768581">
      <w:bodyDiv w:val="1"/>
      <w:marLeft w:val="0"/>
      <w:marRight w:val="0"/>
      <w:marTop w:val="0"/>
      <w:marBottom w:val="0"/>
      <w:divBdr>
        <w:top w:val="none" w:sz="0" w:space="0" w:color="auto"/>
        <w:left w:val="none" w:sz="0" w:space="0" w:color="auto"/>
        <w:bottom w:val="none" w:sz="0" w:space="0" w:color="auto"/>
        <w:right w:val="none" w:sz="0" w:space="0" w:color="auto"/>
      </w:divBdr>
    </w:div>
    <w:div w:id="823083641">
      <w:bodyDiv w:val="1"/>
      <w:marLeft w:val="0"/>
      <w:marRight w:val="0"/>
      <w:marTop w:val="0"/>
      <w:marBottom w:val="0"/>
      <w:divBdr>
        <w:top w:val="none" w:sz="0" w:space="0" w:color="auto"/>
        <w:left w:val="none" w:sz="0" w:space="0" w:color="auto"/>
        <w:bottom w:val="none" w:sz="0" w:space="0" w:color="auto"/>
        <w:right w:val="none" w:sz="0" w:space="0" w:color="auto"/>
      </w:divBdr>
    </w:div>
    <w:div w:id="825053910">
      <w:bodyDiv w:val="1"/>
      <w:marLeft w:val="0"/>
      <w:marRight w:val="0"/>
      <w:marTop w:val="0"/>
      <w:marBottom w:val="0"/>
      <w:divBdr>
        <w:top w:val="none" w:sz="0" w:space="0" w:color="auto"/>
        <w:left w:val="none" w:sz="0" w:space="0" w:color="auto"/>
        <w:bottom w:val="none" w:sz="0" w:space="0" w:color="auto"/>
        <w:right w:val="none" w:sz="0" w:space="0" w:color="auto"/>
      </w:divBdr>
    </w:div>
    <w:div w:id="825703148">
      <w:bodyDiv w:val="1"/>
      <w:marLeft w:val="0"/>
      <w:marRight w:val="0"/>
      <w:marTop w:val="0"/>
      <w:marBottom w:val="0"/>
      <w:divBdr>
        <w:top w:val="none" w:sz="0" w:space="0" w:color="auto"/>
        <w:left w:val="none" w:sz="0" w:space="0" w:color="auto"/>
        <w:bottom w:val="none" w:sz="0" w:space="0" w:color="auto"/>
        <w:right w:val="none" w:sz="0" w:space="0" w:color="auto"/>
      </w:divBdr>
    </w:div>
    <w:div w:id="841316067">
      <w:bodyDiv w:val="1"/>
      <w:marLeft w:val="0"/>
      <w:marRight w:val="0"/>
      <w:marTop w:val="0"/>
      <w:marBottom w:val="0"/>
      <w:divBdr>
        <w:top w:val="none" w:sz="0" w:space="0" w:color="auto"/>
        <w:left w:val="none" w:sz="0" w:space="0" w:color="auto"/>
        <w:bottom w:val="none" w:sz="0" w:space="0" w:color="auto"/>
        <w:right w:val="none" w:sz="0" w:space="0" w:color="auto"/>
      </w:divBdr>
    </w:div>
    <w:div w:id="849568646">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76236499">
      <w:bodyDiv w:val="1"/>
      <w:marLeft w:val="0"/>
      <w:marRight w:val="0"/>
      <w:marTop w:val="0"/>
      <w:marBottom w:val="0"/>
      <w:divBdr>
        <w:top w:val="none" w:sz="0" w:space="0" w:color="auto"/>
        <w:left w:val="none" w:sz="0" w:space="0" w:color="auto"/>
        <w:bottom w:val="none" w:sz="0" w:space="0" w:color="auto"/>
        <w:right w:val="none" w:sz="0" w:space="0" w:color="auto"/>
      </w:divBdr>
    </w:div>
    <w:div w:id="884028772">
      <w:bodyDiv w:val="1"/>
      <w:marLeft w:val="0"/>
      <w:marRight w:val="0"/>
      <w:marTop w:val="0"/>
      <w:marBottom w:val="0"/>
      <w:divBdr>
        <w:top w:val="none" w:sz="0" w:space="0" w:color="auto"/>
        <w:left w:val="none" w:sz="0" w:space="0" w:color="auto"/>
        <w:bottom w:val="none" w:sz="0" w:space="0" w:color="auto"/>
        <w:right w:val="none" w:sz="0" w:space="0" w:color="auto"/>
      </w:divBdr>
    </w:div>
    <w:div w:id="890651781">
      <w:bodyDiv w:val="1"/>
      <w:marLeft w:val="0"/>
      <w:marRight w:val="0"/>
      <w:marTop w:val="0"/>
      <w:marBottom w:val="0"/>
      <w:divBdr>
        <w:top w:val="none" w:sz="0" w:space="0" w:color="auto"/>
        <w:left w:val="none" w:sz="0" w:space="0" w:color="auto"/>
        <w:bottom w:val="none" w:sz="0" w:space="0" w:color="auto"/>
        <w:right w:val="none" w:sz="0" w:space="0" w:color="auto"/>
      </w:divBdr>
    </w:div>
    <w:div w:id="910164477">
      <w:bodyDiv w:val="1"/>
      <w:marLeft w:val="0"/>
      <w:marRight w:val="0"/>
      <w:marTop w:val="0"/>
      <w:marBottom w:val="0"/>
      <w:divBdr>
        <w:top w:val="none" w:sz="0" w:space="0" w:color="auto"/>
        <w:left w:val="none" w:sz="0" w:space="0" w:color="auto"/>
        <w:bottom w:val="none" w:sz="0" w:space="0" w:color="auto"/>
        <w:right w:val="none" w:sz="0" w:space="0" w:color="auto"/>
      </w:divBdr>
    </w:div>
    <w:div w:id="924925157">
      <w:bodyDiv w:val="1"/>
      <w:marLeft w:val="0"/>
      <w:marRight w:val="0"/>
      <w:marTop w:val="0"/>
      <w:marBottom w:val="0"/>
      <w:divBdr>
        <w:top w:val="none" w:sz="0" w:space="0" w:color="auto"/>
        <w:left w:val="none" w:sz="0" w:space="0" w:color="auto"/>
        <w:bottom w:val="none" w:sz="0" w:space="0" w:color="auto"/>
        <w:right w:val="none" w:sz="0" w:space="0" w:color="auto"/>
      </w:divBdr>
    </w:div>
    <w:div w:id="930699119">
      <w:bodyDiv w:val="1"/>
      <w:marLeft w:val="0"/>
      <w:marRight w:val="0"/>
      <w:marTop w:val="0"/>
      <w:marBottom w:val="0"/>
      <w:divBdr>
        <w:top w:val="none" w:sz="0" w:space="0" w:color="auto"/>
        <w:left w:val="none" w:sz="0" w:space="0" w:color="auto"/>
        <w:bottom w:val="none" w:sz="0" w:space="0" w:color="auto"/>
        <w:right w:val="none" w:sz="0" w:space="0" w:color="auto"/>
      </w:divBdr>
    </w:div>
    <w:div w:id="934099169">
      <w:bodyDiv w:val="1"/>
      <w:marLeft w:val="0"/>
      <w:marRight w:val="0"/>
      <w:marTop w:val="0"/>
      <w:marBottom w:val="0"/>
      <w:divBdr>
        <w:top w:val="none" w:sz="0" w:space="0" w:color="auto"/>
        <w:left w:val="none" w:sz="0" w:space="0" w:color="auto"/>
        <w:bottom w:val="none" w:sz="0" w:space="0" w:color="auto"/>
        <w:right w:val="none" w:sz="0" w:space="0" w:color="auto"/>
      </w:divBdr>
      <w:divsChild>
        <w:div w:id="1847472836">
          <w:marLeft w:val="274"/>
          <w:marRight w:val="0"/>
          <w:marTop w:val="0"/>
          <w:marBottom w:val="60"/>
          <w:divBdr>
            <w:top w:val="none" w:sz="0" w:space="0" w:color="auto"/>
            <w:left w:val="none" w:sz="0" w:space="0" w:color="auto"/>
            <w:bottom w:val="none" w:sz="0" w:space="0" w:color="auto"/>
            <w:right w:val="none" w:sz="0" w:space="0" w:color="auto"/>
          </w:divBdr>
        </w:div>
      </w:divsChild>
    </w:div>
    <w:div w:id="935675023">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41689633">
      <w:bodyDiv w:val="1"/>
      <w:marLeft w:val="0"/>
      <w:marRight w:val="0"/>
      <w:marTop w:val="0"/>
      <w:marBottom w:val="0"/>
      <w:divBdr>
        <w:top w:val="none" w:sz="0" w:space="0" w:color="auto"/>
        <w:left w:val="none" w:sz="0" w:space="0" w:color="auto"/>
        <w:bottom w:val="none" w:sz="0" w:space="0" w:color="auto"/>
        <w:right w:val="none" w:sz="0" w:space="0" w:color="auto"/>
      </w:divBdr>
    </w:div>
    <w:div w:id="965619005">
      <w:bodyDiv w:val="1"/>
      <w:marLeft w:val="0"/>
      <w:marRight w:val="0"/>
      <w:marTop w:val="0"/>
      <w:marBottom w:val="0"/>
      <w:divBdr>
        <w:top w:val="none" w:sz="0" w:space="0" w:color="auto"/>
        <w:left w:val="none" w:sz="0" w:space="0" w:color="auto"/>
        <w:bottom w:val="none" w:sz="0" w:space="0" w:color="auto"/>
        <w:right w:val="none" w:sz="0" w:space="0" w:color="auto"/>
      </w:divBdr>
    </w:div>
    <w:div w:id="988174305">
      <w:bodyDiv w:val="1"/>
      <w:marLeft w:val="0"/>
      <w:marRight w:val="0"/>
      <w:marTop w:val="0"/>
      <w:marBottom w:val="0"/>
      <w:divBdr>
        <w:top w:val="none" w:sz="0" w:space="0" w:color="auto"/>
        <w:left w:val="none" w:sz="0" w:space="0" w:color="auto"/>
        <w:bottom w:val="none" w:sz="0" w:space="0" w:color="auto"/>
        <w:right w:val="none" w:sz="0" w:space="0" w:color="auto"/>
      </w:divBdr>
    </w:div>
    <w:div w:id="1002657201">
      <w:bodyDiv w:val="1"/>
      <w:marLeft w:val="0"/>
      <w:marRight w:val="0"/>
      <w:marTop w:val="0"/>
      <w:marBottom w:val="0"/>
      <w:divBdr>
        <w:top w:val="none" w:sz="0" w:space="0" w:color="auto"/>
        <w:left w:val="none" w:sz="0" w:space="0" w:color="auto"/>
        <w:bottom w:val="none" w:sz="0" w:space="0" w:color="auto"/>
        <w:right w:val="none" w:sz="0" w:space="0" w:color="auto"/>
      </w:divBdr>
    </w:div>
    <w:div w:id="1004406336">
      <w:bodyDiv w:val="1"/>
      <w:marLeft w:val="0"/>
      <w:marRight w:val="0"/>
      <w:marTop w:val="0"/>
      <w:marBottom w:val="0"/>
      <w:divBdr>
        <w:top w:val="none" w:sz="0" w:space="0" w:color="auto"/>
        <w:left w:val="none" w:sz="0" w:space="0" w:color="auto"/>
        <w:bottom w:val="none" w:sz="0" w:space="0" w:color="auto"/>
        <w:right w:val="none" w:sz="0" w:space="0" w:color="auto"/>
      </w:divBdr>
    </w:div>
    <w:div w:id="1023242874">
      <w:bodyDiv w:val="1"/>
      <w:marLeft w:val="0"/>
      <w:marRight w:val="0"/>
      <w:marTop w:val="0"/>
      <w:marBottom w:val="0"/>
      <w:divBdr>
        <w:top w:val="none" w:sz="0" w:space="0" w:color="auto"/>
        <w:left w:val="none" w:sz="0" w:space="0" w:color="auto"/>
        <w:bottom w:val="none" w:sz="0" w:space="0" w:color="auto"/>
        <w:right w:val="none" w:sz="0" w:space="0" w:color="auto"/>
      </w:divBdr>
    </w:div>
    <w:div w:id="1032266695">
      <w:bodyDiv w:val="1"/>
      <w:marLeft w:val="0"/>
      <w:marRight w:val="0"/>
      <w:marTop w:val="0"/>
      <w:marBottom w:val="0"/>
      <w:divBdr>
        <w:top w:val="none" w:sz="0" w:space="0" w:color="auto"/>
        <w:left w:val="none" w:sz="0" w:space="0" w:color="auto"/>
        <w:bottom w:val="none" w:sz="0" w:space="0" w:color="auto"/>
        <w:right w:val="none" w:sz="0" w:space="0" w:color="auto"/>
      </w:divBdr>
    </w:div>
    <w:div w:id="1034690725">
      <w:bodyDiv w:val="1"/>
      <w:marLeft w:val="0"/>
      <w:marRight w:val="0"/>
      <w:marTop w:val="0"/>
      <w:marBottom w:val="0"/>
      <w:divBdr>
        <w:top w:val="none" w:sz="0" w:space="0" w:color="auto"/>
        <w:left w:val="none" w:sz="0" w:space="0" w:color="auto"/>
        <w:bottom w:val="none" w:sz="0" w:space="0" w:color="auto"/>
        <w:right w:val="none" w:sz="0" w:space="0" w:color="auto"/>
      </w:divBdr>
    </w:div>
    <w:div w:id="1058942609">
      <w:bodyDiv w:val="1"/>
      <w:marLeft w:val="0"/>
      <w:marRight w:val="0"/>
      <w:marTop w:val="0"/>
      <w:marBottom w:val="0"/>
      <w:divBdr>
        <w:top w:val="none" w:sz="0" w:space="0" w:color="auto"/>
        <w:left w:val="none" w:sz="0" w:space="0" w:color="auto"/>
        <w:bottom w:val="none" w:sz="0" w:space="0" w:color="auto"/>
        <w:right w:val="none" w:sz="0" w:space="0" w:color="auto"/>
      </w:divBdr>
    </w:div>
    <w:div w:id="1061174116">
      <w:bodyDiv w:val="1"/>
      <w:marLeft w:val="0"/>
      <w:marRight w:val="0"/>
      <w:marTop w:val="0"/>
      <w:marBottom w:val="0"/>
      <w:divBdr>
        <w:top w:val="none" w:sz="0" w:space="0" w:color="auto"/>
        <w:left w:val="none" w:sz="0" w:space="0" w:color="auto"/>
        <w:bottom w:val="none" w:sz="0" w:space="0" w:color="auto"/>
        <w:right w:val="none" w:sz="0" w:space="0" w:color="auto"/>
      </w:divBdr>
    </w:div>
    <w:div w:id="1071276339">
      <w:bodyDiv w:val="1"/>
      <w:marLeft w:val="0"/>
      <w:marRight w:val="0"/>
      <w:marTop w:val="0"/>
      <w:marBottom w:val="0"/>
      <w:divBdr>
        <w:top w:val="none" w:sz="0" w:space="0" w:color="auto"/>
        <w:left w:val="none" w:sz="0" w:space="0" w:color="auto"/>
        <w:bottom w:val="none" w:sz="0" w:space="0" w:color="auto"/>
        <w:right w:val="none" w:sz="0" w:space="0" w:color="auto"/>
      </w:divBdr>
    </w:div>
    <w:div w:id="1096172222">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09087315">
      <w:bodyDiv w:val="1"/>
      <w:marLeft w:val="0"/>
      <w:marRight w:val="0"/>
      <w:marTop w:val="0"/>
      <w:marBottom w:val="0"/>
      <w:divBdr>
        <w:top w:val="none" w:sz="0" w:space="0" w:color="auto"/>
        <w:left w:val="none" w:sz="0" w:space="0" w:color="auto"/>
        <w:bottom w:val="none" w:sz="0" w:space="0" w:color="auto"/>
        <w:right w:val="none" w:sz="0" w:space="0" w:color="auto"/>
      </w:divBdr>
    </w:div>
    <w:div w:id="1120344942">
      <w:bodyDiv w:val="1"/>
      <w:marLeft w:val="0"/>
      <w:marRight w:val="0"/>
      <w:marTop w:val="0"/>
      <w:marBottom w:val="0"/>
      <w:divBdr>
        <w:top w:val="none" w:sz="0" w:space="0" w:color="auto"/>
        <w:left w:val="none" w:sz="0" w:space="0" w:color="auto"/>
        <w:bottom w:val="none" w:sz="0" w:space="0" w:color="auto"/>
        <w:right w:val="none" w:sz="0" w:space="0" w:color="auto"/>
      </w:divBdr>
    </w:div>
    <w:div w:id="1132331481">
      <w:bodyDiv w:val="1"/>
      <w:marLeft w:val="0"/>
      <w:marRight w:val="0"/>
      <w:marTop w:val="0"/>
      <w:marBottom w:val="0"/>
      <w:divBdr>
        <w:top w:val="none" w:sz="0" w:space="0" w:color="auto"/>
        <w:left w:val="none" w:sz="0" w:space="0" w:color="auto"/>
        <w:bottom w:val="none" w:sz="0" w:space="0" w:color="auto"/>
        <w:right w:val="none" w:sz="0" w:space="0" w:color="auto"/>
      </w:divBdr>
    </w:div>
    <w:div w:id="1132409697">
      <w:bodyDiv w:val="1"/>
      <w:marLeft w:val="0"/>
      <w:marRight w:val="0"/>
      <w:marTop w:val="0"/>
      <w:marBottom w:val="0"/>
      <w:divBdr>
        <w:top w:val="none" w:sz="0" w:space="0" w:color="auto"/>
        <w:left w:val="none" w:sz="0" w:space="0" w:color="auto"/>
        <w:bottom w:val="none" w:sz="0" w:space="0" w:color="auto"/>
        <w:right w:val="none" w:sz="0" w:space="0" w:color="auto"/>
      </w:divBdr>
    </w:div>
    <w:div w:id="1133251857">
      <w:bodyDiv w:val="1"/>
      <w:marLeft w:val="0"/>
      <w:marRight w:val="0"/>
      <w:marTop w:val="0"/>
      <w:marBottom w:val="0"/>
      <w:divBdr>
        <w:top w:val="none" w:sz="0" w:space="0" w:color="auto"/>
        <w:left w:val="none" w:sz="0" w:space="0" w:color="auto"/>
        <w:bottom w:val="none" w:sz="0" w:space="0" w:color="auto"/>
        <w:right w:val="none" w:sz="0" w:space="0" w:color="auto"/>
      </w:divBdr>
    </w:div>
    <w:div w:id="1137799453">
      <w:bodyDiv w:val="1"/>
      <w:marLeft w:val="0"/>
      <w:marRight w:val="0"/>
      <w:marTop w:val="0"/>
      <w:marBottom w:val="0"/>
      <w:divBdr>
        <w:top w:val="none" w:sz="0" w:space="0" w:color="auto"/>
        <w:left w:val="none" w:sz="0" w:space="0" w:color="auto"/>
        <w:bottom w:val="none" w:sz="0" w:space="0" w:color="auto"/>
        <w:right w:val="none" w:sz="0" w:space="0" w:color="auto"/>
      </w:divBdr>
    </w:div>
    <w:div w:id="1160343299">
      <w:bodyDiv w:val="1"/>
      <w:marLeft w:val="0"/>
      <w:marRight w:val="0"/>
      <w:marTop w:val="0"/>
      <w:marBottom w:val="0"/>
      <w:divBdr>
        <w:top w:val="none" w:sz="0" w:space="0" w:color="auto"/>
        <w:left w:val="none" w:sz="0" w:space="0" w:color="auto"/>
        <w:bottom w:val="none" w:sz="0" w:space="0" w:color="auto"/>
        <w:right w:val="none" w:sz="0" w:space="0" w:color="auto"/>
      </w:divBdr>
    </w:div>
    <w:div w:id="1170607367">
      <w:bodyDiv w:val="1"/>
      <w:marLeft w:val="0"/>
      <w:marRight w:val="0"/>
      <w:marTop w:val="0"/>
      <w:marBottom w:val="0"/>
      <w:divBdr>
        <w:top w:val="none" w:sz="0" w:space="0" w:color="auto"/>
        <w:left w:val="none" w:sz="0" w:space="0" w:color="auto"/>
        <w:bottom w:val="none" w:sz="0" w:space="0" w:color="auto"/>
        <w:right w:val="none" w:sz="0" w:space="0" w:color="auto"/>
      </w:divBdr>
    </w:div>
    <w:div w:id="1189219161">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56672585">
      <w:bodyDiv w:val="1"/>
      <w:marLeft w:val="0"/>
      <w:marRight w:val="0"/>
      <w:marTop w:val="0"/>
      <w:marBottom w:val="0"/>
      <w:divBdr>
        <w:top w:val="none" w:sz="0" w:space="0" w:color="auto"/>
        <w:left w:val="none" w:sz="0" w:space="0" w:color="auto"/>
        <w:bottom w:val="none" w:sz="0" w:space="0" w:color="auto"/>
        <w:right w:val="none" w:sz="0" w:space="0" w:color="auto"/>
      </w:divBdr>
    </w:div>
    <w:div w:id="1272783984">
      <w:bodyDiv w:val="1"/>
      <w:marLeft w:val="0"/>
      <w:marRight w:val="0"/>
      <w:marTop w:val="0"/>
      <w:marBottom w:val="0"/>
      <w:divBdr>
        <w:top w:val="none" w:sz="0" w:space="0" w:color="auto"/>
        <w:left w:val="none" w:sz="0" w:space="0" w:color="auto"/>
        <w:bottom w:val="none" w:sz="0" w:space="0" w:color="auto"/>
        <w:right w:val="none" w:sz="0" w:space="0" w:color="auto"/>
      </w:divBdr>
    </w:div>
    <w:div w:id="1278176251">
      <w:bodyDiv w:val="1"/>
      <w:marLeft w:val="0"/>
      <w:marRight w:val="0"/>
      <w:marTop w:val="0"/>
      <w:marBottom w:val="0"/>
      <w:divBdr>
        <w:top w:val="none" w:sz="0" w:space="0" w:color="auto"/>
        <w:left w:val="none" w:sz="0" w:space="0" w:color="auto"/>
        <w:bottom w:val="none" w:sz="0" w:space="0" w:color="auto"/>
        <w:right w:val="none" w:sz="0" w:space="0" w:color="auto"/>
      </w:divBdr>
    </w:div>
    <w:div w:id="1300450595">
      <w:bodyDiv w:val="1"/>
      <w:marLeft w:val="0"/>
      <w:marRight w:val="0"/>
      <w:marTop w:val="0"/>
      <w:marBottom w:val="0"/>
      <w:divBdr>
        <w:top w:val="none" w:sz="0" w:space="0" w:color="auto"/>
        <w:left w:val="none" w:sz="0" w:space="0" w:color="auto"/>
        <w:bottom w:val="none" w:sz="0" w:space="0" w:color="auto"/>
        <w:right w:val="none" w:sz="0" w:space="0" w:color="auto"/>
      </w:divBdr>
    </w:div>
    <w:div w:id="1309166303">
      <w:bodyDiv w:val="1"/>
      <w:marLeft w:val="0"/>
      <w:marRight w:val="0"/>
      <w:marTop w:val="0"/>
      <w:marBottom w:val="0"/>
      <w:divBdr>
        <w:top w:val="none" w:sz="0" w:space="0" w:color="auto"/>
        <w:left w:val="none" w:sz="0" w:space="0" w:color="auto"/>
        <w:bottom w:val="none" w:sz="0" w:space="0" w:color="auto"/>
        <w:right w:val="none" w:sz="0" w:space="0" w:color="auto"/>
      </w:divBdr>
    </w:div>
    <w:div w:id="1313564254">
      <w:bodyDiv w:val="1"/>
      <w:marLeft w:val="0"/>
      <w:marRight w:val="0"/>
      <w:marTop w:val="0"/>
      <w:marBottom w:val="0"/>
      <w:divBdr>
        <w:top w:val="none" w:sz="0" w:space="0" w:color="auto"/>
        <w:left w:val="none" w:sz="0" w:space="0" w:color="auto"/>
        <w:bottom w:val="none" w:sz="0" w:space="0" w:color="auto"/>
        <w:right w:val="none" w:sz="0" w:space="0" w:color="auto"/>
      </w:divBdr>
    </w:div>
    <w:div w:id="1314408229">
      <w:bodyDiv w:val="1"/>
      <w:marLeft w:val="0"/>
      <w:marRight w:val="0"/>
      <w:marTop w:val="0"/>
      <w:marBottom w:val="0"/>
      <w:divBdr>
        <w:top w:val="none" w:sz="0" w:space="0" w:color="auto"/>
        <w:left w:val="none" w:sz="0" w:space="0" w:color="auto"/>
        <w:bottom w:val="none" w:sz="0" w:space="0" w:color="auto"/>
        <w:right w:val="none" w:sz="0" w:space="0" w:color="auto"/>
      </w:divBdr>
    </w:div>
    <w:div w:id="1337347431">
      <w:bodyDiv w:val="1"/>
      <w:marLeft w:val="0"/>
      <w:marRight w:val="0"/>
      <w:marTop w:val="0"/>
      <w:marBottom w:val="0"/>
      <w:divBdr>
        <w:top w:val="none" w:sz="0" w:space="0" w:color="auto"/>
        <w:left w:val="none" w:sz="0" w:space="0" w:color="auto"/>
        <w:bottom w:val="none" w:sz="0" w:space="0" w:color="auto"/>
        <w:right w:val="none" w:sz="0" w:space="0" w:color="auto"/>
      </w:divBdr>
    </w:div>
    <w:div w:id="1358119997">
      <w:bodyDiv w:val="1"/>
      <w:marLeft w:val="0"/>
      <w:marRight w:val="0"/>
      <w:marTop w:val="0"/>
      <w:marBottom w:val="0"/>
      <w:divBdr>
        <w:top w:val="none" w:sz="0" w:space="0" w:color="auto"/>
        <w:left w:val="none" w:sz="0" w:space="0" w:color="auto"/>
        <w:bottom w:val="none" w:sz="0" w:space="0" w:color="auto"/>
        <w:right w:val="none" w:sz="0" w:space="0" w:color="auto"/>
      </w:divBdr>
    </w:div>
    <w:div w:id="1364011937">
      <w:bodyDiv w:val="1"/>
      <w:marLeft w:val="0"/>
      <w:marRight w:val="0"/>
      <w:marTop w:val="0"/>
      <w:marBottom w:val="0"/>
      <w:divBdr>
        <w:top w:val="none" w:sz="0" w:space="0" w:color="auto"/>
        <w:left w:val="none" w:sz="0" w:space="0" w:color="auto"/>
        <w:bottom w:val="none" w:sz="0" w:space="0" w:color="auto"/>
        <w:right w:val="none" w:sz="0" w:space="0" w:color="auto"/>
      </w:divBdr>
    </w:div>
    <w:div w:id="1370060041">
      <w:bodyDiv w:val="1"/>
      <w:marLeft w:val="0"/>
      <w:marRight w:val="0"/>
      <w:marTop w:val="0"/>
      <w:marBottom w:val="0"/>
      <w:divBdr>
        <w:top w:val="none" w:sz="0" w:space="0" w:color="auto"/>
        <w:left w:val="none" w:sz="0" w:space="0" w:color="auto"/>
        <w:bottom w:val="none" w:sz="0" w:space="0" w:color="auto"/>
        <w:right w:val="none" w:sz="0" w:space="0" w:color="auto"/>
      </w:divBdr>
    </w:div>
    <w:div w:id="1374035915">
      <w:bodyDiv w:val="1"/>
      <w:marLeft w:val="0"/>
      <w:marRight w:val="0"/>
      <w:marTop w:val="0"/>
      <w:marBottom w:val="0"/>
      <w:divBdr>
        <w:top w:val="none" w:sz="0" w:space="0" w:color="auto"/>
        <w:left w:val="none" w:sz="0" w:space="0" w:color="auto"/>
        <w:bottom w:val="none" w:sz="0" w:space="0" w:color="auto"/>
        <w:right w:val="none" w:sz="0" w:space="0" w:color="auto"/>
      </w:divBdr>
    </w:div>
    <w:div w:id="1388648662">
      <w:bodyDiv w:val="1"/>
      <w:marLeft w:val="0"/>
      <w:marRight w:val="0"/>
      <w:marTop w:val="0"/>
      <w:marBottom w:val="0"/>
      <w:divBdr>
        <w:top w:val="none" w:sz="0" w:space="0" w:color="auto"/>
        <w:left w:val="none" w:sz="0" w:space="0" w:color="auto"/>
        <w:bottom w:val="none" w:sz="0" w:space="0" w:color="auto"/>
        <w:right w:val="none" w:sz="0" w:space="0" w:color="auto"/>
      </w:divBdr>
    </w:div>
    <w:div w:id="1414164680">
      <w:bodyDiv w:val="1"/>
      <w:marLeft w:val="0"/>
      <w:marRight w:val="0"/>
      <w:marTop w:val="0"/>
      <w:marBottom w:val="0"/>
      <w:divBdr>
        <w:top w:val="none" w:sz="0" w:space="0" w:color="auto"/>
        <w:left w:val="none" w:sz="0" w:space="0" w:color="auto"/>
        <w:bottom w:val="none" w:sz="0" w:space="0" w:color="auto"/>
        <w:right w:val="none" w:sz="0" w:space="0" w:color="auto"/>
      </w:divBdr>
    </w:div>
    <w:div w:id="1417166535">
      <w:bodyDiv w:val="1"/>
      <w:marLeft w:val="0"/>
      <w:marRight w:val="0"/>
      <w:marTop w:val="0"/>
      <w:marBottom w:val="0"/>
      <w:divBdr>
        <w:top w:val="none" w:sz="0" w:space="0" w:color="auto"/>
        <w:left w:val="none" w:sz="0" w:space="0" w:color="auto"/>
        <w:bottom w:val="none" w:sz="0" w:space="0" w:color="auto"/>
        <w:right w:val="none" w:sz="0" w:space="0" w:color="auto"/>
      </w:divBdr>
    </w:div>
    <w:div w:id="1419014264">
      <w:bodyDiv w:val="1"/>
      <w:marLeft w:val="0"/>
      <w:marRight w:val="0"/>
      <w:marTop w:val="0"/>
      <w:marBottom w:val="0"/>
      <w:divBdr>
        <w:top w:val="none" w:sz="0" w:space="0" w:color="auto"/>
        <w:left w:val="none" w:sz="0" w:space="0" w:color="auto"/>
        <w:bottom w:val="none" w:sz="0" w:space="0" w:color="auto"/>
        <w:right w:val="none" w:sz="0" w:space="0" w:color="auto"/>
      </w:divBdr>
    </w:div>
    <w:div w:id="1429740734">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65656078">
      <w:bodyDiv w:val="1"/>
      <w:marLeft w:val="0"/>
      <w:marRight w:val="0"/>
      <w:marTop w:val="0"/>
      <w:marBottom w:val="0"/>
      <w:divBdr>
        <w:top w:val="none" w:sz="0" w:space="0" w:color="auto"/>
        <w:left w:val="none" w:sz="0" w:space="0" w:color="auto"/>
        <w:bottom w:val="none" w:sz="0" w:space="0" w:color="auto"/>
        <w:right w:val="none" w:sz="0" w:space="0" w:color="auto"/>
      </w:divBdr>
    </w:div>
    <w:div w:id="1486316827">
      <w:bodyDiv w:val="1"/>
      <w:marLeft w:val="0"/>
      <w:marRight w:val="0"/>
      <w:marTop w:val="0"/>
      <w:marBottom w:val="0"/>
      <w:divBdr>
        <w:top w:val="none" w:sz="0" w:space="0" w:color="auto"/>
        <w:left w:val="none" w:sz="0" w:space="0" w:color="auto"/>
        <w:bottom w:val="none" w:sz="0" w:space="0" w:color="auto"/>
        <w:right w:val="none" w:sz="0" w:space="0" w:color="auto"/>
      </w:divBdr>
      <w:divsChild>
        <w:div w:id="1334146986">
          <w:marLeft w:val="274"/>
          <w:marRight w:val="0"/>
          <w:marTop w:val="0"/>
          <w:marBottom w:val="60"/>
          <w:divBdr>
            <w:top w:val="none" w:sz="0" w:space="0" w:color="auto"/>
            <w:left w:val="none" w:sz="0" w:space="0" w:color="auto"/>
            <w:bottom w:val="none" w:sz="0" w:space="0" w:color="auto"/>
            <w:right w:val="none" w:sz="0" w:space="0" w:color="auto"/>
          </w:divBdr>
        </w:div>
      </w:divsChild>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04782571">
      <w:bodyDiv w:val="1"/>
      <w:marLeft w:val="0"/>
      <w:marRight w:val="0"/>
      <w:marTop w:val="0"/>
      <w:marBottom w:val="0"/>
      <w:divBdr>
        <w:top w:val="none" w:sz="0" w:space="0" w:color="auto"/>
        <w:left w:val="none" w:sz="0" w:space="0" w:color="auto"/>
        <w:bottom w:val="none" w:sz="0" w:space="0" w:color="auto"/>
        <w:right w:val="none" w:sz="0" w:space="0" w:color="auto"/>
      </w:divBdr>
    </w:div>
    <w:div w:id="1505050677">
      <w:bodyDiv w:val="1"/>
      <w:marLeft w:val="0"/>
      <w:marRight w:val="0"/>
      <w:marTop w:val="0"/>
      <w:marBottom w:val="0"/>
      <w:divBdr>
        <w:top w:val="none" w:sz="0" w:space="0" w:color="auto"/>
        <w:left w:val="none" w:sz="0" w:space="0" w:color="auto"/>
        <w:bottom w:val="none" w:sz="0" w:space="0" w:color="auto"/>
        <w:right w:val="none" w:sz="0" w:space="0" w:color="auto"/>
      </w:divBdr>
    </w:div>
    <w:div w:id="1513257838">
      <w:bodyDiv w:val="1"/>
      <w:marLeft w:val="0"/>
      <w:marRight w:val="0"/>
      <w:marTop w:val="0"/>
      <w:marBottom w:val="0"/>
      <w:divBdr>
        <w:top w:val="none" w:sz="0" w:space="0" w:color="auto"/>
        <w:left w:val="none" w:sz="0" w:space="0" w:color="auto"/>
        <w:bottom w:val="none" w:sz="0" w:space="0" w:color="auto"/>
        <w:right w:val="none" w:sz="0" w:space="0" w:color="auto"/>
      </w:divBdr>
    </w:div>
    <w:div w:id="1545216304">
      <w:bodyDiv w:val="1"/>
      <w:marLeft w:val="0"/>
      <w:marRight w:val="0"/>
      <w:marTop w:val="0"/>
      <w:marBottom w:val="0"/>
      <w:divBdr>
        <w:top w:val="none" w:sz="0" w:space="0" w:color="auto"/>
        <w:left w:val="none" w:sz="0" w:space="0" w:color="auto"/>
        <w:bottom w:val="none" w:sz="0" w:space="0" w:color="auto"/>
        <w:right w:val="none" w:sz="0" w:space="0" w:color="auto"/>
      </w:divBdr>
    </w:div>
    <w:div w:id="1545681193">
      <w:bodyDiv w:val="1"/>
      <w:marLeft w:val="0"/>
      <w:marRight w:val="0"/>
      <w:marTop w:val="0"/>
      <w:marBottom w:val="0"/>
      <w:divBdr>
        <w:top w:val="none" w:sz="0" w:space="0" w:color="auto"/>
        <w:left w:val="none" w:sz="0" w:space="0" w:color="auto"/>
        <w:bottom w:val="none" w:sz="0" w:space="0" w:color="auto"/>
        <w:right w:val="none" w:sz="0" w:space="0" w:color="auto"/>
      </w:divBdr>
    </w:div>
    <w:div w:id="1567107362">
      <w:bodyDiv w:val="1"/>
      <w:marLeft w:val="0"/>
      <w:marRight w:val="0"/>
      <w:marTop w:val="0"/>
      <w:marBottom w:val="0"/>
      <w:divBdr>
        <w:top w:val="none" w:sz="0" w:space="0" w:color="auto"/>
        <w:left w:val="none" w:sz="0" w:space="0" w:color="auto"/>
        <w:bottom w:val="none" w:sz="0" w:space="0" w:color="auto"/>
        <w:right w:val="none" w:sz="0" w:space="0" w:color="auto"/>
      </w:divBdr>
    </w:div>
    <w:div w:id="1568227838">
      <w:bodyDiv w:val="1"/>
      <w:marLeft w:val="0"/>
      <w:marRight w:val="0"/>
      <w:marTop w:val="0"/>
      <w:marBottom w:val="0"/>
      <w:divBdr>
        <w:top w:val="none" w:sz="0" w:space="0" w:color="auto"/>
        <w:left w:val="none" w:sz="0" w:space="0" w:color="auto"/>
        <w:bottom w:val="none" w:sz="0" w:space="0" w:color="auto"/>
        <w:right w:val="none" w:sz="0" w:space="0" w:color="auto"/>
      </w:divBdr>
    </w:div>
    <w:div w:id="1578400987">
      <w:bodyDiv w:val="1"/>
      <w:marLeft w:val="0"/>
      <w:marRight w:val="0"/>
      <w:marTop w:val="0"/>
      <w:marBottom w:val="0"/>
      <w:divBdr>
        <w:top w:val="none" w:sz="0" w:space="0" w:color="auto"/>
        <w:left w:val="none" w:sz="0" w:space="0" w:color="auto"/>
        <w:bottom w:val="none" w:sz="0" w:space="0" w:color="auto"/>
        <w:right w:val="none" w:sz="0" w:space="0" w:color="auto"/>
      </w:divBdr>
    </w:div>
    <w:div w:id="1593584322">
      <w:bodyDiv w:val="1"/>
      <w:marLeft w:val="0"/>
      <w:marRight w:val="0"/>
      <w:marTop w:val="0"/>
      <w:marBottom w:val="0"/>
      <w:divBdr>
        <w:top w:val="none" w:sz="0" w:space="0" w:color="auto"/>
        <w:left w:val="none" w:sz="0" w:space="0" w:color="auto"/>
        <w:bottom w:val="none" w:sz="0" w:space="0" w:color="auto"/>
        <w:right w:val="none" w:sz="0" w:space="0" w:color="auto"/>
      </w:divBdr>
    </w:div>
    <w:div w:id="1607348413">
      <w:bodyDiv w:val="1"/>
      <w:marLeft w:val="0"/>
      <w:marRight w:val="0"/>
      <w:marTop w:val="0"/>
      <w:marBottom w:val="0"/>
      <w:divBdr>
        <w:top w:val="none" w:sz="0" w:space="0" w:color="auto"/>
        <w:left w:val="none" w:sz="0" w:space="0" w:color="auto"/>
        <w:bottom w:val="none" w:sz="0" w:space="0" w:color="auto"/>
        <w:right w:val="none" w:sz="0" w:space="0" w:color="auto"/>
      </w:divBdr>
      <w:divsChild>
        <w:div w:id="626931915">
          <w:marLeft w:val="274"/>
          <w:marRight w:val="0"/>
          <w:marTop w:val="60"/>
          <w:marBottom w:val="60"/>
          <w:divBdr>
            <w:top w:val="none" w:sz="0" w:space="0" w:color="auto"/>
            <w:left w:val="none" w:sz="0" w:space="0" w:color="auto"/>
            <w:bottom w:val="none" w:sz="0" w:space="0" w:color="auto"/>
            <w:right w:val="none" w:sz="0" w:space="0" w:color="auto"/>
          </w:divBdr>
        </w:div>
        <w:div w:id="777480964">
          <w:marLeft w:val="274"/>
          <w:marRight w:val="0"/>
          <w:marTop w:val="60"/>
          <w:marBottom w:val="60"/>
          <w:divBdr>
            <w:top w:val="none" w:sz="0" w:space="0" w:color="auto"/>
            <w:left w:val="none" w:sz="0" w:space="0" w:color="auto"/>
            <w:bottom w:val="none" w:sz="0" w:space="0" w:color="auto"/>
            <w:right w:val="none" w:sz="0" w:space="0" w:color="auto"/>
          </w:divBdr>
        </w:div>
      </w:divsChild>
    </w:div>
    <w:div w:id="1609045001">
      <w:bodyDiv w:val="1"/>
      <w:marLeft w:val="0"/>
      <w:marRight w:val="0"/>
      <w:marTop w:val="0"/>
      <w:marBottom w:val="0"/>
      <w:divBdr>
        <w:top w:val="none" w:sz="0" w:space="0" w:color="auto"/>
        <w:left w:val="none" w:sz="0" w:space="0" w:color="auto"/>
        <w:bottom w:val="none" w:sz="0" w:space="0" w:color="auto"/>
        <w:right w:val="none" w:sz="0" w:space="0" w:color="auto"/>
      </w:divBdr>
    </w:div>
    <w:div w:id="1620452784">
      <w:bodyDiv w:val="1"/>
      <w:marLeft w:val="0"/>
      <w:marRight w:val="0"/>
      <w:marTop w:val="0"/>
      <w:marBottom w:val="0"/>
      <w:divBdr>
        <w:top w:val="none" w:sz="0" w:space="0" w:color="auto"/>
        <w:left w:val="none" w:sz="0" w:space="0" w:color="auto"/>
        <w:bottom w:val="none" w:sz="0" w:space="0" w:color="auto"/>
        <w:right w:val="none" w:sz="0" w:space="0" w:color="auto"/>
      </w:divBdr>
    </w:div>
    <w:div w:id="1621915168">
      <w:bodyDiv w:val="1"/>
      <w:marLeft w:val="0"/>
      <w:marRight w:val="0"/>
      <w:marTop w:val="0"/>
      <w:marBottom w:val="0"/>
      <w:divBdr>
        <w:top w:val="none" w:sz="0" w:space="0" w:color="auto"/>
        <w:left w:val="none" w:sz="0" w:space="0" w:color="auto"/>
        <w:bottom w:val="none" w:sz="0" w:space="0" w:color="auto"/>
        <w:right w:val="none" w:sz="0" w:space="0" w:color="auto"/>
      </w:divBdr>
    </w:div>
    <w:div w:id="1625504186">
      <w:bodyDiv w:val="1"/>
      <w:marLeft w:val="0"/>
      <w:marRight w:val="0"/>
      <w:marTop w:val="0"/>
      <w:marBottom w:val="0"/>
      <w:divBdr>
        <w:top w:val="none" w:sz="0" w:space="0" w:color="auto"/>
        <w:left w:val="none" w:sz="0" w:space="0" w:color="auto"/>
        <w:bottom w:val="none" w:sz="0" w:space="0" w:color="auto"/>
        <w:right w:val="none" w:sz="0" w:space="0" w:color="auto"/>
      </w:divBdr>
    </w:div>
    <w:div w:id="1641034345">
      <w:bodyDiv w:val="1"/>
      <w:marLeft w:val="0"/>
      <w:marRight w:val="0"/>
      <w:marTop w:val="0"/>
      <w:marBottom w:val="0"/>
      <w:divBdr>
        <w:top w:val="none" w:sz="0" w:space="0" w:color="auto"/>
        <w:left w:val="none" w:sz="0" w:space="0" w:color="auto"/>
        <w:bottom w:val="none" w:sz="0" w:space="0" w:color="auto"/>
        <w:right w:val="none" w:sz="0" w:space="0" w:color="auto"/>
      </w:divBdr>
    </w:div>
    <w:div w:id="1663387311">
      <w:bodyDiv w:val="1"/>
      <w:marLeft w:val="0"/>
      <w:marRight w:val="0"/>
      <w:marTop w:val="0"/>
      <w:marBottom w:val="0"/>
      <w:divBdr>
        <w:top w:val="none" w:sz="0" w:space="0" w:color="auto"/>
        <w:left w:val="none" w:sz="0" w:space="0" w:color="auto"/>
        <w:bottom w:val="none" w:sz="0" w:space="0" w:color="auto"/>
        <w:right w:val="none" w:sz="0" w:space="0" w:color="auto"/>
      </w:divBdr>
    </w:div>
    <w:div w:id="1674528546">
      <w:bodyDiv w:val="1"/>
      <w:marLeft w:val="0"/>
      <w:marRight w:val="0"/>
      <w:marTop w:val="0"/>
      <w:marBottom w:val="0"/>
      <w:divBdr>
        <w:top w:val="none" w:sz="0" w:space="0" w:color="auto"/>
        <w:left w:val="none" w:sz="0" w:space="0" w:color="auto"/>
        <w:bottom w:val="none" w:sz="0" w:space="0" w:color="auto"/>
        <w:right w:val="none" w:sz="0" w:space="0" w:color="auto"/>
      </w:divBdr>
    </w:div>
    <w:div w:id="1676491664">
      <w:bodyDiv w:val="1"/>
      <w:marLeft w:val="0"/>
      <w:marRight w:val="0"/>
      <w:marTop w:val="0"/>
      <w:marBottom w:val="0"/>
      <w:divBdr>
        <w:top w:val="none" w:sz="0" w:space="0" w:color="auto"/>
        <w:left w:val="none" w:sz="0" w:space="0" w:color="auto"/>
        <w:bottom w:val="none" w:sz="0" w:space="0" w:color="auto"/>
        <w:right w:val="none" w:sz="0" w:space="0" w:color="auto"/>
      </w:divBdr>
    </w:div>
    <w:div w:id="1704743606">
      <w:bodyDiv w:val="1"/>
      <w:marLeft w:val="0"/>
      <w:marRight w:val="0"/>
      <w:marTop w:val="0"/>
      <w:marBottom w:val="0"/>
      <w:divBdr>
        <w:top w:val="none" w:sz="0" w:space="0" w:color="auto"/>
        <w:left w:val="none" w:sz="0" w:space="0" w:color="auto"/>
        <w:bottom w:val="none" w:sz="0" w:space="0" w:color="auto"/>
        <w:right w:val="none" w:sz="0" w:space="0" w:color="auto"/>
      </w:divBdr>
    </w:div>
    <w:div w:id="1709380139">
      <w:bodyDiv w:val="1"/>
      <w:marLeft w:val="0"/>
      <w:marRight w:val="0"/>
      <w:marTop w:val="0"/>
      <w:marBottom w:val="0"/>
      <w:divBdr>
        <w:top w:val="none" w:sz="0" w:space="0" w:color="auto"/>
        <w:left w:val="none" w:sz="0" w:space="0" w:color="auto"/>
        <w:bottom w:val="none" w:sz="0" w:space="0" w:color="auto"/>
        <w:right w:val="none" w:sz="0" w:space="0" w:color="auto"/>
      </w:divBdr>
    </w:div>
    <w:div w:id="1710374653">
      <w:bodyDiv w:val="1"/>
      <w:marLeft w:val="0"/>
      <w:marRight w:val="0"/>
      <w:marTop w:val="0"/>
      <w:marBottom w:val="0"/>
      <w:divBdr>
        <w:top w:val="none" w:sz="0" w:space="0" w:color="auto"/>
        <w:left w:val="none" w:sz="0" w:space="0" w:color="auto"/>
        <w:bottom w:val="none" w:sz="0" w:space="0" w:color="auto"/>
        <w:right w:val="none" w:sz="0" w:space="0" w:color="auto"/>
      </w:divBdr>
    </w:div>
    <w:div w:id="1712463490">
      <w:bodyDiv w:val="1"/>
      <w:marLeft w:val="0"/>
      <w:marRight w:val="0"/>
      <w:marTop w:val="0"/>
      <w:marBottom w:val="0"/>
      <w:divBdr>
        <w:top w:val="none" w:sz="0" w:space="0" w:color="auto"/>
        <w:left w:val="none" w:sz="0" w:space="0" w:color="auto"/>
        <w:bottom w:val="none" w:sz="0" w:space="0" w:color="auto"/>
        <w:right w:val="none" w:sz="0" w:space="0" w:color="auto"/>
      </w:divBdr>
    </w:div>
    <w:div w:id="1713116720">
      <w:bodyDiv w:val="1"/>
      <w:marLeft w:val="0"/>
      <w:marRight w:val="0"/>
      <w:marTop w:val="0"/>
      <w:marBottom w:val="0"/>
      <w:divBdr>
        <w:top w:val="none" w:sz="0" w:space="0" w:color="auto"/>
        <w:left w:val="none" w:sz="0" w:space="0" w:color="auto"/>
        <w:bottom w:val="none" w:sz="0" w:space="0" w:color="auto"/>
        <w:right w:val="none" w:sz="0" w:space="0" w:color="auto"/>
      </w:divBdr>
    </w:div>
    <w:div w:id="1741438522">
      <w:bodyDiv w:val="1"/>
      <w:marLeft w:val="0"/>
      <w:marRight w:val="0"/>
      <w:marTop w:val="0"/>
      <w:marBottom w:val="0"/>
      <w:divBdr>
        <w:top w:val="none" w:sz="0" w:space="0" w:color="auto"/>
        <w:left w:val="none" w:sz="0" w:space="0" w:color="auto"/>
        <w:bottom w:val="none" w:sz="0" w:space="0" w:color="auto"/>
        <w:right w:val="none" w:sz="0" w:space="0" w:color="auto"/>
      </w:divBdr>
    </w:div>
    <w:div w:id="1747535498">
      <w:bodyDiv w:val="1"/>
      <w:marLeft w:val="0"/>
      <w:marRight w:val="0"/>
      <w:marTop w:val="0"/>
      <w:marBottom w:val="0"/>
      <w:divBdr>
        <w:top w:val="none" w:sz="0" w:space="0" w:color="auto"/>
        <w:left w:val="none" w:sz="0" w:space="0" w:color="auto"/>
        <w:bottom w:val="none" w:sz="0" w:space="0" w:color="auto"/>
        <w:right w:val="none" w:sz="0" w:space="0" w:color="auto"/>
      </w:divBdr>
    </w:div>
    <w:div w:id="1778524590">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796947276">
      <w:bodyDiv w:val="1"/>
      <w:marLeft w:val="0"/>
      <w:marRight w:val="0"/>
      <w:marTop w:val="0"/>
      <w:marBottom w:val="0"/>
      <w:divBdr>
        <w:top w:val="none" w:sz="0" w:space="0" w:color="auto"/>
        <w:left w:val="none" w:sz="0" w:space="0" w:color="auto"/>
        <w:bottom w:val="none" w:sz="0" w:space="0" w:color="auto"/>
        <w:right w:val="none" w:sz="0" w:space="0" w:color="auto"/>
      </w:divBdr>
      <w:divsChild>
        <w:div w:id="1823690403">
          <w:marLeft w:val="893"/>
          <w:marRight w:val="0"/>
          <w:marTop w:val="0"/>
          <w:marBottom w:val="0"/>
          <w:divBdr>
            <w:top w:val="none" w:sz="0" w:space="0" w:color="auto"/>
            <w:left w:val="none" w:sz="0" w:space="0" w:color="auto"/>
            <w:bottom w:val="none" w:sz="0" w:space="0" w:color="auto"/>
            <w:right w:val="none" w:sz="0" w:space="0" w:color="auto"/>
          </w:divBdr>
        </w:div>
      </w:divsChild>
    </w:div>
    <w:div w:id="1813060524">
      <w:bodyDiv w:val="1"/>
      <w:marLeft w:val="0"/>
      <w:marRight w:val="0"/>
      <w:marTop w:val="0"/>
      <w:marBottom w:val="0"/>
      <w:divBdr>
        <w:top w:val="none" w:sz="0" w:space="0" w:color="auto"/>
        <w:left w:val="none" w:sz="0" w:space="0" w:color="auto"/>
        <w:bottom w:val="none" w:sz="0" w:space="0" w:color="auto"/>
        <w:right w:val="none" w:sz="0" w:space="0" w:color="auto"/>
      </w:divBdr>
    </w:div>
    <w:div w:id="1818262643">
      <w:bodyDiv w:val="1"/>
      <w:marLeft w:val="0"/>
      <w:marRight w:val="0"/>
      <w:marTop w:val="0"/>
      <w:marBottom w:val="0"/>
      <w:divBdr>
        <w:top w:val="none" w:sz="0" w:space="0" w:color="auto"/>
        <w:left w:val="none" w:sz="0" w:space="0" w:color="auto"/>
        <w:bottom w:val="none" w:sz="0" w:space="0" w:color="auto"/>
        <w:right w:val="none" w:sz="0" w:space="0" w:color="auto"/>
      </w:divBdr>
    </w:div>
    <w:div w:id="1835340631">
      <w:bodyDiv w:val="1"/>
      <w:marLeft w:val="0"/>
      <w:marRight w:val="0"/>
      <w:marTop w:val="0"/>
      <w:marBottom w:val="0"/>
      <w:divBdr>
        <w:top w:val="none" w:sz="0" w:space="0" w:color="auto"/>
        <w:left w:val="none" w:sz="0" w:space="0" w:color="auto"/>
        <w:bottom w:val="none" w:sz="0" w:space="0" w:color="auto"/>
        <w:right w:val="none" w:sz="0" w:space="0" w:color="auto"/>
      </w:divBdr>
    </w:div>
    <w:div w:id="1842500743">
      <w:bodyDiv w:val="1"/>
      <w:marLeft w:val="0"/>
      <w:marRight w:val="0"/>
      <w:marTop w:val="0"/>
      <w:marBottom w:val="0"/>
      <w:divBdr>
        <w:top w:val="none" w:sz="0" w:space="0" w:color="auto"/>
        <w:left w:val="none" w:sz="0" w:space="0" w:color="auto"/>
        <w:bottom w:val="none" w:sz="0" w:space="0" w:color="auto"/>
        <w:right w:val="none" w:sz="0" w:space="0" w:color="auto"/>
      </w:divBdr>
      <w:divsChild>
        <w:div w:id="170798113">
          <w:marLeft w:val="576"/>
          <w:marRight w:val="0"/>
          <w:marTop w:val="120"/>
          <w:marBottom w:val="120"/>
          <w:divBdr>
            <w:top w:val="none" w:sz="0" w:space="0" w:color="auto"/>
            <w:left w:val="none" w:sz="0" w:space="0" w:color="auto"/>
            <w:bottom w:val="none" w:sz="0" w:space="0" w:color="auto"/>
            <w:right w:val="none" w:sz="0" w:space="0" w:color="auto"/>
          </w:divBdr>
        </w:div>
        <w:div w:id="1033961888">
          <w:marLeft w:val="576"/>
          <w:marRight w:val="0"/>
          <w:marTop w:val="120"/>
          <w:marBottom w:val="120"/>
          <w:divBdr>
            <w:top w:val="none" w:sz="0" w:space="0" w:color="auto"/>
            <w:left w:val="none" w:sz="0" w:space="0" w:color="auto"/>
            <w:bottom w:val="none" w:sz="0" w:space="0" w:color="auto"/>
            <w:right w:val="none" w:sz="0" w:space="0" w:color="auto"/>
          </w:divBdr>
        </w:div>
      </w:divsChild>
    </w:div>
    <w:div w:id="1854150098">
      <w:bodyDiv w:val="1"/>
      <w:marLeft w:val="0"/>
      <w:marRight w:val="0"/>
      <w:marTop w:val="0"/>
      <w:marBottom w:val="0"/>
      <w:divBdr>
        <w:top w:val="none" w:sz="0" w:space="0" w:color="auto"/>
        <w:left w:val="none" w:sz="0" w:space="0" w:color="auto"/>
        <w:bottom w:val="none" w:sz="0" w:space="0" w:color="auto"/>
        <w:right w:val="none" w:sz="0" w:space="0" w:color="auto"/>
      </w:divBdr>
    </w:div>
    <w:div w:id="1858419568">
      <w:bodyDiv w:val="1"/>
      <w:marLeft w:val="0"/>
      <w:marRight w:val="0"/>
      <w:marTop w:val="0"/>
      <w:marBottom w:val="0"/>
      <w:divBdr>
        <w:top w:val="none" w:sz="0" w:space="0" w:color="auto"/>
        <w:left w:val="none" w:sz="0" w:space="0" w:color="auto"/>
        <w:bottom w:val="none" w:sz="0" w:space="0" w:color="auto"/>
        <w:right w:val="none" w:sz="0" w:space="0" w:color="auto"/>
      </w:divBdr>
      <w:divsChild>
        <w:div w:id="352656967">
          <w:marLeft w:val="446"/>
          <w:marRight w:val="0"/>
          <w:marTop w:val="0"/>
          <w:marBottom w:val="0"/>
          <w:divBdr>
            <w:top w:val="none" w:sz="0" w:space="0" w:color="auto"/>
            <w:left w:val="none" w:sz="0" w:space="0" w:color="auto"/>
            <w:bottom w:val="none" w:sz="0" w:space="0" w:color="auto"/>
            <w:right w:val="none" w:sz="0" w:space="0" w:color="auto"/>
          </w:divBdr>
        </w:div>
        <w:div w:id="464734859">
          <w:marLeft w:val="446"/>
          <w:marRight w:val="0"/>
          <w:marTop w:val="0"/>
          <w:marBottom w:val="0"/>
          <w:divBdr>
            <w:top w:val="none" w:sz="0" w:space="0" w:color="auto"/>
            <w:left w:val="none" w:sz="0" w:space="0" w:color="auto"/>
            <w:bottom w:val="none" w:sz="0" w:space="0" w:color="auto"/>
            <w:right w:val="none" w:sz="0" w:space="0" w:color="auto"/>
          </w:divBdr>
        </w:div>
        <w:div w:id="543757956">
          <w:marLeft w:val="446"/>
          <w:marRight w:val="0"/>
          <w:marTop w:val="0"/>
          <w:marBottom w:val="0"/>
          <w:divBdr>
            <w:top w:val="none" w:sz="0" w:space="0" w:color="auto"/>
            <w:left w:val="none" w:sz="0" w:space="0" w:color="auto"/>
            <w:bottom w:val="none" w:sz="0" w:space="0" w:color="auto"/>
            <w:right w:val="none" w:sz="0" w:space="0" w:color="auto"/>
          </w:divBdr>
        </w:div>
        <w:div w:id="873150914">
          <w:marLeft w:val="446"/>
          <w:marRight w:val="0"/>
          <w:marTop w:val="0"/>
          <w:marBottom w:val="0"/>
          <w:divBdr>
            <w:top w:val="none" w:sz="0" w:space="0" w:color="auto"/>
            <w:left w:val="none" w:sz="0" w:space="0" w:color="auto"/>
            <w:bottom w:val="none" w:sz="0" w:space="0" w:color="auto"/>
            <w:right w:val="none" w:sz="0" w:space="0" w:color="auto"/>
          </w:divBdr>
        </w:div>
        <w:div w:id="994793866">
          <w:marLeft w:val="446"/>
          <w:marRight w:val="0"/>
          <w:marTop w:val="0"/>
          <w:marBottom w:val="0"/>
          <w:divBdr>
            <w:top w:val="none" w:sz="0" w:space="0" w:color="auto"/>
            <w:left w:val="none" w:sz="0" w:space="0" w:color="auto"/>
            <w:bottom w:val="none" w:sz="0" w:space="0" w:color="auto"/>
            <w:right w:val="none" w:sz="0" w:space="0" w:color="auto"/>
          </w:divBdr>
        </w:div>
        <w:div w:id="1278022589">
          <w:marLeft w:val="446"/>
          <w:marRight w:val="0"/>
          <w:marTop w:val="0"/>
          <w:marBottom w:val="0"/>
          <w:divBdr>
            <w:top w:val="none" w:sz="0" w:space="0" w:color="auto"/>
            <w:left w:val="none" w:sz="0" w:space="0" w:color="auto"/>
            <w:bottom w:val="none" w:sz="0" w:space="0" w:color="auto"/>
            <w:right w:val="none" w:sz="0" w:space="0" w:color="auto"/>
          </w:divBdr>
        </w:div>
        <w:div w:id="1646163103">
          <w:marLeft w:val="446"/>
          <w:marRight w:val="0"/>
          <w:marTop w:val="0"/>
          <w:marBottom w:val="0"/>
          <w:divBdr>
            <w:top w:val="none" w:sz="0" w:space="0" w:color="auto"/>
            <w:left w:val="none" w:sz="0" w:space="0" w:color="auto"/>
            <w:bottom w:val="none" w:sz="0" w:space="0" w:color="auto"/>
            <w:right w:val="none" w:sz="0" w:space="0" w:color="auto"/>
          </w:divBdr>
        </w:div>
        <w:div w:id="1820727052">
          <w:marLeft w:val="446"/>
          <w:marRight w:val="0"/>
          <w:marTop w:val="0"/>
          <w:marBottom w:val="0"/>
          <w:divBdr>
            <w:top w:val="none" w:sz="0" w:space="0" w:color="auto"/>
            <w:left w:val="none" w:sz="0" w:space="0" w:color="auto"/>
            <w:bottom w:val="none" w:sz="0" w:space="0" w:color="auto"/>
            <w:right w:val="none" w:sz="0" w:space="0" w:color="auto"/>
          </w:divBdr>
        </w:div>
        <w:div w:id="2022928456">
          <w:marLeft w:val="446"/>
          <w:marRight w:val="0"/>
          <w:marTop w:val="0"/>
          <w:marBottom w:val="0"/>
          <w:divBdr>
            <w:top w:val="none" w:sz="0" w:space="0" w:color="auto"/>
            <w:left w:val="none" w:sz="0" w:space="0" w:color="auto"/>
            <w:bottom w:val="none" w:sz="0" w:space="0" w:color="auto"/>
            <w:right w:val="none" w:sz="0" w:space="0" w:color="auto"/>
          </w:divBdr>
        </w:div>
      </w:divsChild>
    </w:div>
    <w:div w:id="1870756041">
      <w:bodyDiv w:val="1"/>
      <w:marLeft w:val="0"/>
      <w:marRight w:val="0"/>
      <w:marTop w:val="0"/>
      <w:marBottom w:val="0"/>
      <w:divBdr>
        <w:top w:val="none" w:sz="0" w:space="0" w:color="auto"/>
        <w:left w:val="none" w:sz="0" w:space="0" w:color="auto"/>
        <w:bottom w:val="none" w:sz="0" w:space="0" w:color="auto"/>
        <w:right w:val="none" w:sz="0" w:space="0" w:color="auto"/>
      </w:divBdr>
    </w:div>
    <w:div w:id="1871840320">
      <w:bodyDiv w:val="1"/>
      <w:marLeft w:val="0"/>
      <w:marRight w:val="0"/>
      <w:marTop w:val="0"/>
      <w:marBottom w:val="0"/>
      <w:divBdr>
        <w:top w:val="none" w:sz="0" w:space="0" w:color="auto"/>
        <w:left w:val="none" w:sz="0" w:space="0" w:color="auto"/>
        <w:bottom w:val="none" w:sz="0" w:space="0" w:color="auto"/>
        <w:right w:val="none" w:sz="0" w:space="0" w:color="auto"/>
      </w:divBdr>
    </w:div>
    <w:div w:id="1881017762">
      <w:bodyDiv w:val="1"/>
      <w:marLeft w:val="0"/>
      <w:marRight w:val="0"/>
      <w:marTop w:val="0"/>
      <w:marBottom w:val="0"/>
      <w:divBdr>
        <w:top w:val="none" w:sz="0" w:space="0" w:color="auto"/>
        <w:left w:val="none" w:sz="0" w:space="0" w:color="auto"/>
        <w:bottom w:val="none" w:sz="0" w:space="0" w:color="auto"/>
        <w:right w:val="none" w:sz="0" w:space="0" w:color="auto"/>
      </w:divBdr>
    </w:div>
    <w:div w:id="1900244491">
      <w:bodyDiv w:val="1"/>
      <w:marLeft w:val="0"/>
      <w:marRight w:val="0"/>
      <w:marTop w:val="0"/>
      <w:marBottom w:val="0"/>
      <w:divBdr>
        <w:top w:val="none" w:sz="0" w:space="0" w:color="auto"/>
        <w:left w:val="none" w:sz="0" w:space="0" w:color="auto"/>
        <w:bottom w:val="none" w:sz="0" w:space="0" w:color="auto"/>
        <w:right w:val="none" w:sz="0" w:space="0" w:color="auto"/>
      </w:divBdr>
    </w:div>
    <w:div w:id="1911307772">
      <w:bodyDiv w:val="1"/>
      <w:marLeft w:val="0"/>
      <w:marRight w:val="0"/>
      <w:marTop w:val="0"/>
      <w:marBottom w:val="0"/>
      <w:divBdr>
        <w:top w:val="none" w:sz="0" w:space="0" w:color="auto"/>
        <w:left w:val="none" w:sz="0" w:space="0" w:color="auto"/>
        <w:bottom w:val="none" w:sz="0" w:space="0" w:color="auto"/>
        <w:right w:val="none" w:sz="0" w:space="0" w:color="auto"/>
      </w:divBdr>
    </w:div>
    <w:div w:id="1918860630">
      <w:bodyDiv w:val="1"/>
      <w:marLeft w:val="0"/>
      <w:marRight w:val="0"/>
      <w:marTop w:val="0"/>
      <w:marBottom w:val="0"/>
      <w:divBdr>
        <w:top w:val="none" w:sz="0" w:space="0" w:color="auto"/>
        <w:left w:val="none" w:sz="0" w:space="0" w:color="auto"/>
        <w:bottom w:val="none" w:sz="0" w:space="0" w:color="auto"/>
        <w:right w:val="none" w:sz="0" w:space="0" w:color="auto"/>
      </w:divBdr>
    </w:div>
    <w:div w:id="1926575672">
      <w:bodyDiv w:val="1"/>
      <w:marLeft w:val="0"/>
      <w:marRight w:val="0"/>
      <w:marTop w:val="0"/>
      <w:marBottom w:val="0"/>
      <w:divBdr>
        <w:top w:val="none" w:sz="0" w:space="0" w:color="auto"/>
        <w:left w:val="none" w:sz="0" w:space="0" w:color="auto"/>
        <w:bottom w:val="none" w:sz="0" w:space="0" w:color="auto"/>
        <w:right w:val="none" w:sz="0" w:space="0" w:color="auto"/>
      </w:divBdr>
    </w:div>
    <w:div w:id="1926919010">
      <w:bodyDiv w:val="1"/>
      <w:marLeft w:val="0"/>
      <w:marRight w:val="0"/>
      <w:marTop w:val="0"/>
      <w:marBottom w:val="0"/>
      <w:divBdr>
        <w:top w:val="none" w:sz="0" w:space="0" w:color="auto"/>
        <w:left w:val="none" w:sz="0" w:space="0" w:color="auto"/>
        <w:bottom w:val="none" w:sz="0" w:space="0" w:color="auto"/>
        <w:right w:val="none" w:sz="0" w:space="0" w:color="auto"/>
      </w:divBdr>
    </w:div>
    <w:div w:id="1933590939">
      <w:bodyDiv w:val="1"/>
      <w:marLeft w:val="0"/>
      <w:marRight w:val="0"/>
      <w:marTop w:val="0"/>
      <w:marBottom w:val="0"/>
      <w:divBdr>
        <w:top w:val="none" w:sz="0" w:space="0" w:color="auto"/>
        <w:left w:val="none" w:sz="0" w:space="0" w:color="auto"/>
        <w:bottom w:val="none" w:sz="0" w:space="0" w:color="auto"/>
        <w:right w:val="none" w:sz="0" w:space="0" w:color="auto"/>
      </w:divBdr>
    </w:div>
    <w:div w:id="1934240623">
      <w:bodyDiv w:val="1"/>
      <w:marLeft w:val="0"/>
      <w:marRight w:val="0"/>
      <w:marTop w:val="0"/>
      <w:marBottom w:val="0"/>
      <w:divBdr>
        <w:top w:val="none" w:sz="0" w:space="0" w:color="auto"/>
        <w:left w:val="none" w:sz="0" w:space="0" w:color="auto"/>
        <w:bottom w:val="none" w:sz="0" w:space="0" w:color="auto"/>
        <w:right w:val="none" w:sz="0" w:space="0" w:color="auto"/>
      </w:divBdr>
      <w:divsChild>
        <w:div w:id="693381398">
          <w:marLeft w:val="274"/>
          <w:marRight w:val="0"/>
          <w:marTop w:val="0"/>
          <w:marBottom w:val="0"/>
          <w:divBdr>
            <w:top w:val="none" w:sz="0" w:space="0" w:color="auto"/>
            <w:left w:val="none" w:sz="0" w:space="0" w:color="auto"/>
            <w:bottom w:val="none" w:sz="0" w:space="0" w:color="auto"/>
            <w:right w:val="none" w:sz="0" w:space="0" w:color="auto"/>
          </w:divBdr>
        </w:div>
        <w:div w:id="1216162155">
          <w:marLeft w:val="274"/>
          <w:marRight w:val="0"/>
          <w:marTop w:val="0"/>
          <w:marBottom w:val="0"/>
          <w:divBdr>
            <w:top w:val="none" w:sz="0" w:space="0" w:color="auto"/>
            <w:left w:val="none" w:sz="0" w:space="0" w:color="auto"/>
            <w:bottom w:val="none" w:sz="0" w:space="0" w:color="auto"/>
            <w:right w:val="none" w:sz="0" w:space="0" w:color="auto"/>
          </w:divBdr>
        </w:div>
      </w:divsChild>
    </w:div>
    <w:div w:id="1956979796">
      <w:bodyDiv w:val="1"/>
      <w:marLeft w:val="0"/>
      <w:marRight w:val="0"/>
      <w:marTop w:val="0"/>
      <w:marBottom w:val="0"/>
      <w:divBdr>
        <w:top w:val="none" w:sz="0" w:space="0" w:color="auto"/>
        <w:left w:val="none" w:sz="0" w:space="0" w:color="auto"/>
        <w:bottom w:val="none" w:sz="0" w:space="0" w:color="auto"/>
        <w:right w:val="none" w:sz="0" w:space="0" w:color="auto"/>
      </w:divBdr>
      <w:divsChild>
        <w:div w:id="2080204510">
          <w:marLeft w:val="893"/>
          <w:marRight w:val="0"/>
          <w:marTop w:val="0"/>
          <w:marBottom w:val="0"/>
          <w:divBdr>
            <w:top w:val="none" w:sz="0" w:space="0" w:color="auto"/>
            <w:left w:val="none" w:sz="0" w:space="0" w:color="auto"/>
            <w:bottom w:val="none" w:sz="0" w:space="0" w:color="auto"/>
            <w:right w:val="none" w:sz="0" w:space="0" w:color="auto"/>
          </w:divBdr>
        </w:div>
      </w:divsChild>
    </w:div>
    <w:div w:id="1979917297">
      <w:bodyDiv w:val="1"/>
      <w:marLeft w:val="0"/>
      <w:marRight w:val="0"/>
      <w:marTop w:val="0"/>
      <w:marBottom w:val="0"/>
      <w:divBdr>
        <w:top w:val="none" w:sz="0" w:space="0" w:color="auto"/>
        <w:left w:val="none" w:sz="0" w:space="0" w:color="auto"/>
        <w:bottom w:val="none" w:sz="0" w:space="0" w:color="auto"/>
        <w:right w:val="none" w:sz="0" w:space="0" w:color="auto"/>
      </w:divBdr>
    </w:div>
    <w:div w:id="2003656715">
      <w:bodyDiv w:val="1"/>
      <w:marLeft w:val="0"/>
      <w:marRight w:val="0"/>
      <w:marTop w:val="0"/>
      <w:marBottom w:val="0"/>
      <w:divBdr>
        <w:top w:val="none" w:sz="0" w:space="0" w:color="auto"/>
        <w:left w:val="none" w:sz="0" w:space="0" w:color="auto"/>
        <w:bottom w:val="none" w:sz="0" w:space="0" w:color="auto"/>
        <w:right w:val="none" w:sz="0" w:space="0" w:color="auto"/>
      </w:divBdr>
    </w:div>
    <w:div w:id="2029139254">
      <w:bodyDiv w:val="1"/>
      <w:marLeft w:val="0"/>
      <w:marRight w:val="0"/>
      <w:marTop w:val="0"/>
      <w:marBottom w:val="0"/>
      <w:divBdr>
        <w:top w:val="none" w:sz="0" w:space="0" w:color="auto"/>
        <w:left w:val="none" w:sz="0" w:space="0" w:color="auto"/>
        <w:bottom w:val="none" w:sz="0" w:space="0" w:color="auto"/>
        <w:right w:val="none" w:sz="0" w:space="0" w:color="auto"/>
      </w:divBdr>
    </w:div>
    <w:div w:id="2074112475">
      <w:bodyDiv w:val="1"/>
      <w:marLeft w:val="0"/>
      <w:marRight w:val="0"/>
      <w:marTop w:val="0"/>
      <w:marBottom w:val="0"/>
      <w:divBdr>
        <w:top w:val="none" w:sz="0" w:space="0" w:color="auto"/>
        <w:left w:val="none" w:sz="0" w:space="0" w:color="auto"/>
        <w:bottom w:val="none" w:sz="0" w:space="0" w:color="auto"/>
        <w:right w:val="none" w:sz="0" w:space="0" w:color="auto"/>
      </w:divBdr>
    </w:div>
    <w:div w:id="2093039246">
      <w:bodyDiv w:val="1"/>
      <w:marLeft w:val="0"/>
      <w:marRight w:val="0"/>
      <w:marTop w:val="0"/>
      <w:marBottom w:val="0"/>
      <w:divBdr>
        <w:top w:val="none" w:sz="0" w:space="0" w:color="auto"/>
        <w:left w:val="none" w:sz="0" w:space="0" w:color="auto"/>
        <w:bottom w:val="none" w:sz="0" w:space="0" w:color="auto"/>
        <w:right w:val="none" w:sz="0" w:space="0" w:color="auto"/>
      </w:divBdr>
    </w:div>
    <w:div w:id="2122718279">
      <w:bodyDiv w:val="1"/>
      <w:marLeft w:val="0"/>
      <w:marRight w:val="0"/>
      <w:marTop w:val="0"/>
      <w:marBottom w:val="0"/>
      <w:divBdr>
        <w:top w:val="none" w:sz="0" w:space="0" w:color="auto"/>
        <w:left w:val="none" w:sz="0" w:space="0" w:color="auto"/>
        <w:bottom w:val="none" w:sz="0" w:space="0" w:color="auto"/>
        <w:right w:val="none" w:sz="0" w:space="0" w:color="auto"/>
      </w:divBdr>
    </w:div>
    <w:div w:id="213432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www2.deloitte.com/au/en/legal/privacy.html" TargetMode="External"/><Relationship Id="rId21" Type="http://schemas.openxmlformats.org/officeDocument/2006/relationships/chart" Target="charts/chart2.xml"/><Relationship Id="rId42" Type="http://schemas.openxmlformats.org/officeDocument/2006/relationships/chart" Target="charts/chart13.xml"/><Relationship Id="rId47" Type="http://schemas.openxmlformats.org/officeDocument/2006/relationships/chart" Target="charts/chart15.xml"/><Relationship Id="rId63" Type="http://schemas.openxmlformats.org/officeDocument/2006/relationships/hyperlink" Target="https://www.niaa.gov.au/sites/default/files/publications/Forrest-Review.pdf" TargetMode="External"/><Relationship Id="rId68" Type="http://schemas.openxmlformats.org/officeDocument/2006/relationships/hyperlink" Target="https://www.aihw.gov.au/getmedia/71bb346a-1b83-4038-a2f7-647e65a21445/ctg-ip03.pdf" TargetMode="External"/><Relationship Id="rId84" Type="http://schemas.openxmlformats.org/officeDocument/2006/relationships/header" Target="header10.xml"/><Relationship Id="rId89" Type="http://schemas.openxmlformats.org/officeDocument/2006/relationships/footer" Target="footer6.xml"/><Relationship Id="rId112" Type="http://schemas.openxmlformats.org/officeDocument/2006/relationships/image" Target="media/image31.png"/><Relationship Id="rId133" Type="http://schemas.openxmlformats.org/officeDocument/2006/relationships/hyperlink" Target="mailto:IEPevaluation@deloitte.com.au" TargetMode="External"/><Relationship Id="rId138" Type="http://schemas.openxmlformats.org/officeDocument/2006/relationships/hyperlink" Target="mailto:privacy@deloitte.com.au" TargetMode="External"/><Relationship Id="rId16" Type="http://schemas.openxmlformats.org/officeDocument/2006/relationships/footer" Target="footer1.xml"/><Relationship Id="rId107" Type="http://schemas.openxmlformats.org/officeDocument/2006/relationships/image" Target="media/image26.png"/><Relationship Id="rId11" Type="http://schemas.openxmlformats.org/officeDocument/2006/relationships/header" Target="header1.xml"/><Relationship Id="rId32" Type="http://schemas.openxmlformats.org/officeDocument/2006/relationships/chart" Target="charts/chart8.xml"/><Relationship Id="rId37" Type="http://schemas.openxmlformats.org/officeDocument/2006/relationships/chart" Target="charts/chart10.xml"/><Relationship Id="rId53" Type="http://schemas.openxmlformats.org/officeDocument/2006/relationships/hyperlink" Target="https://communitylegalqld.org.au/sites/default/files/downloads/pages/working_with_first_nations_people_-_trauma_transgenerational_transfer_and_effects_on_community_wellbeing.pdf" TargetMode="External"/><Relationship Id="rId58" Type="http://schemas.openxmlformats.org/officeDocument/2006/relationships/hyperlink" Target="https://www.niaa.gov.au/resource-centre/indigenous-affairs/2019-2020-annual-evaluation-work-plan" TargetMode="External"/><Relationship Id="rId74" Type="http://schemas.openxmlformats.org/officeDocument/2006/relationships/hyperlink" Target="https://www.pc.gov.au/inquiries/completed/job-network/report/jobnetwork.pdf" TargetMode="External"/><Relationship Id="rId79" Type="http://schemas.openxmlformats.org/officeDocument/2006/relationships/header" Target="header6.xml"/><Relationship Id="rId102" Type="http://schemas.openxmlformats.org/officeDocument/2006/relationships/hyperlink" Target="https://www2.deloitte.com/au/en/legal/privacy.html" TargetMode="External"/><Relationship Id="rId123" Type="http://schemas.openxmlformats.org/officeDocument/2006/relationships/hyperlink" Target="mailto:privacy@deloitte.com.au" TargetMode="External"/><Relationship Id="rId128" Type="http://schemas.openxmlformats.org/officeDocument/2006/relationships/hyperlink" Target="https://www2.deloitte.com/au/en/legal/privacy.html" TargetMode="External"/><Relationship Id="rId144" Type="http://schemas.openxmlformats.org/officeDocument/2006/relationships/footer" Target="footer13.xml"/><Relationship Id="rId5" Type="http://schemas.openxmlformats.org/officeDocument/2006/relationships/numbering" Target="numbering.xml"/><Relationship Id="rId90" Type="http://schemas.openxmlformats.org/officeDocument/2006/relationships/footer" Target="footer7.xml"/><Relationship Id="rId95" Type="http://schemas.openxmlformats.org/officeDocument/2006/relationships/header" Target="header16.xml"/><Relationship Id="rId22" Type="http://schemas.openxmlformats.org/officeDocument/2006/relationships/chart" Target="charts/chart3.xml"/><Relationship Id="rId27" Type="http://schemas.openxmlformats.org/officeDocument/2006/relationships/image" Target="media/image7.png"/><Relationship Id="rId43" Type="http://schemas.openxmlformats.org/officeDocument/2006/relationships/chart" Target="charts/chart14.xml"/><Relationship Id="rId48" Type="http://schemas.openxmlformats.org/officeDocument/2006/relationships/image" Target="media/image15.png"/><Relationship Id="rId64" Type="http://schemas.openxmlformats.org/officeDocument/2006/relationships/hyperlink" Target="https://www.indigenous.gov.au/indigenous-advancement-strategy" TargetMode="External"/><Relationship Id="rId69" Type="http://schemas.openxmlformats.org/officeDocument/2006/relationships/hyperlink" Target="https://humanrights.gov.au/sites/default/files/content/social_justice/sj_report/sjreport05/pdf/SocialJustice2005.pdf" TargetMode="External"/><Relationship Id="rId113" Type="http://schemas.openxmlformats.org/officeDocument/2006/relationships/image" Target="media/image32.png"/><Relationship Id="rId118" Type="http://schemas.openxmlformats.org/officeDocument/2006/relationships/hyperlink" Target="mailto:privacy@deloitte.com.au" TargetMode="External"/><Relationship Id="rId134" Type="http://schemas.openxmlformats.org/officeDocument/2006/relationships/hyperlink" Target="https://www2.deloitte.com/au/en/pages/economics/solutions/education-policy-analysis.html" TargetMode="External"/><Relationship Id="rId139" Type="http://schemas.openxmlformats.org/officeDocument/2006/relationships/hyperlink" Target="mailto:IEPevaluation@deloitte.com.au" TargetMode="External"/><Relationship Id="rId80" Type="http://schemas.openxmlformats.org/officeDocument/2006/relationships/header" Target="header7.xml"/><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image" Target="media/image14.png"/><Relationship Id="rId59" Type="http://schemas.openxmlformats.org/officeDocument/2006/relationships/hyperlink" Target="https://www.ilo.org/dyn/youthpol/en/equest.fileutils.dochandle?p_uploaded_file_id=500" TargetMode="External"/><Relationship Id="rId67" Type="http://schemas.openxmlformats.org/officeDocument/2006/relationships/hyperlink" Target="https://www.aph.gov.au/About_Parliament/Parliamentary_Departments/Parliamentary_Library/pubs/BriefingBook44p/ClosingGap" TargetMode="External"/><Relationship Id="rId103" Type="http://schemas.openxmlformats.org/officeDocument/2006/relationships/footer" Target="footer12.xml"/><Relationship Id="rId108" Type="http://schemas.openxmlformats.org/officeDocument/2006/relationships/image" Target="media/image27.png"/><Relationship Id="rId116" Type="http://schemas.openxmlformats.org/officeDocument/2006/relationships/hyperlink" Target="mailto:IEPevaluation@deloitte.com.au" TargetMode="External"/><Relationship Id="rId124" Type="http://schemas.openxmlformats.org/officeDocument/2006/relationships/hyperlink" Target="mailto:IEPevaluation@deloitte.com.au" TargetMode="External"/><Relationship Id="rId129" Type="http://schemas.openxmlformats.org/officeDocument/2006/relationships/hyperlink" Target="mailto:privacy@deloitte.com.au" TargetMode="External"/><Relationship Id="rId137" Type="http://schemas.openxmlformats.org/officeDocument/2006/relationships/hyperlink" Target="https://www2.deloitte.com/au/en/legal/privacy.html" TargetMode="External"/><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hyperlink" Target="https://www.reconciliation.org.au/wp-content/uploads/2017/11/Auspolls-Evaluating-the-effectiveess-of-Reconciliation-Action-Plans-Overall-analysis.pdf" TargetMode="External"/><Relationship Id="rId62" Type="http://schemas.openxmlformats.org/officeDocument/2006/relationships/hyperlink" Target="https://www.aihw.gov.au/reports/australias-welfare/indigenous-income-and-finance" TargetMode="External"/><Relationship Id="rId70" Type="http://schemas.openxmlformats.org/officeDocument/2006/relationships/hyperlink" Target="https://caepr.cass.anu.edu.au/research/publications/academic-perspectives-forrest-review-creating-parity" TargetMode="External"/><Relationship Id="rId75" Type="http://schemas.openxmlformats.org/officeDocument/2006/relationships/hyperlink" Target="https://www.safework.nsw.gov.au/safety-starts-here/our-aboriginal-program/culturally-safe-workplaces/" TargetMode="External"/><Relationship Id="rId83" Type="http://schemas.openxmlformats.org/officeDocument/2006/relationships/header" Target="header9.xml"/><Relationship Id="rId88" Type="http://schemas.openxmlformats.org/officeDocument/2006/relationships/header" Target="header13.xml"/><Relationship Id="rId91" Type="http://schemas.openxmlformats.org/officeDocument/2006/relationships/header" Target="header14.xml"/><Relationship Id="rId96" Type="http://schemas.openxmlformats.org/officeDocument/2006/relationships/footer" Target="footer10.xml"/><Relationship Id="rId111" Type="http://schemas.openxmlformats.org/officeDocument/2006/relationships/image" Target="media/image30.png"/><Relationship Id="rId132" Type="http://schemas.openxmlformats.org/officeDocument/2006/relationships/hyperlink" Target="mailto:IEPevaluation@deloitte.com.au" TargetMode="External"/><Relationship Id="rId140" Type="http://schemas.openxmlformats.org/officeDocument/2006/relationships/hyperlink" Target="mailto:ethics@aiatsis.gov.au"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eader" Target="header4.xml"/><Relationship Id="rId36" Type="http://schemas.openxmlformats.org/officeDocument/2006/relationships/image" Target="media/image10.png"/><Relationship Id="rId49" Type="http://schemas.openxmlformats.org/officeDocument/2006/relationships/chart" Target="charts/chart16.xml"/><Relationship Id="rId57" Type="http://schemas.openxmlformats.org/officeDocument/2006/relationships/hyperlink" Target="https://docs.employment.gov.au/system/files/doc/other/the_evaluation_of_jsa_2009-2012_1.pdf" TargetMode="External"/><Relationship Id="rId106" Type="http://schemas.openxmlformats.org/officeDocument/2006/relationships/image" Target="media/image25.png"/><Relationship Id="rId114" Type="http://schemas.openxmlformats.org/officeDocument/2006/relationships/hyperlink" Target="https://www2.deloitte.com/au/en/legal/privacy.html" TargetMode="External"/><Relationship Id="rId119" Type="http://schemas.openxmlformats.org/officeDocument/2006/relationships/hyperlink" Target="mailto:IEPevaluation@deloitte.com.au" TargetMode="External"/><Relationship Id="rId127" Type="http://schemas.openxmlformats.org/officeDocument/2006/relationships/hyperlink" Target="mailto:NIAAevaluation@deloitte.com.au" TargetMode="External"/><Relationship Id="rId10" Type="http://schemas.openxmlformats.org/officeDocument/2006/relationships/endnotes" Target="endnotes.xml"/><Relationship Id="rId31" Type="http://schemas.openxmlformats.org/officeDocument/2006/relationships/chart" Target="charts/chart7.xml"/><Relationship Id="rId44" Type="http://schemas.openxmlformats.org/officeDocument/2006/relationships/image" Target="media/image12.png"/><Relationship Id="rId52" Type="http://schemas.openxmlformats.org/officeDocument/2006/relationships/chart" Target="charts/chart17.xml"/><Relationship Id="rId60" Type="http://schemas.openxmlformats.org/officeDocument/2006/relationships/hyperlink" Target="https://ctgreport.niaa.gov.au/employment" TargetMode="External"/><Relationship Id="rId65" Type="http://schemas.openxmlformats.org/officeDocument/2006/relationships/hyperlink" Target="https://assets.publishing.service.gov.uk/government/uploads/system/uploads/attachment_data/file/306143/Worklessness_to_sustainable_employment__the_role_of_skills.pdf" TargetMode="External"/><Relationship Id="rId73" Type="http://schemas.openxmlformats.org/officeDocument/2006/relationships/hyperlink" Target="https://education.nsw.gov.au/teaching-and-learning/school-excellence-and-accountability/2021-school-excellence-in-action/effective-use-of-funding-and-resources/needs-based-funding" TargetMode="External"/><Relationship Id="rId78" Type="http://schemas.openxmlformats.org/officeDocument/2006/relationships/image" Target="media/image18.emf"/><Relationship Id="rId81" Type="http://schemas.openxmlformats.org/officeDocument/2006/relationships/footer" Target="footer4.xml"/><Relationship Id="rId86" Type="http://schemas.openxmlformats.org/officeDocument/2006/relationships/header" Target="header11.xml"/><Relationship Id="rId94" Type="http://schemas.openxmlformats.org/officeDocument/2006/relationships/footer" Target="footer9.xml"/><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hyperlink" Target="https://www2.deloitte.com/au/en/legal/privacy.html" TargetMode="External"/><Relationship Id="rId130" Type="http://schemas.openxmlformats.org/officeDocument/2006/relationships/hyperlink" Target="mailto:IEPevaluation@deloitte.com.au" TargetMode="External"/><Relationship Id="rId135" Type="http://schemas.openxmlformats.org/officeDocument/2006/relationships/hyperlink" Target="mailto:IEPevaluation@deloitte.com.au" TargetMode="External"/><Relationship Id="rId143" Type="http://schemas.openxmlformats.org/officeDocument/2006/relationships/hyperlink" Target="http://www.deloitte.com/au/deloitte-access-economic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eader" Target="header3.xml"/><Relationship Id="rId39" Type="http://schemas.openxmlformats.org/officeDocument/2006/relationships/chart" Target="charts/chart12.xml"/><Relationship Id="rId109" Type="http://schemas.openxmlformats.org/officeDocument/2006/relationships/image" Target="media/image28.png"/><Relationship Id="rId34" Type="http://schemas.openxmlformats.org/officeDocument/2006/relationships/image" Target="media/image8.png"/><Relationship Id="rId50" Type="http://schemas.openxmlformats.org/officeDocument/2006/relationships/image" Target="media/image16.png"/><Relationship Id="rId55" Type="http://schemas.openxmlformats.org/officeDocument/2006/relationships/hyperlink" Target="https://www.employment.gov.au/newsroom/indigenous-employment-service-being-trialled-yarrabah" TargetMode="External"/><Relationship Id="rId76" Type="http://schemas.openxmlformats.org/officeDocument/2006/relationships/hyperlink" Target="https://www.vic.gov.au/framework-place-based-approaches/print-all" TargetMode="External"/><Relationship Id="rId97" Type="http://schemas.openxmlformats.org/officeDocument/2006/relationships/image" Target="media/image19.png"/><Relationship Id="rId104" Type="http://schemas.openxmlformats.org/officeDocument/2006/relationships/image" Target="media/image23.png"/><Relationship Id="rId120" Type="http://schemas.openxmlformats.org/officeDocument/2006/relationships/hyperlink" Target="mailto:ethics@aiatsis.gov.au" TargetMode="External"/><Relationship Id="rId125" Type="http://schemas.openxmlformats.org/officeDocument/2006/relationships/hyperlink" Target="mailto:ethics@aiatsis.gov.au" TargetMode="External"/><Relationship Id="rId141" Type="http://schemas.openxmlformats.org/officeDocument/2006/relationships/hyperlink" Target="mailto:ethics@aiatsis.gov.au"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researchgate.net/publication/220423803_Understanding_the_benefit_and_costs_of_communities_of_practice" TargetMode="External"/><Relationship Id="rId92"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chart" Target="charts/chart4.xml"/><Relationship Id="rId40" Type="http://schemas.openxmlformats.org/officeDocument/2006/relationships/header" Target="header5.xml"/><Relationship Id="rId45" Type="http://schemas.openxmlformats.org/officeDocument/2006/relationships/image" Target="media/image13.png"/><Relationship Id="rId66" Type="http://schemas.openxmlformats.org/officeDocument/2006/relationships/hyperlink" Target="https://www.dca.org.au/sites/default/files/dca_synopsisreport_web_0.pdf" TargetMode="External"/><Relationship Id="rId87" Type="http://schemas.openxmlformats.org/officeDocument/2006/relationships/header" Target="header12.xml"/><Relationship Id="rId110" Type="http://schemas.openxmlformats.org/officeDocument/2006/relationships/image" Target="media/image29.png"/><Relationship Id="rId115" Type="http://schemas.openxmlformats.org/officeDocument/2006/relationships/hyperlink" Target="mailto:privacy@deloitte.com.au" TargetMode="External"/><Relationship Id="rId131" Type="http://schemas.openxmlformats.org/officeDocument/2006/relationships/hyperlink" Target="mailto:ethics@aiatsis.gov.au" TargetMode="External"/><Relationship Id="rId136" Type="http://schemas.openxmlformats.org/officeDocument/2006/relationships/hyperlink" Target="mailto:IEPevaluation@deloitte.com.au" TargetMode="External"/><Relationship Id="rId61" Type="http://schemas.openxmlformats.org/officeDocument/2006/relationships/hyperlink" Target="https://docs.employment.gov.au/system/files/doc/other/wage_subsides_factsheet_update_oct_20.pdf" TargetMode="External"/><Relationship Id="rId82" Type="http://schemas.openxmlformats.org/officeDocument/2006/relationships/header" Target="header8.xml"/><Relationship Id="rId19" Type="http://schemas.openxmlformats.org/officeDocument/2006/relationships/footer" Target="footer2.xml"/><Relationship Id="rId14" Type="http://schemas.openxmlformats.org/officeDocument/2006/relationships/image" Target="media/image3.emf"/><Relationship Id="rId30" Type="http://schemas.openxmlformats.org/officeDocument/2006/relationships/chart" Target="charts/chart6.xml"/><Relationship Id="rId35" Type="http://schemas.openxmlformats.org/officeDocument/2006/relationships/image" Target="media/image9.png"/><Relationship Id="rId56" Type="http://schemas.openxmlformats.org/officeDocument/2006/relationships/hyperlink" Target="https://docs.employment.gov.au/system/files/doc/other/good_practice_in_job_services_australia.pdf" TargetMode="External"/><Relationship Id="rId77" Type="http://schemas.openxmlformats.org/officeDocument/2006/relationships/hyperlink" Target="https://eprints.qut.edu.au/17194/1/c17194.pdf" TargetMode="External"/><Relationship Id="rId100" Type="http://schemas.openxmlformats.org/officeDocument/2006/relationships/image" Target="media/image21.png"/><Relationship Id="rId105" Type="http://schemas.openxmlformats.org/officeDocument/2006/relationships/image" Target="media/image24.png"/><Relationship Id="rId126" Type="http://schemas.openxmlformats.org/officeDocument/2006/relationships/hyperlink" Target="mailto:IEPevaluation@deloitte.com.au"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s://www.voced.edu.au/content/ngv%3A29210" TargetMode="External"/><Relationship Id="rId93" Type="http://schemas.openxmlformats.org/officeDocument/2006/relationships/header" Target="header15.xml"/><Relationship Id="rId98" Type="http://schemas.openxmlformats.org/officeDocument/2006/relationships/footer" Target="footer11.xml"/><Relationship Id="rId121" Type="http://schemas.openxmlformats.org/officeDocument/2006/relationships/hyperlink" Target="mailto:IEPevaluation@deloitte.com.au" TargetMode="External"/><Relationship Id="rId142" Type="http://schemas.openxmlformats.org/officeDocument/2006/relationships/hyperlink" Target="mailto:IEPevaluation@deloitte.com.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ihw.gov.au/getmedia/71bb346a-1b83-4038-a2f7-647e65a21445/ctg-ip03.pdf" TargetMode="External"/><Relationship Id="rId18" Type="http://schemas.openxmlformats.org/officeDocument/2006/relationships/hyperlink" Target="https://openresearch-repository.anu.edu.au/bitstream/1885/148933/1/Altman_CDEP_2005_0.pdf" TargetMode="External"/><Relationship Id="rId26" Type="http://schemas.openxmlformats.org/officeDocument/2006/relationships/hyperlink" Target="https://doi.org/10.1787/dd1029ea-en" TargetMode="External"/><Relationship Id="rId39" Type="http://schemas.openxmlformats.org/officeDocument/2006/relationships/hyperlink" Target="https://doi.org/10.1787/dd1029ea-en" TargetMode="External"/><Relationship Id="rId3" Type="http://schemas.openxmlformats.org/officeDocument/2006/relationships/hyperlink" Target="https://www.aihw.gov.au/getmedia/71bb346a-1b83-4038-a2f7-647e65a21445/ctg-ip03.pdf" TargetMode="External"/><Relationship Id="rId21" Type="http://schemas.openxmlformats.org/officeDocument/2006/relationships/hyperlink" Target="https://www.aihw.gov.au/getmedia/71bb346a-1b83-4038-a2f7-647e65a21445/ctg-ip03.pdf" TargetMode="External"/><Relationship Id="rId34" Type="http://schemas.openxmlformats.org/officeDocument/2006/relationships/hyperlink" Target="https://docs.employment.gov.au/system/files/doc/other/the_evaluation_of_jsa_2012-2015_0.pdf" TargetMode="External"/><Relationship Id="rId42" Type="http://schemas.openxmlformats.org/officeDocument/2006/relationships/hyperlink" Target="https://www.aihw.gov.au/getmedia/71bb346a-1b83-4038-a2f7-647e65a21445/ctg-ip03.pdf" TargetMode="External"/><Relationship Id="rId47" Type="http://schemas.openxmlformats.org/officeDocument/2006/relationships/hyperlink" Target="https://doi.org/10.1787/dd1029ea-en" TargetMode="External"/><Relationship Id="rId50" Type="http://schemas.openxmlformats.org/officeDocument/2006/relationships/hyperlink" Target="https://docs.employment.gov.au/system/files/doc/other/the_evaluation_of_jsa_2012-2015_0.pdf" TargetMode="External"/><Relationship Id="rId7" Type="http://schemas.openxmlformats.org/officeDocument/2006/relationships/hyperlink" Target="https://doi.org/10.1787/dd1029ea-en" TargetMode="External"/><Relationship Id="rId12" Type="http://schemas.openxmlformats.org/officeDocument/2006/relationships/hyperlink" Target="https://www.aihw.gov.au/getmedia/71bb346a-1b83-4038-a2f7-647e65a21445/ctg-ip03.pdf" TargetMode="External"/><Relationship Id="rId17" Type="http://schemas.openxmlformats.org/officeDocument/2006/relationships/hyperlink" Target="https://www.voced.edu.au/content/ngv%3A29210" TargetMode="External"/><Relationship Id="rId25" Type="http://schemas.openxmlformats.org/officeDocument/2006/relationships/hyperlink" Target="https://doi.org/10.1787/dd1029ea-en" TargetMode="External"/><Relationship Id="rId33" Type="http://schemas.openxmlformats.org/officeDocument/2006/relationships/hyperlink" Target="https://docs.employment.gov.au/system/files/doc/other/good_practice_in_job_services_australia.pdf" TargetMode="External"/><Relationship Id="rId38" Type="http://schemas.openxmlformats.org/officeDocument/2006/relationships/hyperlink" Target="https://doi.org/10.1787/dd1029ea-en" TargetMode="External"/><Relationship Id="rId46" Type="http://schemas.openxmlformats.org/officeDocument/2006/relationships/hyperlink" Target="https://www.aihw.gov.au/getmedia/71bb346a-1b83-4038-a2f7-647e65a21445/ctg-ip03.pdf" TargetMode="External"/><Relationship Id="rId2" Type="http://schemas.openxmlformats.org/officeDocument/2006/relationships/hyperlink" Target="https://www.aihw.gov.au/getmedia/71bb346a-1b83-4038-a2f7-647e65a21445/ctg-ip03.pdf" TargetMode="External"/><Relationship Id="rId16" Type="http://schemas.openxmlformats.org/officeDocument/2006/relationships/hyperlink" Target="https://openresearch-repository.anu.edu.au/bitstream/1885/148933/1/Altman_CDEP_2005_0.pdf" TargetMode="External"/><Relationship Id="rId20" Type="http://schemas.openxmlformats.org/officeDocument/2006/relationships/hyperlink" Target="https://www.aihw.gov.au/getmedia/71bb346a-1b83-4038-a2f7-647e65a21445/ctg-ip03.pdf" TargetMode="External"/><Relationship Id="rId29" Type="http://schemas.openxmlformats.org/officeDocument/2006/relationships/hyperlink" Target="https://docs.employment.gov.au/system/files/doc/other/the_evaluation_of_jsa_2012-2015_0.pdf" TargetMode="External"/><Relationship Id="rId41" Type="http://schemas.openxmlformats.org/officeDocument/2006/relationships/hyperlink" Target="https://doi.org/10.1787/dd1029ea-en" TargetMode="External"/><Relationship Id="rId54" Type="http://schemas.openxmlformats.org/officeDocument/2006/relationships/hyperlink" Target="https://ctgreport.niaa.gov.au/employment" TargetMode="External"/><Relationship Id="rId1" Type="http://schemas.openxmlformats.org/officeDocument/2006/relationships/hyperlink" Target="https://caepr.cass.anu.edu.au/research/publications/academic-perspectives-forrest-review-creating-parity" TargetMode="External"/><Relationship Id="rId6" Type="http://schemas.openxmlformats.org/officeDocument/2006/relationships/hyperlink" Target="https://www.aihw.gov.au/getmedia/71bb346a-1b83-4038-a2f7-647e65a21445/ctg-ip03.pdf" TargetMode="External"/><Relationship Id="rId11" Type="http://schemas.openxmlformats.org/officeDocument/2006/relationships/hyperlink" Target="https://ctgreport.niaa.gov.au/employment" TargetMode="External"/><Relationship Id="rId24" Type="http://schemas.openxmlformats.org/officeDocument/2006/relationships/hyperlink" Target="https://www.indigenous.gov.au/indigenous-advancement-strategy" TargetMode="External"/><Relationship Id="rId32" Type="http://schemas.openxmlformats.org/officeDocument/2006/relationships/hyperlink" Target="https://docs.employment.gov.au/system/files/doc/other/good_practice_in_job_services_australia.pdf" TargetMode="External"/><Relationship Id="rId37" Type="http://schemas.openxmlformats.org/officeDocument/2006/relationships/hyperlink" Target="https://doi.org/10.1787/dd1029ea-en" TargetMode="External"/><Relationship Id="rId40" Type="http://schemas.openxmlformats.org/officeDocument/2006/relationships/hyperlink" Target="https://www.aihw.gov.au/getmedia/71bb346a-1b83-4038-a2f7-647e65a21445/ctg-ip03.pdf" TargetMode="External"/><Relationship Id="rId45" Type="http://schemas.openxmlformats.org/officeDocument/2006/relationships/hyperlink" Target="https://doi.org/10.1787/dd1029ea-en" TargetMode="External"/><Relationship Id="rId53" Type="http://schemas.openxmlformats.org/officeDocument/2006/relationships/hyperlink" Target="https://www.aihw.gov.au/getmedia/71bb346a-1b83-4038-a2f7-647e65a21445/ctg-ip03.pdf" TargetMode="External"/><Relationship Id="rId5" Type="http://schemas.openxmlformats.org/officeDocument/2006/relationships/hyperlink" Target="https://www.aihw.gov.au/getmedia/71bb346a-1b83-4038-a2f7-647e65a21445/ctg-ip03.pdf" TargetMode="External"/><Relationship Id="rId15" Type="http://schemas.openxmlformats.org/officeDocument/2006/relationships/hyperlink" Target="https://openresearch-repository.anu.edu.au/bitstream/1885/148933/1/Altman_CDEP_2005_0.pdf" TargetMode="External"/><Relationship Id="rId23" Type="http://schemas.openxmlformats.org/officeDocument/2006/relationships/hyperlink" Target="https://www.aph.gov.au/About_Parliament/Parliamentary_Departments/Parliamentary_Library/pubs/BriefingBook44p/ClosingGap" TargetMode="External"/><Relationship Id="rId28" Type="http://schemas.openxmlformats.org/officeDocument/2006/relationships/hyperlink" Target="https://www.reconciliation.org.au/wp-content/uploads/2017/11/Auspolls-Evaluating-the-effectiveess-of-Reconciliation-Action-Plans-Overall-analysis.pdf" TargetMode="External"/><Relationship Id="rId36" Type="http://schemas.openxmlformats.org/officeDocument/2006/relationships/hyperlink" Target="https://doi.org/10.1787/dd1029ea-en" TargetMode="External"/><Relationship Id="rId49" Type="http://schemas.openxmlformats.org/officeDocument/2006/relationships/hyperlink" Target="https://docs.employment.gov.au/system/files/doc/other/the_evaluation_of_jsa_2012-2015_0.pdf" TargetMode="External"/><Relationship Id="rId10" Type="http://schemas.openxmlformats.org/officeDocument/2006/relationships/hyperlink" Target="https://communitylegalqld.org.au/sites/default/files/downloads/pages/working_with_first_nations_people_-_trauma_transgenerational_transfer_and_effects_on_community_wellbeing.pdf" TargetMode="External"/><Relationship Id="rId19" Type="http://schemas.openxmlformats.org/officeDocument/2006/relationships/hyperlink" Target="https://www.aihw.gov.au/getmedia/71bb346a-1b83-4038-a2f7-647e65a21445/ctg-ip03.pdf" TargetMode="External"/><Relationship Id="rId31" Type="http://schemas.openxmlformats.org/officeDocument/2006/relationships/hyperlink" Target="https://docs.employment.gov.au/system/files/doc/other/the_evaluation_of_jsa_2012-2015_0.pdf" TargetMode="External"/><Relationship Id="rId44" Type="http://schemas.openxmlformats.org/officeDocument/2006/relationships/hyperlink" Target="https://doi.org/10.1787/dd1029ea-en" TargetMode="External"/><Relationship Id="rId52" Type="http://schemas.openxmlformats.org/officeDocument/2006/relationships/hyperlink" Target="https://doi.org/10.1787/dd1029ea-en" TargetMode="External"/><Relationship Id="rId4" Type="http://schemas.openxmlformats.org/officeDocument/2006/relationships/hyperlink" Target="https://www.aihw.gov.au/getmedia/71bb346a-1b83-4038-a2f7-647e65a21445/ctg-ip03.pdf" TargetMode="External"/><Relationship Id="rId9" Type="http://schemas.openxmlformats.org/officeDocument/2006/relationships/hyperlink" Target="https://doi.org/10.1787/dd1029ea-en" TargetMode="External"/><Relationship Id="rId14" Type="http://schemas.openxmlformats.org/officeDocument/2006/relationships/hyperlink" Target="https://www.aihw.gov.au/getmedia/71bb346a-1b83-4038-a2f7-647e65a21445/ctg-ip03.pdf" TargetMode="External"/><Relationship Id="rId22" Type="http://schemas.openxmlformats.org/officeDocument/2006/relationships/hyperlink" Target="https://humanrights.gov.au/sites/default/files/content/social_justice/sj_report/sjreport05/pdf/SocialJustice2005.pdf" TargetMode="External"/><Relationship Id="rId27" Type="http://schemas.openxmlformats.org/officeDocument/2006/relationships/hyperlink" Target="https://www.aihw.gov.au/getmedia/71bb346a-1b83-4038-a2f7-647e65a21445/ctg-ip03.pdf" TargetMode="External"/><Relationship Id="rId30" Type="http://schemas.openxmlformats.org/officeDocument/2006/relationships/hyperlink" Target="https://www.vic.gov.au/framework-place-based-approaches/print-all" TargetMode="External"/><Relationship Id="rId35" Type="http://schemas.openxmlformats.org/officeDocument/2006/relationships/hyperlink" Target="https://eprints.qut.edu.au/17194/1/c17194.pdf" TargetMode="External"/><Relationship Id="rId43" Type="http://schemas.openxmlformats.org/officeDocument/2006/relationships/hyperlink" Target="https://www.aihw.gov.au/getmedia/71bb346a-1b83-4038-a2f7-647e65a21445/ctg-ip03.pdf" TargetMode="External"/><Relationship Id="rId48" Type="http://schemas.openxmlformats.org/officeDocument/2006/relationships/hyperlink" Target="https://www.aihw.gov.au/getmedia/71bb346a-1b83-4038-a2f7-647e65a21445/ctg-ip03.pdf" TargetMode="External"/><Relationship Id="rId8" Type="http://schemas.openxmlformats.org/officeDocument/2006/relationships/hyperlink" Target="https://www.aihw.gov.au/getmedia/71bb346a-1b83-4038-a2f7-647e65a21445/ctg-ip03.pdf" TargetMode="External"/><Relationship Id="rId51" Type="http://schemas.openxmlformats.org/officeDocument/2006/relationships/hyperlink" Target="https://doi.org/10.1787/dd1029ea-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RED%20Outputs/Copy%20of%20Output_2.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3.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Finalised%20Program%20Data/Finalised%20Program%20Data%20Analysi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RED%20Outputs/Copy%20of%20Output_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80958038081128"/>
          <c:y val="5.8029235768672617E-2"/>
          <c:w val="0.81289320119322306"/>
          <c:h val="0.58774066140534931"/>
        </c:manualLayout>
      </c:layout>
      <c:areaChart>
        <c:grouping val="stacked"/>
        <c:varyColors val="0"/>
        <c:ser>
          <c:idx val="0"/>
          <c:order val="0"/>
          <c:tx>
            <c:strRef>
              <c:f>'Overview Outputs'!$B$45</c:f>
              <c:strCache>
                <c:ptCount val="1"/>
                <c:pt idx="0">
                  <c:v>VTEC</c:v>
                </c:pt>
              </c:strCache>
            </c:strRef>
          </c:tx>
          <c:spPr>
            <a:solidFill>
              <a:schemeClr val="accent1"/>
            </a:solidFill>
            <a:ln>
              <a:noFill/>
            </a:ln>
            <a:effectLst/>
          </c:spPr>
          <c:cat>
            <c:numRef>
              <c:f>'Overview Outputs'!$C$44:$BV$44</c:f>
              <c:numCache>
                <c:formatCode>mmm\-yy</c:formatCode>
                <c:ptCount val="7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numCache>
            </c:numRef>
          </c:cat>
          <c:val>
            <c:numRef>
              <c:f>'Overview Outputs'!$C$45:$BV$45</c:f>
              <c:numCache>
                <c:formatCode>#,##0</c:formatCode>
                <c:ptCount val="72"/>
                <c:pt idx="0">
                  <c:v>1</c:v>
                </c:pt>
                <c:pt idx="1">
                  <c:v>4</c:v>
                </c:pt>
                <c:pt idx="2">
                  <c:v>2</c:v>
                </c:pt>
                <c:pt idx="3">
                  <c:v>11</c:v>
                </c:pt>
                <c:pt idx="4">
                  <c:v>36</c:v>
                </c:pt>
                <c:pt idx="5">
                  <c:v>25</c:v>
                </c:pt>
                <c:pt idx="6">
                  <c:v>134</c:v>
                </c:pt>
                <c:pt idx="7">
                  <c:v>147</c:v>
                </c:pt>
                <c:pt idx="8">
                  <c:v>141</c:v>
                </c:pt>
                <c:pt idx="9">
                  <c:v>195</c:v>
                </c:pt>
                <c:pt idx="10">
                  <c:v>223</c:v>
                </c:pt>
                <c:pt idx="11">
                  <c:v>153</c:v>
                </c:pt>
                <c:pt idx="12">
                  <c:v>203</c:v>
                </c:pt>
                <c:pt idx="13">
                  <c:v>277</c:v>
                </c:pt>
                <c:pt idx="14">
                  <c:v>248</c:v>
                </c:pt>
                <c:pt idx="15">
                  <c:v>262</c:v>
                </c:pt>
                <c:pt idx="16">
                  <c:v>212</c:v>
                </c:pt>
                <c:pt idx="17">
                  <c:v>251</c:v>
                </c:pt>
                <c:pt idx="18">
                  <c:v>231</c:v>
                </c:pt>
                <c:pt idx="19">
                  <c:v>194</c:v>
                </c:pt>
                <c:pt idx="20">
                  <c:v>249</c:v>
                </c:pt>
                <c:pt idx="21">
                  <c:v>269</c:v>
                </c:pt>
                <c:pt idx="22">
                  <c:v>230</c:v>
                </c:pt>
                <c:pt idx="23">
                  <c:v>148</c:v>
                </c:pt>
                <c:pt idx="24">
                  <c:v>129</c:v>
                </c:pt>
                <c:pt idx="25">
                  <c:v>186</c:v>
                </c:pt>
                <c:pt idx="26">
                  <c:v>170</c:v>
                </c:pt>
                <c:pt idx="27">
                  <c:v>156</c:v>
                </c:pt>
                <c:pt idx="28">
                  <c:v>173</c:v>
                </c:pt>
                <c:pt idx="29">
                  <c:v>172</c:v>
                </c:pt>
                <c:pt idx="30">
                  <c:v>181</c:v>
                </c:pt>
                <c:pt idx="31">
                  <c:v>208</c:v>
                </c:pt>
                <c:pt idx="32">
                  <c:v>162</c:v>
                </c:pt>
                <c:pt idx="33">
                  <c:v>180</c:v>
                </c:pt>
                <c:pt idx="34">
                  <c:v>199</c:v>
                </c:pt>
                <c:pt idx="35">
                  <c:v>82</c:v>
                </c:pt>
                <c:pt idx="36">
                  <c:v>150</c:v>
                </c:pt>
                <c:pt idx="37">
                  <c:v>144</c:v>
                </c:pt>
                <c:pt idx="38">
                  <c:v>135</c:v>
                </c:pt>
                <c:pt idx="39">
                  <c:v>164</c:v>
                </c:pt>
                <c:pt idx="40">
                  <c:v>153</c:v>
                </c:pt>
                <c:pt idx="41">
                  <c:v>170</c:v>
                </c:pt>
                <c:pt idx="42">
                  <c:v>175</c:v>
                </c:pt>
                <c:pt idx="43">
                  <c:v>197</c:v>
                </c:pt>
                <c:pt idx="44">
                  <c:v>167</c:v>
                </c:pt>
                <c:pt idx="45">
                  <c:v>225</c:v>
                </c:pt>
                <c:pt idx="46">
                  <c:v>185</c:v>
                </c:pt>
                <c:pt idx="47">
                  <c:v>109</c:v>
                </c:pt>
                <c:pt idx="48">
                  <c:v>136</c:v>
                </c:pt>
                <c:pt idx="49">
                  <c:v>147</c:v>
                </c:pt>
                <c:pt idx="50">
                  <c:v>189</c:v>
                </c:pt>
                <c:pt idx="51">
                  <c:v>185</c:v>
                </c:pt>
                <c:pt idx="52">
                  <c:v>204</c:v>
                </c:pt>
                <c:pt idx="53">
                  <c:v>187</c:v>
                </c:pt>
                <c:pt idx="54">
                  <c:v>205</c:v>
                </c:pt>
                <c:pt idx="55">
                  <c:v>183</c:v>
                </c:pt>
                <c:pt idx="56">
                  <c:v>185</c:v>
                </c:pt>
                <c:pt idx="57">
                  <c:v>220</c:v>
                </c:pt>
                <c:pt idx="58">
                  <c:v>179</c:v>
                </c:pt>
                <c:pt idx="59">
                  <c:v>127</c:v>
                </c:pt>
                <c:pt idx="60">
                  <c:v>181</c:v>
                </c:pt>
                <c:pt idx="61">
                  <c:v>141</c:v>
                </c:pt>
                <c:pt idx="62">
                  <c:v>124</c:v>
                </c:pt>
                <c:pt idx="63">
                  <c:v>164</c:v>
                </c:pt>
                <c:pt idx="64">
                  <c:v>132</c:v>
                </c:pt>
                <c:pt idx="65">
                  <c:v>129</c:v>
                </c:pt>
                <c:pt idx="66">
                  <c:v>166</c:v>
                </c:pt>
                <c:pt idx="67">
                  <c:v>141</c:v>
                </c:pt>
                <c:pt idx="68">
                  <c:v>169</c:v>
                </c:pt>
                <c:pt idx="69">
                  <c:v>162</c:v>
                </c:pt>
                <c:pt idx="70">
                  <c:v>130</c:v>
                </c:pt>
                <c:pt idx="71">
                  <c:v>127</c:v>
                </c:pt>
              </c:numCache>
            </c:numRef>
          </c:val>
          <c:extLst>
            <c:ext xmlns:c16="http://schemas.microsoft.com/office/drawing/2014/chart" uri="{C3380CC4-5D6E-409C-BE32-E72D297353CC}">
              <c16:uniqueId val="{00000000-4C93-4B47-8F5E-213222191A87}"/>
            </c:ext>
          </c:extLst>
        </c:ser>
        <c:ser>
          <c:idx val="1"/>
          <c:order val="1"/>
          <c:tx>
            <c:strRef>
              <c:f>'Overview Outputs'!$B$46</c:f>
              <c:strCache>
                <c:ptCount val="1"/>
                <c:pt idx="0">
                  <c:v>TAEG</c:v>
                </c:pt>
              </c:strCache>
            </c:strRef>
          </c:tx>
          <c:spPr>
            <a:solidFill>
              <a:schemeClr val="accent2"/>
            </a:solidFill>
            <a:ln>
              <a:noFill/>
            </a:ln>
            <a:effectLst/>
          </c:spPr>
          <c:cat>
            <c:numRef>
              <c:f>'Overview Outputs'!$C$44:$BV$44</c:f>
              <c:numCache>
                <c:formatCode>mmm\-yy</c:formatCode>
                <c:ptCount val="7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numCache>
            </c:numRef>
          </c:cat>
          <c:val>
            <c:numRef>
              <c:f>'Overview Outputs'!$C$46:$BV$46</c:f>
              <c:numCache>
                <c:formatCode>#,##0</c:formatCode>
                <c:ptCount val="7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183</c:v>
                </c:pt>
                <c:pt idx="31">
                  <c:v>223</c:v>
                </c:pt>
                <c:pt idx="32">
                  <c:v>160</c:v>
                </c:pt>
                <c:pt idx="33">
                  <c:v>200</c:v>
                </c:pt>
                <c:pt idx="34">
                  <c:v>265</c:v>
                </c:pt>
                <c:pt idx="35">
                  <c:v>216</c:v>
                </c:pt>
                <c:pt idx="36">
                  <c:v>204</c:v>
                </c:pt>
                <c:pt idx="37">
                  <c:v>309</c:v>
                </c:pt>
                <c:pt idx="38">
                  <c:v>342</c:v>
                </c:pt>
                <c:pt idx="39">
                  <c:v>215</c:v>
                </c:pt>
                <c:pt idx="40">
                  <c:v>293</c:v>
                </c:pt>
                <c:pt idx="41">
                  <c:v>315</c:v>
                </c:pt>
                <c:pt idx="42">
                  <c:v>280</c:v>
                </c:pt>
                <c:pt idx="43">
                  <c:v>255</c:v>
                </c:pt>
                <c:pt idx="44">
                  <c:v>199</c:v>
                </c:pt>
                <c:pt idx="45">
                  <c:v>198</c:v>
                </c:pt>
                <c:pt idx="46">
                  <c:v>191</c:v>
                </c:pt>
                <c:pt idx="47">
                  <c:v>159</c:v>
                </c:pt>
                <c:pt idx="48">
                  <c:v>260</c:v>
                </c:pt>
                <c:pt idx="49">
                  <c:v>218</c:v>
                </c:pt>
                <c:pt idx="50">
                  <c:v>249</c:v>
                </c:pt>
                <c:pt idx="51">
                  <c:v>283</c:v>
                </c:pt>
                <c:pt idx="52">
                  <c:v>264</c:v>
                </c:pt>
                <c:pt idx="53">
                  <c:v>272</c:v>
                </c:pt>
                <c:pt idx="54">
                  <c:v>173</c:v>
                </c:pt>
                <c:pt idx="55">
                  <c:v>174</c:v>
                </c:pt>
                <c:pt idx="56">
                  <c:v>141</c:v>
                </c:pt>
                <c:pt idx="57">
                  <c:v>143</c:v>
                </c:pt>
                <c:pt idx="58">
                  <c:v>133</c:v>
                </c:pt>
                <c:pt idx="59">
                  <c:v>80</c:v>
                </c:pt>
                <c:pt idx="60">
                  <c:v>146</c:v>
                </c:pt>
                <c:pt idx="61">
                  <c:v>170</c:v>
                </c:pt>
                <c:pt idx="62">
                  <c:v>181</c:v>
                </c:pt>
                <c:pt idx="63">
                  <c:v>115</c:v>
                </c:pt>
                <c:pt idx="64">
                  <c:v>121</c:v>
                </c:pt>
                <c:pt idx="65">
                  <c:v>195</c:v>
                </c:pt>
                <c:pt idx="66">
                  <c:v>143</c:v>
                </c:pt>
                <c:pt idx="67">
                  <c:v>122</c:v>
                </c:pt>
                <c:pt idx="68">
                  <c:v>171</c:v>
                </c:pt>
                <c:pt idx="69">
                  <c:v>126</c:v>
                </c:pt>
                <c:pt idx="70">
                  <c:v>140</c:v>
                </c:pt>
                <c:pt idx="71">
                  <c:v>93</c:v>
                </c:pt>
              </c:numCache>
            </c:numRef>
          </c:val>
          <c:extLst>
            <c:ext xmlns:c16="http://schemas.microsoft.com/office/drawing/2014/chart" uri="{C3380CC4-5D6E-409C-BE32-E72D297353CC}">
              <c16:uniqueId val="{00000001-4C93-4B47-8F5E-213222191A87}"/>
            </c:ext>
          </c:extLst>
        </c:ser>
        <c:ser>
          <c:idx val="2"/>
          <c:order val="2"/>
          <c:tx>
            <c:strRef>
              <c:f>'Overview Outputs'!$B$47</c:f>
              <c:strCache>
                <c:ptCount val="1"/>
                <c:pt idx="0">
                  <c:v>EPI</c:v>
                </c:pt>
              </c:strCache>
            </c:strRef>
          </c:tx>
          <c:spPr>
            <a:solidFill>
              <a:schemeClr val="accent3"/>
            </a:solidFill>
            <a:ln>
              <a:noFill/>
            </a:ln>
            <a:effectLst/>
          </c:spPr>
          <c:cat>
            <c:numRef>
              <c:f>'Overview Outputs'!$C$44:$BV$44</c:f>
              <c:numCache>
                <c:formatCode>mmm\-yy</c:formatCode>
                <c:ptCount val="7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numCache>
            </c:numRef>
          </c:cat>
          <c:val>
            <c:numRef>
              <c:f>'Overview Outputs'!$C$47:$BV$47</c:f>
              <c:numCache>
                <c:formatCode>#,##0</c:formatCode>
                <c:ptCount val="7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42</c:v>
                </c:pt>
                <c:pt idx="15">
                  <c:v>25</c:v>
                </c:pt>
                <c:pt idx="16">
                  <c:v>29</c:v>
                </c:pt>
                <c:pt idx="17">
                  <c:v>33</c:v>
                </c:pt>
                <c:pt idx="18">
                  <c:v>44</c:v>
                </c:pt>
                <c:pt idx="19">
                  <c:v>51</c:v>
                </c:pt>
                <c:pt idx="20">
                  <c:v>46</c:v>
                </c:pt>
                <c:pt idx="21">
                  <c:v>47</c:v>
                </c:pt>
                <c:pt idx="22">
                  <c:v>90</c:v>
                </c:pt>
                <c:pt idx="23">
                  <c:v>60</c:v>
                </c:pt>
                <c:pt idx="24">
                  <c:v>36</c:v>
                </c:pt>
                <c:pt idx="25">
                  <c:v>74</c:v>
                </c:pt>
                <c:pt idx="26">
                  <c:v>93</c:v>
                </c:pt>
                <c:pt idx="27">
                  <c:v>75</c:v>
                </c:pt>
                <c:pt idx="28">
                  <c:v>137</c:v>
                </c:pt>
                <c:pt idx="29">
                  <c:v>115</c:v>
                </c:pt>
                <c:pt idx="30">
                  <c:v>83</c:v>
                </c:pt>
                <c:pt idx="31">
                  <c:v>128</c:v>
                </c:pt>
                <c:pt idx="32">
                  <c:v>188</c:v>
                </c:pt>
                <c:pt idx="33">
                  <c:v>200</c:v>
                </c:pt>
                <c:pt idx="34">
                  <c:v>259</c:v>
                </c:pt>
                <c:pt idx="35">
                  <c:v>132</c:v>
                </c:pt>
                <c:pt idx="36">
                  <c:v>86</c:v>
                </c:pt>
                <c:pt idx="37">
                  <c:v>155</c:v>
                </c:pt>
                <c:pt idx="38">
                  <c:v>204</c:v>
                </c:pt>
                <c:pt idx="39">
                  <c:v>142</c:v>
                </c:pt>
                <c:pt idx="40">
                  <c:v>197</c:v>
                </c:pt>
                <c:pt idx="41">
                  <c:v>177</c:v>
                </c:pt>
                <c:pt idx="42">
                  <c:v>185</c:v>
                </c:pt>
                <c:pt idx="43">
                  <c:v>137</c:v>
                </c:pt>
                <c:pt idx="44">
                  <c:v>207</c:v>
                </c:pt>
                <c:pt idx="45">
                  <c:v>303</c:v>
                </c:pt>
                <c:pt idx="46">
                  <c:v>283</c:v>
                </c:pt>
                <c:pt idx="47">
                  <c:v>92</c:v>
                </c:pt>
                <c:pt idx="48">
                  <c:v>85</c:v>
                </c:pt>
                <c:pt idx="49">
                  <c:v>112</c:v>
                </c:pt>
                <c:pt idx="50">
                  <c:v>193</c:v>
                </c:pt>
                <c:pt idx="51">
                  <c:v>168</c:v>
                </c:pt>
                <c:pt idx="52">
                  <c:v>146</c:v>
                </c:pt>
                <c:pt idx="53">
                  <c:v>139</c:v>
                </c:pt>
                <c:pt idx="54">
                  <c:v>152</c:v>
                </c:pt>
                <c:pt idx="55">
                  <c:v>103</c:v>
                </c:pt>
                <c:pt idx="56">
                  <c:v>130</c:v>
                </c:pt>
                <c:pt idx="57">
                  <c:v>178</c:v>
                </c:pt>
                <c:pt idx="58">
                  <c:v>99</c:v>
                </c:pt>
                <c:pt idx="59">
                  <c:v>56</c:v>
                </c:pt>
                <c:pt idx="60">
                  <c:v>80</c:v>
                </c:pt>
                <c:pt idx="61">
                  <c:v>126</c:v>
                </c:pt>
                <c:pt idx="62">
                  <c:v>101</c:v>
                </c:pt>
                <c:pt idx="63">
                  <c:v>104</c:v>
                </c:pt>
                <c:pt idx="64">
                  <c:v>107</c:v>
                </c:pt>
                <c:pt idx="65">
                  <c:v>128</c:v>
                </c:pt>
                <c:pt idx="66">
                  <c:v>163</c:v>
                </c:pt>
                <c:pt idx="67">
                  <c:v>134</c:v>
                </c:pt>
                <c:pt idx="68">
                  <c:v>192</c:v>
                </c:pt>
                <c:pt idx="69">
                  <c:v>245</c:v>
                </c:pt>
                <c:pt idx="70">
                  <c:v>253</c:v>
                </c:pt>
                <c:pt idx="71">
                  <c:v>121</c:v>
                </c:pt>
              </c:numCache>
            </c:numRef>
          </c:val>
          <c:extLst>
            <c:ext xmlns:c16="http://schemas.microsoft.com/office/drawing/2014/chart" uri="{C3380CC4-5D6E-409C-BE32-E72D297353CC}">
              <c16:uniqueId val="{00000002-4C93-4B47-8F5E-213222191A87}"/>
            </c:ext>
          </c:extLst>
        </c:ser>
        <c:dLbls>
          <c:showLegendKey val="0"/>
          <c:showVal val="0"/>
          <c:showCatName val="0"/>
          <c:showSerName val="0"/>
          <c:showPercent val="0"/>
          <c:showBubbleSize val="0"/>
        </c:dLbls>
        <c:axId val="1666962192"/>
        <c:axId val="1234043440"/>
      </c:areaChart>
      <c:dateAx>
        <c:axId val="166696219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34043440"/>
        <c:crosses val="autoZero"/>
        <c:auto val="1"/>
        <c:lblOffset val="100"/>
        <c:baseTimeUnit val="months"/>
      </c:dateAx>
      <c:valAx>
        <c:axId val="123404344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Monthly Employment Commencements</a:t>
                </a:r>
              </a:p>
            </c:rich>
          </c:tx>
          <c:layout>
            <c:manualLayout>
              <c:xMode val="edge"/>
              <c:yMode val="edge"/>
              <c:x val="2.5724744023605188E-2"/>
              <c:y val="0.1879525823466840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66962192"/>
        <c:crosses val="autoZero"/>
        <c:crossBetween val="midCat"/>
        <c:majorUnit val="2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lumMod val="95000"/>
      </a:schemeClr>
    </a:solidFill>
    <a:ln w="9525" cap="flat" cmpd="sng" algn="ctr">
      <a:noFill/>
      <a:round/>
    </a:ln>
    <a:effectLst/>
  </c:spPr>
  <c:txPr>
    <a:bodyPr/>
    <a:lstStyle/>
    <a:p>
      <a:pPr>
        <a:defRPr sz="800"/>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'Overview Outputs'!$C$83</c:f>
              <c:strCache>
                <c:ptCount val="1"/>
                <c:pt idx="0">
                  <c:v>Metropolitan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'Overview Outputs'!$B$84:$B$86</c:f>
              <c:strCache>
                <c:ptCount val="3"/>
                <c:pt idx="0">
                  <c:v>EPI</c:v>
                </c:pt>
                <c:pt idx="1">
                  <c:v>TAEG</c:v>
                </c:pt>
                <c:pt idx="2">
                  <c:v>VTEC</c:v>
                </c:pt>
              </c:strCache>
            </c:strRef>
          </c:cat>
          <c:val>
            <c:numRef>
              <c:f>'Overview Outputs'!$C$84:$C$86</c:f>
              <c:numCache>
                <c:formatCode>0%</c:formatCode>
                <c:ptCount val="3"/>
                <c:pt idx="0">
                  <c:v>0.72508259911894268</c:v>
                </c:pt>
                <c:pt idx="1">
                  <c:v>0.51870477124984671</c:v>
                </c:pt>
                <c:pt idx="2">
                  <c:v>0.50728574050284458</c:v>
                </c:pt>
              </c:numCache>
            </c:numRef>
          </c:val>
          <c:extLst>
            <c:ext xmlns:c16="http://schemas.microsoft.com/office/drawing/2014/chart" uri="{C3380CC4-5D6E-409C-BE32-E72D297353CC}">
              <c16:uniqueId val="{00000000-2A27-4B58-8CCC-96F5D170CA10}"/>
            </c:ext>
          </c:extLst>
        </c:ser>
        <c:ser>
          <c:idx val="1"/>
          <c:order val="1"/>
          <c:tx>
            <c:strRef>
              <c:f>'Overview Outputs'!$D$83</c:f>
              <c:strCache>
                <c:ptCount val="1"/>
                <c:pt idx="0">
                  <c:v>Regional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'Overview Outputs'!$B$84:$B$86</c:f>
              <c:strCache>
                <c:ptCount val="3"/>
                <c:pt idx="0">
                  <c:v>EPI</c:v>
                </c:pt>
                <c:pt idx="1">
                  <c:v>TAEG</c:v>
                </c:pt>
                <c:pt idx="2">
                  <c:v>VTEC</c:v>
                </c:pt>
              </c:strCache>
            </c:strRef>
          </c:cat>
          <c:val>
            <c:numRef>
              <c:f>'Overview Outputs'!$D$84:$D$86</c:f>
              <c:numCache>
                <c:formatCode>0%</c:formatCode>
                <c:ptCount val="3"/>
                <c:pt idx="0">
                  <c:v>0.13229625550660792</c:v>
                </c:pt>
                <c:pt idx="1">
                  <c:v>0.35177235373482152</c:v>
                </c:pt>
                <c:pt idx="2">
                  <c:v>0.31649844008074879</c:v>
                </c:pt>
              </c:numCache>
            </c:numRef>
          </c:val>
          <c:extLst>
            <c:ext xmlns:c16="http://schemas.microsoft.com/office/drawing/2014/chart" uri="{C3380CC4-5D6E-409C-BE32-E72D297353CC}">
              <c16:uniqueId val="{00000001-2A27-4B58-8CCC-96F5D170CA10}"/>
            </c:ext>
          </c:extLst>
        </c:ser>
        <c:ser>
          <c:idx val="2"/>
          <c:order val="2"/>
          <c:tx>
            <c:strRef>
              <c:f>'Overview Outputs'!$E$83</c:f>
              <c:strCache>
                <c:ptCount val="1"/>
                <c:pt idx="0">
                  <c:v>Remote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'Overview Outputs'!$B$84:$B$86</c:f>
              <c:strCache>
                <c:ptCount val="3"/>
                <c:pt idx="0">
                  <c:v>EPI</c:v>
                </c:pt>
                <c:pt idx="1">
                  <c:v>TAEG</c:v>
                </c:pt>
                <c:pt idx="2">
                  <c:v>VTEC</c:v>
                </c:pt>
              </c:strCache>
            </c:strRef>
          </c:cat>
          <c:val>
            <c:numRef>
              <c:f>'Overview Outputs'!$E$84:$E$86</c:f>
              <c:numCache>
                <c:formatCode>0%</c:formatCode>
                <c:ptCount val="3"/>
                <c:pt idx="0">
                  <c:v>0.14262114537444934</c:v>
                </c:pt>
                <c:pt idx="1">
                  <c:v>0.12952287501533177</c:v>
                </c:pt>
                <c:pt idx="2">
                  <c:v>0.17621581941640668</c:v>
                </c:pt>
              </c:numCache>
            </c:numRef>
          </c:val>
          <c:extLst>
            <c:ext xmlns:c16="http://schemas.microsoft.com/office/drawing/2014/chart" uri="{C3380CC4-5D6E-409C-BE32-E72D297353CC}">
              <c16:uniqueId val="{00000002-2A27-4B58-8CCC-96F5D170CA10}"/>
            </c:ext>
          </c:extLst>
        </c:ser>
        <c:dLbls>
          <c:dLblPos val="ctr"/>
          <c:showLegendKey val="0"/>
          <c:showVal val="1"/>
          <c:showCatName val="0"/>
          <c:showSerName val="0"/>
          <c:showPercent val="0"/>
          <c:showBubbleSize val="0"/>
        </c:dLbls>
        <c:gapWidth val="150"/>
        <c:overlap val="100"/>
        <c:axId val="1666912992"/>
        <c:axId val="1234069648"/>
      </c:barChart>
      <c:catAx>
        <c:axId val="16669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34069648"/>
        <c:crosses val="autoZero"/>
        <c:auto val="1"/>
        <c:lblAlgn val="ctr"/>
        <c:lblOffset val="100"/>
        <c:noMultiLvlLbl val="0"/>
      </c:catAx>
      <c:valAx>
        <c:axId val="123406964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669129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'Overview Outputs'!$I$24</c:f>
              <c:strCache>
                <c:ptCount val="1"/>
                <c:pt idx="0">
                  <c:v>Metropolitan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'Overview Outputs'!$H$25:$H$30</c:f>
              <c:numCache>
                <c:formatCode>General</c:formatCode>
                <c:ptCount val="6"/>
                <c:pt idx="0">
                  <c:v>2014</c:v>
                </c:pt>
                <c:pt idx="1">
                  <c:v>2015</c:v>
                </c:pt>
                <c:pt idx="2">
                  <c:v>2016</c:v>
                </c:pt>
                <c:pt idx="3">
                  <c:v>2017</c:v>
                </c:pt>
                <c:pt idx="4">
                  <c:v>2018</c:v>
                </c:pt>
                <c:pt idx="5">
                  <c:v>2019</c:v>
                </c:pt>
              </c:numCache>
            </c:numRef>
          </c:cat>
          <c:val>
            <c:numRef>
              <c:f>'Overview Outputs'!$I$25:$I$30</c:f>
              <c:numCache>
                <c:formatCode>0%</c:formatCode>
                <c:ptCount val="6"/>
                <c:pt idx="0">
                  <c:v>0.41495327102803736</c:v>
                </c:pt>
                <c:pt idx="1">
                  <c:v>0.42686379364580057</c:v>
                </c:pt>
                <c:pt idx="2">
                  <c:v>0.5805347593582888</c:v>
                </c:pt>
                <c:pt idx="3">
                  <c:v>0.62284977064220182</c:v>
                </c:pt>
                <c:pt idx="4">
                  <c:v>0.60559161258112826</c:v>
                </c:pt>
                <c:pt idx="5">
                  <c:v>0.57075932071052116</c:v>
                </c:pt>
              </c:numCache>
            </c:numRef>
          </c:val>
          <c:extLst>
            <c:ext xmlns:c16="http://schemas.microsoft.com/office/drawing/2014/chart" uri="{C3380CC4-5D6E-409C-BE32-E72D297353CC}">
              <c16:uniqueId val="{00000000-7AD4-4BFF-8B9D-00C4CB49A673}"/>
            </c:ext>
          </c:extLst>
        </c:ser>
        <c:ser>
          <c:idx val="1"/>
          <c:order val="1"/>
          <c:tx>
            <c:strRef>
              <c:f>'Overview Outputs'!$J$24</c:f>
              <c:strCache>
                <c:ptCount val="1"/>
                <c:pt idx="0">
                  <c:v>Regional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'Overview Outputs'!$H$25:$H$30</c:f>
              <c:numCache>
                <c:formatCode>General</c:formatCode>
                <c:ptCount val="6"/>
                <c:pt idx="0">
                  <c:v>2014</c:v>
                </c:pt>
                <c:pt idx="1">
                  <c:v>2015</c:v>
                </c:pt>
                <c:pt idx="2">
                  <c:v>2016</c:v>
                </c:pt>
                <c:pt idx="3">
                  <c:v>2017</c:v>
                </c:pt>
                <c:pt idx="4">
                  <c:v>2018</c:v>
                </c:pt>
                <c:pt idx="5">
                  <c:v>2019</c:v>
                </c:pt>
              </c:numCache>
            </c:numRef>
          </c:cat>
          <c:val>
            <c:numRef>
              <c:f>'Overview Outputs'!$J$25:$J$30</c:f>
              <c:numCache>
                <c:formatCode>0%</c:formatCode>
                <c:ptCount val="6"/>
                <c:pt idx="0">
                  <c:v>0.27383177570093459</c:v>
                </c:pt>
                <c:pt idx="1">
                  <c:v>0.33626926706511484</c:v>
                </c:pt>
                <c:pt idx="2">
                  <c:v>0.29411764705882354</c:v>
                </c:pt>
                <c:pt idx="3">
                  <c:v>0.26304472477064222</c:v>
                </c:pt>
                <c:pt idx="4">
                  <c:v>0.26293892494591448</c:v>
                </c:pt>
                <c:pt idx="5">
                  <c:v>0.30860823736092136</c:v>
                </c:pt>
              </c:numCache>
            </c:numRef>
          </c:val>
          <c:extLst>
            <c:ext xmlns:c16="http://schemas.microsoft.com/office/drawing/2014/chart" uri="{C3380CC4-5D6E-409C-BE32-E72D297353CC}">
              <c16:uniqueId val="{00000001-7AD4-4BFF-8B9D-00C4CB49A673}"/>
            </c:ext>
          </c:extLst>
        </c:ser>
        <c:ser>
          <c:idx val="2"/>
          <c:order val="2"/>
          <c:tx>
            <c:strRef>
              <c:f>'Overview Outputs'!$K$24</c:f>
              <c:strCache>
                <c:ptCount val="1"/>
                <c:pt idx="0">
                  <c:v>Remote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'Overview Outputs'!$H$25:$H$30</c:f>
              <c:numCache>
                <c:formatCode>General</c:formatCode>
                <c:ptCount val="6"/>
                <c:pt idx="0">
                  <c:v>2014</c:v>
                </c:pt>
                <c:pt idx="1">
                  <c:v>2015</c:v>
                </c:pt>
                <c:pt idx="2">
                  <c:v>2016</c:v>
                </c:pt>
                <c:pt idx="3">
                  <c:v>2017</c:v>
                </c:pt>
                <c:pt idx="4">
                  <c:v>2018</c:v>
                </c:pt>
                <c:pt idx="5">
                  <c:v>2019</c:v>
                </c:pt>
              </c:numCache>
            </c:numRef>
          </c:cat>
          <c:val>
            <c:numRef>
              <c:f>'Overview Outputs'!$K$25:$K$30</c:f>
              <c:numCache>
                <c:formatCode>0%</c:formatCode>
                <c:ptCount val="6"/>
                <c:pt idx="0">
                  <c:v>0.31121495327102805</c:v>
                </c:pt>
                <c:pt idx="1">
                  <c:v>0.23686693928908462</c:v>
                </c:pt>
                <c:pt idx="2">
                  <c:v>0.12534759358288769</c:v>
                </c:pt>
                <c:pt idx="3">
                  <c:v>0.11410550458715596</c:v>
                </c:pt>
                <c:pt idx="4">
                  <c:v>0.13146946247295724</c:v>
                </c:pt>
                <c:pt idx="5">
                  <c:v>0.12063244192855749</c:v>
                </c:pt>
              </c:numCache>
            </c:numRef>
          </c:val>
          <c:extLst>
            <c:ext xmlns:c16="http://schemas.microsoft.com/office/drawing/2014/chart" uri="{C3380CC4-5D6E-409C-BE32-E72D297353CC}">
              <c16:uniqueId val="{00000002-7AD4-4BFF-8B9D-00C4CB49A673}"/>
            </c:ext>
          </c:extLst>
        </c:ser>
        <c:dLbls>
          <c:dLblPos val="ctr"/>
          <c:showLegendKey val="0"/>
          <c:showVal val="1"/>
          <c:showCatName val="0"/>
          <c:showSerName val="0"/>
          <c:showPercent val="0"/>
          <c:showBubbleSize val="0"/>
        </c:dLbls>
        <c:gapWidth val="150"/>
        <c:overlap val="100"/>
        <c:axId val="1851509200"/>
        <c:axId val="269097280"/>
        <c:extLst>
          <c:ext xmlns:c15="http://schemas.microsoft.com/office/drawing/2012/chart" uri="{02D57815-91ED-43cb-92C2-25804820EDAC}">
            <c15:filteredBarSeries>
              <c15:ser>
                <c:idx val="3"/>
                <c:order val="3"/>
                <c:tx>
                  <c:strRef>
                    <c:extLst>
                      <c:ext uri="{02D57815-91ED-43cb-92C2-25804820EDAC}">
                        <c15:formulaRef>
                          <c15:sqref>'Overview Outputs'!$L$24</c15:sqref>
                        </c15:formulaRef>
                      </c:ext>
                    </c:extLst>
                    <c:strCache>
                      <c:ptCount val="1"/>
                      <c:pt idx="0">
                        <c:v>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'Overview Outputs'!$H$25:$H$30</c15:sqref>
                        </c15:formulaRef>
                      </c:ext>
                    </c:extLst>
                    <c:numCache>
                      <c:formatCode>General</c:formatCode>
                      <c:ptCount val="6"/>
                      <c:pt idx="0">
                        <c:v>2014</c:v>
                      </c:pt>
                      <c:pt idx="1">
                        <c:v>2015</c:v>
                      </c:pt>
                      <c:pt idx="2">
                        <c:v>2016</c:v>
                      </c:pt>
                      <c:pt idx="3">
                        <c:v>2017</c:v>
                      </c:pt>
                      <c:pt idx="4">
                        <c:v>2018</c:v>
                      </c:pt>
                      <c:pt idx="5">
                        <c:v>2019</c:v>
                      </c:pt>
                    </c:numCache>
                  </c:numRef>
                </c:cat>
                <c:val>
                  <c:numRef>
                    <c:extLst>
                      <c:ext uri="{02D57815-91ED-43cb-92C2-25804820EDAC}">
                        <c15:formulaRef>
                          <c15:sqref>'Overview Outputs'!$L$25:$L$30</c15:sqref>
                        </c15:formulaRef>
                      </c:ext>
                    </c:extLst>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3-7AD4-4BFF-8B9D-00C4CB49A673}"/>
                  </c:ext>
                </c:extLst>
              </c15:ser>
            </c15:filteredBarSeries>
          </c:ext>
        </c:extLst>
      </c:barChart>
      <c:catAx>
        <c:axId val="185150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9097280"/>
        <c:crosses val="autoZero"/>
        <c:auto val="1"/>
        <c:lblAlgn val="ctr"/>
        <c:lblOffset val="100"/>
        <c:noMultiLvlLbl val="0"/>
      </c:catAx>
      <c:valAx>
        <c:axId val="26909728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515092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'Summarised Results'!$G$40</c:f>
              <c:strCache>
                <c:ptCount val="1"/>
                <c:pt idx="0">
                  <c:v>TAEG (n=26)</c:v>
                </c:pt>
              </c:strCache>
            </c:strRef>
          </c:tx>
          <c:spPr>
            <a:solidFill>
              <a:schemeClr val="accent1"/>
            </a:solidFill>
            <a:ln>
              <a:noFill/>
            </a:ln>
            <a:effectLst/>
          </c:spPr>
          <c:invertIfNegative val="0"/>
          <c:cat>
            <c:strRef>
              <c:f>'Summarised Results'!$B$41:$B$45</c:f>
              <c:strCache>
                <c:ptCount val="5"/>
                <c:pt idx="0">
                  <c:v>0-20%</c:v>
                </c:pt>
                <c:pt idx="1">
                  <c:v>21-40%</c:v>
                </c:pt>
                <c:pt idx="2">
                  <c:v>41-60%</c:v>
                </c:pt>
                <c:pt idx="3">
                  <c:v>61-80%</c:v>
                </c:pt>
                <c:pt idx="4">
                  <c:v>81-100%</c:v>
                </c:pt>
              </c:strCache>
              <c:extLst/>
            </c:strRef>
          </c:cat>
          <c:val>
            <c:numRef>
              <c:f>'Summarised Results'!$G$41:$G$46</c:f>
              <c:numCache>
                <c:formatCode>0%</c:formatCode>
                <c:ptCount val="5"/>
                <c:pt idx="0">
                  <c:v>0.46153846153846156</c:v>
                </c:pt>
                <c:pt idx="1">
                  <c:v>0.11538461538461539</c:v>
                </c:pt>
                <c:pt idx="2">
                  <c:v>0.15384615384615385</c:v>
                </c:pt>
                <c:pt idx="3">
                  <c:v>7.6923076923076927E-2</c:v>
                </c:pt>
                <c:pt idx="4">
                  <c:v>0.19230769230769232</c:v>
                </c:pt>
              </c:numCache>
              <c:extLst/>
            </c:numRef>
          </c:val>
          <c:extLst>
            <c:ext xmlns:c16="http://schemas.microsoft.com/office/drawing/2014/chart" uri="{C3380CC4-5D6E-409C-BE32-E72D297353CC}">
              <c16:uniqueId val="{00000000-46FF-4D1A-93BF-574D431612F4}"/>
            </c:ext>
          </c:extLst>
        </c:ser>
        <c:ser>
          <c:idx val="1"/>
          <c:order val="1"/>
          <c:tx>
            <c:strRef>
              <c:f>'Summarised Results'!$H$40</c:f>
              <c:strCache>
                <c:ptCount val="1"/>
                <c:pt idx="0">
                  <c:v>VTEC (n=23)</c:v>
                </c:pt>
              </c:strCache>
            </c:strRef>
          </c:tx>
          <c:spPr>
            <a:solidFill>
              <a:schemeClr val="accent2"/>
            </a:solidFill>
            <a:ln>
              <a:noFill/>
            </a:ln>
            <a:effectLst/>
          </c:spPr>
          <c:invertIfNegative val="0"/>
          <c:cat>
            <c:strRef>
              <c:f>'Summarised Results'!$B$41:$B$45</c:f>
              <c:strCache>
                <c:ptCount val="5"/>
                <c:pt idx="0">
                  <c:v>0-20%</c:v>
                </c:pt>
                <c:pt idx="1">
                  <c:v>21-40%</c:v>
                </c:pt>
                <c:pt idx="2">
                  <c:v>41-60%</c:v>
                </c:pt>
                <c:pt idx="3">
                  <c:v>61-80%</c:v>
                </c:pt>
                <c:pt idx="4">
                  <c:v>81-100%</c:v>
                </c:pt>
              </c:strCache>
              <c:extLst/>
            </c:strRef>
          </c:cat>
          <c:val>
            <c:numRef>
              <c:f>'Summarised Results'!$H$41:$H$46</c:f>
              <c:numCache>
                <c:formatCode>0%</c:formatCode>
                <c:ptCount val="5"/>
                <c:pt idx="0">
                  <c:v>0.30434782608695654</c:v>
                </c:pt>
                <c:pt idx="1">
                  <c:v>8.6956521739130432E-2</c:v>
                </c:pt>
                <c:pt idx="2">
                  <c:v>0.13043478260869565</c:v>
                </c:pt>
                <c:pt idx="3">
                  <c:v>0.2608695652173913</c:v>
                </c:pt>
                <c:pt idx="4">
                  <c:v>0.21739130434782608</c:v>
                </c:pt>
              </c:numCache>
              <c:extLst/>
            </c:numRef>
          </c:val>
          <c:extLst>
            <c:ext xmlns:c16="http://schemas.microsoft.com/office/drawing/2014/chart" uri="{C3380CC4-5D6E-409C-BE32-E72D297353CC}">
              <c16:uniqueId val="{00000001-46FF-4D1A-93BF-574D431612F4}"/>
            </c:ext>
          </c:extLst>
        </c:ser>
        <c:dLbls>
          <c:showLegendKey val="0"/>
          <c:showVal val="0"/>
          <c:showCatName val="0"/>
          <c:showSerName val="0"/>
          <c:showPercent val="0"/>
          <c:showBubbleSize val="0"/>
        </c:dLbls>
        <c:gapWidth val="219"/>
        <c:overlap val="-27"/>
        <c:axId val="1148535663"/>
        <c:axId val="1150109055"/>
      </c:barChart>
      <c:catAx>
        <c:axId val="11485356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Share of staff</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50109055"/>
        <c:crosses val="autoZero"/>
        <c:auto val="1"/>
        <c:lblAlgn val="ctr"/>
        <c:lblOffset val="100"/>
        <c:noMultiLvlLbl val="0"/>
      </c:catAx>
      <c:valAx>
        <c:axId val="115010905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48535663"/>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'Effectiveness Outputs'!$C$3</c:f>
              <c:strCache>
                <c:ptCount val="1"/>
                <c:pt idx="0">
                  <c:v>26 week rate</c:v>
                </c:pt>
              </c:strCache>
            </c:strRef>
          </c:tx>
          <c:spPr>
            <a:solidFill>
              <a:schemeClr val="accent2"/>
            </a:solidFill>
            <a:ln>
              <a:noFill/>
            </a:ln>
            <a:effectLst/>
          </c:spPr>
          <c:invertIfNegative val="0"/>
          <c:dLbls>
            <c:dLbl>
              <c:idx val="0"/>
              <c:layout>
                <c:manualLayout>
                  <c:x val="3.5321173764322434E-3"/>
                  <c:y val="1.90712453673392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57-4C82-AE4B-81666E253809}"/>
                </c:ext>
              </c:extLst>
            </c:dLbl>
            <c:dLbl>
              <c:idx val="1"/>
              <c:layout>
                <c:manualLayout>
                  <c:x val="3.5321173764321463E-3"/>
                  <c:y val="1.90712453673391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57-4C82-AE4B-81666E253809}"/>
                </c:ext>
              </c:extLst>
            </c:dLbl>
            <c:dLbl>
              <c:idx val="2"/>
              <c:layout>
                <c:manualLayout>
                  <c:x val="3.5321173764322109E-3"/>
                  <c:y val="2.54283271564522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57-4C82-AE4B-81666E25380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'Effectiveness Outputs'!$B$4:$B$6</c:f>
              <c:strCache>
                <c:ptCount val="3"/>
                <c:pt idx="0">
                  <c:v>VTEC</c:v>
                </c:pt>
                <c:pt idx="1">
                  <c:v>TAEG</c:v>
                </c:pt>
                <c:pt idx="2">
                  <c:v>EPI</c:v>
                </c:pt>
              </c:strCache>
            </c:strRef>
          </c:cat>
          <c:val>
            <c:numRef>
              <c:f>'Effectiveness Outputs'!$C$4:$C$6</c:f>
              <c:numCache>
                <c:formatCode>0%</c:formatCode>
                <c:ptCount val="3"/>
                <c:pt idx="0">
                  <c:v>0.65118063251214731</c:v>
                </c:pt>
                <c:pt idx="1">
                  <c:v>0.64387019230769227</c:v>
                </c:pt>
                <c:pt idx="2">
                  <c:v>0.75568942436412312</c:v>
                </c:pt>
              </c:numCache>
            </c:numRef>
          </c:val>
          <c:extLst>
            <c:ext xmlns:c16="http://schemas.microsoft.com/office/drawing/2014/chart" uri="{C3380CC4-5D6E-409C-BE32-E72D297353CC}">
              <c16:uniqueId val="{00000003-FD57-4C82-AE4B-81666E253809}"/>
            </c:ext>
          </c:extLst>
        </c:ser>
        <c:dLbls>
          <c:dLblPos val="outEnd"/>
          <c:showLegendKey val="0"/>
          <c:showVal val="1"/>
          <c:showCatName val="0"/>
          <c:showSerName val="0"/>
          <c:showPercent val="0"/>
          <c:showBubbleSize val="0"/>
        </c:dLbls>
        <c:gapWidth val="219"/>
        <c:overlap val="-27"/>
        <c:axId val="17572399"/>
        <c:axId val="1998816319"/>
      </c:barChart>
      <c:scatterChart>
        <c:scatterStyle val="lineMarker"/>
        <c:varyColors val="0"/>
        <c:ser>
          <c:idx val="1"/>
          <c:order val="1"/>
          <c:tx>
            <c:strRef>
              <c:f>'Effectiveness Outputs'!$D$3</c:f>
              <c:strCache>
                <c:ptCount val="1"/>
                <c:pt idx="0">
                  <c:v>Positive standard deviation</c:v>
                </c:pt>
              </c:strCache>
            </c:strRef>
          </c:tx>
          <c:spPr>
            <a:ln w="25400" cap="rnd">
              <a:noFill/>
              <a:round/>
            </a:ln>
            <a:effectLst/>
          </c:spPr>
          <c:marker>
            <c:symbol val="circle"/>
            <c:size val="5"/>
            <c:spPr>
              <a:solidFill>
                <a:schemeClr val="accent3"/>
              </a:solidFill>
              <a:ln w="9525">
                <a:solidFill>
                  <a:schemeClr val="accent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'Effectiveness Outputs'!$B$4:$B$6</c:f>
              <c:strCache>
                <c:ptCount val="3"/>
                <c:pt idx="0">
                  <c:v>VTEC</c:v>
                </c:pt>
                <c:pt idx="1">
                  <c:v>TAEG</c:v>
                </c:pt>
                <c:pt idx="2">
                  <c:v>EPI</c:v>
                </c:pt>
              </c:strCache>
            </c:strRef>
          </c:xVal>
          <c:yVal>
            <c:numRef>
              <c:f>'Effectiveness Outputs'!$D$4:$D$6</c:f>
              <c:numCache>
                <c:formatCode>0%</c:formatCode>
                <c:ptCount val="3"/>
                <c:pt idx="0">
                  <c:v>0.88499282632326337</c:v>
                </c:pt>
                <c:pt idx="1">
                  <c:v>0.94135177354183619</c:v>
                </c:pt>
                <c:pt idx="2">
                  <c:v>0.94600101440847573</c:v>
                </c:pt>
              </c:numCache>
            </c:numRef>
          </c:yVal>
          <c:smooth val="0"/>
          <c:extLst>
            <c:ext xmlns:c16="http://schemas.microsoft.com/office/drawing/2014/chart" uri="{C3380CC4-5D6E-409C-BE32-E72D297353CC}">
              <c16:uniqueId val="{00000004-FD57-4C82-AE4B-81666E253809}"/>
            </c:ext>
          </c:extLst>
        </c:ser>
        <c:ser>
          <c:idx val="2"/>
          <c:order val="2"/>
          <c:tx>
            <c:strRef>
              <c:f>'Effectiveness Outputs'!$E$3</c:f>
              <c:strCache>
                <c:ptCount val="1"/>
                <c:pt idx="0">
                  <c:v>Negative standard deviation</c:v>
                </c:pt>
              </c:strCache>
            </c:strRef>
          </c:tx>
          <c:spPr>
            <a:ln w="25400" cap="rnd">
              <a:noFill/>
              <a:round/>
            </a:ln>
            <a:effectLst/>
          </c:spPr>
          <c:marker>
            <c:symbol val="circle"/>
            <c:size val="5"/>
            <c:spPr>
              <a:solidFill>
                <a:schemeClr val="accent4"/>
              </a:solidFill>
              <a:ln w="9525">
                <a:solidFill>
                  <a:schemeClr val="accent3"/>
                </a:solidFill>
              </a:ln>
              <a:effectLst/>
            </c:spPr>
          </c:marker>
          <c:dLbls>
            <c:dLbl>
              <c:idx val="0"/>
              <c:layout>
                <c:manualLayout>
                  <c:x val="-4.9449643270050955E-2"/>
                  <c:y val="6.9927899680243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57-4C82-AE4B-81666E253809}"/>
                </c:ext>
              </c:extLst>
            </c:dLbl>
            <c:dLbl>
              <c:idx val="1"/>
              <c:layout>
                <c:manualLayout>
                  <c:x val="-4.9449643270050955E-2"/>
                  <c:y val="6.3570817891130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57-4C82-AE4B-81666E253809}"/>
                </c:ext>
              </c:extLst>
            </c:dLbl>
            <c:dLbl>
              <c:idx val="2"/>
              <c:layout>
                <c:manualLayout>
                  <c:x val="-4.5917525893618742E-2"/>
                  <c:y val="7.6284981469356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57-4C82-AE4B-81666E253809}"/>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'Effectiveness Outputs'!$B$4:$B$6</c:f>
              <c:strCache>
                <c:ptCount val="3"/>
                <c:pt idx="0">
                  <c:v>VTEC</c:v>
                </c:pt>
                <c:pt idx="1">
                  <c:v>TAEG</c:v>
                </c:pt>
                <c:pt idx="2">
                  <c:v>EPI</c:v>
                </c:pt>
              </c:strCache>
            </c:strRef>
          </c:xVal>
          <c:yVal>
            <c:numRef>
              <c:f>'Effectiveness Outputs'!$E$4:$E$6</c:f>
              <c:numCache>
                <c:formatCode>0%</c:formatCode>
                <c:ptCount val="3"/>
                <c:pt idx="0">
                  <c:v>0.41736843870103119</c:v>
                </c:pt>
                <c:pt idx="1">
                  <c:v>0.34638861107354829</c:v>
                </c:pt>
                <c:pt idx="2">
                  <c:v>0.56537783431977051</c:v>
                </c:pt>
              </c:numCache>
            </c:numRef>
          </c:yVal>
          <c:smooth val="0"/>
          <c:extLst>
            <c:ext xmlns:c16="http://schemas.microsoft.com/office/drawing/2014/chart" uri="{C3380CC4-5D6E-409C-BE32-E72D297353CC}">
              <c16:uniqueId val="{00000008-FD57-4C82-AE4B-81666E253809}"/>
            </c:ext>
          </c:extLst>
        </c:ser>
        <c:dLbls>
          <c:showLegendKey val="0"/>
          <c:showVal val="1"/>
          <c:showCatName val="0"/>
          <c:showSerName val="0"/>
          <c:showPercent val="0"/>
          <c:showBubbleSize val="0"/>
        </c:dLbls>
        <c:axId val="2054401791"/>
        <c:axId val="2054400543"/>
      </c:scatterChart>
      <c:catAx>
        <c:axId val="1757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98816319"/>
        <c:crosses val="autoZero"/>
        <c:auto val="1"/>
        <c:lblAlgn val="ctr"/>
        <c:lblOffset val="100"/>
        <c:noMultiLvlLbl val="0"/>
      </c:catAx>
      <c:valAx>
        <c:axId val="199881631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572399"/>
        <c:crosses val="autoZero"/>
        <c:crossBetween val="between"/>
        <c:majorUnit val="0.2"/>
      </c:valAx>
      <c:valAx>
        <c:axId val="2054400543"/>
        <c:scaling>
          <c:orientation val="minMax"/>
        </c:scaling>
        <c:delete val="1"/>
        <c:axPos val="r"/>
        <c:numFmt formatCode="0%" sourceLinked="1"/>
        <c:majorTickMark val="out"/>
        <c:minorTickMark val="none"/>
        <c:tickLblPos val="nextTo"/>
        <c:crossAx val="2054401791"/>
        <c:crosses val="max"/>
        <c:crossBetween val="midCat"/>
      </c:valAx>
      <c:valAx>
        <c:axId val="2054401791"/>
        <c:scaling>
          <c:orientation val="minMax"/>
        </c:scaling>
        <c:delete val="1"/>
        <c:axPos val="t"/>
        <c:majorTickMark val="out"/>
        <c:minorTickMark val="none"/>
        <c:tickLblPos val="nextTo"/>
        <c:crossAx val="2054400543"/>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'Effectiveness Outputs'!$B$10</c:f>
              <c:strCache>
                <c:ptCount val="1"/>
                <c:pt idx="0">
                  <c:v>VTEC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'Effectiveness Outputs'!$C$9:$G$9</c:f>
              <c:numCache>
                <c:formatCode>General</c:formatCode>
                <c:ptCount val="5"/>
                <c:pt idx="0">
                  <c:v>2014</c:v>
                </c:pt>
                <c:pt idx="1">
                  <c:v>2015</c:v>
                </c:pt>
                <c:pt idx="2">
                  <c:v>2016</c:v>
                </c:pt>
                <c:pt idx="3">
                  <c:v>2017</c:v>
                </c:pt>
                <c:pt idx="4">
                  <c:v>2018</c:v>
                </c:pt>
              </c:numCache>
            </c:numRef>
          </c:cat>
          <c:val>
            <c:numRef>
              <c:f>'Effectiveness Outputs'!$C$10:$G$10</c:f>
              <c:numCache>
                <c:formatCode>0%</c:formatCode>
                <c:ptCount val="5"/>
                <c:pt idx="0">
                  <c:v>0.71735074626865669</c:v>
                </c:pt>
                <c:pt idx="1">
                  <c:v>0.67303532804614274</c:v>
                </c:pt>
                <c:pt idx="2">
                  <c:v>0.6476476476476476</c:v>
                </c:pt>
                <c:pt idx="3">
                  <c:v>0.62765957446808507</c:v>
                </c:pt>
                <c:pt idx="4">
                  <c:v>0.62040055891942247</c:v>
                </c:pt>
              </c:numCache>
            </c:numRef>
          </c:val>
          <c:extLst>
            <c:ext xmlns:c16="http://schemas.microsoft.com/office/drawing/2014/chart" uri="{C3380CC4-5D6E-409C-BE32-E72D297353CC}">
              <c16:uniqueId val="{00000000-0423-4BEF-823C-8A0A494B4E5A}"/>
            </c:ext>
          </c:extLst>
        </c:ser>
        <c:ser>
          <c:idx val="3"/>
          <c:order val="3"/>
          <c:tx>
            <c:strRef>
              <c:f>'Effectiveness Outputs'!$B$13</c:f>
              <c:strCache>
                <c:ptCount val="1"/>
                <c:pt idx="0">
                  <c:v>All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'Effectiveness Outputs'!$C$9:$G$9</c:f>
              <c:numCache>
                <c:formatCode>General</c:formatCode>
                <c:ptCount val="5"/>
                <c:pt idx="0">
                  <c:v>2014</c:v>
                </c:pt>
                <c:pt idx="1">
                  <c:v>2015</c:v>
                </c:pt>
                <c:pt idx="2">
                  <c:v>2016</c:v>
                </c:pt>
                <c:pt idx="3">
                  <c:v>2017</c:v>
                </c:pt>
                <c:pt idx="4">
                  <c:v>2018</c:v>
                </c:pt>
              </c:numCache>
            </c:numRef>
          </c:cat>
          <c:val>
            <c:numRef>
              <c:f>'Effectiveness Outputs'!$C$13:$G$13</c:f>
              <c:numCache>
                <c:formatCode>0%</c:formatCode>
                <c:ptCount val="5"/>
                <c:pt idx="0">
                  <c:v>0.71735074626865669</c:v>
                </c:pt>
                <c:pt idx="1">
                  <c:v>0.68250539956803458</c:v>
                </c:pt>
                <c:pt idx="2">
                  <c:v>0.68940188877229802</c:v>
                </c:pt>
                <c:pt idx="3">
                  <c:v>0.65502675302731628</c:v>
                </c:pt>
                <c:pt idx="4">
                  <c:v>0.68645457527058051</c:v>
                </c:pt>
              </c:numCache>
            </c:numRef>
          </c:val>
          <c:extLst>
            <c:ext xmlns:c16="http://schemas.microsoft.com/office/drawing/2014/chart" uri="{C3380CC4-5D6E-409C-BE32-E72D297353CC}">
              <c16:uniqueId val="{00000001-0423-4BEF-823C-8A0A494B4E5A}"/>
            </c:ext>
          </c:extLst>
        </c:ser>
        <c:dLbls>
          <c:dLblPos val="outEnd"/>
          <c:showLegendKey val="0"/>
          <c:showVal val="1"/>
          <c:showCatName val="0"/>
          <c:showSerName val="0"/>
          <c:showPercent val="0"/>
          <c:showBubbleSize val="0"/>
        </c:dLbls>
        <c:gapWidth val="219"/>
        <c:overlap val="-27"/>
        <c:axId val="1867955023"/>
        <c:axId val="173950687"/>
        <c:extLst>
          <c:ext xmlns:c15="http://schemas.microsoft.com/office/drawing/2012/chart" uri="{02D57815-91ED-43cb-92C2-25804820EDAC}">
            <c15:filteredBarSeries>
              <c15:ser>
                <c:idx val="1"/>
                <c:order val="1"/>
                <c:tx>
                  <c:strRef>
                    <c:extLst>
                      <c:ext uri="{02D57815-91ED-43cb-92C2-25804820EDAC}">
                        <c15:formulaRef>
                          <c15:sqref>'Effectiveness Outputs'!$B$11</c15:sqref>
                        </c15:formulaRef>
                      </c:ext>
                    </c:extLst>
                    <c:strCache>
                      <c:ptCount val="1"/>
                      <c:pt idx="0">
                        <c:v>TAEG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'Effectiveness Outputs'!$C$9:$G$9</c15:sqref>
                        </c15:formulaRef>
                      </c:ext>
                    </c:extLst>
                    <c:numCache>
                      <c:formatCode>General</c:formatCode>
                      <c:ptCount val="5"/>
                      <c:pt idx="0">
                        <c:v>2014</c:v>
                      </c:pt>
                      <c:pt idx="1">
                        <c:v>2015</c:v>
                      </c:pt>
                      <c:pt idx="2">
                        <c:v>2016</c:v>
                      </c:pt>
                      <c:pt idx="3">
                        <c:v>2017</c:v>
                      </c:pt>
                      <c:pt idx="4">
                        <c:v>2018</c:v>
                      </c:pt>
                    </c:numCache>
                  </c:numRef>
                </c:cat>
                <c:val>
                  <c:numRef>
                    <c:extLst>
                      <c:ext uri="{02D57815-91ED-43cb-92C2-25804820EDAC}">
                        <c15:formulaRef>
                          <c15:sqref>'Effectiveness Outputs'!$C$11:$G$11</c15:sqref>
                        </c15:formulaRef>
                      </c:ext>
                    </c:extLst>
                    <c:numCache>
                      <c:formatCode>0%</c:formatCode>
                      <c:ptCount val="5"/>
                      <c:pt idx="0">
                        <c:v>0</c:v>
                      </c:pt>
                      <c:pt idx="1">
                        <c:v>0</c:v>
                      </c:pt>
                      <c:pt idx="2">
                        <c:v>0.64715316760224539</c:v>
                      </c:pt>
                      <c:pt idx="3">
                        <c:v>0.60743243243243239</c:v>
                      </c:pt>
                      <c:pt idx="4">
                        <c:v>0.69079497907949794</c:v>
                      </c:pt>
                    </c:numCache>
                  </c:numRef>
                </c:val>
                <c:extLst>
                  <c:ext xmlns:c16="http://schemas.microsoft.com/office/drawing/2014/chart" uri="{C3380CC4-5D6E-409C-BE32-E72D297353CC}">
                    <c16:uniqueId val="{00000002-0423-4BEF-823C-8A0A494B4E5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'Effectiveness Outputs'!$B$12</c15:sqref>
                        </c15:formulaRef>
                      </c:ext>
                    </c:extLst>
                    <c:strCache>
                      <c:ptCount val="1"/>
                      <c:pt idx="0">
                        <c:v>EPI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'Effectiveness Outputs'!$C$9:$G$9</c15:sqref>
                        </c15:formulaRef>
                      </c:ext>
                    </c:extLst>
                    <c:numCache>
                      <c:formatCode>General</c:formatCode>
                      <c:ptCount val="5"/>
                      <c:pt idx="0">
                        <c:v>2014</c:v>
                      </c:pt>
                      <c:pt idx="1">
                        <c:v>2015</c:v>
                      </c:pt>
                      <c:pt idx="2">
                        <c:v>2016</c:v>
                      </c:pt>
                      <c:pt idx="3">
                        <c:v>2017</c:v>
                      </c:pt>
                      <c:pt idx="4">
                        <c:v>2018</c:v>
                      </c:pt>
                    </c:numCache>
                  </c:numRef>
                </c:cat>
                <c:val>
                  <c:numRef>
                    <c:extLst xmlns:c15="http://schemas.microsoft.com/office/drawing/2012/chart">
                      <c:ext xmlns:c15="http://schemas.microsoft.com/office/drawing/2012/chart" uri="{02D57815-91ED-43cb-92C2-25804820EDAC}">
                        <c15:formulaRef>
                          <c15:sqref>'Effectiveness Outputs'!$C$12:$G$12</c15:sqref>
                        </c15:formulaRef>
                      </c:ext>
                    </c:extLst>
                    <c:numCache>
                      <c:formatCode>0%</c:formatCode>
                      <c:ptCount val="5"/>
                      <c:pt idx="0">
                        <c:v>0</c:v>
                      </c:pt>
                      <c:pt idx="1">
                        <c:v>0.73875802997858675</c:v>
                      </c:pt>
                      <c:pt idx="2">
                        <c:v>0.77894736842105261</c:v>
                      </c:pt>
                      <c:pt idx="3">
                        <c:v>0.74492619926199266</c:v>
                      </c:pt>
                      <c:pt idx="4">
                        <c:v>0.77065983344010247</c:v>
                      </c:pt>
                    </c:numCache>
                  </c:numRef>
                </c:val>
                <c:extLst xmlns:c15="http://schemas.microsoft.com/office/drawing/2012/chart">
                  <c:ext xmlns:c16="http://schemas.microsoft.com/office/drawing/2014/chart" uri="{C3380CC4-5D6E-409C-BE32-E72D297353CC}">
                    <c16:uniqueId val="{00000003-0423-4BEF-823C-8A0A494B4E5A}"/>
                  </c:ext>
                </c:extLst>
              </c15:ser>
            </c15:filteredBarSeries>
          </c:ext>
        </c:extLst>
      </c:barChart>
      <c:catAx>
        <c:axId val="1867955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3950687"/>
        <c:crosses val="autoZero"/>
        <c:auto val="1"/>
        <c:lblAlgn val="ctr"/>
        <c:lblOffset val="100"/>
        <c:noMultiLvlLbl val="0"/>
      </c:catAx>
      <c:valAx>
        <c:axId val="173950687"/>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67955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Outputs!$B$15</c:f>
              <c:strCache>
                <c:ptCount val="1"/>
                <c:pt idx="0">
                  <c:v>VTEC</c:v>
                </c:pt>
              </c:strCache>
            </c:strRef>
          </c:tx>
          <c:spPr>
            <a:solidFill>
              <a:schemeClr val="accent1"/>
            </a:solidFill>
            <a:ln>
              <a:noFill/>
            </a:ln>
            <a:effectLst/>
          </c:spPr>
          <c:invertIfNegative val="0"/>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4-BFA5-4356-8C3E-A6D95C2AAD01}"/>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Outputs!$C$15:$G$15</c:f>
              <c:numCache>
                <c:formatCode>0%</c:formatCode>
                <c:ptCount val="4"/>
                <c:pt idx="0">
                  <c:v>0.58011540168664</c:v>
                </c:pt>
                <c:pt idx="1">
                  <c:v>0.59473280490923042</c:v>
                </c:pt>
                <c:pt idx="2">
                  <c:v>0.62707390648567118</c:v>
                </c:pt>
                <c:pt idx="3">
                  <c:v>0.46817248459958932</c:v>
                </c:pt>
              </c:numCache>
              <c:extLst/>
            </c:numRef>
          </c:val>
          <c:extLst>
            <c:ext xmlns:c16="http://schemas.microsoft.com/office/drawing/2014/chart" uri="{C3380CC4-5D6E-409C-BE32-E72D297353CC}">
              <c16:uniqueId val="{00000000-BFA5-4356-8C3E-A6D95C2AAD01}"/>
            </c:ext>
          </c:extLst>
        </c:ser>
        <c:ser>
          <c:idx val="1"/>
          <c:order val="1"/>
          <c:tx>
            <c:strRef>
              <c:f>Outputs!$B$16</c:f>
              <c:strCache>
                <c:ptCount val="1"/>
                <c:pt idx="0">
                  <c:v>TAEG</c:v>
                </c:pt>
              </c:strCache>
            </c:strRef>
          </c:tx>
          <c:spPr>
            <a:solidFill>
              <a:schemeClr val="accent2"/>
            </a:solidFill>
            <a:ln>
              <a:noFill/>
            </a:ln>
            <a:effectLst/>
          </c:spPr>
          <c:invertIfNegative val="0"/>
          <c:dPt>
            <c:idx val="3"/>
            <c:invertIfNegative val="0"/>
            <c:bubble3D val="0"/>
            <c:spPr>
              <a:solidFill>
                <a:schemeClr val="bg1"/>
              </a:solidFill>
              <a:ln>
                <a:solidFill>
                  <a:srgbClr val="046A38"/>
                </a:solidFill>
              </a:ln>
              <a:effectLst/>
            </c:spPr>
            <c:extLst>
              <c:ext xmlns:c16="http://schemas.microsoft.com/office/drawing/2014/chart" uri="{C3380CC4-5D6E-409C-BE32-E72D297353CC}">
                <c16:uniqueId val="{00000005-BFA5-4356-8C3E-A6D95C2AAD01}"/>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Outputs!$C$16:$G$16</c:f>
              <c:numCache>
                <c:formatCode>0%</c:formatCode>
                <c:ptCount val="4"/>
                <c:pt idx="0">
                  <c:v>0.60036073177016236</c:v>
                </c:pt>
                <c:pt idx="1">
                  <c:v>0.63352990732940184</c:v>
                </c:pt>
                <c:pt idx="2">
                  <c:v>0.67650780261493038</c:v>
                </c:pt>
                <c:pt idx="3">
                  <c:v>0.514446227929374</c:v>
                </c:pt>
              </c:numCache>
              <c:extLst/>
            </c:numRef>
          </c:val>
          <c:extLst>
            <c:ext xmlns:c16="http://schemas.microsoft.com/office/drawing/2014/chart" uri="{C3380CC4-5D6E-409C-BE32-E72D297353CC}">
              <c16:uniqueId val="{00000001-BFA5-4356-8C3E-A6D95C2AAD01}"/>
            </c:ext>
          </c:extLst>
        </c:ser>
        <c:ser>
          <c:idx val="2"/>
          <c:order val="2"/>
          <c:tx>
            <c:strRef>
              <c:f>Outputs!$B$17</c:f>
              <c:strCache>
                <c:ptCount val="1"/>
                <c:pt idx="0">
                  <c:v>EPI</c:v>
                </c:pt>
              </c:strCache>
            </c:strRef>
          </c:tx>
          <c:spPr>
            <a:solidFill>
              <a:schemeClr val="accent3"/>
            </a:solidFill>
            <a:ln>
              <a:noFill/>
            </a:ln>
            <a:effectLst/>
          </c:spPr>
          <c:invertIfNegative val="0"/>
          <c:dPt>
            <c:idx val="3"/>
            <c:invertIfNegative val="0"/>
            <c:bubble3D val="0"/>
            <c:spPr>
              <a:solidFill>
                <a:schemeClr val="bg1"/>
              </a:solidFill>
              <a:ln>
                <a:solidFill>
                  <a:schemeClr val="accent3"/>
                </a:solidFill>
              </a:ln>
              <a:effectLst/>
            </c:spPr>
            <c:extLst>
              <c:ext xmlns:c16="http://schemas.microsoft.com/office/drawing/2014/chart" uri="{C3380CC4-5D6E-409C-BE32-E72D297353CC}">
                <c16:uniqueId val="{00000006-BFA5-4356-8C3E-A6D95C2AAD01}"/>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Outputs!$C$17:$G$17</c:f>
              <c:numCache>
                <c:formatCode>0%</c:formatCode>
                <c:ptCount val="4"/>
                <c:pt idx="0">
                  <c:v>0.54232081911262797</c:v>
                </c:pt>
                <c:pt idx="1">
                  <c:v>0.58889289578074289</c:v>
                </c:pt>
                <c:pt idx="2">
                  <c:v>0.66729323308270672</c:v>
                </c:pt>
                <c:pt idx="3">
                  <c:v>0.52954545454545454</c:v>
                </c:pt>
              </c:numCache>
              <c:extLst/>
            </c:numRef>
          </c:val>
          <c:extLst>
            <c:ext xmlns:c16="http://schemas.microsoft.com/office/drawing/2014/chart" uri="{C3380CC4-5D6E-409C-BE32-E72D297353CC}">
              <c16:uniqueId val="{00000002-BFA5-4356-8C3E-A6D95C2AAD01}"/>
            </c:ext>
          </c:extLst>
        </c:ser>
        <c:dLbls>
          <c:dLblPos val="outEnd"/>
          <c:showLegendKey val="0"/>
          <c:showVal val="1"/>
          <c:showCatName val="0"/>
          <c:showSerName val="0"/>
          <c:showPercent val="0"/>
          <c:showBubbleSize val="0"/>
        </c:dLbls>
        <c:gapWidth val="219"/>
        <c:overlap val="-27"/>
        <c:axId val="1763108991"/>
        <c:axId val="1623375663"/>
      </c:barChart>
      <c:catAx>
        <c:axId val="176310899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Length of time following program exit</a:t>
                </a:r>
              </a:p>
            </c:rich>
          </c:tx>
          <c:layout>
            <c:manualLayout>
              <c:xMode val="edge"/>
              <c:yMode val="edge"/>
              <c:x val="0.3974223221356436"/>
              <c:y val="0.845416794124991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23375663"/>
        <c:crosses val="autoZero"/>
        <c:auto val="1"/>
        <c:lblAlgn val="ctr"/>
        <c:lblOffset val="100"/>
        <c:noMultiLvlLbl val="0"/>
      </c:catAx>
      <c:valAx>
        <c:axId val="162337566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Share of participants who exit income support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3108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'Revised efficiency'!$I$5</c:f>
              <c:strCache>
                <c:ptCount val="1"/>
                <c:pt idx="0">
                  <c:v>TAEG</c:v>
                </c:pt>
              </c:strCache>
            </c:strRef>
          </c:tx>
          <c:spPr>
            <a:ln w="28575" cap="rnd">
              <a:solidFill>
                <a:schemeClr val="accent1"/>
              </a:solidFill>
              <a:round/>
            </a:ln>
            <a:effectLst/>
          </c:spPr>
          <c:marker>
            <c:symbol val="none"/>
          </c:marker>
          <c:cat>
            <c:numRef>
              <c:f>'Revised efficiency'!$H$6:$H$37</c:f>
              <c:numCache>
                <c:formatCode>"$"#,##0</c:formatCode>
                <c:ptCount val="20"/>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numCache>
              <c:extLst/>
            </c:numRef>
          </c:cat>
          <c:val>
            <c:numRef>
              <c:f>'Revised efficiency'!$I$6:$I$37</c:f>
              <c:numCache>
                <c:formatCode>0%</c:formatCode>
                <c:ptCount val="20"/>
                <c:pt idx="0">
                  <c:v>0</c:v>
                </c:pt>
                <c:pt idx="1">
                  <c:v>0</c:v>
                </c:pt>
                <c:pt idx="2">
                  <c:v>1.0869565217391304E-2</c:v>
                </c:pt>
                <c:pt idx="3">
                  <c:v>0</c:v>
                </c:pt>
                <c:pt idx="4">
                  <c:v>2.1739130434782608E-2</c:v>
                </c:pt>
                <c:pt idx="5">
                  <c:v>4.3478260869565216E-2</c:v>
                </c:pt>
                <c:pt idx="6">
                  <c:v>0.11956521739130435</c:v>
                </c:pt>
                <c:pt idx="7">
                  <c:v>0.11956521739130435</c:v>
                </c:pt>
                <c:pt idx="8">
                  <c:v>0.14130434782608695</c:v>
                </c:pt>
                <c:pt idx="9">
                  <c:v>0.10869565217391304</c:v>
                </c:pt>
                <c:pt idx="10">
                  <c:v>0.14130434782608695</c:v>
                </c:pt>
                <c:pt idx="11">
                  <c:v>9.7826086956521743E-2</c:v>
                </c:pt>
                <c:pt idx="12">
                  <c:v>4.3478260869565216E-2</c:v>
                </c:pt>
                <c:pt idx="13">
                  <c:v>3.2608695652173912E-2</c:v>
                </c:pt>
                <c:pt idx="14">
                  <c:v>4.3478260869565216E-2</c:v>
                </c:pt>
                <c:pt idx="15">
                  <c:v>2.1739130434782608E-2</c:v>
                </c:pt>
                <c:pt idx="16">
                  <c:v>0</c:v>
                </c:pt>
                <c:pt idx="17">
                  <c:v>2.1739130434782608E-2</c:v>
                </c:pt>
                <c:pt idx="18">
                  <c:v>2.1739130434782608E-2</c:v>
                </c:pt>
                <c:pt idx="19">
                  <c:v>0</c:v>
                </c:pt>
              </c:numCache>
              <c:extLst/>
            </c:numRef>
          </c:val>
          <c:smooth val="0"/>
          <c:extLst>
            <c:ext xmlns:c16="http://schemas.microsoft.com/office/drawing/2014/chart" uri="{C3380CC4-5D6E-409C-BE32-E72D297353CC}">
              <c16:uniqueId val="{00000000-2C00-4A15-A31A-C7BF9071ECC6}"/>
            </c:ext>
          </c:extLst>
        </c:ser>
        <c:ser>
          <c:idx val="1"/>
          <c:order val="1"/>
          <c:tx>
            <c:strRef>
              <c:f>'Revised efficiency'!$J$5</c:f>
              <c:strCache>
                <c:ptCount val="1"/>
                <c:pt idx="0">
                  <c:v>VTEC</c:v>
                </c:pt>
              </c:strCache>
            </c:strRef>
          </c:tx>
          <c:spPr>
            <a:ln w="28575" cap="rnd">
              <a:solidFill>
                <a:schemeClr val="accent2"/>
              </a:solidFill>
              <a:round/>
            </a:ln>
            <a:effectLst/>
          </c:spPr>
          <c:marker>
            <c:symbol val="none"/>
          </c:marker>
          <c:cat>
            <c:numRef>
              <c:f>'Revised efficiency'!$H$6:$H$37</c:f>
              <c:numCache>
                <c:formatCode>"$"#,##0</c:formatCode>
                <c:ptCount val="20"/>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numCache>
              <c:extLst/>
            </c:numRef>
          </c:cat>
          <c:val>
            <c:numRef>
              <c:f>'Revised efficiency'!$J$6:$J$37</c:f>
              <c:numCache>
                <c:formatCode>0%</c:formatCode>
                <c:ptCount val="20"/>
                <c:pt idx="0">
                  <c:v>0</c:v>
                </c:pt>
                <c:pt idx="1">
                  <c:v>0</c:v>
                </c:pt>
                <c:pt idx="2">
                  <c:v>0</c:v>
                </c:pt>
                <c:pt idx="3">
                  <c:v>0</c:v>
                </c:pt>
                <c:pt idx="4">
                  <c:v>0</c:v>
                </c:pt>
                <c:pt idx="5">
                  <c:v>0</c:v>
                </c:pt>
                <c:pt idx="6">
                  <c:v>1.4285714285714285E-2</c:v>
                </c:pt>
                <c:pt idx="7">
                  <c:v>0</c:v>
                </c:pt>
                <c:pt idx="8">
                  <c:v>4.2857142857142858E-2</c:v>
                </c:pt>
                <c:pt idx="9">
                  <c:v>1.4285714285714285E-2</c:v>
                </c:pt>
                <c:pt idx="10">
                  <c:v>0.11428571428571428</c:v>
                </c:pt>
                <c:pt idx="11">
                  <c:v>0.61428571428571432</c:v>
                </c:pt>
                <c:pt idx="12">
                  <c:v>0.15714285714285714</c:v>
                </c:pt>
                <c:pt idx="13">
                  <c:v>4.2857142857142858E-2</c:v>
                </c:pt>
                <c:pt idx="14">
                  <c:v>0</c:v>
                </c:pt>
                <c:pt idx="15">
                  <c:v>0</c:v>
                </c:pt>
                <c:pt idx="16">
                  <c:v>0</c:v>
                </c:pt>
                <c:pt idx="17">
                  <c:v>0</c:v>
                </c:pt>
                <c:pt idx="18">
                  <c:v>0</c:v>
                </c:pt>
                <c:pt idx="19">
                  <c:v>0</c:v>
                </c:pt>
              </c:numCache>
              <c:extLst/>
            </c:numRef>
          </c:val>
          <c:smooth val="0"/>
          <c:extLst>
            <c:ext xmlns:c16="http://schemas.microsoft.com/office/drawing/2014/chart" uri="{C3380CC4-5D6E-409C-BE32-E72D297353CC}">
              <c16:uniqueId val="{00000001-2C00-4A15-A31A-C7BF9071ECC6}"/>
            </c:ext>
          </c:extLst>
        </c:ser>
        <c:ser>
          <c:idx val="2"/>
          <c:order val="2"/>
          <c:tx>
            <c:strRef>
              <c:f>'Revised efficiency'!$K$5</c:f>
              <c:strCache>
                <c:ptCount val="1"/>
                <c:pt idx="0">
                  <c:v>EPI</c:v>
                </c:pt>
              </c:strCache>
            </c:strRef>
          </c:tx>
          <c:spPr>
            <a:ln w="28575" cap="rnd">
              <a:solidFill>
                <a:schemeClr val="accent3"/>
              </a:solidFill>
              <a:round/>
            </a:ln>
            <a:effectLst/>
          </c:spPr>
          <c:marker>
            <c:symbol val="none"/>
          </c:marker>
          <c:cat>
            <c:numRef>
              <c:f>'Revised efficiency'!$H$6:$H$37</c:f>
              <c:numCache>
                <c:formatCode>"$"#,##0</c:formatCode>
                <c:ptCount val="20"/>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numCache>
              <c:extLst/>
            </c:numRef>
          </c:cat>
          <c:val>
            <c:numRef>
              <c:f>'Revised efficiency'!$K$6:$K$37</c:f>
              <c:numCache>
                <c:formatCode>0%</c:formatCode>
                <c:ptCount val="20"/>
                <c:pt idx="0">
                  <c:v>0</c:v>
                </c:pt>
                <c:pt idx="1">
                  <c:v>0</c:v>
                </c:pt>
                <c:pt idx="2">
                  <c:v>0</c:v>
                </c:pt>
                <c:pt idx="3">
                  <c:v>0</c:v>
                </c:pt>
                <c:pt idx="4">
                  <c:v>0</c:v>
                </c:pt>
                <c:pt idx="5">
                  <c:v>0</c:v>
                </c:pt>
                <c:pt idx="6">
                  <c:v>0</c:v>
                </c:pt>
                <c:pt idx="7">
                  <c:v>0</c:v>
                </c:pt>
                <c:pt idx="8">
                  <c:v>0.2</c:v>
                </c:pt>
                <c:pt idx="9">
                  <c:v>0.2</c:v>
                </c:pt>
                <c:pt idx="10">
                  <c:v>0.2</c:v>
                </c:pt>
                <c:pt idx="11">
                  <c:v>0.2</c:v>
                </c:pt>
                <c:pt idx="12">
                  <c:v>6.6666666666666666E-2</c:v>
                </c:pt>
                <c:pt idx="13">
                  <c:v>0.13333333333333333</c:v>
                </c:pt>
                <c:pt idx="14">
                  <c:v>0</c:v>
                </c:pt>
                <c:pt idx="15">
                  <c:v>0</c:v>
                </c:pt>
                <c:pt idx="16">
                  <c:v>0</c:v>
                </c:pt>
                <c:pt idx="17">
                  <c:v>0</c:v>
                </c:pt>
                <c:pt idx="18">
                  <c:v>0</c:v>
                </c:pt>
                <c:pt idx="19">
                  <c:v>0</c:v>
                </c:pt>
              </c:numCache>
              <c:extLst/>
            </c:numRef>
          </c:val>
          <c:smooth val="0"/>
          <c:extLst>
            <c:ext xmlns:c16="http://schemas.microsoft.com/office/drawing/2014/chart" uri="{C3380CC4-5D6E-409C-BE32-E72D297353CC}">
              <c16:uniqueId val="{00000002-2C00-4A15-A31A-C7BF9071ECC6}"/>
            </c:ext>
          </c:extLst>
        </c:ser>
        <c:dLbls>
          <c:showLegendKey val="0"/>
          <c:showVal val="0"/>
          <c:showCatName val="0"/>
          <c:showSerName val="0"/>
          <c:showPercent val="0"/>
          <c:showBubbleSize val="0"/>
        </c:dLbls>
        <c:smooth val="0"/>
        <c:axId val="1318783279"/>
        <c:axId val="1770381471"/>
      </c:lineChart>
      <c:catAx>
        <c:axId val="1318783279"/>
        <c:scaling>
          <c:orientation val="minMax"/>
        </c:scaling>
        <c:delete val="0"/>
        <c:axPos val="b"/>
        <c:numFmt formatCode="&quot;$&quot;#,##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70381471"/>
        <c:crosses val="autoZero"/>
        <c:auto val="1"/>
        <c:lblAlgn val="ctr"/>
        <c:lblOffset val="100"/>
        <c:tickLblSkip val="2"/>
        <c:noMultiLvlLbl val="0"/>
      </c:catAx>
      <c:valAx>
        <c:axId val="17703814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18783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'Program Impact'!$C$18</c:f>
              <c:strCache>
                <c:ptCount val="1"/>
                <c:pt idx="0">
                  <c:v>Average 26-week milestone completion rate</c:v>
                </c:pt>
              </c:strCache>
            </c:strRef>
          </c:tx>
          <c:spPr>
            <a:solidFill>
              <a:schemeClr val="accent1"/>
            </a:solidFill>
            <a:ln>
              <a:noFill/>
            </a:ln>
            <a:effectLst/>
          </c:spPr>
          <c:invertIfNegative val="0"/>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1-82BA-4AC5-B95E-0D68D9CC98F1}"/>
              </c:ext>
            </c:extLst>
          </c:dPt>
          <c:dPt>
            <c:idx val="4"/>
            <c:invertIfNegative val="0"/>
            <c:bubble3D val="0"/>
            <c:spPr>
              <a:solidFill>
                <a:schemeClr val="bg1">
                  <a:lumMod val="65000"/>
                </a:schemeClr>
              </a:solidFill>
              <a:ln>
                <a:noFill/>
              </a:ln>
              <a:effectLst/>
            </c:spPr>
            <c:extLst>
              <c:ext xmlns:c16="http://schemas.microsoft.com/office/drawing/2014/chart" uri="{C3380CC4-5D6E-409C-BE32-E72D297353CC}">
                <c16:uniqueId val="{00000003-82BA-4AC5-B95E-0D68D9CC98F1}"/>
              </c:ext>
            </c:extLst>
          </c:dPt>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05-82BA-4AC5-B95E-0D68D9CC98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'Program Impact'!$B$19:$B$24</c:f>
              <c:strCache>
                <c:ptCount val="6"/>
                <c:pt idx="0">
                  <c:v>TAEG</c:v>
                </c:pt>
                <c:pt idx="1">
                  <c:v>VTEC</c:v>
                </c:pt>
                <c:pt idx="2">
                  <c:v>EPI</c:v>
                </c:pt>
                <c:pt idx="3">
                  <c:v>Jobactive</c:v>
                </c:pt>
                <c:pt idx="4">
                  <c:v>CDP</c:v>
                </c:pt>
                <c:pt idx="5">
                  <c:v>JVEN</c:v>
                </c:pt>
              </c:strCache>
            </c:strRef>
          </c:cat>
          <c:val>
            <c:numRef>
              <c:f>'Program Impact'!$C$19:$C$24</c:f>
              <c:numCache>
                <c:formatCode>0%</c:formatCode>
                <c:ptCount val="6"/>
                <c:pt idx="0">
                  <c:v>0.64387019230769227</c:v>
                </c:pt>
                <c:pt idx="1">
                  <c:v>0.65118063251214731</c:v>
                </c:pt>
                <c:pt idx="2">
                  <c:v>0.75568942436412312</c:v>
                </c:pt>
                <c:pt idx="3">
                  <c:v>0.39500000000000002</c:v>
                </c:pt>
                <c:pt idx="4">
                  <c:v>0.4</c:v>
                </c:pt>
                <c:pt idx="5">
                  <c:v>0.55000000000000004</c:v>
                </c:pt>
              </c:numCache>
            </c:numRef>
          </c:val>
          <c:extLst>
            <c:ext xmlns:c16="http://schemas.microsoft.com/office/drawing/2014/chart" uri="{C3380CC4-5D6E-409C-BE32-E72D297353CC}">
              <c16:uniqueId val="{00000006-82BA-4AC5-B95E-0D68D9CC98F1}"/>
            </c:ext>
          </c:extLst>
        </c:ser>
        <c:dLbls>
          <c:dLblPos val="outEnd"/>
          <c:showLegendKey val="0"/>
          <c:showVal val="1"/>
          <c:showCatName val="0"/>
          <c:showSerName val="0"/>
          <c:showPercent val="0"/>
          <c:showBubbleSize val="0"/>
        </c:dLbls>
        <c:gapWidth val="219"/>
        <c:overlap val="-27"/>
        <c:axId val="1496144272"/>
        <c:axId val="1456398240"/>
      </c:barChart>
      <c:catAx>
        <c:axId val="149614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6398240"/>
        <c:crosses val="autoZero"/>
        <c:auto val="1"/>
        <c:lblAlgn val="ctr"/>
        <c:lblOffset val="100"/>
        <c:noMultiLvlLbl val="0"/>
      </c:catAx>
      <c:valAx>
        <c:axId val="1456398240"/>
        <c:scaling>
          <c:orientation val="minMax"/>
        </c:scaling>
        <c:delete val="1"/>
        <c:axPos val="l"/>
        <c:numFmt formatCode="0%" sourceLinked="1"/>
        <c:majorTickMark val="none"/>
        <c:minorTickMark val="none"/>
        <c:tickLblPos val="nextTo"/>
        <c:crossAx val="149614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'Effectiveness Outputs'!$C$3</c:f>
              <c:strCache>
                <c:ptCount val="1"/>
                <c:pt idx="0">
                  <c:v>26 week rate</c:v>
                </c:pt>
              </c:strCache>
            </c:strRef>
          </c:tx>
          <c:spPr>
            <a:solidFill>
              <a:schemeClr val="accent2"/>
            </a:solidFill>
            <a:ln>
              <a:noFill/>
            </a:ln>
            <a:effectLst/>
          </c:spPr>
          <c:invertIfNegative val="0"/>
          <c:dLbls>
            <c:dLbl>
              <c:idx val="0"/>
              <c:layout>
                <c:manualLayout>
                  <c:x val="3.5321173764322434E-3"/>
                  <c:y val="1.90712453673392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27A-4C79-89E0-E5A689464DB0}"/>
                </c:ext>
              </c:extLst>
            </c:dLbl>
            <c:dLbl>
              <c:idx val="1"/>
              <c:layout>
                <c:manualLayout>
                  <c:x val="3.5321173764321463E-3"/>
                  <c:y val="1.907124536733918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27A-4C79-89E0-E5A689464DB0}"/>
                </c:ext>
              </c:extLst>
            </c:dLbl>
            <c:dLbl>
              <c:idx val="2"/>
              <c:layout>
                <c:manualLayout>
                  <c:x val="3.5321173764322109E-3"/>
                  <c:y val="2.54283271564522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27A-4C79-89E0-E5A689464D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'Effectiveness Outputs'!$B$4:$B$6</c:f>
              <c:strCache>
                <c:ptCount val="3"/>
                <c:pt idx="0">
                  <c:v>VTEC</c:v>
                </c:pt>
                <c:pt idx="1">
                  <c:v>TAEG</c:v>
                </c:pt>
                <c:pt idx="2">
                  <c:v>EPI</c:v>
                </c:pt>
              </c:strCache>
            </c:strRef>
          </c:cat>
          <c:val>
            <c:numRef>
              <c:f>'Effectiveness Outputs'!$C$4:$C$6</c:f>
              <c:numCache>
                <c:formatCode>0%</c:formatCode>
                <c:ptCount val="3"/>
                <c:pt idx="0">
                  <c:v>0.65118063251214731</c:v>
                </c:pt>
                <c:pt idx="1">
                  <c:v>0.64387019230769227</c:v>
                </c:pt>
                <c:pt idx="2">
                  <c:v>0.75568942436412312</c:v>
                </c:pt>
              </c:numCache>
            </c:numRef>
          </c:val>
          <c:extLst>
            <c:ext xmlns:c16="http://schemas.microsoft.com/office/drawing/2014/chart" uri="{C3380CC4-5D6E-409C-BE32-E72D297353CC}">
              <c16:uniqueId val="{00000003-827A-4C79-89E0-E5A689464DB0}"/>
            </c:ext>
          </c:extLst>
        </c:ser>
        <c:dLbls>
          <c:dLblPos val="outEnd"/>
          <c:showLegendKey val="0"/>
          <c:showVal val="1"/>
          <c:showCatName val="0"/>
          <c:showSerName val="0"/>
          <c:showPercent val="0"/>
          <c:showBubbleSize val="0"/>
        </c:dLbls>
        <c:gapWidth val="219"/>
        <c:overlap val="-27"/>
        <c:axId val="17572399"/>
        <c:axId val="1998816319"/>
      </c:barChart>
      <c:scatterChart>
        <c:scatterStyle val="lineMarker"/>
        <c:varyColors val="0"/>
        <c:ser>
          <c:idx val="1"/>
          <c:order val="1"/>
          <c:tx>
            <c:strRef>
              <c:f>'Effectiveness Outputs'!$D$3</c:f>
              <c:strCache>
                <c:ptCount val="1"/>
                <c:pt idx="0">
                  <c:v>Positive standard deviation</c:v>
                </c:pt>
              </c:strCache>
            </c:strRef>
          </c:tx>
          <c:spPr>
            <a:ln w="25400" cap="rnd">
              <a:noFill/>
              <a:round/>
            </a:ln>
            <a:effectLst/>
          </c:spPr>
          <c:marker>
            <c:symbol val="circle"/>
            <c:size val="5"/>
            <c:spPr>
              <a:solidFill>
                <a:schemeClr val="accent3"/>
              </a:solidFill>
              <a:ln w="9525">
                <a:solidFill>
                  <a:schemeClr val="accent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'Effectiveness Outputs'!$B$4:$B$6</c:f>
              <c:strCache>
                <c:ptCount val="3"/>
                <c:pt idx="0">
                  <c:v>VTEC</c:v>
                </c:pt>
                <c:pt idx="1">
                  <c:v>TAEG</c:v>
                </c:pt>
                <c:pt idx="2">
                  <c:v>EPI</c:v>
                </c:pt>
              </c:strCache>
            </c:strRef>
          </c:xVal>
          <c:yVal>
            <c:numRef>
              <c:f>'Effectiveness Outputs'!$D$4:$D$6</c:f>
              <c:numCache>
                <c:formatCode>0%</c:formatCode>
                <c:ptCount val="3"/>
                <c:pt idx="0">
                  <c:v>0.88499282632326337</c:v>
                </c:pt>
                <c:pt idx="1">
                  <c:v>0.94135177354183619</c:v>
                </c:pt>
                <c:pt idx="2">
                  <c:v>0.94600101440847573</c:v>
                </c:pt>
              </c:numCache>
            </c:numRef>
          </c:yVal>
          <c:smooth val="0"/>
          <c:extLst>
            <c:ext xmlns:c16="http://schemas.microsoft.com/office/drawing/2014/chart" uri="{C3380CC4-5D6E-409C-BE32-E72D297353CC}">
              <c16:uniqueId val="{00000004-827A-4C79-89E0-E5A689464DB0}"/>
            </c:ext>
          </c:extLst>
        </c:ser>
        <c:ser>
          <c:idx val="2"/>
          <c:order val="2"/>
          <c:tx>
            <c:strRef>
              <c:f>'Effectiveness Outputs'!$E$3</c:f>
              <c:strCache>
                <c:ptCount val="1"/>
                <c:pt idx="0">
                  <c:v>Negative standard deviation</c:v>
                </c:pt>
              </c:strCache>
            </c:strRef>
          </c:tx>
          <c:spPr>
            <a:ln w="25400" cap="rnd">
              <a:noFill/>
              <a:round/>
            </a:ln>
            <a:effectLst/>
          </c:spPr>
          <c:marker>
            <c:symbol val="circle"/>
            <c:size val="5"/>
            <c:spPr>
              <a:solidFill>
                <a:schemeClr val="accent4"/>
              </a:solidFill>
              <a:ln w="9525">
                <a:solidFill>
                  <a:schemeClr val="accent3"/>
                </a:solidFill>
              </a:ln>
              <a:effectLst/>
            </c:spPr>
          </c:marker>
          <c:dLbls>
            <c:dLbl>
              <c:idx val="0"/>
              <c:layout>
                <c:manualLayout>
                  <c:x val="-4.9449643270050955E-2"/>
                  <c:y val="6.9927899680243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27A-4C79-89E0-E5A689464DB0}"/>
                </c:ext>
              </c:extLst>
            </c:dLbl>
            <c:dLbl>
              <c:idx val="1"/>
              <c:layout>
                <c:manualLayout>
                  <c:x val="-4.9449643270050955E-2"/>
                  <c:y val="6.35708178911307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27A-4C79-89E0-E5A689464DB0}"/>
                </c:ext>
              </c:extLst>
            </c:dLbl>
            <c:dLbl>
              <c:idx val="2"/>
              <c:layout>
                <c:manualLayout>
                  <c:x val="-4.5917525893618742E-2"/>
                  <c:y val="7.62849814693568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27A-4C79-89E0-E5A689464DB0}"/>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'Effectiveness Outputs'!$B$4:$B$6</c:f>
              <c:strCache>
                <c:ptCount val="3"/>
                <c:pt idx="0">
                  <c:v>VTEC</c:v>
                </c:pt>
                <c:pt idx="1">
                  <c:v>TAEG</c:v>
                </c:pt>
                <c:pt idx="2">
                  <c:v>EPI</c:v>
                </c:pt>
              </c:strCache>
            </c:strRef>
          </c:xVal>
          <c:yVal>
            <c:numRef>
              <c:f>'Effectiveness Outputs'!$E$4:$E$6</c:f>
              <c:numCache>
                <c:formatCode>0%</c:formatCode>
                <c:ptCount val="3"/>
                <c:pt idx="0">
                  <c:v>0.41736843870103119</c:v>
                </c:pt>
                <c:pt idx="1">
                  <c:v>0.34638861107354829</c:v>
                </c:pt>
                <c:pt idx="2">
                  <c:v>0.56537783431977051</c:v>
                </c:pt>
              </c:numCache>
            </c:numRef>
          </c:yVal>
          <c:smooth val="0"/>
          <c:extLst>
            <c:ext xmlns:c16="http://schemas.microsoft.com/office/drawing/2014/chart" uri="{C3380CC4-5D6E-409C-BE32-E72D297353CC}">
              <c16:uniqueId val="{00000008-827A-4C79-89E0-E5A689464DB0}"/>
            </c:ext>
          </c:extLst>
        </c:ser>
        <c:dLbls>
          <c:showLegendKey val="0"/>
          <c:showVal val="1"/>
          <c:showCatName val="0"/>
          <c:showSerName val="0"/>
          <c:showPercent val="0"/>
          <c:showBubbleSize val="0"/>
        </c:dLbls>
        <c:axId val="2054401791"/>
        <c:axId val="2054400543"/>
      </c:scatterChart>
      <c:catAx>
        <c:axId val="1757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98816319"/>
        <c:crosses val="autoZero"/>
        <c:auto val="1"/>
        <c:lblAlgn val="ctr"/>
        <c:lblOffset val="100"/>
        <c:noMultiLvlLbl val="0"/>
      </c:catAx>
      <c:valAx>
        <c:axId val="199881631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572399"/>
        <c:crosses val="autoZero"/>
        <c:crossBetween val="between"/>
        <c:majorUnit val="0.2"/>
      </c:valAx>
      <c:valAx>
        <c:axId val="2054400543"/>
        <c:scaling>
          <c:orientation val="minMax"/>
        </c:scaling>
        <c:delete val="1"/>
        <c:axPos val="r"/>
        <c:numFmt formatCode="0%" sourceLinked="1"/>
        <c:majorTickMark val="out"/>
        <c:minorTickMark val="none"/>
        <c:tickLblPos val="nextTo"/>
        <c:crossAx val="2054401791"/>
        <c:crosses val="max"/>
        <c:crossBetween val="midCat"/>
      </c:valAx>
      <c:valAx>
        <c:axId val="2054401791"/>
        <c:scaling>
          <c:orientation val="minMax"/>
        </c:scaling>
        <c:delete val="1"/>
        <c:axPos val="t"/>
        <c:majorTickMark val="out"/>
        <c:minorTickMark val="none"/>
        <c:tickLblPos val="nextTo"/>
        <c:crossAx val="2054400543"/>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Outputs!$B$15</c:f>
              <c:strCache>
                <c:ptCount val="1"/>
                <c:pt idx="0">
                  <c:v>VTEC</c:v>
                </c:pt>
              </c:strCache>
            </c:strRef>
          </c:tx>
          <c:spPr>
            <a:solidFill>
              <a:schemeClr val="accent1"/>
            </a:solidFill>
            <a:ln>
              <a:noFill/>
            </a:ln>
            <a:effectLst/>
          </c:spPr>
          <c:invertIfNegative val="0"/>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6FD0-41BD-B365-7FC4C23A69DB}"/>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Outputs!$C$15:$G$15</c:f>
              <c:numCache>
                <c:formatCode>0%</c:formatCode>
                <c:ptCount val="4"/>
                <c:pt idx="0">
                  <c:v>0.58011540168664</c:v>
                </c:pt>
                <c:pt idx="1">
                  <c:v>0.59473280490923042</c:v>
                </c:pt>
                <c:pt idx="2">
                  <c:v>0.62707390648567118</c:v>
                </c:pt>
                <c:pt idx="3">
                  <c:v>0.46817248459958932</c:v>
                </c:pt>
              </c:numCache>
              <c:extLst/>
            </c:numRef>
          </c:val>
          <c:extLst>
            <c:ext xmlns:c16="http://schemas.microsoft.com/office/drawing/2014/chart" uri="{C3380CC4-5D6E-409C-BE32-E72D297353CC}">
              <c16:uniqueId val="{00000002-6FD0-41BD-B365-7FC4C23A69DB}"/>
            </c:ext>
          </c:extLst>
        </c:ser>
        <c:ser>
          <c:idx val="1"/>
          <c:order val="1"/>
          <c:tx>
            <c:strRef>
              <c:f>Outputs!$B$16</c:f>
              <c:strCache>
                <c:ptCount val="1"/>
                <c:pt idx="0">
                  <c:v>TAEG</c:v>
                </c:pt>
              </c:strCache>
            </c:strRef>
          </c:tx>
          <c:spPr>
            <a:solidFill>
              <a:schemeClr val="accent2"/>
            </a:solidFill>
            <a:ln>
              <a:noFill/>
            </a:ln>
            <a:effectLst/>
          </c:spPr>
          <c:invertIfNegative val="0"/>
          <c:dPt>
            <c:idx val="3"/>
            <c:invertIfNegative val="0"/>
            <c:bubble3D val="0"/>
            <c:spPr>
              <a:solidFill>
                <a:schemeClr val="bg1"/>
              </a:solidFill>
              <a:ln>
                <a:solidFill>
                  <a:srgbClr val="046A38"/>
                </a:solidFill>
              </a:ln>
              <a:effectLst/>
            </c:spPr>
            <c:extLst>
              <c:ext xmlns:c16="http://schemas.microsoft.com/office/drawing/2014/chart" uri="{C3380CC4-5D6E-409C-BE32-E72D297353CC}">
                <c16:uniqueId val="{00000004-6FD0-41BD-B365-7FC4C23A69DB}"/>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Outputs!$C$16:$G$16</c:f>
              <c:numCache>
                <c:formatCode>0%</c:formatCode>
                <c:ptCount val="4"/>
                <c:pt idx="0">
                  <c:v>0.60036073177016236</c:v>
                </c:pt>
                <c:pt idx="1">
                  <c:v>0.63352990732940184</c:v>
                </c:pt>
                <c:pt idx="2">
                  <c:v>0.67650780261493038</c:v>
                </c:pt>
                <c:pt idx="3">
                  <c:v>0.514446227929374</c:v>
                </c:pt>
              </c:numCache>
              <c:extLst/>
            </c:numRef>
          </c:val>
          <c:extLst>
            <c:ext xmlns:c16="http://schemas.microsoft.com/office/drawing/2014/chart" uri="{C3380CC4-5D6E-409C-BE32-E72D297353CC}">
              <c16:uniqueId val="{00000005-6FD0-41BD-B365-7FC4C23A69DB}"/>
            </c:ext>
          </c:extLst>
        </c:ser>
        <c:ser>
          <c:idx val="2"/>
          <c:order val="2"/>
          <c:tx>
            <c:strRef>
              <c:f>Outputs!$B$17</c:f>
              <c:strCache>
                <c:ptCount val="1"/>
                <c:pt idx="0">
                  <c:v>EPI</c:v>
                </c:pt>
              </c:strCache>
            </c:strRef>
          </c:tx>
          <c:spPr>
            <a:solidFill>
              <a:schemeClr val="accent3"/>
            </a:solidFill>
            <a:ln>
              <a:noFill/>
            </a:ln>
            <a:effectLst/>
          </c:spPr>
          <c:invertIfNegative val="0"/>
          <c:dPt>
            <c:idx val="3"/>
            <c:invertIfNegative val="0"/>
            <c:bubble3D val="0"/>
            <c:spPr>
              <a:solidFill>
                <a:schemeClr val="bg1"/>
              </a:solidFill>
              <a:ln>
                <a:solidFill>
                  <a:schemeClr val="accent3"/>
                </a:solidFill>
              </a:ln>
              <a:effectLst/>
            </c:spPr>
            <c:extLst>
              <c:ext xmlns:c16="http://schemas.microsoft.com/office/drawing/2014/chart" uri="{C3380CC4-5D6E-409C-BE32-E72D297353CC}">
                <c16:uniqueId val="{00000007-6FD0-41BD-B365-7FC4C23A69DB}"/>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Outputs!$C$17:$G$17</c:f>
              <c:numCache>
                <c:formatCode>0%</c:formatCode>
                <c:ptCount val="4"/>
                <c:pt idx="0">
                  <c:v>0.54232081911262797</c:v>
                </c:pt>
                <c:pt idx="1">
                  <c:v>0.58889289578074289</c:v>
                </c:pt>
                <c:pt idx="2">
                  <c:v>0.66729323308270672</c:v>
                </c:pt>
                <c:pt idx="3">
                  <c:v>0.52954545454545454</c:v>
                </c:pt>
              </c:numCache>
              <c:extLst/>
            </c:numRef>
          </c:val>
          <c:extLst>
            <c:ext xmlns:c16="http://schemas.microsoft.com/office/drawing/2014/chart" uri="{C3380CC4-5D6E-409C-BE32-E72D297353CC}">
              <c16:uniqueId val="{00000008-6FD0-41BD-B365-7FC4C23A69DB}"/>
            </c:ext>
          </c:extLst>
        </c:ser>
        <c:dLbls>
          <c:dLblPos val="outEnd"/>
          <c:showLegendKey val="0"/>
          <c:showVal val="1"/>
          <c:showCatName val="0"/>
          <c:showSerName val="0"/>
          <c:showPercent val="0"/>
          <c:showBubbleSize val="0"/>
        </c:dLbls>
        <c:gapWidth val="219"/>
        <c:overlap val="-27"/>
        <c:axId val="1763108991"/>
        <c:axId val="1623375663"/>
      </c:barChart>
      <c:catAx>
        <c:axId val="176310899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Length of time following program exit</a:t>
                </a:r>
              </a:p>
            </c:rich>
          </c:tx>
          <c:layout>
            <c:manualLayout>
              <c:xMode val="edge"/>
              <c:yMode val="edge"/>
              <c:x val="0.3974223221356436"/>
              <c:y val="0.845416794124991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23375663"/>
        <c:crosses val="autoZero"/>
        <c:auto val="1"/>
        <c:lblAlgn val="ctr"/>
        <c:lblOffset val="100"/>
        <c:noMultiLvlLbl val="0"/>
      </c:catAx>
      <c:valAx>
        <c:axId val="162337566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Share of participants who exit income support</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31089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bg1">
          <a:lumMod val="95000"/>
        </a:schemeClr>
      </a:solidFill>
      <a:round/>
    </a:ln>
    <a:effectLst/>
  </c:spPr>
  <c:txPr>
    <a:bodyPr/>
    <a:lstStyle/>
    <a:p>
      <a:pPr>
        <a:defRPr sz="800"/>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10519448597194"/>
          <c:y val="2.9228438273143975E-2"/>
          <c:w val="0.76458657195420232"/>
          <c:h val="0.5949303128552782"/>
        </c:manualLayout>
      </c:layout>
      <c:barChart>
        <c:barDir val="col"/>
        <c:grouping val="clustered"/>
        <c:varyColors val="0"/>
        <c:ser>
          <c:idx val="0"/>
          <c:order val="0"/>
          <c:tx>
            <c:strRef>
              <c:f>'Unemployment over time'!$B$10</c:f>
              <c:strCache>
                <c:ptCount val="1"/>
                <c:pt idx="0">
                  <c:v>Indigenous unemployment rate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'Unemployment over time'!$C$9:$F$9</c:f>
              <c:numCache>
                <c:formatCode>General</c:formatCode>
                <c:ptCount val="4"/>
                <c:pt idx="0">
                  <c:v>2001</c:v>
                </c:pt>
                <c:pt idx="1">
                  <c:v>2006</c:v>
                </c:pt>
                <c:pt idx="2">
                  <c:v>2011</c:v>
                </c:pt>
                <c:pt idx="3">
                  <c:v>2016</c:v>
                </c:pt>
              </c:numCache>
            </c:numRef>
          </c:cat>
          <c:val>
            <c:numRef>
              <c:f>'Unemployment over time'!$C$10:$F$10</c:f>
              <c:numCache>
                <c:formatCode>0%</c:formatCode>
                <c:ptCount val="4"/>
                <c:pt idx="0">
                  <c:v>0.2</c:v>
                </c:pt>
                <c:pt idx="1">
                  <c:v>0.15580574832013974</c:v>
                </c:pt>
                <c:pt idx="2">
                  <c:v>0.17093829987875522</c:v>
                </c:pt>
                <c:pt idx="3">
                  <c:v>0.1818545235678288</c:v>
                </c:pt>
              </c:numCache>
            </c:numRef>
          </c:val>
          <c:extLst>
            <c:ext xmlns:c16="http://schemas.microsoft.com/office/drawing/2014/chart" uri="{C3380CC4-5D6E-409C-BE32-E72D297353CC}">
              <c16:uniqueId val="{00000000-676C-4B48-99D5-12426CE36736}"/>
            </c:ext>
          </c:extLst>
        </c:ser>
        <c:ser>
          <c:idx val="1"/>
          <c:order val="1"/>
          <c:tx>
            <c:strRef>
              <c:f>'Unemployment over time'!$B$11</c:f>
              <c:strCache>
                <c:ptCount val="1"/>
                <c:pt idx="0">
                  <c:v>Overall unemployment rate</c:v>
                </c:pt>
              </c:strCache>
            </c:strRef>
          </c:tx>
          <c:spPr>
            <a:solidFill>
              <a:schemeClr val="accent2"/>
            </a:solidFill>
            <a:ln>
              <a:noFill/>
            </a:ln>
            <a:effectLst/>
          </c:spPr>
          <c:invertIfNegative val="0"/>
          <c:dLbls>
            <c:dLbl>
              <c:idx val="0"/>
              <c:layout>
                <c:manualLayout>
                  <c:x val="1.573229525437489E-2"/>
                  <c:y val="-4.465404262554796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76C-4B48-99D5-12426CE36736}"/>
                </c:ext>
              </c:extLst>
            </c:dLbl>
            <c:dLbl>
              <c:idx val="1"/>
              <c:layout>
                <c:manualLayout>
                  <c:x val="3.6646176548581627E-3"/>
                  <c:y val="4.871406378857239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76C-4B48-99D5-12426CE36736}"/>
                </c:ext>
              </c:extLst>
            </c:dLbl>
            <c:dLbl>
              <c:idx val="2"/>
              <c:layout>
                <c:manualLayout>
                  <c:x val="3.6646176548582299E-3"/>
                  <c:y val="-4.871406378857329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76C-4B48-99D5-12426CE36736}"/>
                </c:ext>
              </c:extLst>
            </c:dLbl>
            <c:dLbl>
              <c:idx val="3"/>
              <c:layout>
                <c:manualLayout>
                  <c:x val="3.6646176548580955E-3"/>
                  <c:y val="4.465404262554796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76C-4B48-99D5-12426CE3673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'Unemployment over time'!$C$9:$F$9</c:f>
              <c:numCache>
                <c:formatCode>General</c:formatCode>
                <c:ptCount val="4"/>
                <c:pt idx="0">
                  <c:v>2001</c:v>
                </c:pt>
                <c:pt idx="1">
                  <c:v>2006</c:v>
                </c:pt>
                <c:pt idx="2">
                  <c:v>2011</c:v>
                </c:pt>
                <c:pt idx="3">
                  <c:v>2016</c:v>
                </c:pt>
              </c:numCache>
            </c:numRef>
          </c:cat>
          <c:val>
            <c:numRef>
              <c:f>'Unemployment over time'!$C$11:$F$11</c:f>
              <c:numCache>
                <c:formatCode>0%</c:formatCode>
                <c:ptCount val="4"/>
                <c:pt idx="0" formatCode="0.0%">
                  <c:v>7.3999999999999996E-2</c:v>
                </c:pt>
                <c:pt idx="1">
                  <c:v>5.243678489190453E-2</c:v>
                </c:pt>
                <c:pt idx="2">
                  <c:v>5.6153620970428884E-2</c:v>
                </c:pt>
                <c:pt idx="3">
                  <c:v>6.8524836056124666E-2</c:v>
                </c:pt>
              </c:numCache>
            </c:numRef>
          </c:val>
          <c:extLst>
            <c:ext xmlns:c16="http://schemas.microsoft.com/office/drawing/2014/chart" uri="{C3380CC4-5D6E-409C-BE32-E72D297353CC}">
              <c16:uniqueId val="{00000005-676C-4B48-99D5-12426CE36736}"/>
            </c:ext>
          </c:extLst>
        </c:ser>
        <c:dLbls>
          <c:dLblPos val="outEnd"/>
          <c:showLegendKey val="0"/>
          <c:showVal val="1"/>
          <c:showCatName val="0"/>
          <c:showSerName val="0"/>
          <c:showPercent val="0"/>
          <c:showBubbleSize val="0"/>
        </c:dLbls>
        <c:gapWidth val="219"/>
        <c:overlap val="-27"/>
        <c:axId val="1577070239"/>
        <c:axId val="1566056047"/>
      </c:barChart>
      <c:catAx>
        <c:axId val="1577070239"/>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Year</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66056047"/>
        <c:crosses val="autoZero"/>
        <c:auto val="1"/>
        <c:lblAlgn val="ctr"/>
        <c:lblOffset val="100"/>
        <c:noMultiLvlLbl val="0"/>
      </c:catAx>
      <c:valAx>
        <c:axId val="1566056047"/>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Unemployment Rate</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77070239"/>
        <c:crosses val="autoZero"/>
        <c:crossBetween val="between"/>
      </c:valAx>
      <c:spPr>
        <a:noFill/>
        <a:ln>
          <a:noFill/>
        </a:ln>
        <a:effectLst/>
      </c:spPr>
    </c:plotArea>
    <c:legend>
      <c:legendPos val="b"/>
      <c:layout>
        <c:manualLayout>
          <c:xMode val="edge"/>
          <c:yMode val="edge"/>
          <c:x val="0.10196424880755063"/>
          <c:y val="0.7617038415066838"/>
          <c:w val="0.81750600783754312"/>
          <c:h val="0.174967875568170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8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'Unemployment over time'!$B$14</c:f>
              <c:strCache>
                <c:ptCount val="1"/>
                <c:pt idx="0">
                  <c:v>Indigenous employment rate</c:v>
                </c:pt>
              </c:strCache>
            </c:strRef>
          </c:tx>
          <c:spPr>
            <a:solidFill>
              <a:srgbClr val="86BC2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'Unemployment over time'!$C$13:$F$13</c:f>
              <c:numCache>
                <c:formatCode>General</c:formatCode>
                <c:ptCount val="4"/>
                <c:pt idx="0">
                  <c:v>2001</c:v>
                </c:pt>
                <c:pt idx="1">
                  <c:v>2006</c:v>
                </c:pt>
                <c:pt idx="2">
                  <c:v>2011</c:v>
                </c:pt>
                <c:pt idx="3">
                  <c:v>2016</c:v>
                </c:pt>
              </c:numCache>
            </c:numRef>
          </c:cat>
          <c:val>
            <c:numRef>
              <c:f>'Unemployment over time'!$C$14:$F$14</c:f>
              <c:numCache>
                <c:formatCode>0%</c:formatCode>
                <c:ptCount val="4"/>
                <c:pt idx="0">
                  <c:v>0.42</c:v>
                </c:pt>
                <c:pt idx="1">
                  <c:v>0.460127528930174</c:v>
                </c:pt>
                <c:pt idx="2">
                  <c:v>0.44213314973358081</c:v>
                </c:pt>
                <c:pt idx="3">
                  <c:v>0.44127430198049783</c:v>
                </c:pt>
              </c:numCache>
            </c:numRef>
          </c:val>
          <c:extLst>
            <c:ext xmlns:c16="http://schemas.microsoft.com/office/drawing/2014/chart" uri="{C3380CC4-5D6E-409C-BE32-E72D297353CC}">
              <c16:uniqueId val="{00000000-6216-4C42-A349-FD117CDA94D9}"/>
            </c:ext>
          </c:extLst>
        </c:ser>
        <c:ser>
          <c:idx val="2"/>
          <c:order val="2"/>
          <c:tx>
            <c:strRef>
              <c:f>'Unemployment over time'!$B$15</c:f>
              <c:strCache>
                <c:ptCount val="1"/>
                <c:pt idx="0">
                  <c:v>Overall employment rate</c:v>
                </c:pt>
              </c:strCache>
            </c:strRef>
          </c:tx>
          <c:spPr>
            <a:solidFill>
              <a:srgbClr val="046A3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'Unemployment over time'!$C$13:$F$13</c:f>
              <c:numCache>
                <c:formatCode>General</c:formatCode>
                <c:ptCount val="4"/>
                <c:pt idx="0">
                  <c:v>2001</c:v>
                </c:pt>
                <c:pt idx="1">
                  <c:v>2006</c:v>
                </c:pt>
                <c:pt idx="2">
                  <c:v>2011</c:v>
                </c:pt>
                <c:pt idx="3">
                  <c:v>2016</c:v>
                </c:pt>
              </c:numCache>
            </c:numRef>
          </c:cat>
          <c:val>
            <c:numRef>
              <c:f>'Unemployment over time'!$C$15:$F$15</c:f>
              <c:numCache>
                <c:formatCode>0%</c:formatCode>
                <c:ptCount val="4"/>
                <c:pt idx="0">
                  <c:v>0.56594366111832894</c:v>
                </c:pt>
                <c:pt idx="1">
                  <c:v>0.61187680467028149</c:v>
                </c:pt>
                <c:pt idx="2">
                  <c:v>0.61543064540943371</c:v>
                </c:pt>
                <c:pt idx="3">
                  <c:v>0.60256522876036422</c:v>
                </c:pt>
              </c:numCache>
            </c:numRef>
          </c:val>
          <c:extLst>
            <c:ext xmlns:c16="http://schemas.microsoft.com/office/drawing/2014/chart" uri="{C3380CC4-5D6E-409C-BE32-E72D297353CC}">
              <c16:uniqueId val="{00000001-6216-4C42-A349-FD117CDA94D9}"/>
            </c:ext>
          </c:extLst>
        </c:ser>
        <c:dLbls>
          <c:dLblPos val="outEnd"/>
          <c:showLegendKey val="0"/>
          <c:showVal val="1"/>
          <c:showCatName val="0"/>
          <c:showSerName val="0"/>
          <c:showPercent val="0"/>
          <c:showBubbleSize val="0"/>
        </c:dLbls>
        <c:gapWidth val="219"/>
        <c:overlap val="-27"/>
        <c:axId val="1665549551"/>
        <c:axId val="1584653039"/>
        <c:extLst>
          <c:ext xmlns:c15="http://schemas.microsoft.com/office/drawing/2012/chart" uri="{02D57815-91ED-43cb-92C2-25804820EDAC}">
            <c15:filteredBarSeries>
              <c15:ser>
                <c:idx val="0"/>
                <c:order val="0"/>
                <c:tx>
                  <c:strRef>
                    <c:extLst>
                      <c:ext uri="{02D57815-91ED-43cb-92C2-25804820EDAC}">
                        <c15:formulaRef>
                          <c15:sqref>'Unemployment over time'!$B$13</c15:sqref>
                        </c15:formulaRef>
                      </c:ext>
                    </c:extLst>
                    <c:strCache>
                      <c:ptCount val="1"/>
                      <c:pt idx="0">
                        <c:v>Census Year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'Unemployment over time'!$C$13:$F$13</c15:sqref>
                        </c15:formulaRef>
                      </c:ext>
                    </c:extLst>
                    <c:numCache>
                      <c:formatCode>General</c:formatCode>
                      <c:ptCount val="4"/>
                      <c:pt idx="0">
                        <c:v>2001</c:v>
                      </c:pt>
                      <c:pt idx="1">
                        <c:v>2006</c:v>
                      </c:pt>
                      <c:pt idx="2">
                        <c:v>2011</c:v>
                      </c:pt>
                      <c:pt idx="3">
                        <c:v>2016</c:v>
                      </c:pt>
                    </c:numCache>
                  </c:numRef>
                </c:cat>
                <c:val>
                  <c:numRef>
                    <c:extLst>
                      <c:ext uri="{02D57815-91ED-43cb-92C2-25804820EDAC}">
                        <c15:formulaRef>
                          <c15:sqref>'Unemployment over time'!$C$13:$F$13</c15:sqref>
                        </c15:formulaRef>
                      </c:ext>
                    </c:extLst>
                    <c:numCache>
                      <c:formatCode>General</c:formatCode>
                      <c:ptCount val="4"/>
                      <c:pt idx="0">
                        <c:v>2001</c:v>
                      </c:pt>
                      <c:pt idx="1">
                        <c:v>2006</c:v>
                      </c:pt>
                      <c:pt idx="2">
                        <c:v>2011</c:v>
                      </c:pt>
                      <c:pt idx="3">
                        <c:v>2016</c:v>
                      </c:pt>
                    </c:numCache>
                  </c:numRef>
                </c:val>
                <c:extLst>
                  <c:ext xmlns:c16="http://schemas.microsoft.com/office/drawing/2014/chart" uri="{C3380CC4-5D6E-409C-BE32-E72D297353CC}">
                    <c16:uniqueId val="{00000002-6216-4C42-A349-FD117CDA94D9}"/>
                  </c:ext>
                </c:extLst>
              </c15:ser>
            </c15:filteredBarSeries>
          </c:ext>
        </c:extLst>
      </c:barChart>
      <c:catAx>
        <c:axId val="1665549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653039"/>
        <c:crosses val="autoZero"/>
        <c:auto val="1"/>
        <c:lblAlgn val="ctr"/>
        <c:lblOffset val="100"/>
        <c:noMultiLvlLbl val="0"/>
      </c:catAx>
      <c:valAx>
        <c:axId val="15846530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5495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'Revise pre-employment'!$C$37</c:f>
              <c:strCache>
                <c:ptCount val="1"/>
                <c:pt idx="0">
                  <c:v>All or most participants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'Revise pre-employment'!$B$38:$B$47</c:f>
              <c:strCache>
                <c:ptCount val="10"/>
                <c:pt idx="0">
                  <c:v>English language training</c:v>
                </c:pt>
                <c:pt idx="1">
                  <c:v>Literacy and numeracy skills</c:v>
                </c:pt>
                <c:pt idx="2">
                  <c:v>Referrals to other agencies / organisations</c:v>
                </c:pt>
                <c:pt idx="3">
                  <c:v>Other practical support </c:v>
                </c:pt>
                <c:pt idx="4">
                  <c:v>Job information sessions</c:v>
                </c:pt>
                <c:pt idx="5">
                  <c:v>Resume and interview advice</c:v>
                </c:pt>
                <c:pt idx="6">
                  <c:v>Employee cultural support</c:v>
                </c:pt>
                <c:pt idx="7">
                  <c:v>Preparing a training and support plan</c:v>
                </c:pt>
                <c:pt idx="8">
                  <c:v>Overview of workplace expectations</c:v>
                </c:pt>
                <c:pt idx="9">
                  <c:v>Case management support or mentoring</c:v>
                </c:pt>
              </c:strCache>
            </c:strRef>
          </c:cat>
          <c:val>
            <c:numRef>
              <c:f>'Revise pre-employment'!$C$38:$C$47</c:f>
              <c:numCache>
                <c:formatCode>0%</c:formatCode>
                <c:ptCount val="10"/>
                <c:pt idx="0">
                  <c:v>0.23809523809523808</c:v>
                </c:pt>
                <c:pt idx="1">
                  <c:v>0.27586206896551724</c:v>
                </c:pt>
                <c:pt idx="2">
                  <c:v>0.36666666666666664</c:v>
                </c:pt>
                <c:pt idx="3">
                  <c:v>0.46666666666666667</c:v>
                </c:pt>
                <c:pt idx="4">
                  <c:v>0.6</c:v>
                </c:pt>
                <c:pt idx="5">
                  <c:v>0.7</c:v>
                </c:pt>
                <c:pt idx="6">
                  <c:v>0.70967741935483875</c:v>
                </c:pt>
                <c:pt idx="7">
                  <c:v>0.83870967741935487</c:v>
                </c:pt>
                <c:pt idx="8">
                  <c:v>0.87096774193548387</c:v>
                </c:pt>
                <c:pt idx="9">
                  <c:v>0.967741935483871</c:v>
                </c:pt>
              </c:numCache>
            </c:numRef>
          </c:val>
          <c:extLst>
            <c:ext xmlns:c16="http://schemas.microsoft.com/office/drawing/2014/chart" uri="{C3380CC4-5D6E-409C-BE32-E72D297353CC}">
              <c16:uniqueId val="{00000000-3188-4150-8A8D-C4C9ACC6F767}"/>
            </c:ext>
          </c:extLst>
        </c:ser>
        <c:ser>
          <c:idx val="1"/>
          <c:order val="1"/>
          <c:tx>
            <c:strRef>
              <c:f>'Revise pre-employment'!$D$37</c:f>
              <c:strCache>
                <c:ptCount val="1"/>
                <c:pt idx="0">
                  <c:v>Some participants</c:v>
                </c:pt>
              </c:strCache>
            </c:strRef>
          </c:tx>
          <c:spPr>
            <a:solidFill>
              <a:schemeClr val="accent2"/>
            </a:solidFill>
            <a:ln>
              <a:no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1-3188-4150-8A8D-C4C9ACC6F767}"/>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'Revise pre-employment'!$B$38:$B$47</c:f>
              <c:strCache>
                <c:ptCount val="10"/>
                <c:pt idx="0">
                  <c:v>English language training</c:v>
                </c:pt>
                <c:pt idx="1">
                  <c:v>Literacy and numeracy skills</c:v>
                </c:pt>
                <c:pt idx="2">
                  <c:v>Referrals to other agencies / organisations</c:v>
                </c:pt>
                <c:pt idx="3">
                  <c:v>Other practical support </c:v>
                </c:pt>
                <c:pt idx="4">
                  <c:v>Job information sessions</c:v>
                </c:pt>
                <c:pt idx="5">
                  <c:v>Resume and interview advice</c:v>
                </c:pt>
                <c:pt idx="6">
                  <c:v>Employee cultural support</c:v>
                </c:pt>
                <c:pt idx="7">
                  <c:v>Preparing a training and support plan</c:v>
                </c:pt>
                <c:pt idx="8">
                  <c:v>Overview of workplace expectations</c:v>
                </c:pt>
                <c:pt idx="9">
                  <c:v>Case management support or mentoring</c:v>
                </c:pt>
              </c:strCache>
            </c:strRef>
          </c:cat>
          <c:val>
            <c:numRef>
              <c:f>'Revise pre-employment'!$D$38:$D$47</c:f>
              <c:numCache>
                <c:formatCode>0%</c:formatCode>
                <c:ptCount val="10"/>
                <c:pt idx="0">
                  <c:v>0.47619047619047616</c:v>
                </c:pt>
                <c:pt idx="1">
                  <c:v>0.48275862068965519</c:v>
                </c:pt>
                <c:pt idx="2">
                  <c:v>0.5</c:v>
                </c:pt>
                <c:pt idx="3">
                  <c:v>0.43333333333333335</c:v>
                </c:pt>
                <c:pt idx="4">
                  <c:v>0.36666666666666664</c:v>
                </c:pt>
                <c:pt idx="5">
                  <c:v>0.2</c:v>
                </c:pt>
                <c:pt idx="6">
                  <c:v>0.25806451612903225</c:v>
                </c:pt>
                <c:pt idx="7">
                  <c:v>0.12903225806451613</c:v>
                </c:pt>
                <c:pt idx="8">
                  <c:v>0.12903225806451613</c:v>
                </c:pt>
                <c:pt idx="9">
                  <c:v>0</c:v>
                </c:pt>
              </c:numCache>
            </c:numRef>
          </c:val>
          <c:extLst>
            <c:ext xmlns:c16="http://schemas.microsoft.com/office/drawing/2014/chart" uri="{C3380CC4-5D6E-409C-BE32-E72D297353CC}">
              <c16:uniqueId val="{00000002-3188-4150-8A8D-C4C9ACC6F767}"/>
            </c:ext>
          </c:extLst>
        </c:ser>
        <c:ser>
          <c:idx val="2"/>
          <c:order val="2"/>
          <c:tx>
            <c:strRef>
              <c:f>'Revise pre-employment'!$E$37</c:f>
              <c:strCache>
                <c:ptCount val="1"/>
                <c:pt idx="0">
                  <c:v>Few or very few participants participants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'Revise pre-employment'!$B$38:$B$47</c:f>
              <c:strCache>
                <c:ptCount val="10"/>
                <c:pt idx="0">
                  <c:v>English language training</c:v>
                </c:pt>
                <c:pt idx="1">
                  <c:v>Literacy and numeracy skills</c:v>
                </c:pt>
                <c:pt idx="2">
                  <c:v>Referrals to other agencies / organisations</c:v>
                </c:pt>
                <c:pt idx="3">
                  <c:v>Other practical support </c:v>
                </c:pt>
                <c:pt idx="4">
                  <c:v>Job information sessions</c:v>
                </c:pt>
                <c:pt idx="5">
                  <c:v>Resume and interview advice</c:v>
                </c:pt>
                <c:pt idx="6">
                  <c:v>Employee cultural support</c:v>
                </c:pt>
                <c:pt idx="7">
                  <c:v>Preparing a training and support plan</c:v>
                </c:pt>
                <c:pt idx="8">
                  <c:v>Overview of workplace expectations</c:v>
                </c:pt>
                <c:pt idx="9">
                  <c:v>Case management support or mentoring</c:v>
                </c:pt>
              </c:strCache>
            </c:strRef>
          </c:cat>
          <c:val>
            <c:numRef>
              <c:f>'Revise pre-employment'!$E$38:$E$47</c:f>
              <c:numCache>
                <c:formatCode>0%</c:formatCode>
                <c:ptCount val="10"/>
                <c:pt idx="0">
                  <c:v>0.2857142857142857</c:v>
                </c:pt>
                <c:pt idx="1">
                  <c:v>0.2413793103448276</c:v>
                </c:pt>
                <c:pt idx="2">
                  <c:v>0.13333333333333333</c:v>
                </c:pt>
                <c:pt idx="3">
                  <c:v>0.1</c:v>
                </c:pt>
                <c:pt idx="4">
                  <c:v>3.3333333333333333E-2</c:v>
                </c:pt>
                <c:pt idx="5">
                  <c:v>0.1</c:v>
                </c:pt>
                <c:pt idx="6">
                  <c:v>3.2258064516129031E-2</c:v>
                </c:pt>
                <c:pt idx="7">
                  <c:v>3.2258064516129031E-2</c:v>
                </c:pt>
                <c:pt idx="8">
                  <c:v>0</c:v>
                </c:pt>
                <c:pt idx="9">
                  <c:v>3.2258064516129031E-2</c:v>
                </c:pt>
              </c:numCache>
            </c:numRef>
          </c:val>
          <c:extLst>
            <c:ext xmlns:c16="http://schemas.microsoft.com/office/drawing/2014/chart" uri="{C3380CC4-5D6E-409C-BE32-E72D297353CC}">
              <c16:uniqueId val="{00000003-3188-4150-8A8D-C4C9ACC6F767}"/>
            </c:ext>
          </c:extLst>
        </c:ser>
        <c:dLbls>
          <c:dLblPos val="ctr"/>
          <c:showLegendKey val="0"/>
          <c:showVal val="1"/>
          <c:showCatName val="0"/>
          <c:showSerName val="0"/>
          <c:showPercent val="0"/>
          <c:showBubbleSize val="0"/>
        </c:dLbls>
        <c:gapWidth val="150"/>
        <c:overlap val="100"/>
        <c:axId val="1929294384"/>
        <c:axId val="549202992"/>
      </c:barChart>
      <c:catAx>
        <c:axId val="192929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9202992"/>
        <c:crosses val="autoZero"/>
        <c:auto val="1"/>
        <c:lblAlgn val="ctr"/>
        <c:lblOffset val="100"/>
        <c:noMultiLvlLbl val="0"/>
      </c:catAx>
      <c:valAx>
        <c:axId val="549202992"/>
        <c:scaling>
          <c:orientation val="minMax"/>
          <c:max val="1"/>
        </c:scaling>
        <c:delete val="1"/>
        <c:axPos val="b"/>
        <c:numFmt formatCode="0%" sourceLinked="1"/>
        <c:majorTickMark val="none"/>
        <c:minorTickMark val="none"/>
        <c:tickLblPos val="nextTo"/>
        <c:crossAx val="192929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'Revise pre-employment'!$C$99</c:f>
              <c:strCache>
                <c:ptCount val="1"/>
                <c:pt idx="0">
                  <c:v>All or most participants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'Revise pre-employment'!$B$100:$B$110</c:f>
              <c:strCache>
                <c:ptCount val="11"/>
                <c:pt idx="0">
                  <c:v>Literacy and numeracy skills</c:v>
                </c:pt>
                <c:pt idx="1">
                  <c:v>English language training</c:v>
                </c:pt>
                <c:pt idx="2">
                  <c:v>Referrals to other agencies / organisations</c:v>
                </c:pt>
                <c:pt idx="3">
                  <c:v>Employer cultural safety training</c:v>
                </c:pt>
                <c:pt idx="4">
                  <c:v>Other practical support </c:v>
                </c:pt>
                <c:pt idx="5">
                  <c:v>Job information sessions</c:v>
                </c:pt>
                <c:pt idx="6">
                  <c:v>Employee cultural support</c:v>
                </c:pt>
                <c:pt idx="7">
                  <c:v>Preparing a training and support plan</c:v>
                </c:pt>
                <c:pt idx="8">
                  <c:v>Overview of workplace expectations</c:v>
                </c:pt>
                <c:pt idx="9">
                  <c:v>Case management support or mentoring</c:v>
                </c:pt>
                <c:pt idx="10">
                  <c:v>Resume and interview advice</c:v>
                </c:pt>
              </c:strCache>
            </c:strRef>
          </c:cat>
          <c:val>
            <c:numRef>
              <c:f>'Revise pre-employment'!$C$100:$C$110</c:f>
              <c:numCache>
                <c:formatCode>0%</c:formatCode>
                <c:ptCount val="11"/>
                <c:pt idx="0">
                  <c:v>6.4516129032258063E-2</c:v>
                </c:pt>
                <c:pt idx="1">
                  <c:v>7.6923076923076927E-2</c:v>
                </c:pt>
                <c:pt idx="2">
                  <c:v>0.2</c:v>
                </c:pt>
                <c:pt idx="3">
                  <c:v>0.5714285714285714</c:v>
                </c:pt>
                <c:pt idx="4">
                  <c:v>0.68571428571428572</c:v>
                </c:pt>
                <c:pt idx="5">
                  <c:v>0.74285714285714288</c:v>
                </c:pt>
                <c:pt idx="6">
                  <c:v>0.74285714285714288</c:v>
                </c:pt>
                <c:pt idx="7">
                  <c:v>0.76470588235294112</c:v>
                </c:pt>
                <c:pt idx="8">
                  <c:v>0.8571428571428571</c:v>
                </c:pt>
                <c:pt idx="9">
                  <c:v>0.91428571428571426</c:v>
                </c:pt>
                <c:pt idx="10">
                  <c:v>0.94285714285714284</c:v>
                </c:pt>
              </c:numCache>
            </c:numRef>
          </c:val>
          <c:extLst>
            <c:ext xmlns:c16="http://schemas.microsoft.com/office/drawing/2014/chart" uri="{C3380CC4-5D6E-409C-BE32-E72D297353CC}">
              <c16:uniqueId val="{00000000-2E84-47B4-B73B-6FCF0839C613}"/>
            </c:ext>
          </c:extLst>
        </c:ser>
        <c:ser>
          <c:idx val="1"/>
          <c:order val="1"/>
          <c:tx>
            <c:strRef>
              <c:f>'Revise pre-employment'!$D$99</c:f>
              <c:strCache>
                <c:ptCount val="1"/>
                <c:pt idx="0">
                  <c:v>Some participants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'Revise pre-employment'!$B$100:$B$110</c:f>
              <c:strCache>
                <c:ptCount val="11"/>
                <c:pt idx="0">
                  <c:v>Literacy and numeracy skills</c:v>
                </c:pt>
                <c:pt idx="1">
                  <c:v>English language training</c:v>
                </c:pt>
                <c:pt idx="2">
                  <c:v>Referrals to other agencies / organisations</c:v>
                </c:pt>
                <c:pt idx="3">
                  <c:v>Employer cultural safety training</c:v>
                </c:pt>
                <c:pt idx="4">
                  <c:v>Other practical support </c:v>
                </c:pt>
                <c:pt idx="5">
                  <c:v>Job information sessions</c:v>
                </c:pt>
                <c:pt idx="6">
                  <c:v>Employee cultural support</c:v>
                </c:pt>
                <c:pt idx="7">
                  <c:v>Preparing a training and support plan</c:v>
                </c:pt>
                <c:pt idx="8">
                  <c:v>Overview of workplace expectations</c:v>
                </c:pt>
                <c:pt idx="9">
                  <c:v>Case management support or mentoring</c:v>
                </c:pt>
                <c:pt idx="10">
                  <c:v>Resume and interview advice</c:v>
                </c:pt>
              </c:strCache>
            </c:strRef>
          </c:cat>
          <c:val>
            <c:numRef>
              <c:f>'Revise pre-employment'!$D$100:$D$110</c:f>
              <c:numCache>
                <c:formatCode>0%</c:formatCode>
                <c:ptCount val="11"/>
                <c:pt idx="0">
                  <c:v>0.38709677419354838</c:v>
                </c:pt>
                <c:pt idx="1">
                  <c:v>0.23076923076923078</c:v>
                </c:pt>
                <c:pt idx="2">
                  <c:v>0.42857142857142855</c:v>
                </c:pt>
                <c:pt idx="3">
                  <c:v>0.31428571428571428</c:v>
                </c:pt>
                <c:pt idx="4">
                  <c:v>0.31428571428571428</c:v>
                </c:pt>
                <c:pt idx="5">
                  <c:v>0.25714285714285712</c:v>
                </c:pt>
                <c:pt idx="6">
                  <c:v>0.25714285714285712</c:v>
                </c:pt>
                <c:pt idx="7">
                  <c:v>0.11764705882352941</c:v>
                </c:pt>
                <c:pt idx="8">
                  <c:v>0.14285714285714285</c:v>
                </c:pt>
                <c:pt idx="9">
                  <c:v>5.7142857142857141E-2</c:v>
                </c:pt>
                <c:pt idx="10">
                  <c:v>5.7142857142857141E-2</c:v>
                </c:pt>
              </c:numCache>
            </c:numRef>
          </c:val>
          <c:extLst>
            <c:ext xmlns:c16="http://schemas.microsoft.com/office/drawing/2014/chart" uri="{C3380CC4-5D6E-409C-BE32-E72D297353CC}">
              <c16:uniqueId val="{00000001-2E84-47B4-B73B-6FCF0839C613}"/>
            </c:ext>
          </c:extLst>
        </c:ser>
        <c:ser>
          <c:idx val="2"/>
          <c:order val="2"/>
          <c:tx>
            <c:strRef>
              <c:f>'Revise pre-employment'!$E$99</c:f>
              <c:strCache>
                <c:ptCount val="1"/>
                <c:pt idx="0">
                  <c:v>Few or very few participants</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7-2E84-47B4-B73B-6FCF0839C613}"/>
                </c:ext>
              </c:extLst>
            </c:dLbl>
            <c:dLbl>
              <c:idx val="5"/>
              <c:delete val="1"/>
              <c:extLst>
                <c:ext xmlns:c15="http://schemas.microsoft.com/office/drawing/2012/chart" uri="{CE6537A1-D6FC-4f65-9D91-7224C49458BB}"/>
                <c:ext xmlns:c16="http://schemas.microsoft.com/office/drawing/2014/chart" uri="{C3380CC4-5D6E-409C-BE32-E72D297353CC}">
                  <c16:uniqueId val="{00000006-2E84-47B4-B73B-6FCF0839C613}"/>
                </c:ext>
              </c:extLst>
            </c:dLbl>
            <c:dLbl>
              <c:idx val="6"/>
              <c:delete val="1"/>
              <c:extLst>
                <c:ext xmlns:c15="http://schemas.microsoft.com/office/drawing/2012/chart" uri="{CE6537A1-D6FC-4f65-9D91-7224C49458BB}"/>
                <c:ext xmlns:c16="http://schemas.microsoft.com/office/drawing/2014/chart" uri="{C3380CC4-5D6E-409C-BE32-E72D297353CC}">
                  <c16:uniqueId val="{00000005-2E84-47B4-B73B-6FCF0839C613}"/>
                </c:ext>
              </c:extLst>
            </c:dLbl>
            <c:dLbl>
              <c:idx val="8"/>
              <c:delete val="1"/>
              <c:extLst>
                <c:ext xmlns:c15="http://schemas.microsoft.com/office/drawing/2012/chart" uri="{CE6537A1-D6FC-4f65-9D91-7224C49458BB}"/>
                <c:ext xmlns:c16="http://schemas.microsoft.com/office/drawing/2014/chart" uri="{C3380CC4-5D6E-409C-BE32-E72D297353CC}">
                  <c16:uniqueId val="{00000004-2E84-47B4-B73B-6FCF0839C61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'Revise pre-employment'!$B$100:$B$110</c:f>
              <c:strCache>
                <c:ptCount val="11"/>
                <c:pt idx="0">
                  <c:v>Literacy and numeracy skills</c:v>
                </c:pt>
                <c:pt idx="1">
                  <c:v>English language training</c:v>
                </c:pt>
                <c:pt idx="2">
                  <c:v>Referrals to other agencies / organisations</c:v>
                </c:pt>
                <c:pt idx="3">
                  <c:v>Employer cultural safety training</c:v>
                </c:pt>
                <c:pt idx="4">
                  <c:v>Other practical support </c:v>
                </c:pt>
                <c:pt idx="5">
                  <c:v>Job information sessions</c:v>
                </c:pt>
                <c:pt idx="6">
                  <c:v>Employee cultural support</c:v>
                </c:pt>
                <c:pt idx="7">
                  <c:v>Preparing a training and support plan</c:v>
                </c:pt>
                <c:pt idx="8">
                  <c:v>Overview of workplace expectations</c:v>
                </c:pt>
                <c:pt idx="9">
                  <c:v>Case management support or mentoring</c:v>
                </c:pt>
                <c:pt idx="10">
                  <c:v>Resume and interview advice</c:v>
                </c:pt>
              </c:strCache>
            </c:strRef>
          </c:cat>
          <c:val>
            <c:numRef>
              <c:f>'Revise pre-employment'!$E$100:$E$110</c:f>
              <c:numCache>
                <c:formatCode>0%</c:formatCode>
                <c:ptCount val="11"/>
                <c:pt idx="0">
                  <c:v>0.54838709677419351</c:v>
                </c:pt>
                <c:pt idx="1">
                  <c:v>0.69230769230769229</c:v>
                </c:pt>
                <c:pt idx="2">
                  <c:v>0.37142857142857144</c:v>
                </c:pt>
                <c:pt idx="3">
                  <c:v>0.11428571428571428</c:v>
                </c:pt>
                <c:pt idx="4">
                  <c:v>0</c:v>
                </c:pt>
                <c:pt idx="5">
                  <c:v>0</c:v>
                </c:pt>
                <c:pt idx="6">
                  <c:v>0</c:v>
                </c:pt>
                <c:pt idx="7">
                  <c:v>0.11764705882352941</c:v>
                </c:pt>
                <c:pt idx="8">
                  <c:v>0</c:v>
                </c:pt>
                <c:pt idx="9">
                  <c:v>2.8571428571428571E-2</c:v>
                </c:pt>
                <c:pt idx="10">
                  <c:v>0</c:v>
                </c:pt>
              </c:numCache>
            </c:numRef>
          </c:val>
          <c:extLst>
            <c:ext xmlns:c16="http://schemas.microsoft.com/office/drawing/2014/chart" uri="{C3380CC4-5D6E-409C-BE32-E72D297353CC}">
              <c16:uniqueId val="{00000002-2E84-47B4-B73B-6FCF0839C613}"/>
            </c:ext>
          </c:extLst>
        </c:ser>
        <c:dLbls>
          <c:dLblPos val="ctr"/>
          <c:showLegendKey val="0"/>
          <c:showVal val="1"/>
          <c:showCatName val="0"/>
          <c:showSerName val="0"/>
          <c:showPercent val="0"/>
          <c:showBubbleSize val="0"/>
        </c:dLbls>
        <c:gapWidth val="150"/>
        <c:overlap val="100"/>
        <c:axId val="788093296"/>
        <c:axId val="1321261200"/>
      </c:barChart>
      <c:catAx>
        <c:axId val="78809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21261200"/>
        <c:crosses val="autoZero"/>
        <c:auto val="1"/>
        <c:lblAlgn val="ctr"/>
        <c:lblOffset val="100"/>
        <c:noMultiLvlLbl val="0"/>
      </c:catAx>
      <c:valAx>
        <c:axId val="1321261200"/>
        <c:scaling>
          <c:orientation val="minMax"/>
          <c:max val="1"/>
        </c:scaling>
        <c:delete val="1"/>
        <c:axPos val="b"/>
        <c:numFmt formatCode="0%" sourceLinked="1"/>
        <c:majorTickMark val="none"/>
        <c:minorTickMark val="none"/>
        <c:tickLblPos val="nextTo"/>
        <c:crossAx val="78809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55200994612514"/>
          <c:y val="3.4188034188034191E-2"/>
          <c:w val="0.69144799005387481"/>
          <c:h val="0.86440492141279546"/>
        </c:manualLayout>
      </c:layout>
      <c:barChart>
        <c:barDir val="bar"/>
        <c:grouping val="stacked"/>
        <c:varyColors val="0"/>
        <c:ser>
          <c:idx val="0"/>
          <c:order val="0"/>
          <c:tx>
            <c:strRef>
              <c:f>Sheet1!$Q$74</c:f>
              <c:strCache>
                <c:ptCount val="1"/>
                <c:pt idx="0">
                  <c:v>All or most participants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Sheet1!$P$75:$P$89</c:f>
              <c:strCache>
                <c:ptCount val="7"/>
                <c:pt idx="0">
                  <c:v>Employee wage subsidy</c:v>
                </c:pt>
                <c:pt idx="1">
                  <c:v>Aspiration building</c:v>
                </c:pt>
                <c:pt idx="2">
                  <c:v>Workplace familiarisation</c:v>
                </c:pt>
                <c:pt idx="3">
                  <c:v>Issues management</c:v>
                </c:pt>
                <c:pt idx="4">
                  <c:v>Overview of workplace expectations</c:v>
                </c:pt>
                <c:pt idx="5">
                  <c:v>Other ongoing employee support</c:v>
                </c:pt>
                <c:pt idx="6">
                  <c:v>Employee mentoring</c:v>
                </c:pt>
              </c:strCache>
            </c:strRef>
          </c:cat>
          <c:val>
            <c:numRef>
              <c:f>Sheet1!$Q$75:$Q$89</c:f>
              <c:numCache>
                <c:formatCode>0%</c:formatCode>
                <c:ptCount val="7"/>
                <c:pt idx="0">
                  <c:v>0.25454545454545452</c:v>
                </c:pt>
                <c:pt idx="1">
                  <c:v>0.73913043478260865</c:v>
                </c:pt>
                <c:pt idx="2">
                  <c:v>0.79710144927536231</c:v>
                </c:pt>
                <c:pt idx="3">
                  <c:v>0.85507246376811596</c:v>
                </c:pt>
                <c:pt idx="4">
                  <c:v>0.87096774193548387</c:v>
                </c:pt>
                <c:pt idx="5">
                  <c:v>0.88405797101449279</c:v>
                </c:pt>
                <c:pt idx="6">
                  <c:v>0.92753623188405798</c:v>
                </c:pt>
              </c:numCache>
            </c:numRef>
          </c:val>
          <c:extLst>
            <c:ext xmlns:c16="http://schemas.microsoft.com/office/drawing/2014/chart" uri="{C3380CC4-5D6E-409C-BE32-E72D297353CC}">
              <c16:uniqueId val="{00000000-FB19-4C3F-AF01-492EAFF6BDDC}"/>
            </c:ext>
          </c:extLst>
        </c:ser>
        <c:ser>
          <c:idx val="1"/>
          <c:order val="1"/>
          <c:tx>
            <c:strRef>
              <c:f>Sheet1!$R$74</c:f>
              <c:strCache>
                <c:ptCount val="1"/>
                <c:pt idx="0">
                  <c:v>Some participants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Sheet1!$P$75:$P$89</c:f>
              <c:strCache>
                <c:ptCount val="7"/>
                <c:pt idx="0">
                  <c:v>Employee wage subsidy</c:v>
                </c:pt>
                <c:pt idx="1">
                  <c:v>Aspiration building</c:v>
                </c:pt>
                <c:pt idx="2">
                  <c:v>Workplace familiarisation</c:v>
                </c:pt>
                <c:pt idx="3">
                  <c:v>Issues management</c:v>
                </c:pt>
                <c:pt idx="4">
                  <c:v>Overview of workplace expectations</c:v>
                </c:pt>
                <c:pt idx="5">
                  <c:v>Other ongoing employee support</c:v>
                </c:pt>
                <c:pt idx="6">
                  <c:v>Employee mentoring</c:v>
                </c:pt>
              </c:strCache>
            </c:strRef>
          </c:cat>
          <c:val>
            <c:numRef>
              <c:f>Sheet1!$R$75:$R$89</c:f>
              <c:numCache>
                <c:formatCode>0%</c:formatCode>
                <c:ptCount val="7"/>
                <c:pt idx="0">
                  <c:v>0.30909090909090908</c:v>
                </c:pt>
                <c:pt idx="1">
                  <c:v>0.20289855072463769</c:v>
                </c:pt>
                <c:pt idx="2">
                  <c:v>0.15942028985507245</c:v>
                </c:pt>
                <c:pt idx="3">
                  <c:v>0.13043478260869565</c:v>
                </c:pt>
                <c:pt idx="4">
                  <c:v>0.12903225806451613</c:v>
                </c:pt>
                <c:pt idx="5">
                  <c:v>8.6956521739130432E-2</c:v>
                </c:pt>
                <c:pt idx="6">
                  <c:v>7.2463768115942032E-2</c:v>
                </c:pt>
              </c:numCache>
            </c:numRef>
          </c:val>
          <c:extLst>
            <c:ext xmlns:c16="http://schemas.microsoft.com/office/drawing/2014/chart" uri="{C3380CC4-5D6E-409C-BE32-E72D297353CC}">
              <c16:uniqueId val="{00000001-FB19-4C3F-AF01-492EAFF6BDDC}"/>
            </c:ext>
          </c:extLst>
        </c:ser>
        <c:ser>
          <c:idx val="2"/>
          <c:order val="2"/>
          <c:tx>
            <c:strRef>
              <c:f>Sheet1!$S$74</c:f>
              <c:strCache>
                <c:ptCount val="1"/>
                <c:pt idx="0">
                  <c:v>Few or very few participants</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FB19-4C3F-AF01-492EAFF6BDDC}"/>
                </c:ext>
              </c:extLst>
            </c:dLbl>
            <c:dLbl>
              <c:idx val="6"/>
              <c:delete val="1"/>
              <c:extLst>
                <c:ext xmlns:c15="http://schemas.microsoft.com/office/drawing/2012/chart" uri="{CE6537A1-D6FC-4f65-9D91-7224C49458BB}"/>
                <c:ext xmlns:c16="http://schemas.microsoft.com/office/drawing/2014/chart" uri="{C3380CC4-5D6E-409C-BE32-E72D297353CC}">
                  <c16:uniqueId val="{00000005-FB19-4C3F-AF01-492EAFF6BDD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Sheet1!$P$75:$P$89</c:f>
              <c:strCache>
                <c:ptCount val="7"/>
                <c:pt idx="0">
                  <c:v>Employee wage subsidy</c:v>
                </c:pt>
                <c:pt idx="1">
                  <c:v>Aspiration building</c:v>
                </c:pt>
                <c:pt idx="2">
                  <c:v>Workplace familiarisation</c:v>
                </c:pt>
                <c:pt idx="3">
                  <c:v>Issues management</c:v>
                </c:pt>
                <c:pt idx="4">
                  <c:v>Overview of workplace expectations</c:v>
                </c:pt>
                <c:pt idx="5">
                  <c:v>Other ongoing employee support</c:v>
                </c:pt>
                <c:pt idx="6">
                  <c:v>Employee mentoring</c:v>
                </c:pt>
              </c:strCache>
            </c:strRef>
          </c:cat>
          <c:val>
            <c:numRef>
              <c:f>Sheet1!$S$75:$S$89</c:f>
              <c:numCache>
                <c:formatCode>0%</c:formatCode>
                <c:ptCount val="7"/>
                <c:pt idx="0">
                  <c:v>0.43636363636363634</c:v>
                </c:pt>
                <c:pt idx="1">
                  <c:v>5.7971014492753624E-2</c:v>
                </c:pt>
                <c:pt idx="2">
                  <c:v>4.3478260869565216E-2</c:v>
                </c:pt>
                <c:pt idx="3">
                  <c:v>1.4492753623188406E-2</c:v>
                </c:pt>
                <c:pt idx="4">
                  <c:v>0</c:v>
                </c:pt>
                <c:pt idx="5">
                  <c:v>2.8985507246376812E-2</c:v>
                </c:pt>
                <c:pt idx="6">
                  <c:v>0</c:v>
                </c:pt>
              </c:numCache>
            </c:numRef>
          </c:val>
          <c:extLst>
            <c:ext xmlns:c16="http://schemas.microsoft.com/office/drawing/2014/chart" uri="{C3380CC4-5D6E-409C-BE32-E72D297353CC}">
              <c16:uniqueId val="{00000002-FB19-4C3F-AF01-492EAFF6BDDC}"/>
            </c:ext>
          </c:extLst>
        </c:ser>
        <c:dLbls>
          <c:dLblPos val="ctr"/>
          <c:showLegendKey val="0"/>
          <c:showVal val="1"/>
          <c:showCatName val="0"/>
          <c:showSerName val="0"/>
          <c:showPercent val="0"/>
          <c:showBubbleSize val="0"/>
        </c:dLbls>
        <c:gapWidth val="150"/>
        <c:overlap val="100"/>
        <c:axId val="856443471"/>
        <c:axId val="581101231"/>
      </c:barChart>
      <c:catAx>
        <c:axId val="856443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1101231"/>
        <c:crosses val="autoZero"/>
        <c:auto val="1"/>
        <c:lblAlgn val="ctr"/>
        <c:lblOffset val="100"/>
        <c:noMultiLvlLbl val="0"/>
      </c:catAx>
      <c:valAx>
        <c:axId val="581101231"/>
        <c:scaling>
          <c:orientation val="minMax"/>
          <c:max val="1"/>
        </c:scaling>
        <c:delete val="1"/>
        <c:axPos val="b"/>
        <c:numFmt formatCode="0%" sourceLinked="1"/>
        <c:majorTickMark val="none"/>
        <c:minorTickMark val="none"/>
        <c:tickLblPos val="nextTo"/>
        <c:crossAx val="856443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4323325473973"/>
          <c:y val="8.0286325350594628E-2"/>
          <c:w val="0.89768501133074907"/>
          <c:h val="0.55636149958867087"/>
        </c:manualLayout>
      </c:layout>
      <c:barChart>
        <c:barDir val="col"/>
        <c:grouping val="clustered"/>
        <c:varyColors val="0"/>
        <c:ser>
          <c:idx val="0"/>
          <c:order val="0"/>
          <c:tx>
            <c:strRef>
              <c:f>Sheet1!$E$16</c:f>
              <c:strCache>
                <c:ptCount val="1"/>
                <c:pt idx="0">
                  <c:v>Average</c:v>
                </c:pt>
              </c:strCache>
            </c:strRef>
          </c:tx>
          <c:spPr>
            <a:solidFill>
              <a:schemeClr val="accent2"/>
            </a:solidFill>
            <a:ln>
              <a:noFill/>
            </a:ln>
            <a:effectLst/>
          </c:spPr>
          <c:invertIfNegative val="0"/>
          <c:dLbls>
            <c:dLbl>
              <c:idx val="0"/>
              <c:layout>
                <c:manualLayout>
                  <c:x val="4.6352995580588603E-3"/>
                  <c:y val="1.14953903786298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61-4D42-B1EB-6C97F9B7FFCF}"/>
                </c:ext>
              </c:extLst>
            </c:dLbl>
            <c:dLbl>
              <c:idx val="1"/>
              <c:layout>
                <c:manualLayout>
                  <c:x val="4.6352995580588603E-3"/>
                  <c:y val="1.53271871715064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61-4D42-B1EB-6C97F9B7FFCF}"/>
                </c:ext>
              </c:extLst>
            </c:dLbl>
            <c:dLbl>
              <c:idx val="2"/>
              <c:layout>
                <c:manualLayout>
                  <c:x val="0"/>
                  <c:y val="1.14953903786297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61-4D42-B1EB-6C97F9B7FFCF}"/>
                </c:ext>
              </c:extLst>
            </c:dLbl>
            <c:dLbl>
              <c:idx val="3"/>
              <c:layout>
                <c:manualLayout>
                  <c:x val="0"/>
                  <c:y val="2.11683572050395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61-4D42-B1EB-6C97F9B7FFCF}"/>
                </c:ext>
              </c:extLst>
            </c:dLbl>
            <c:dLbl>
              <c:idx val="4"/>
              <c:layout>
                <c:manualLayout>
                  <c:x val="1.4398567393845621E-4"/>
                  <c:y val="4.13370805837972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61-4D42-B1EB-6C97F9B7FFCF}"/>
                </c:ext>
              </c:extLst>
            </c:dLbl>
            <c:dLbl>
              <c:idx val="5"/>
              <c:layout>
                <c:manualLayout>
                  <c:x val="2.3194491472645659E-3"/>
                  <c:y val="2.56700004820657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61-4D42-B1EB-6C97F9B7FFC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Sheet1!$F$15:$K$15</c:f>
              <c:strCache>
                <c:ptCount val="6"/>
                <c:pt idx="0">
                  <c:v>Working directly with program participants</c:v>
                </c:pt>
                <c:pt idx="1">
                  <c:v>Working with employers</c:v>
                </c:pt>
                <c:pt idx="2">
                  <c:v> Program administration and reporting </c:v>
                </c:pt>
                <c:pt idx="3">
                  <c:v>Working with other employment service providers</c:v>
                </c:pt>
                <c:pt idx="4">
                  <c:v> Working with community organisations or leaders</c:v>
                </c:pt>
                <c:pt idx="5">
                  <c:v>Others</c:v>
                </c:pt>
              </c:strCache>
            </c:strRef>
          </c:cat>
          <c:val>
            <c:numRef>
              <c:f>Sheet1!$F$16:$K$16</c:f>
              <c:numCache>
                <c:formatCode>0%</c:formatCode>
                <c:ptCount val="6"/>
                <c:pt idx="0">
                  <c:v>0.48216216216216218</c:v>
                </c:pt>
                <c:pt idx="1">
                  <c:v>0.19682926829268294</c:v>
                </c:pt>
                <c:pt idx="2">
                  <c:v>0.1453658536585366</c:v>
                </c:pt>
                <c:pt idx="3">
                  <c:v>8.2926829268292687E-2</c:v>
                </c:pt>
                <c:pt idx="4">
                  <c:v>6.9756097560975616E-2</c:v>
                </c:pt>
                <c:pt idx="5">
                  <c:v>2.4878048780487806E-2</c:v>
                </c:pt>
              </c:numCache>
            </c:numRef>
          </c:val>
          <c:extLst>
            <c:ext xmlns:c16="http://schemas.microsoft.com/office/drawing/2014/chart" uri="{C3380CC4-5D6E-409C-BE32-E72D297353CC}">
              <c16:uniqueId val="{00000006-7A61-4D42-B1EB-6C97F9B7FFCF}"/>
            </c:ext>
          </c:extLst>
        </c:ser>
        <c:dLbls>
          <c:dLblPos val="outEnd"/>
          <c:showLegendKey val="0"/>
          <c:showVal val="1"/>
          <c:showCatName val="0"/>
          <c:showSerName val="0"/>
          <c:showPercent val="0"/>
          <c:showBubbleSize val="0"/>
        </c:dLbls>
        <c:gapWidth val="219"/>
        <c:axId val="610106544"/>
        <c:axId val="138656512"/>
      </c:barChart>
      <c:scatterChart>
        <c:scatterStyle val="lineMarker"/>
        <c:varyColors val="0"/>
        <c:ser>
          <c:idx val="1"/>
          <c:order val="1"/>
          <c:tx>
            <c:strRef>
              <c:f>Sheet1!$E$17</c:f>
              <c:strCache>
                <c:ptCount val="1"/>
                <c:pt idx="0">
                  <c:v>Positive standard deviation</c:v>
                </c:pt>
              </c:strCache>
            </c:strRef>
          </c:tx>
          <c:spPr>
            <a:ln w="25400" cap="rnd">
              <a:noFill/>
              <a:round/>
            </a:ln>
            <a:effectLst/>
          </c:spPr>
          <c:marker>
            <c:symbol val="circle"/>
            <c:size val="5"/>
            <c:spPr>
              <a:solidFill>
                <a:schemeClr val="accent1"/>
              </a:solidFill>
              <a:ln w="9525">
                <a:solidFill>
                  <a:schemeClr val="accent1"/>
                </a:solidFill>
              </a:ln>
              <a:effectLst/>
            </c:spPr>
          </c:marker>
          <c:dLbls>
            <c:delete val="1"/>
          </c:dLbls>
          <c:xVal>
            <c:strRef>
              <c:f>Sheet1!$F$15:$K$15</c:f>
              <c:strCache>
                <c:ptCount val="6"/>
                <c:pt idx="0">
                  <c:v>Working directly with program participants</c:v>
                </c:pt>
                <c:pt idx="1">
                  <c:v>Working with employers</c:v>
                </c:pt>
                <c:pt idx="2">
                  <c:v> Program administration and reporting </c:v>
                </c:pt>
                <c:pt idx="3">
                  <c:v>Working with other employment service providers</c:v>
                </c:pt>
                <c:pt idx="4">
                  <c:v> Working with community organisations or leaders</c:v>
                </c:pt>
                <c:pt idx="5">
                  <c:v>Others</c:v>
                </c:pt>
              </c:strCache>
            </c:strRef>
          </c:xVal>
          <c:yVal>
            <c:numRef>
              <c:f>Sheet1!$F$17:$K$17</c:f>
              <c:numCache>
                <c:formatCode>0%</c:formatCode>
                <c:ptCount val="6"/>
                <c:pt idx="0">
                  <c:v>0.64597047358933724</c:v>
                </c:pt>
                <c:pt idx="1">
                  <c:v>0.32697224782654488</c:v>
                </c:pt>
                <c:pt idx="2">
                  <c:v>0.25053470743605977</c:v>
                </c:pt>
                <c:pt idx="3">
                  <c:v>0.14934384148801785</c:v>
                </c:pt>
                <c:pt idx="4">
                  <c:v>0.12145173591074594</c:v>
                </c:pt>
                <c:pt idx="5">
                  <c:v>8.693133037056619E-2</c:v>
                </c:pt>
              </c:numCache>
            </c:numRef>
          </c:yVal>
          <c:smooth val="0"/>
          <c:extLst>
            <c:ext xmlns:c16="http://schemas.microsoft.com/office/drawing/2014/chart" uri="{C3380CC4-5D6E-409C-BE32-E72D297353CC}">
              <c16:uniqueId val="{00000007-7A61-4D42-B1EB-6C97F9B7FFCF}"/>
            </c:ext>
          </c:extLst>
        </c:ser>
        <c:ser>
          <c:idx val="2"/>
          <c:order val="2"/>
          <c:tx>
            <c:strRef>
              <c:f>Sheet1!$E$18</c:f>
              <c:strCache>
                <c:ptCount val="1"/>
                <c:pt idx="0">
                  <c:v>Negative standard deviation</c:v>
                </c:pt>
              </c:strCache>
            </c:strRef>
          </c:tx>
          <c:spPr>
            <a:ln w="25400" cap="rnd">
              <a:noFill/>
              <a:round/>
            </a:ln>
            <a:effectLst/>
          </c:spPr>
          <c:marker>
            <c:symbol val="circle"/>
            <c:size val="5"/>
            <c:spPr>
              <a:solidFill>
                <a:schemeClr val="tx1"/>
              </a:solidFill>
              <a:ln w="9525">
                <a:solidFill>
                  <a:schemeClr val="tx1"/>
                </a:solidFill>
              </a:ln>
              <a:effectLst/>
            </c:spPr>
          </c:marker>
          <c:dLbls>
            <c:delete val="1"/>
          </c:dLbls>
          <c:xVal>
            <c:strRef>
              <c:f>Sheet1!$F$15:$K$15</c:f>
              <c:strCache>
                <c:ptCount val="6"/>
                <c:pt idx="0">
                  <c:v>Working directly with program participants</c:v>
                </c:pt>
                <c:pt idx="1">
                  <c:v>Working with employers</c:v>
                </c:pt>
                <c:pt idx="2">
                  <c:v> Program administration and reporting </c:v>
                </c:pt>
                <c:pt idx="3">
                  <c:v>Working with other employment service providers</c:v>
                </c:pt>
                <c:pt idx="4">
                  <c:v> Working with community organisations or leaders</c:v>
                </c:pt>
                <c:pt idx="5">
                  <c:v>Others</c:v>
                </c:pt>
              </c:strCache>
            </c:strRef>
          </c:xVal>
          <c:yVal>
            <c:numRef>
              <c:f>Sheet1!$F$18:$K$18</c:f>
              <c:numCache>
                <c:formatCode>0%</c:formatCode>
                <c:ptCount val="6"/>
                <c:pt idx="0">
                  <c:v>0.31835385073498718</c:v>
                </c:pt>
                <c:pt idx="1">
                  <c:v>6.6686288758820961E-2</c:v>
                </c:pt>
                <c:pt idx="2">
                  <c:v>4.019699988101344E-2</c:v>
                </c:pt>
                <c:pt idx="3">
                  <c:v>1.6509817048567521E-2</c:v>
                </c:pt>
                <c:pt idx="4">
                  <c:v>1.806045921120529E-2</c:v>
                </c:pt>
                <c:pt idx="5">
                  <c:v>0</c:v>
                </c:pt>
              </c:numCache>
            </c:numRef>
          </c:yVal>
          <c:smooth val="0"/>
          <c:extLst>
            <c:ext xmlns:c16="http://schemas.microsoft.com/office/drawing/2014/chart" uri="{C3380CC4-5D6E-409C-BE32-E72D297353CC}">
              <c16:uniqueId val="{00000008-7A61-4D42-B1EB-6C97F9B7FFCF}"/>
            </c:ext>
          </c:extLst>
        </c:ser>
        <c:dLbls>
          <c:showLegendKey val="0"/>
          <c:showVal val="1"/>
          <c:showCatName val="0"/>
          <c:showSerName val="0"/>
          <c:showPercent val="0"/>
          <c:showBubbleSize val="0"/>
        </c:dLbls>
        <c:axId val="610106544"/>
        <c:axId val="138656512"/>
      </c:scatterChart>
      <c:catAx>
        <c:axId val="61010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8656512"/>
        <c:crosses val="autoZero"/>
        <c:auto val="1"/>
        <c:lblAlgn val="ctr"/>
        <c:lblOffset val="100"/>
        <c:noMultiLvlLbl val="0"/>
      </c:catAx>
      <c:valAx>
        <c:axId val="1386565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01065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0.15642</cdr:x>
      <cdr:y>0.31663</cdr:y>
    </cdr:from>
    <cdr:to>
      <cdr:x>0.96834</cdr:x>
      <cdr:y>0.31663</cdr:y>
    </cdr:to>
    <cdr:cxnSp macro="">
      <cdr:nvCxnSpPr>
        <cdr:cNvPr id="2" name="Straight Connector 1">
          <a:extLst xmlns:a="http://schemas.openxmlformats.org/drawingml/2006/main">
            <a:ext uri="{FF2B5EF4-FFF2-40B4-BE49-F238E27FC236}">
              <a16:creationId xmlns:a16="http://schemas.microsoft.com/office/drawing/2014/main" id="{00000000-0008-0000-0500-000007000000}"/>
            </a:ext>
          </a:extLst>
        </cdr:cNvPr>
        <cdr:cNvCxnSpPr/>
      </cdr:nvCxnSpPr>
      <cdr:spPr>
        <a:xfrm xmlns:a="http://schemas.openxmlformats.org/drawingml/2006/main">
          <a:off x="800100" y="658677"/>
          <a:ext cx="4152900"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0.14215</cdr:x>
      <cdr:y>0.22436</cdr:y>
    </cdr:from>
    <cdr:to>
      <cdr:x>0.43575</cdr:x>
      <cdr:y>0.30149</cdr:y>
    </cdr:to>
    <cdr:sp macro="" textlink="">
      <cdr:nvSpPr>
        <cdr:cNvPr id="3" name="TextBox 7">
          <a:extLst xmlns:a="http://schemas.openxmlformats.org/drawingml/2006/main">
            <a:ext uri="{FF2B5EF4-FFF2-40B4-BE49-F238E27FC236}">
              <a16:creationId xmlns:a16="http://schemas.microsoft.com/office/drawing/2014/main" id="{00000000-0008-0000-0500-000008000000}"/>
            </a:ext>
          </a:extLst>
        </cdr:cNvPr>
        <cdr:cNvSpPr txBox="1"/>
      </cdr:nvSpPr>
      <cdr:spPr>
        <a:xfrm xmlns:a="http://schemas.openxmlformats.org/drawingml/2006/main">
          <a:off x="727075" y="466725"/>
          <a:ext cx="1501775" cy="160446"/>
        </a:xfrm>
        <a:prstGeom xmlns:a="http://schemas.openxmlformats.org/drawingml/2006/main" prst="rect">
          <a:avLst/>
        </a:prstGeom>
        <a:solidFill xmlns:a="http://schemas.openxmlformats.org/drawingml/2006/main">
          <a:schemeClr val="bg1">
            <a:lumMod val="9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t>Monthly Average = 402</a:t>
          </a:r>
        </a:p>
      </cdr:txBody>
    </cdr:sp>
  </cdr:relSizeAnchor>
</c:userShapes>
</file>

<file path=word/drawings/drawing2.xml><?xml version="1.0" encoding="utf-8"?>
<c:userShapes xmlns:c="http://schemas.openxmlformats.org/drawingml/2006/chart">
  <cdr:relSizeAnchor xmlns:cdr="http://schemas.openxmlformats.org/drawingml/2006/chartDrawing">
    <cdr:from>
      <cdr:x>0.34837</cdr:x>
      <cdr:y>0.02102</cdr:y>
    </cdr:from>
    <cdr:to>
      <cdr:x>0.34837</cdr:x>
      <cdr:y>0.70761</cdr:y>
    </cdr:to>
    <cdr:cxnSp macro="">
      <cdr:nvCxnSpPr>
        <cdr:cNvPr id="2" name="Straight Connector 1"/>
        <cdr:cNvCxnSpPr/>
      </cdr:nvCxnSpPr>
      <cdr:spPr>
        <a:xfrm xmlns:a="http://schemas.openxmlformats.org/drawingml/2006/main" flipV="1">
          <a:off x="2044700" y="57151"/>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0.5561</cdr:x>
      <cdr:y>0.02102</cdr:y>
    </cdr:from>
    <cdr:to>
      <cdr:x>0.5561</cdr:x>
      <cdr:y>0.70761</cdr:y>
    </cdr:to>
    <cdr:cxnSp macro="">
      <cdr:nvCxnSpPr>
        <cdr:cNvPr id="4" name="Straight Connector 3"/>
        <cdr:cNvCxnSpPr/>
      </cdr:nvCxnSpPr>
      <cdr:spPr>
        <a:xfrm xmlns:a="http://schemas.openxmlformats.org/drawingml/2006/main" flipV="1">
          <a:off x="3263900" y="57151"/>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0.77031</cdr:x>
      <cdr:y>0.01752</cdr:y>
    </cdr:from>
    <cdr:to>
      <cdr:x>0.77031</cdr:x>
      <cdr:y>0.70411</cdr:y>
    </cdr:to>
    <cdr:cxnSp macro="">
      <cdr:nvCxnSpPr>
        <cdr:cNvPr id="5" name="Straight Connector 4"/>
        <cdr:cNvCxnSpPr/>
      </cdr:nvCxnSpPr>
      <cdr:spPr>
        <a:xfrm xmlns:a="http://schemas.openxmlformats.org/drawingml/2006/main" flipV="1">
          <a:off x="4521200" y="47626"/>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0.34837</cdr:x>
      <cdr:y>0.02102</cdr:y>
    </cdr:from>
    <cdr:to>
      <cdr:x>0.34837</cdr:x>
      <cdr:y>0.70761</cdr:y>
    </cdr:to>
    <cdr:cxnSp macro="">
      <cdr:nvCxnSpPr>
        <cdr:cNvPr id="2" name="Straight Connector 1"/>
        <cdr:cNvCxnSpPr/>
      </cdr:nvCxnSpPr>
      <cdr:spPr>
        <a:xfrm xmlns:a="http://schemas.openxmlformats.org/drawingml/2006/main" flipV="1">
          <a:off x="2044700" y="57151"/>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0.5561</cdr:x>
      <cdr:y>0.02102</cdr:y>
    </cdr:from>
    <cdr:to>
      <cdr:x>0.5561</cdr:x>
      <cdr:y>0.70761</cdr:y>
    </cdr:to>
    <cdr:cxnSp macro="">
      <cdr:nvCxnSpPr>
        <cdr:cNvPr id="4" name="Straight Connector 3"/>
        <cdr:cNvCxnSpPr/>
      </cdr:nvCxnSpPr>
      <cdr:spPr>
        <a:xfrm xmlns:a="http://schemas.openxmlformats.org/drawingml/2006/main" flipV="1">
          <a:off x="3263900" y="57151"/>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0.77031</cdr:x>
      <cdr:y>0.01752</cdr:y>
    </cdr:from>
    <cdr:to>
      <cdr:x>0.77031</cdr:x>
      <cdr:y>0.70411</cdr:y>
    </cdr:to>
    <cdr:cxnSp macro="">
      <cdr:nvCxnSpPr>
        <cdr:cNvPr id="5" name="Straight Connector 4"/>
        <cdr:cNvCxnSpPr/>
      </cdr:nvCxnSpPr>
      <cdr:spPr>
        <a:xfrm xmlns:a="http://schemas.openxmlformats.org/drawingml/2006/main" flipV="1">
          <a:off x="4521200" y="47626"/>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word/theme/themeOverride1.xml><?xml version="1.0" encoding="utf-8"?>
<a:themeOverride xmlns:a="http://schemas.openxmlformats.org/drawingml/2006/main">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DOC22-97895</ShareHubID>
    <TaxCatchAll xmlns="166541c0-0594-4e6a-9105-c24d4b6de6f7">
      <Value>62</Value>
      <Value>18</Value>
      <Value>39</Value>
      <Value>29</Value>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18AB0-5D00-421A-BF32-BACB43572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A8FBF7-791A-4394-8A98-B5652F1C94E6}">
  <ds:schemaRefs>
    <ds:schemaRef ds:uri="http://schemas.microsoft.com/sharepoint/v3/contenttype/forms"/>
  </ds:schemaRefs>
</ds:datastoreItem>
</file>

<file path=customXml/itemProps3.xml><?xml version="1.0" encoding="utf-8"?>
<ds:datastoreItem xmlns:ds="http://schemas.openxmlformats.org/officeDocument/2006/customXml" ds:itemID="{DF29A38A-C3B0-4E11-B9A4-7A12CFFA4257}">
  <ds:schemaRefs>
    <ds:schemaRef ds:uri="166541c0-0594-4e6a-9105-c24d4b6de6f7"/>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685f9fda-bd71-4433-b331-92feb9553089"/>
    <ds:schemaRef ds:uri="http://www.w3.org/XML/1998/namespace"/>
    <ds:schemaRef ds:uri="http://purl.org/dc/dcmitype/"/>
  </ds:schemaRefs>
</ds:datastoreItem>
</file>

<file path=customXml/itemProps4.xml><?xml version="1.0" encoding="utf-8"?>
<ds:datastoreItem xmlns:ds="http://schemas.openxmlformats.org/officeDocument/2006/customXml" ds:itemID="{D5C24A2F-2F18-4BFE-8A7A-9A149110C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299</Pages>
  <Words>108909</Words>
  <Characters>637123</Characters>
  <Application>Microsoft Office Word</Application>
  <DocSecurity>0</DocSecurity>
  <Lines>13002</Lines>
  <Paragraphs>6115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739917</CharactersWithSpaces>
  <SharedDoc>false</SharedDoc>
  <HLinks>
    <vt:vector size="990" baseType="variant">
      <vt:variant>
        <vt:i4>1507407</vt:i4>
      </vt:variant>
      <vt:variant>
        <vt:i4>789</vt:i4>
      </vt:variant>
      <vt:variant>
        <vt:i4>0</vt:i4>
      </vt:variant>
      <vt:variant>
        <vt:i4>5</vt:i4>
      </vt:variant>
      <vt:variant>
        <vt:lpwstr>http://www.deloitte.com/au/deloitte-access-economics</vt:lpwstr>
      </vt:variant>
      <vt:variant>
        <vt:lpwstr/>
      </vt:variant>
      <vt:variant>
        <vt:i4>524401</vt:i4>
      </vt:variant>
      <vt:variant>
        <vt:i4>786</vt:i4>
      </vt:variant>
      <vt:variant>
        <vt:i4>0</vt:i4>
      </vt:variant>
      <vt:variant>
        <vt:i4>5</vt:i4>
      </vt:variant>
      <vt:variant>
        <vt:lpwstr>mailto:IEPevaluation@deloitte.com.au</vt:lpwstr>
      </vt:variant>
      <vt:variant>
        <vt:lpwstr/>
      </vt:variant>
      <vt:variant>
        <vt:i4>2228308</vt:i4>
      </vt:variant>
      <vt:variant>
        <vt:i4>783</vt:i4>
      </vt:variant>
      <vt:variant>
        <vt:i4>0</vt:i4>
      </vt:variant>
      <vt:variant>
        <vt:i4>5</vt:i4>
      </vt:variant>
      <vt:variant>
        <vt:lpwstr>mailto:ethics@aiatsis.gov.au</vt:lpwstr>
      </vt:variant>
      <vt:variant>
        <vt:lpwstr/>
      </vt:variant>
      <vt:variant>
        <vt:i4>2228308</vt:i4>
      </vt:variant>
      <vt:variant>
        <vt:i4>780</vt:i4>
      </vt:variant>
      <vt:variant>
        <vt:i4>0</vt:i4>
      </vt:variant>
      <vt:variant>
        <vt:i4>5</vt:i4>
      </vt:variant>
      <vt:variant>
        <vt:lpwstr>mailto:ethics@aiatsis.gov.au</vt:lpwstr>
      </vt:variant>
      <vt:variant>
        <vt:lpwstr/>
      </vt:variant>
      <vt:variant>
        <vt:i4>524401</vt:i4>
      </vt:variant>
      <vt:variant>
        <vt:i4>777</vt:i4>
      </vt:variant>
      <vt:variant>
        <vt:i4>0</vt:i4>
      </vt:variant>
      <vt:variant>
        <vt:i4>5</vt:i4>
      </vt:variant>
      <vt:variant>
        <vt:lpwstr>mailto:IEPevaluation@deloitte.com.au</vt:lpwstr>
      </vt:variant>
      <vt:variant>
        <vt:lpwstr/>
      </vt:variant>
      <vt:variant>
        <vt:i4>7077913</vt:i4>
      </vt:variant>
      <vt:variant>
        <vt:i4>774</vt:i4>
      </vt:variant>
      <vt:variant>
        <vt:i4>0</vt:i4>
      </vt:variant>
      <vt:variant>
        <vt:i4>5</vt:i4>
      </vt:variant>
      <vt:variant>
        <vt:lpwstr>mailto:privacy@deloitte.com.au</vt:lpwstr>
      </vt:variant>
      <vt:variant>
        <vt:lpwstr/>
      </vt:variant>
      <vt:variant>
        <vt:i4>6946872</vt:i4>
      </vt:variant>
      <vt:variant>
        <vt:i4>771</vt:i4>
      </vt:variant>
      <vt:variant>
        <vt:i4>0</vt:i4>
      </vt:variant>
      <vt:variant>
        <vt:i4>5</vt:i4>
      </vt:variant>
      <vt:variant>
        <vt:lpwstr>https://www2.deloitte.com/au/en/legal/privacy.html</vt:lpwstr>
      </vt:variant>
      <vt:variant>
        <vt:lpwstr/>
      </vt:variant>
      <vt:variant>
        <vt:i4>524401</vt:i4>
      </vt:variant>
      <vt:variant>
        <vt:i4>768</vt:i4>
      </vt:variant>
      <vt:variant>
        <vt:i4>0</vt:i4>
      </vt:variant>
      <vt:variant>
        <vt:i4>5</vt:i4>
      </vt:variant>
      <vt:variant>
        <vt:lpwstr>mailto:IEPevaluation@deloitte.com.au</vt:lpwstr>
      </vt:variant>
      <vt:variant>
        <vt:lpwstr/>
      </vt:variant>
      <vt:variant>
        <vt:i4>524401</vt:i4>
      </vt:variant>
      <vt:variant>
        <vt:i4>765</vt:i4>
      </vt:variant>
      <vt:variant>
        <vt:i4>0</vt:i4>
      </vt:variant>
      <vt:variant>
        <vt:i4>5</vt:i4>
      </vt:variant>
      <vt:variant>
        <vt:lpwstr>mailto:IEPevaluation@deloitte.com.au</vt:lpwstr>
      </vt:variant>
      <vt:variant>
        <vt:lpwstr/>
      </vt:variant>
      <vt:variant>
        <vt:i4>5046292</vt:i4>
      </vt:variant>
      <vt:variant>
        <vt:i4>762</vt:i4>
      </vt:variant>
      <vt:variant>
        <vt:i4>0</vt:i4>
      </vt:variant>
      <vt:variant>
        <vt:i4>5</vt:i4>
      </vt:variant>
      <vt:variant>
        <vt:lpwstr>https://www2.deloitte.com/au/en/pages/economics/solutions/education-policy-analysis.html</vt:lpwstr>
      </vt:variant>
      <vt:variant>
        <vt:lpwstr/>
      </vt:variant>
      <vt:variant>
        <vt:i4>524401</vt:i4>
      </vt:variant>
      <vt:variant>
        <vt:i4>759</vt:i4>
      </vt:variant>
      <vt:variant>
        <vt:i4>0</vt:i4>
      </vt:variant>
      <vt:variant>
        <vt:i4>5</vt:i4>
      </vt:variant>
      <vt:variant>
        <vt:lpwstr>mailto:IEPevaluation@deloitte.com.au</vt:lpwstr>
      </vt:variant>
      <vt:variant>
        <vt:lpwstr/>
      </vt:variant>
      <vt:variant>
        <vt:i4>524401</vt:i4>
      </vt:variant>
      <vt:variant>
        <vt:i4>756</vt:i4>
      </vt:variant>
      <vt:variant>
        <vt:i4>0</vt:i4>
      </vt:variant>
      <vt:variant>
        <vt:i4>5</vt:i4>
      </vt:variant>
      <vt:variant>
        <vt:lpwstr>mailto:IEPevaluation@deloitte.com.au</vt:lpwstr>
      </vt:variant>
      <vt:variant>
        <vt:lpwstr/>
      </vt:variant>
      <vt:variant>
        <vt:i4>2228308</vt:i4>
      </vt:variant>
      <vt:variant>
        <vt:i4>753</vt:i4>
      </vt:variant>
      <vt:variant>
        <vt:i4>0</vt:i4>
      </vt:variant>
      <vt:variant>
        <vt:i4>5</vt:i4>
      </vt:variant>
      <vt:variant>
        <vt:lpwstr>mailto:ethics@aiatsis.gov.au</vt:lpwstr>
      </vt:variant>
      <vt:variant>
        <vt:lpwstr/>
      </vt:variant>
      <vt:variant>
        <vt:i4>524401</vt:i4>
      </vt:variant>
      <vt:variant>
        <vt:i4>750</vt:i4>
      </vt:variant>
      <vt:variant>
        <vt:i4>0</vt:i4>
      </vt:variant>
      <vt:variant>
        <vt:i4>5</vt:i4>
      </vt:variant>
      <vt:variant>
        <vt:lpwstr>mailto:IEPevaluation@deloitte.com.au</vt:lpwstr>
      </vt:variant>
      <vt:variant>
        <vt:lpwstr/>
      </vt:variant>
      <vt:variant>
        <vt:i4>7077913</vt:i4>
      </vt:variant>
      <vt:variant>
        <vt:i4>747</vt:i4>
      </vt:variant>
      <vt:variant>
        <vt:i4>0</vt:i4>
      </vt:variant>
      <vt:variant>
        <vt:i4>5</vt:i4>
      </vt:variant>
      <vt:variant>
        <vt:lpwstr>mailto:privacy@deloitte.com.au</vt:lpwstr>
      </vt:variant>
      <vt:variant>
        <vt:lpwstr/>
      </vt:variant>
      <vt:variant>
        <vt:i4>6946872</vt:i4>
      </vt:variant>
      <vt:variant>
        <vt:i4>744</vt:i4>
      </vt:variant>
      <vt:variant>
        <vt:i4>0</vt:i4>
      </vt:variant>
      <vt:variant>
        <vt:i4>5</vt:i4>
      </vt:variant>
      <vt:variant>
        <vt:lpwstr>https://www2.deloitte.com/au/en/legal/privacy.html</vt:lpwstr>
      </vt:variant>
      <vt:variant>
        <vt:lpwstr/>
      </vt:variant>
      <vt:variant>
        <vt:i4>3342404</vt:i4>
      </vt:variant>
      <vt:variant>
        <vt:i4>741</vt:i4>
      </vt:variant>
      <vt:variant>
        <vt:i4>0</vt:i4>
      </vt:variant>
      <vt:variant>
        <vt:i4>5</vt:i4>
      </vt:variant>
      <vt:variant>
        <vt:lpwstr>mailto:NIAAevaluation@deloitte.com.au</vt:lpwstr>
      </vt:variant>
      <vt:variant>
        <vt:lpwstr/>
      </vt:variant>
      <vt:variant>
        <vt:i4>524401</vt:i4>
      </vt:variant>
      <vt:variant>
        <vt:i4>738</vt:i4>
      </vt:variant>
      <vt:variant>
        <vt:i4>0</vt:i4>
      </vt:variant>
      <vt:variant>
        <vt:i4>5</vt:i4>
      </vt:variant>
      <vt:variant>
        <vt:lpwstr>mailto:IEPevaluation@deloitte.com.au</vt:lpwstr>
      </vt:variant>
      <vt:variant>
        <vt:lpwstr/>
      </vt:variant>
      <vt:variant>
        <vt:i4>2228308</vt:i4>
      </vt:variant>
      <vt:variant>
        <vt:i4>735</vt:i4>
      </vt:variant>
      <vt:variant>
        <vt:i4>0</vt:i4>
      </vt:variant>
      <vt:variant>
        <vt:i4>5</vt:i4>
      </vt:variant>
      <vt:variant>
        <vt:lpwstr>mailto:ethics@aiatsis.gov.au</vt:lpwstr>
      </vt:variant>
      <vt:variant>
        <vt:lpwstr/>
      </vt:variant>
      <vt:variant>
        <vt:i4>524401</vt:i4>
      </vt:variant>
      <vt:variant>
        <vt:i4>732</vt:i4>
      </vt:variant>
      <vt:variant>
        <vt:i4>0</vt:i4>
      </vt:variant>
      <vt:variant>
        <vt:i4>5</vt:i4>
      </vt:variant>
      <vt:variant>
        <vt:lpwstr>mailto:IEPevaluation@deloitte.com.au</vt:lpwstr>
      </vt:variant>
      <vt:variant>
        <vt:lpwstr/>
      </vt:variant>
      <vt:variant>
        <vt:i4>7077913</vt:i4>
      </vt:variant>
      <vt:variant>
        <vt:i4>729</vt:i4>
      </vt:variant>
      <vt:variant>
        <vt:i4>0</vt:i4>
      </vt:variant>
      <vt:variant>
        <vt:i4>5</vt:i4>
      </vt:variant>
      <vt:variant>
        <vt:lpwstr>mailto:privacy@deloitte.com.au</vt:lpwstr>
      </vt:variant>
      <vt:variant>
        <vt:lpwstr/>
      </vt:variant>
      <vt:variant>
        <vt:i4>6946872</vt:i4>
      </vt:variant>
      <vt:variant>
        <vt:i4>726</vt:i4>
      </vt:variant>
      <vt:variant>
        <vt:i4>0</vt:i4>
      </vt:variant>
      <vt:variant>
        <vt:i4>5</vt:i4>
      </vt:variant>
      <vt:variant>
        <vt:lpwstr>https://www2.deloitte.com/au/en/legal/privacy.html</vt:lpwstr>
      </vt:variant>
      <vt:variant>
        <vt:lpwstr/>
      </vt:variant>
      <vt:variant>
        <vt:i4>524401</vt:i4>
      </vt:variant>
      <vt:variant>
        <vt:i4>723</vt:i4>
      </vt:variant>
      <vt:variant>
        <vt:i4>0</vt:i4>
      </vt:variant>
      <vt:variant>
        <vt:i4>5</vt:i4>
      </vt:variant>
      <vt:variant>
        <vt:lpwstr>mailto:IEPevaluation@deloitte.com.au</vt:lpwstr>
      </vt:variant>
      <vt:variant>
        <vt:lpwstr/>
      </vt:variant>
      <vt:variant>
        <vt:i4>2228308</vt:i4>
      </vt:variant>
      <vt:variant>
        <vt:i4>720</vt:i4>
      </vt:variant>
      <vt:variant>
        <vt:i4>0</vt:i4>
      </vt:variant>
      <vt:variant>
        <vt:i4>5</vt:i4>
      </vt:variant>
      <vt:variant>
        <vt:lpwstr>mailto:ethics@aiatsis.gov.au</vt:lpwstr>
      </vt:variant>
      <vt:variant>
        <vt:lpwstr/>
      </vt:variant>
      <vt:variant>
        <vt:i4>524401</vt:i4>
      </vt:variant>
      <vt:variant>
        <vt:i4>717</vt:i4>
      </vt:variant>
      <vt:variant>
        <vt:i4>0</vt:i4>
      </vt:variant>
      <vt:variant>
        <vt:i4>5</vt:i4>
      </vt:variant>
      <vt:variant>
        <vt:lpwstr>mailto:IEPevaluation@deloitte.com.au</vt:lpwstr>
      </vt:variant>
      <vt:variant>
        <vt:lpwstr/>
      </vt:variant>
      <vt:variant>
        <vt:i4>7077913</vt:i4>
      </vt:variant>
      <vt:variant>
        <vt:i4>714</vt:i4>
      </vt:variant>
      <vt:variant>
        <vt:i4>0</vt:i4>
      </vt:variant>
      <vt:variant>
        <vt:i4>5</vt:i4>
      </vt:variant>
      <vt:variant>
        <vt:lpwstr>mailto:privacy@deloitte.com.au</vt:lpwstr>
      </vt:variant>
      <vt:variant>
        <vt:lpwstr/>
      </vt:variant>
      <vt:variant>
        <vt:i4>6946872</vt:i4>
      </vt:variant>
      <vt:variant>
        <vt:i4>711</vt:i4>
      </vt:variant>
      <vt:variant>
        <vt:i4>0</vt:i4>
      </vt:variant>
      <vt:variant>
        <vt:i4>5</vt:i4>
      </vt:variant>
      <vt:variant>
        <vt:lpwstr>https://www2.deloitte.com/au/en/legal/privacy.html</vt:lpwstr>
      </vt:variant>
      <vt:variant>
        <vt:lpwstr/>
      </vt:variant>
      <vt:variant>
        <vt:i4>524401</vt:i4>
      </vt:variant>
      <vt:variant>
        <vt:i4>708</vt:i4>
      </vt:variant>
      <vt:variant>
        <vt:i4>0</vt:i4>
      </vt:variant>
      <vt:variant>
        <vt:i4>5</vt:i4>
      </vt:variant>
      <vt:variant>
        <vt:lpwstr>mailto:IEPevaluation@deloitte.com.au</vt:lpwstr>
      </vt:variant>
      <vt:variant>
        <vt:lpwstr/>
      </vt:variant>
      <vt:variant>
        <vt:i4>7077913</vt:i4>
      </vt:variant>
      <vt:variant>
        <vt:i4>705</vt:i4>
      </vt:variant>
      <vt:variant>
        <vt:i4>0</vt:i4>
      </vt:variant>
      <vt:variant>
        <vt:i4>5</vt:i4>
      </vt:variant>
      <vt:variant>
        <vt:lpwstr>mailto:privacy@deloitte.com.au</vt:lpwstr>
      </vt:variant>
      <vt:variant>
        <vt:lpwstr/>
      </vt:variant>
      <vt:variant>
        <vt:i4>6946872</vt:i4>
      </vt:variant>
      <vt:variant>
        <vt:i4>702</vt:i4>
      </vt:variant>
      <vt:variant>
        <vt:i4>0</vt:i4>
      </vt:variant>
      <vt:variant>
        <vt:i4>5</vt:i4>
      </vt:variant>
      <vt:variant>
        <vt:lpwstr>https://www2.deloitte.com/au/en/legal/privacy.html</vt:lpwstr>
      </vt:variant>
      <vt:variant>
        <vt:lpwstr/>
      </vt:variant>
      <vt:variant>
        <vt:i4>6946872</vt:i4>
      </vt:variant>
      <vt:variant>
        <vt:i4>699</vt:i4>
      </vt:variant>
      <vt:variant>
        <vt:i4>0</vt:i4>
      </vt:variant>
      <vt:variant>
        <vt:i4>5</vt:i4>
      </vt:variant>
      <vt:variant>
        <vt:lpwstr>https://www2.deloitte.com/au/en/legal/privacy.html</vt:lpwstr>
      </vt:variant>
      <vt:variant>
        <vt:lpwstr/>
      </vt:variant>
      <vt:variant>
        <vt:i4>1310811</vt:i4>
      </vt:variant>
      <vt:variant>
        <vt:i4>384</vt:i4>
      </vt:variant>
      <vt:variant>
        <vt:i4>0</vt:i4>
      </vt:variant>
      <vt:variant>
        <vt:i4>5</vt:i4>
      </vt:variant>
      <vt:variant>
        <vt:lpwstr>https://eprints.qut.edu.au/17194/1/c17194.pdf</vt:lpwstr>
      </vt:variant>
      <vt:variant>
        <vt:lpwstr/>
      </vt:variant>
      <vt:variant>
        <vt:i4>524356</vt:i4>
      </vt:variant>
      <vt:variant>
        <vt:i4>381</vt:i4>
      </vt:variant>
      <vt:variant>
        <vt:i4>0</vt:i4>
      </vt:variant>
      <vt:variant>
        <vt:i4>5</vt:i4>
      </vt:variant>
      <vt:variant>
        <vt:lpwstr>https://www.vic.gov.au/framework-place-based-approaches/print-all</vt:lpwstr>
      </vt:variant>
      <vt:variant>
        <vt:lpwstr>executive-summary</vt:lpwstr>
      </vt:variant>
      <vt:variant>
        <vt:i4>1703961</vt:i4>
      </vt:variant>
      <vt:variant>
        <vt:i4>378</vt:i4>
      </vt:variant>
      <vt:variant>
        <vt:i4>0</vt:i4>
      </vt:variant>
      <vt:variant>
        <vt:i4>5</vt:i4>
      </vt:variant>
      <vt:variant>
        <vt:lpwstr>https://www.safework.nsw.gov.au/safety-starts-here/our-aboriginal-program/culturally-safe-workplaces/</vt:lpwstr>
      </vt:variant>
      <vt:variant>
        <vt:lpwstr/>
      </vt:variant>
      <vt:variant>
        <vt:i4>3539067</vt:i4>
      </vt:variant>
      <vt:variant>
        <vt:i4>375</vt:i4>
      </vt:variant>
      <vt:variant>
        <vt:i4>0</vt:i4>
      </vt:variant>
      <vt:variant>
        <vt:i4>5</vt:i4>
      </vt:variant>
      <vt:variant>
        <vt:lpwstr>https://www.pc.gov.au/inquiries/completed/job-network/report/jobnetwork.pdf</vt:lpwstr>
      </vt:variant>
      <vt:variant>
        <vt:lpwstr/>
      </vt:variant>
      <vt:variant>
        <vt:i4>3866735</vt:i4>
      </vt:variant>
      <vt:variant>
        <vt:i4>372</vt:i4>
      </vt:variant>
      <vt:variant>
        <vt:i4>0</vt:i4>
      </vt:variant>
      <vt:variant>
        <vt:i4>5</vt:i4>
      </vt:variant>
      <vt:variant>
        <vt:lpwstr>https://education.nsw.gov.au/teaching-and-learning/school-excellence-and-accountability/2021-school-excellence-in-action/effective-use-of-funding-and-resources/needs-based-funding</vt:lpwstr>
      </vt:variant>
      <vt:variant>
        <vt:lpwstr/>
      </vt:variant>
      <vt:variant>
        <vt:i4>5505054</vt:i4>
      </vt:variant>
      <vt:variant>
        <vt:i4>369</vt:i4>
      </vt:variant>
      <vt:variant>
        <vt:i4>0</vt:i4>
      </vt:variant>
      <vt:variant>
        <vt:i4>5</vt:i4>
      </vt:variant>
      <vt:variant>
        <vt:lpwstr>https://www.voced.edu.au/content/ngv%3A29210</vt:lpwstr>
      </vt:variant>
      <vt:variant>
        <vt:lpwstr/>
      </vt:variant>
      <vt:variant>
        <vt:i4>393278</vt:i4>
      </vt:variant>
      <vt:variant>
        <vt:i4>366</vt:i4>
      </vt:variant>
      <vt:variant>
        <vt:i4>0</vt:i4>
      </vt:variant>
      <vt:variant>
        <vt:i4>5</vt:i4>
      </vt:variant>
      <vt:variant>
        <vt:lpwstr>https://www.researchgate.net/publication/220423803_Understanding_the_benefit_and_costs_of_communities_of_practice</vt:lpwstr>
      </vt:variant>
      <vt:variant>
        <vt:lpwstr/>
      </vt:variant>
      <vt:variant>
        <vt:i4>2031690</vt:i4>
      </vt:variant>
      <vt:variant>
        <vt:i4>363</vt:i4>
      </vt:variant>
      <vt:variant>
        <vt:i4>0</vt:i4>
      </vt:variant>
      <vt:variant>
        <vt:i4>5</vt:i4>
      </vt:variant>
      <vt:variant>
        <vt:lpwstr>https://caepr.cass.anu.edu.au/research/publications/academic-perspectives-forrest-review-creating-parity</vt:lpwstr>
      </vt:variant>
      <vt:variant>
        <vt:lpwstr/>
      </vt:variant>
      <vt:variant>
        <vt:i4>7995425</vt:i4>
      </vt:variant>
      <vt:variant>
        <vt:i4>360</vt:i4>
      </vt:variant>
      <vt:variant>
        <vt:i4>0</vt:i4>
      </vt:variant>
      <vt:variant>
        <vt:i4>5</vt:i4>
      </vt:variant>
      <vt:variant>
        <vt:lpwstr>https://humanrights.gov.au/sites/default/files/content/social_justice/sj_report/sjreport05/pdf/SocialJustice2005.pdf</vt:lpwstr>
      </vt:variant>
      <vt:variant>
        <vt:lpwstr/>
      </vt:variant>
      <vt:variant>
        <vt:i4>7798819</vt:i4>
      </vt:variant>
      <vt:variant>
        <vt:i4>357</vt:i4>
      </vt:variant>
      <vt:variant>
        <vt:i4>0</vt:i4>
      </vt:variant>
      <vt:variant>
        <vt:i4>5</vt:i4>
      </vt:variant>
      <vt:variant>
        <vt:lpwstr>https://www.aihw.gov.au/getmedia/71bb346a-1b83-4038-a2f7-647e65a21445/ctg-ip03.pdf</vt:lpwstr>
      </vt:variant>
      <vt:variant>
        <vt:lpwstr/>
      </vt:variant>
      <vt:variant>
        <vt:i4>3670030</vt:i4>
      </vt:variant>
      <vt:variant>
        <vt:i4>354</vt:i4>
      </vt:variant>
      <vt:variant>
        <vt:i4>0</vt:i4>
      </vt:variant>
      <vt:variant>
        <vt:i4>5</vt:i4>
      </vt:variant>
      <vt:variant>
        <vt:lpwstr>https://www.aph.gov.au/About_Parliament/Parliamentary_Departments/Parliamentary_Library/pubs/BriefingBook44p/ClosingGap</vt:lpwstr>
      </vt:variant>
      <vt:variant>
        <vt:lpwstr/>
      </vt:variant>
      <vt:variant>
        <vt:i4>8126533</vt:i4>
      </vt:variant>
      <vt:variant>
        <vt:i4>351</vt:i4>
      </vt:variant>
      <vt:variant>
        <vt:i4>0</vt:i4>
      </vt:variant>
      <vt:variant>
        <vt:i4>5</vt:i4>
      </vt:variant>
      <vt:variant>
        <vt:lpwstr>https://www.dca.org.au/sites/default/files/dca_synopsisreport_web_0.pdf</vt:lpwstr>
      </vt:variant>
      <vt:variant>
        <vt:lpwstr/>
      </vt:variant>
      <vt:variant>
        <vt:i4>852001</vt:i4>
      </vt:variant>
      <vt:variant>
        <vt:i4>348</vt:i4>
      </vt:variant>
      <vt:variant>
        <vt:i4>0</vt:i4>
      </vt:variant>
      <vt:variant>
        <vt:i4>5</vt:i4>
      </vt:variant>
      <vt:variant>
        <vt:lpwstr>https://assets.publishing.service.gov.uk/government/uploads/system/uploads/attachment_data/file/306143/Worklessness_to_sustainable_employment__the_role_of_skills.pdf</vt:lpwstr>
      </vt:variant>
      <vt:variant>
        <vt:lpwstr/>
      </vt:variant>
      <vt:variant>
        <vt:i4>524367</vt:i4>
      </vt:variant>
      <vt:variant>
        <vt:i4>345</vt:i4>
      </vt:variant>
      <vt:variant>
        <vt:i4>0</vt:i4>
      </vt:variant>
      <vt:variant>
        <vt:i4>5</vt:i4>
      </vt:variant>
      <vt:variant>
        <vt:lpwstr>https://www.indigenous.gov.au/indigenous-advancement-strategy</vt:lpwstr>
      </vt:variant>
      <vt:variant>
        <vt:lpwstr/>
      </vt:variant>
      <vt:variant>
        <vt:i4>6553633</vt:i4>
      </vt:variant>
      <vt:variant>
        <vt:i4>342</vt:i4>
      </vt:variant>
      <vt:variant>
        <vt:i4>0</vt:i4>
      </vt:variant>
      <vt:variant>
        <vt:i4>5</vt:i4>
      </vt:variant>
      <vt:variant>
        <vt:lpwstr>https://www.niaa.gov.au/sites/default/files/publications/Forrest-Review.pdf</vt:lpwstr>
      </vt:variant>
      <vt:variant>
        <vt:lpwstr/>
      </vt:variant>
      <vt:variant>
        <vt:i4>196690</vt:i4>
      </vt:variant>
      <vt:variant>
        <vt:i4>339</vt:i4>
      </vt:variant>
      <vt:variant>
        <vt:i4>0</vt:i4>
      </vt:variant>
      <vt:variant>
        <vt:i4>5</vt:i4>
      </vt:variant>
      <vt:variant>
        <vt:lpwstr>https://www.aihw.gov.au/reports/australias-welfare/indigenous-income-and-finance</vt:lpwstr>
      </vt:variant>
      <vt:variant>
        <vt:lpwstr/>
      </vt:variant>
      <vt:variant>
        <vt:i4>7274571</vt:i4>
      </vt:variant>
      <vt:variant>
        <vt:i4>336</vt:i4>
      </vt:variant>
      <vt:variant>
        <vt:i4>0</vt:i4>
      </vt:variant>
      <vt:variant>
        <vt:i4>5</vt:i4>
      </vt:variant>
      <vt:variant>
        <vt:lpwstr>https://docs.employment.gov.au/system/files/doc/other/wage_subsides_factsheet_update_oct_20.pdf</vt:lpwstr>
      </vt:variant>
      <vt:variant>
        <vt:lpwstr/>
      </vt:variant>
      <vt:variant>
        <vt:i4>327766</vt:i4>
      </vt:variant>
      <vt:variant>
        <vt:i4>333</vt:i4>
      </vt:variant>
      <vt:variant>
        <vt:i4>0</vt:i4>
      </vt:variant>
      <vt:variant>
        <vt:i4>5</vt:i4>
      </vt:variant>
      <vt:variant>
        <vt:lpwstr>https://ctgreport.niaa.gov.au/employment</vt:lpwstr>
      </vt:variant>
      <vt:variant>
        <vt:lpwstr/>
      </vt:variant>
      <vt:variant>
        <vt:i4>7602183</vt:i4>
      </vt:variant>
      <vt:variant>
        <vt:i4>330</vt:i4>
      </vt:variant>
      <vt:variant>
        <vt:i4>0</vt:i4>
      </vt:variant>
      <vt:variant>
        <vt:i4>5</vt:i4>
      </vt:variant>
      <vt:variant>
        <vt:lpwstr>https://www.ilo.org/dyn/youthpol/en/equest.fileutils.dochandle?p_uploaded_file_id=500</vt:lpwstr>
      </vt:variant>
      <vt:variant>
        <vt:lpwstr/>
      </vt:variant>
      <vt:variant>
        <vt:i4>655388</vt:i4>
      </vt:variant>
      <vt:variant>
        <vt:i4>327</vt:i4>
      </vt:variant>
      <vt:variant>
        <vt:i4>0</vt:i4>
      </vt:variant>
      <vt:variant>
        <vt:i4>5</vt:i4>
      </vt:variant>
      <vt:variant>
        <vt:lpwstr>https://www.niaa.gov.au/resource-centre/indigenous-affairs/2019-2020-annual-evaluation-work-plan</vt:lpwstr>
      </vt:variant>
      <vt:variant>
        <vt:lpwstr/>
      </vt:variant>
      <vt:variant>
        <vt:i4>3211281</vt:i4>
      </vt:variant>
      <vt:variant>
        <vt:i4>324</vt:i4>
      </vt:variant>
      <vt:variant>
        <vt:i4>0</vt:i4>
      </vt:variant>
      <vt:variant>
        <vt:i4>5</vt:i4>
      </vt:variant>
      <vt:variant>
        <vt:lpwstr>https://docs.employment.gov.au/system/files/doc/other/the_evaluation_of_jsa_2009-2012_1.pdf</vt:lpwstr>
      </vt:variant>
      <vt:variant>
        <vt:lpwstr/>
      </vt:variant>
      <vt:variant>
        <vt:i4>6029414</vt:i4>
      </vt:variant>
      <vt:variant>
        <vt:i4>321</vt:i4>
      </vt:variant>
      <vt:variant>
        <vt:i4>0</vt:i4>
      </vt:variant>
      <vt:variant>
        <vt:i4>5</vt:i4>
      </vt:variant>
      <vt:variant>
        <vt:lpwstr>https://docs.employment.gov.au/system/files/doc/other/good_practice_in_job_services_australia.pdf</vt:lpwstr>
      </vt:variant>
      <vt:variant>
        <vt:lpwstr/>
      </vt:variant>
      <vt:variant>
        <vt:i4>1966153</vt:i4>
      </vt:variant>
      <vt:variant>
        <vt:i4>318</vt:i4>
      </vt:variant>
      <vt:variant>
        <vt:i4>0</vt:i4>
      </vt:variant>
      <vt:variant>
        <vt:i4>5</vt:i4>
      </vt:variant>
      <vt:variant>
        <vt:lpwstr>https://www.employment.gov.au/newsroom/indigenous-employment-service-being-trialled-yarrabah</vt:lpwstr>
      </vt:variant>
      <vt:variant>
        <vt:lpwstr/>
      </vt:variant>
      <vt:variant>
        <vt:i4>589838</vt:i4>
      </vt:variant>
      <vt:variant>
        <vt:i4>315</vt:i4>
      </vt:variant>
      <vt:variant>
        <vt:i4>0</vt:i4>
      </vt:variant>
      <vt:variant>
        <vt:i4>5</vt:i4>
      </vt:variant>
      <vt:variant>
        <vt:lpwstr>https://www.reconciliation.org.au/wp-content/uploads/2017/11/Auspolls-Evaluating-the-effectiveess-of-Reconciliation-Action-Plans-Overall-analysis.pdf</vt:lpwstr>
      </vt:variant>
      <vt:variant>
        <vt:lpwstr/>
      </vt:variant>
      <vt:variant>
        <vt:i4>3145817</vt:i4>
      </vt:variant>
      <vt:variant>
        <vt:i4>312</vt:i4>
      </vt:variant>
      <vt:variant>
        <vt:i4>0</vt:i4>
      </vt:variant>
      <vt:variant>
        <vt:i4>5</vt:i4>
      </vt:variant>
      <vt:variant>
        <vt:lpwstr>https://communitylegalqld.org.au/sites/default/files/downloads/pages/working_with_first_nations_people_-_trauma_transgenerational_transfer_and_effects_on_community_wellbeing.pdf</vt:lpwstr>
      </vt:variant>
      <vt:variant>
        <vt:lpwstr/>
      </vt:variant>
      <vt:variant>
        <vt:i4>7012425</vt:i4>
      </vt:variant>
      <vt:variant>
        <vt:i4>297</vt:i4>
      </vt:variant>
      <vt:variant>
        <vt:i4>0</vt:i4>
      </vt:variant>
      <vt:variant>
        <vt:i4>5</vt:i4>
      </vt:variant>
      <vt:variant>
        <vt:lpwstr/>
      </vt:variant>
      <vt:variant>
        <vt:lpwstr>Appendix_B</vt:lpwstr>
      </vt:variant>
      <vt:variant>
        <vt:i4>5636187</vt:i4>
      </vt:variant>
      <vt:variant>
        <vt:i4>294</vt:i4>
      </vt:variant>
      <vt:variant>
        <vt:i4>0</vt:i4>
      </vt:variant>
      <vt:variant>
        <vt:i4>5</vt:i4>
      </vt:variant>
      <vt:variant>
        <vt:lpwstr/>
      </vt:variant>
      <vt:variant>
        <vt:lpwstr>Suggestion10</vt:lpwstr>
      </vt:variant>
      <vt:variant>
        <vt:i4>6684778</vt:i4>
      </vt:variant>
      <vt:variant>
        <vt:i4>291</vt:i4>
      </vt:variant>
      <vt:variant>
        <vt:i4>0</vt:i4>
      </vt:variant>
      <vt:variant>
        <vt:i4>5</vt:i4>
      </vt:variant>
      <vt:variant>
        <vt:lpwstr/>
      </vt:variant>
      <vt:variant>
        <vt:lpwstr>Suggestion6</vt:lpwstr>
      </vt:variant>
      <vt:variant>
        <vt:i4>6684778</vt:i4>
      </vt:variant>
      <vt:variant>
        <vt:i4>288</vt:i4>
      </vt:variant>
      <vt:variant>
        <vt:i4>0</vt:i4>
      </vt:variant>
      <vt:variant>
        <vt:i4>5</vt:i4>
      </vt:variant>
      <vt:variant>
        <vt:lpwstr/>
      </vt:variant>
      <vt:variant>
        <vt:lpwstr>Suggestion1</vt:lpwstr>
      </vt:variant>
      <vt:variant>
        <vt:i4>6684778</vt:i4>
      </vt:variant>
      <vt:variant>
        <vt:i4>285</vt:i4>
      </vt:variant>
      <vt:variant>
        <vt:i4>0</vt:i4>
      </vt:variant>
      <vt:variant>
        <vt:i4>5</vt:i4>
      </vt:variant>
      <vt:variant>
        <vt:lpwstr/>
      </vt:variant>
      <vt:variant>
        <vt:lpwstr>Suggestion8</vt:lpwstr>
      </vt:variant>
      <vt:variant>
        <vt:i4>6684778</vt:i4>
      </vt:variant>
      <vt:variant>
        <vt:i4>282</vt:i4>
      </vt:variant>
      <vt:variant>
        <vt:i4>0</vt:i4>
      </vt:variant>
      <vt:variant>
        <vt:i4>5</vt:i4>
      </vt:variant>
      <vt:variant>
        <vt:lpwstr/>
      </vt:variant>
      <vt:variant>
        <vt:lpwstr>Suggestion9</vt:lpwstr>
      </vt:variant>
      <vt:variant>
        <vt:i4>6684778</vt:i4>
      </vt:variant>
      <vt:variant>
        <vt:i4>279</vt:i4>
      </vt:variant>
      <vt:variant>
        <vt:i4>0</vt:i4>
      </vt:variant>
      <vt:variant>
        <vt:i4>5</vt:i4>
      </vt:variant>
      <vt:variant>
        <vt:lpwstr/>
      </vt:variant>
      <vt:variant>
        <vt:lpwstr>Suggestion3</vt:lpwstr>
      </vt:variant>
      <vt:variant>
        <vt:i4>6684778</vt:i4>
      </vt:variant>
      <vt:variant>
        <vt:i4>276</vt:i4>
      </vt:variant>
      <vt:variant>
        <vt:i4>0</vt:i4>
      </vt:variant>
      <vt:variant>
        <vt:i4>5</vt:i4>
      </vt:variant>
      <vt:variant>
        <vt:lpwstr/>
      </vt:variant>
      <vt:variant>
        <vt:lpwstr>Suggestion5</vt:lpwstr>
      </vt:variant>
      <vt:variant>
        <vt:i4>6684778</vt:i4>
      </vt:variant>
      <vt:variant>
        <vt:i4>273</vt:i4>
      </vt:variant>
      <vt:variant>
        <vt:i4>0</vt:i4>
      </vt:variant>
      <vt:variant>
        <vt:i4>5</vt:i4>
      </vt:variant>
      <vt:variant>
        <vt:lpwstr/>
      </vt:variant>
      <vt:variant>
        <vt:lpwstr>Suggestion4</vt:lpwstr>
      </vt:variant>
      <vt:variant>
        <vt:i4>6684778</vt:i4>
      </vt:variant>
      <vt:variant>
        <vt:i4>270</vt:i4>
      </vt:variant>
      <vt:variant>
        <vt:i4>0</vt:i4>
      </vt:variant>
      <vt:variant>
        <vt:i4>5</vt:i4>
      </vt:variant>
      <vt:variant>
        <vt:lpwstr/>
      </vt:variant>
      <vt:variant>
        <vt:lpwstr>Suggestion7</vt:lpwstr>
      </vt:variant>
      <vt:variant>
        <vt:i4>6684778</vt:i4>
      </vt:variant>
      <vt:variant>
        <vt:i4>267</vt:i4>
      </vt:variant>
      <vt:variant>
        <vt:i4>0</vt:i4>
      </vt:variant>
      <vt:variant>
        <vt:i4>5</vt:i4>
      </vt:variant>
      <vt:variant>
        <vt:lpwstr/>
      </vt:variant>
      <vt:variant>
        <vt:lpwstr>Suggestion2</vt:lpwstr>
      </vt:variant>
      <vt:variant>
        <vt:i4>1114169</vt:i4>
      </vt:variant>
      <vt:variant>
        <vt:i4>260</vt:i4>
      </vt:variant>
      <vt:variant>
        <vt:i4>0</vt:i4>
      </vt:variant>
      <vt:variant>
        <vt:i4>5</vt:i4>
      </vt:variant>
      <vt:variant>
        <vt:lpwstr/>
      </vt:variant>
      <vt:variant>
        <vt:lpwstr>_Toc82694538</vt:lpwstr>
      </vt:variant>
      <vt:variant>
        <vt:i4>1966137</vt:i4>
      </vt:variant>
      <vt:variant>
        <vt:i4>254</vt:i4>
      </vt:variant>
      <vt:variant>
        <vt:i4>0</vt:i4>
      </vt:variant>
      <vt:variant>
        <vt:i4>5</vt:i4>
      </vt:variant>
      <vt:variant>
        <vt:lpwstr/>
      </vt:variant>
      <vt:variant>
        <vt:lpwstr>_Toc82694537</vt:lpwstr>
      </vt:variant>
      <vt:variant>
        <vt:i4>1966131</vt:i4>
      </vt:variant>
      <vt:variant>
        <vt:i4>248</vt:i4>
      </vt:variant>
      <vt:variant>
        <vt:i4>0</vt:i4>
      </vt:variant>
      <vt:variant>
        <vt:i4>5</vt:i4>
      </vt:variant>
      <vt:variant>
        <vt:lpwstr/>
      </vt:variant>
      <vt:variant>
        <vt:lpwstr>_Toc82694496</vt:lpwstr>
      </vt:variant>
      <vt:variant>
        <vt:i4>1900595</vt:i4>
      </vt:variant>
      <vt:variant>
        <vt:i4>242</vt:i4>
      </vt:variant>
      <vt:variant>
        <vt:i4>0</vt:i4>
      </vt:variant>
      <vt:variant>
        <vt:i4>5</vt:i4>
      </vt:variant>
      <vt:variant>
        <vt:lpwstr/>
      </vt:variant>
      <vt:variant>
        <vt:lpwstr>_Toc82694495</vt:lpwstr>
      </vt:variant>
      <vt:variant>
        <vt:i4>1835059</vt:i4>
      </vt:variant>
      <vt:variant>
        <vt:i4>236</vt:i4>
      </vt:variant>
      <vt:variant>
        <vt:i4>0</vt:i4>
      </vt:variant>
      <vt:variant>
        <vt:i4>5</vt:i4>
      </vt:variant>
      <vt:variant>
        <vt:lpwstr/>
      </vt:variant>
      <vt:variant>
        <vt:lpwstr>_Toc82694494</vt:lpwstr>
      </vt:variant>
      <vt:variant>
        <vt:i4>1769523</vt:i4>
      </vt:variant>
      <vt:variant>
        <vt:i4>230</vt:i4>
      </vt:variant>
      <vt:variant>
        <vt:i4>0</vt:i4>
      </vt:variant>
      <vt:variant>
        <vt:i4>5</vt:i4>
      </vt:variant>
      <vt:variant>
        <vt:lpwstr/>
      </vt:variant>
      <vt:variant>
        <vt:lpwstr>_Toc82694493</vt:lpwstr>
      </vt:variant>
      <vt:variant>
        <vt:i4>1703987</vt:i4>
      </vt:variant>
      <vt:variant>
        <vt:i4>224</vt:i4>
      </vt:variant>
      <vt:variant>
        <vt:i4>0</vt:i4>
      </vt:variant>
      <vt:variant>
        <vt:i4>5</vt:i4>
      </vt:variant>
      <vt:variant>
        <vt:lpwstr/>
      </vt:variant>
      <vt:variant>
        <vt:lpwstr>_Toc82694492</vt:lpwstr>
      </vt:variant>
      <vt:variant>
        <vt:i4>1638451</vt:i4>
      </vt:variant>
      <vt:variant>
        <vt:i4>218</vt:i4>
      </vt:variant>
      <vt:variant>
        <vt:i4>0</vt:i4>
      </vt:variant>
      <vt:variant>
        <vt:i4>5</vt:i4>
      </vt:variant>
      <vt:variant>
        <vt:lpwstr/>
      </vt:variant>
      <vt:variant>
        <vt:lpwstr>_Toc82694491</vt:lpwstr>
      </vt:variant>
      <vt:variant>
        <vt:i4>1572915</vt:i4>
      </vt:variant>
      <vt:variant>
        <vt:i4>212</vt:i4>
      </vt:variant>
      <vt:variant>
        <vt:i4>0</vt:i4>
      </vt:variant>
      <vt:variant>
        <vt:i4>5</vt:i4>
      </vt:variant>
      <vt:variant>
        <vt:lpwstr/>
      </vt:variant>
      <vt:variant>
        <vt:lpwstr>_Toc82694490</vt:lpwstr>
      </vt:variant>
      <vt:variant>
        <vt:i4>1048637</vt:i4>
      </vt:variant>
      <vt:variant>
        <vt:i4>206</vt:i4>
      </vt:variant>
      <vt:variant>
        <vt:i4>0</vt:i4>
      </vt:variant>
      <vt:variant>
        <vt:i4>5</vt:i4>
      </vt:variant>
      <vt:variant>
        <vt:lpwstr/>
      </vt:variant>
      <vt:variant>
        <vt:lpwstr>_Toc82694478</vt:lpwstr>
      </vt:variant>
      <vt:variant>
        <vt:i4>2031677</vt:i4>
      </vt:variant>
      <vt:variant>
        <vt:i4>200</vt:i4>
      </vt:variant>
      <vt:variant>
        <vt:i4>0</vt:i4>
      </vt:variant>
      <vt:variant>
        <vt:i4>5</vt:i4>
      </vt:variant>
      <vt:variant>
        <vt:lpwstr/>
      </vt:variant>
      <vt:variant>
        <vt:lpwstr>_Toc82694477</vt:lpwstr>
      </vt:variant>
      <vt:variant>
        <vt:i4>1769533</vt:i4>
      </vt:variant>
      <vt:variant>
        <vt:i4>194</vt:i4>
      </vt:variant>
      <vt:variant>
        <vt:i4>0</vt:i4>
      </vt:variant>
      <vt:variant>
        <vt:i4>5</vt:i4>
      </vt:variant>
      <vt:variant>
        <vt:lpwstr/>
      </vt:variant>
      <vt:variant>
        <vt:lpwstr>_Toc82694473</vt:lpwstr>
      </vt:variant>
      <vt:variant>
        <vt:i4>1703997</vt:i4>
      </vt:variant>
      <vt:variant>
        <vt:i4>188</vt:i4>
      </vt:variant>
      <vt:variant>
        <vt:i4>0</vt:i4>
      </vt:variant>
      <vt:variant>
        <vt:i4>5</vt:i4>
      </vt:variant>
      <vt:variant>
        <vt:lpwstr/>
      </vt:variant>
      <vt:variant>
        <vt:lpwstr>_Toc82694472</vt:lpwstr>
      </vt:variant>
      <vt:variant>
        <vt:i4>1572925</vt:i4>
      </vt:variant>
      <vt:variant>
        <vt:i4>182</vt:i4>
      </vt:variant>
      <vt:variant>
        <vt:i4>0</vt:i4>
      </vt:variant>
      <vt:variant>
        <vt:i4>5</vt:i4>
      </vt:variant>
      <vt:variant>
        <vt:lpwstr/>
      </vt:variant>
      <vt:variant>
        <vt:lpwstr>_Toc82694470</vt:lpwstr>
      </vt:variant>
      <vt:variant>
        <vt:i4>1114172</vt:i4>
      </vt:variant>
      <vt:variant>
        <vt:i4>176</vt:i4>
      </vt:variant>
      <vt:variant>
        <vt:i4>0</vt:i4>
      </vt:variant>
      <vt:variant>
        <vt:i4>5</vt:i4>
      </vt:variant>
      <vt:variant>
        <vt:lpwstr/>
      </vt:variant>
      <vt:variant>
        <vt:lpwstr>_Toc82694469</vt:lpwstr>
      </vt:variant>
      <vt:variant>
        <vt:i4>1048636</vt:i4>
      </vt:variant>
      <vt:variant>
        <vt:i4>170</vt:i4>
      </vt:variant>
      <vt:variant>
        <vt:i4>0</vt:i4>
      </vt:variant>
      <vt:variant>
        <vt:i4>5</vt:i4>
      </vt:variant>
      <vt:variant>
        <vt:lpwstr/>
      </vt:variant>
      <vt:variant>
        <vt:lpwstr>_Toc82694468</vt:lpwstr>
      </vt:variant>
      <vt:variant>
        <vt:i4>2031676</vt:i4>
      </vt:variant>
      <vt:variant>
        <vt:i4>164</vt:i4>
      </vt:variant>
      <vt:variant>
        <vt:i4>0</vt:i4>
      </vt:variant>
      <vt:variant>
        <vt:i4>5</vt:i4>
      </vt:variant>
      <vt:variant>
        <vt:lpwstr/>
      </vt:variant>
      <vt:variant>
        <vt:lpwstr>_Toc82694467</vt:lpwstr>
      </vt:variant>
      <vt:variant>
        <vt:i4>1966140</vt:i4>
      </vt:variant>
      <vt:variant>
        <vt:i4>158</vt:i4>
      </vt:variant>
      <vt:variant>
        <vt:i4>0</vt:i4>
      </vt:variant>
      <vt:variant>
        <vt:i4>5</vt:i4>
      </vt:variant>
      <vt:variant>
        <vt:lpwstr/>
      </vt:variant>
      <vt:variant>
        <vt:lpwstr>_Toc82694466</vt:lpwstr>
      </vt:variant>
      <vt:variant>
        <vt:i4>1900604</vt:i4>
      </vt:variant>
      <vt:variant>
        <vt:i4>152</vt:i4>
      </vt:variant>
      <vt:variant>
        <vt:i4>0</vt:i4>
      </vt:variant>
      <vt:variant>
        <vt:i4>5</vt:i4>
      </vt:variant>
      <vt:variant>
        <vt:lpwstr/>
      </vt:variant>
      <vt:variant>
        <vt:lpwstr>_Toc82694465</vt:lpwstr>
      </vt:variant>
      <vt:variant>
        <vt:i4>1835068</vt:i4>
      </vt:variant>
      <vt:variant>
        <vt:i4>146</vt:i4>
      </vt:variant>
      <vt:variant>
        <vt:i4>0</vt:i4>
      </vt:variant>
      <vt:variant>
        <vt:i4>5</vt:i4>
      </vt:variant>
      <vt:variant>
        <vt:lpwstr/>
      </vt:variant>
      <vt:variant>
        <vt:lpwstr>_Toc82694464</vt:lpwstr>
      </vt:variant>
      <vt:variant>
        <vt:i4>1769532</vt:i4>
      </vt:variant>
      <vt:variant>
        <vt:i4>140</vt:i4>
      </vt:variant>
      <vt:variant>
        <vt:i4>0</vt:i4>
      </vt:variant>
      <vt:variant>
        <vt:i4>5</vt:i4>
      </vt:variant>
      <vt:variant>
        <vt:lpwstr/>
      </vt:variant>
      <vt:variant>
        <vt:lpwstr>_Toc82694463</vt:lpwstr>
      </vt:variant>
      <vt:variant>
        <vt:i4>1703996</vt:i4>
      </vt:variant>
      <vt:variant>
        <vt:i4>134</vt:i4>
      </vt:variant>
      <vt:variant>
        <vt:i4>0</vt:i4>
      </vt:variant>
      <vt:variant>
        <vt:i4>5</vt:i4>
      </vt:variant>
      <vt:variant>
        <vt:lpwstr/>
      </vt:variant>
      <vt:variant>
        <vt:lpwstr>_Toc82694462</vt:lpwstr>
      </vt:variant>
      <vt:variant>
        <vt:i4>1638460</vt:i4>
      </vt:variant>
      <vt:variant>
        <vt:i4>128</vt:i4>
      </vt:variant>
      <vt:variant>
        <vt:i4>0</vt:i4>
      </vt:variant>
      <vt:variant>
        <vt:i4>5</vt:i4>
      </vt:variant>
      <vt:variant>
        <vt:lpwstr/>
      </vt:variant>
      <vt:variant>
        <vt:lpwstr>_Toc82694461</vt:lpwstr>
      </vt:variant>
      <vt:variant>
        <vt:i4>1572924</vt:i4>
      </vt:variant>
      <vt:variant>
        <vt:i4>122</vt:i4>
      </vt:variant>
      <vt:variant>
        <vt:i4>0</vt:i4>
      </vt:variant>
      <vt:variant>
        <vt:i4>5</vt:i4>
      </vt:variant>
      <vt:variant>
        <vt:lpwstr/>
      </vt:variant>
      <vt:variant>
        <vt:lpwstr>_Toc82694460</vt:lpwstr>
      </vt:variant>
      <vt:variant>
        <vt:i4>1114175</vt:i4>
      </vt:variant>
      <vt:variant>
        <vt:i4>116</vt:i4>
      </vt:variant>
      <vt:variant>
        <vt:i4>0</vt:i4>
      </vt:variant>
      <vt:variant>
        <vt:i4>5</vt:i4>
      </vt:variant>
      <vt:variant>
        <vt:lpwstr/>
      </vt:variant>
      <vt:variant>
        <vt:lpwstr>_Toc82694459</vt:lpwstr>
      </vt:variant>
      <vt:variant>
        <vt:i4>1048639</vt:i4>
      </vt:variant>
      <vt:variant>
        <vt:i4>110</vt:i4>
      </vt:variant>
      <vt:variant>
        <vt:i4>0</vt:i4>
      </vt:variant>
      <vt:variant>
        <vt:i4>5</vt:i4>
      </vt:variant>
      <vt:variant>
        <vt:lpwstr/>
      </vt:variant>
      <vt:variant>
        <vt:lpwstr>_Toc82694458</vt:lpwstr>
      </vt:variant>
      <vt:variant>
        <vt:i4>2031679</vt:i4>
      </vt:variant>
      <vt:variant>
        <vt:i4>104</vt:i4>
      </vt:variant>
      <vt:variant>
        <vt:i4>0</vt:i4>
      </vt:variant>
      <vt:variant>
        <vt:i4>5</vt:i4>
      </vt:variant>
      <vt:variant>
        <vt:lpwstr/>
      </vt:variant>
      <vt:variant>
        <vt:lpwstr>_Toc82694457</vt:lpwstr>
      </vt:variant>
      <vt:variant>
        <vt:i4>1966143</vt:i4>
      </vt:variant>
      <vt:variant>
        <vt:i4>98</vt:i4>
      </vt:variant>
      <vt:variant>
        <vt:i4>0</vt:i4>
      </vt:variant>
      <vt:variant>
        <vt:i4>5</vt:i4>
      </vt:variant>
      <vt:variant>
        <vt:lpwstr/>
      </vt:variant>
      <vt:variant>
        <vt:lpwstr>_Toc82694456</vt:lpwstr>
      </vt:variant>
      <vt:variant>
        <vt:i4>1900607</vt:i4>
      </vt:variant>
      <vt:variant>
        <vt:i4>92</vt:i4>
      </vt:variant>
      <vt:variant>
        <vt:i4>0</vt:i4>
      </vt:variant>
      <vt:variant>
        <vt:i4>5</vt:i4>
      </vt:variant>
      <vt:variant>
        <vt:lpwstr/>
      </vt:variant>
      <vt:variant>
        <vt:lpwstr>_Toc82694455</vt:lpwstr>
      </vt:variant>
      <vt:variant>
        <vt:i4>1835071</vt:i4>
      </vt:variant>
      <vt:variant>
        <vt:i4>86</vt:i4>
      </vt:variant>
      <vt:variant>
        <vt:i4>0</vt:i4>
      </vt:variant>
      <vt:variant>
        <vt:i4>5</vt:i4>
      </vt:variant>
      <vt:variant>
        <vt:lpwstr/>
      </vt:variant>
      <vt:variant>
        <vt:lpwstr>_Toc82694454</vt:lpwstr>
      </vt:variant>
      <vt:variant>
        <vt:i4>1769535</vt:i4>
      </vt:variant>
      <vt:variant>
        <vt:i4>80</vt:i4>
      </vt:variant>
      <vt:variant>
        <vt:i4>0</vt:i4>
      </vt:variant>
      <vt:variant>
        <vt:i4>5</vt:i4>
      </vt:variant>
      <vt:variant>
        <vt:lpwstr/>
      </vt:variant>
      <vt:variant>
        <vt:lpwstr>_Toc82694453</vt:lpwstr>
      </vt:variant>
      <vt:variant>
        <vt:i4>1638463</vt:i4>
      </vt:variant>
      <vt:variant>
        <vt:i4>74</vt:i4>
      </vt:variant>
      <vt:variant>
        <vt:i4>0</vt:i4>
      </vt:variant>
      <vt:variant>
        <vt:i4>5</vt:i4>
      </vt:variant>
      <vt:variant>
        <vt:lpwstr/>
      </vt:variant>
      <vt:variant>
        <vt:lpwstr>_Toc82694451</vt:lpwstr>
      </vt:variant>
      <vt:variant>
        <vt:i4>1572927</vt:i4>
      </vt:variant>
      <vt:variant>
        <vt:i4>68</vt:i4>
      </vt:variant>
      <vt:variant>
        <vt:i4>0</vt:i4>
      </vt:variant>
      <vt:variant>
        <vt:i4>5</vt:i4>
      </vt:variant>
      <vt:variant>
        <vt:lpwstr/>
      </vt:variant>
      <vt:variant>
        <vt:lpwstr>_Toc82694450</vt:lpwstr>
      </vt:variant>
      <vt:variant>
        <vt:i4>1114174</vt:i4>
      </vt:variant>
      <vt:variant>
        <vt:i4>62</vt:i4>
      </vt:variant>
      <vt:variant>
        <vt:i4>0</vt:i4>
      </vt:variant>
      <vt:variant>
        <vt:i4>5</vt:i4>
      </vt:variant>
      <vt:variant>
        <vt:lpwstr/>
      </vt:variant>
      <vt:variant>
        <vt:lpwstr>_Toc82694449</vt:lpwstr>
      </vt:variant>
      <vt:variant>
        <vt:i4>1048638</vt:i4>
      </vt:variant>
      <vt:variant>
        <vt:i4>56</vt:i4>
      </vt:variant>
      <vt:variant>
        <vt:i4>0</vt:i4>
      </vt:variant>
      <vt:variant>
        <vt:i4>5</vt:i4>
      </vt:variant>
      <vt:variant>
        <vt:lpwstr/>
      </vt:variant>
      <vt:variant>
        <vt:lpwstr>_Toc82694448</vt:lpwstr>
      </vt:variant>
      <vt:variant>
        <vt:i4>2031678</vt:i4>
      </vt:variant>
      <vt:variant>
        <vt:i4>50</vt:i4>
      </vt:variant>
      <vt:variant>
        <vt:i4>0</vt:i4>
      </vt:variant>
      <vt:variant>
        <vt:i4>5</vt:i4>
      </vt:variant>
      <vt:variant>
        <vt:lpwstr/>
      </vt:variant>
      <vt:variant>
        <vt:lpwstr>_Toc82694447</vt:lpwstr>
      </vt:variant>
      <vt:variant>
        <vt:i4>1966142</vt:i4>
      </vt:variant>
      <vt:variant>
        <vt:i4>44</vt:i4>
      </vt:variant>
      <vt:variant>
        <vt:i4>0</vt:i4>
      </vt:variant>
      <vt:variant>
        <vt:i4>5</vt:i4>
      </vt:variant>
      <vt:variant>
        <vt:lpwstr/>
      </vt:variant>
      <vt:variant>
        <vt:lpwstr>_Toc82694446</vt:lpwstr>
      </vt:variant>
      <vt:variant>
        <vt:i4>1900606</vt:i4>
      </vt:variant>
      <vt:variant>
        <vt:i4>38</vt:i4>
      </vt:variant>
      <vt:variant>
        <vt:i4>0</vt:i4>
      </vt:variant>
      <vt:variant>
        <vt:i4>5</vt:i4>
      </vt:variant>
      <vt:variant>
        <vt:lpwstr/>
      </vt:variant>
      <vt:variant>
        <vt:lpwstr>_Toc82694445</vt:lpwstr>
      </vt:variant>
      <vt:variant>
        <vt:i4>1835070</vt:i4>
      </vt:variant>
      <vt:variant>
        <vt:i4>32</vt:i4>
      </vt:variant>
      <vt:variant>
        <vt:i4>0</vt:i4>
      </vt:variant>
      <vt:variant>
        <vt:i4>5</vt:i4>
      </vt:variant>
      <vt:variant>
        <vt:lpwstr/>
      </vt:variant>
      <vt:variant>
        <vt:lpwstr>_Toc82694444</vt:lpwstr>
      </vt:variant>
      <vt:variant>
        <vt:i4>1769534</vt:i4>
      </vt:variant>
      <vt:variant>
        <vt:i4>26</vt:i4>
      </vt:variant>
      <vt:variant>
        <vt:i4>0</vt:i4>
      </vt:variant>
      <vt:variant>
        <vt:i4>5</vt:i4>
      </vt:variant>
      <vt:variant>
        <vt:lpwstr/>
      </vt:variant>
      <vt:variant>
        <vt:lpwstr>_Toc82694443</vt:lpwstr>
      </vt:variant>
      <vt:variant>
        <vt:i4>1703998</vt:i4>
      </vt:variant>
      <vt:variant>
        <vt:i4>20</vt:i4>
      </vt:variant>
      <vt:variant>
        <vt:i4>0</vt:i4>
      </vt:variant>
      <vt:variant>
        <vt:i4>5</vt:i4>
      </vt:variant>
      <vt:variant>
        <vt:lpwstr/>
      </vt:variant>
      <vt:variant>
        <vt:lpwstr>_Toc82694442</vt:lpwstr>
      </vt:variant>
      <vt:variant>
        <vt:i4>1638462</vt:i4>
      </vt:variant>
      <vt:variant>
        <vt:i4>14</vt:i4>
      </vt:variant>
      <vt:variant>
        <vt:i4>0</vt:i4>
      </vt:variant>
      <vt:variant>
        <vt:i4>5</vt:i4>
      </vt:variant>
      <vt:variant>
        <vt:lpwstr/>
      </vt:variant>
      <vt:variant>
        <vt:lpwstr>_Toc82694441</vt:lpwstr>
      </vt:variant>
      <vt:variant>
        <vt:i4>1572926</vt:i4>
      </vt:variant>
      <vt:variant>
        <vt:i4>8</vt:i4>
      </vt:variant>
      <vt:variant>
        <vt:i4>0</vt:i4>
      </vt:variant>
      <vt:variant>
        <vt:i4>5</vt:i4>
      </vt:variant>
      <vt:variant>
        <vt:lpwstr/>
      </vt:variant>
      <vt:variant>
        <vt:lpwstr>_Toc82694440</vt:lpwstr>
      </vt:variant>
      <vt:variant>
        <vt:i4>1114169</vt:i4>
      </vt:variant>
      <vt:variant>
        <vt:i4>2</vt:i4>
      </vt:variant>
      <vt:variant>
        <vt:i4>0</vt:i4>
      </vt:variant>
      <vt:variant>
        <vt:i4>5</vt:i4>
      </vt:variant>
      <vt:variant>
        <vt:lpwstr/>
      </vt:variant>
      <vt:variant>
        <vt:lpwstr>_Toc82694439</vt:lpwstr>
      </vt:variant>
      <vt:variant>
        <vt:i4>327766</vt:i4>
      </vt:variant>
      <vt:variant>
        <vt:i4>159</vt:i4>
      </vt:variant>
      <vt:variant>
        <vt:i4>0</vt:i4>
      </vt:variant>
      <vt:variant>
        <vt:i4>5</vt:i4>
      </vt:variant>
      <vt:variant>
        <vt:lpwstr>https://ctgreport.niaa.gov.au/employment</vt:lpwstr>
      </vt:variant>
      <vt:variant>
        <vt:lpwstr/>
      </vt:variant>
      <vt:variant>
        <vt:i4>7798819</vt:i4>
      </vt:variant>
      <vt:variant>
        <vt:i4>156</vt:i4>
      </vt:variant>
      <vt:variant>
        <vt:i4>0</vt:i4>
      </vt:variant>
      <vt:variant>
        <vt:i4>5</vt:i4>
      </vt:variant>
      <vt:variant>
        <vt:lpwstr>https://www.aihw.gov.au/getmedia/71bb346a-1b83-4038-a2f7-647e65a21445/ctg-ip03.pdf</vt:lpwstr>
      </vt:variant>
      <vt:variant>
        <vt:lpwstr/>
      </vt:variant>
      <vt:variant>
        <vt:i4>7471221</vt:i4>
      </vt:variant>
      <vt:variant>
        <vt:i4>153</vt:i4>
      </vt:variant>
      <vt:variant>
        <vt:i4>0</vt:i4>
      </vt:variant>
      <vt:variant>
        <vt:i4>5</vt:i4>
      </vt:variant>
      <vt:variant>
        <vt:lpwstr>https://doi.org/10.1787/dd1029ea-en</vt:lpwstr>
      </vt:variant>
      <vt:variant>
        <vt:lpwstr/>
      </vt:variant>
      <vt:variant>
        <vt:i4>7471221</vt:i4>
      </vt:variant>
      <vt:variant>
        <vt:i4>150</vt:i4>
      </vt:variant>
      <vt:variant>
        <vt:i4>0</vt:i4>
      </vt:variant>
      <vt:variant>
        <vt:i4>5</vt:i4>
      </vt:variant>
      <vt:variant>
        <vt:lpwstr>https://doi.org/10.1787/dd1029ea-en</vt:lpwstr>
      </vt:variant>
      <vt:variant>
        <vt:lpwstr/>
      </vt:variant>
      <vt:variant>
        <vt:i4>3801110</vt:i4>
      </vt:variant>
      <vt:variant>
        <vt:i4>147</vt:i4>
      </vt:variant>
      <vt:variant>
        <vt:i4>0</vt:i4>
      </vt:variant>
      <vt:variant>
        <vt:i4>5</vt:i4>
      </vt:variant>
      <vt:variant>
        <vt:lpwstr>https://docs.employment.gov.au/system/files/doc/other/the_evaluation_of_jsa_2012-2015_0.pdf</vt:lpwstr>
      </vt:variant>
      <vt:variant>
        <vt:lpwstr/>
      </vt:variant>
      <vt:variant>
        <vt:i4>3801110</vt:i4>
      </vt:variant>
      <vt:variant>
        <vt:i4>144</vt:i4>
      </vt:variant>
      <vt:variant>
        <vt:i4>0</vt:i4>
      </vt:variant>
      <vt:variant>
        <vt:i4>5</vt:i4>
      </vt:variant>
      <vt:variant>
        <vt:lpwstr>https://docs.employment.gov.au/system/files/doc/other/the_evaluation_of_jsa_2012-2015_0.pdf</vt:lpwstr>
      </vt:variant>
      <vt:variant>
        <vt:lpwstr/>
      </vt:variant>
      <vt:variant>
        <vt:i4>7798819</vt:i4>
      </vt:variant>
      <vt:variant>
        <vt:i4>141</vt:i4>
      </vt:variant>
      <vt:variant>
        <vt:i4>0</vt:i4>
      </vt:variant>
      <vt:variant>
        <vt:i4>5</vt:i4>
      </vt:variant>
      <vt:variant>
        <vt:lpwstr>https://www.aihw.gov.au/getmedia/71bb346a-1b83-4038-a2f7-647e65a21445/ctg-ip03.pdf</vt:lpwstr>
      </vt:variant>
      <vt:variant>
        <vt:lpwstr/>
      </vt:variant>
      <vt:variant>
        <vt:i4>7471221</vt:i4>
      </vt:variant>
      <vt:variant>
        <vt:i4>138</vt:i4>
      </vt:variant>
      <vt:variant>
        <vt:i4>0</vt:i4>
      </vt:variant>
      <vt:variant>
        <vt:i4>5</vt:i4>
      </vt:variant>
      <vt:variant>
        <vt:lpwstr>https://doi.org/10.1787/dd1029ea-en</vt:lpwstr>
      </vt:variant>
      <vt:variant>
        <vt:lpwstr/>
      </vt:variant>
      <vt:variant>
        <vt:i4>7798819</vt:i4>
      </vt:variant>
      <vt:variant>
        <vt:i4>135</vt:i4>
      </vt:variant>
      <vt:variant>
        <vt:i4>0</vt:i4>
      </vt:variant>
      <vt:variant>
        <vt:i4>5</vt:i4>
      </vt:variant>
      <vt:variant>
        <vt:lpwstr>https://www.aihw.gov.au/getmedia/71bb346a-1b83-4038-a2f7-647e65a21445/ctg-ip03.pdf</vt:lpwstr>
      </vt:variant>
      <vt:variant>
        <vt:lpwstr/>
      </vt:variant>
      <vt:variant>
        <vt:i4>7471221</vt:i4>
      </vt:variant>
      <vt:variant>
        <vt:i4>132</vt:i4>
      </vt:variant>
      <vt:variant>
        <vt:i4>0</vt:i4>
      </vt:variant>
      <vt:variant>
        <vt:i4>5</vt:i4>
      </vt:variant>
      <vt:variant>
        <vt:lpwstr>https://doi.org/10.1787/dd1029ea-en</vt:lpwstr>
      </vt:variant>
      <vt:variant>
        <vt:lpwstr/>
      </vt:variant>
      <vt:variant>
        <vt:i4>7471221</vt:i4>
      </vt:variant>
      <vt:variant>
        <vt:i4>129</vt:i4>
      </vt:variant>
      <vt:variant>
        <vt:i4>0</vt:i4>
      </vt:variant>
      <vt:variant>
        <vt:i4>5</vt:i4>
      </vt:variant>
      <vt:variant>
        <vt:lpwstr>https://doi.org/10.1787/dd1029ea-en</vt:lpwstr>
      </vt:variant>
      <vt:variant>
        <vt:lpwstr/>
      </vt:variant>
      <vt:variant>
        <vt:i4>7798819</vt:i4>
      </vt:variant>
      <vt:variant>
        <vt:i4>126</vt:i4>
      </vt:variant>
      <vt:variant>
        <vt:i4>0</vt:i4>
      </vt:variant>
      <vt:variant>
        <vt:i4>5</vt:i4>
      </vt:variant>
      <vt:variant>
        <vt:lpwstr>https://www.aihw.gov.au/getmedia/71bb346a-1b83-4038-a2f7-647e65a21445/ctg-ip03.pdf</vt:lpwstr>
      </vt:variant>
      <vt:variant>
        <vt:lpwstr/>
      </vt:variant>
      <vt:variant>
        <vt:i4>7798819</vt:i4>
      </vt:variant>
      <vt:variant>
        <vt:i4>123</vt:i4>
      </vt:variant>
      <vt:variant>
        <vt:i4>0</vt:i4>
      </vt:variant>
      <vt:variant>
        <vt:i4>5</vt:i4>
      </vt:variant>
      <vt:variant>
        <vt:lpwstr>https://www.aihw.gov.au/getmedia/71bb346a-1b83-4038-a2f7-647e65a21445/ctg-ip03.pdf</vt:lpwstr>
      </vt:variant>
      <vt:variant>
        <vt:lpwstr/>
      </vt:variant>
      <vt:variant>
        <vt:i4>7471221</vt:i4>
      </vt:variant>
      <vt:variant>
        <vt:i4>120</vt:i4>
      </vt:variant>
      <vt:variant>
        <vt:i4>0</vt:i4>
      </vt:variant>
      <vt:variant>
        <vt:i4>5</vt:i4>
      </vt:variant>
      <vt:variant>
        <vt:lpwstr>https://doi.org/10.1787/dd1029ea-en</vt:lpwstr>
      </vt:variant>
      <vt:variant>
        <vt:lpwstr/>
      </vt:variant>
      <vt:variant>
        <vt:i4>7798819</vt:i4>
      </vt:variant>
      <vt:variant>
        <vt:i4>117</vt:i4>
      </vt:variant>
      <vt:variant>
        <vt:i4>0</vt:i4>
      </vt:variant>
      <vt:variant>
        <vt:i4>5</vt:i4>
      </vt:variant>
      <vt:variant>
        <vt:lpwstr>https://www.aihw.gov.au/getmedia/71bb346a-1b83-4038-a2f7-647e65a21445/ctg-ip03.pdf</vt:lpwstr>
      </vt:variant>
      <vt:variant>
        <vt:lpwstr/>
      </vt:variant>
      <vt:variant>
        <vt:i4>7471221</vt:i4>
      </vt:variant>
      <vt:variant>
        <vt:i4>114</vt:i4>
      </vt:variant>
      <vt:variant>
        <vt:i4>0</vt:i4>
      </vt:variant>
      <vt:variant>
        <vt:i4>5</vt:i4>
      </vt:variant>
      <vt:variant>
        <vt:lpwstr>https://doi.org/10.1787/dd1029ea-en</vt:lpwstr>
      </vt:variant>
      <vt:variant>
        <vt:lpwstr/>
      </vt:variant>
      <vt:variant>
        <vt:i4>7471221</vt:i4>
      </vt:variant>
      <vt:variant>
        <vt:i4>111</vt:i4>
      </vt:variant>
      <vt:variant>
        <vt:i4>0</vt:i4>
      </vt:variant>
      <vt:variant>
        <vt:i4>5</vt:i4>
      </vt:variant>
      <vt:variant>
        <vt:lpwstr>https://doi.org/10.1787/dd1029ea-en</vt:lpwstr>
      </vt:variant>
      <vt:variant>
        <vt:lpwstr/>
      </vt:variant>
      <vt:variant>
        <vt:i4>7471221</vt:i4>
      </vt:variant>
      <vt:variant>
        <vt:i4>108</vt:i4>
      </vt:variant>
      <vt:variant>
        <vt:i4>0</vt:i4>
      </vt:variant>
      <vt:variant>
        <vt:i4>5</vt:i4>
      </vt:variant>
      <vt:variant>
        <vt:lpwstr>https://doi.org/10.1787/dd1029ea-en</vt:lpwstr>
      </vt:variant>
      <vt:variant>
        <vt:lpwstr/>
      </vt:variant>
      <vt:variant>
        <vt:i4>7471221</vt:i4>
      </vt:variant>
      <vt:variant>
        <vt:i4>105</vt:i4>
      </vt:variant>
      <vt:variant>
        <vt:i4>0</vt:i4>
      </vt:variant>
      <vt:variant>
        <vt:i4>5</vt:i4>
      </vt:variant>
      <vt:variant>
        <vt:lpwstr>https://doi.org/10.1787/dd1029ea-en</vt:lpwstr>
      </vt:variant>
      <vt:variant>
        <vt:lpwstr/>
      </vt:variant>
      <vt:variant>
        <vt:i4>1310811</vt:i4>
      </vt:variant>
      <vt:variant>
        <vt:i4>102</vt:i4>
      </vt:variant>
      <vt:variant>
        <vt:i4>0</vt:i4>
      </vt:variant>
      <vt:variant>
        <vt:i4>5</vt:i4>
      </vt:variant>
      <vt:variant>
        <vt:lpwstr>https://eprints.qut.edu.au/17194/1/c17194.pdf</vt:lpwstr>
      </vt:variant>
      <vt:variant>
        <vt:lpwstr/>
      </vt:variant>
      <vt:variant>
        <vt:i4>3801110</vt:i4>
      </vt:variant>
      <vt:variant>
        <vt:i4>99</vt:i4>
      </vt:variant>
      <vt:variant>
        <vt:i4>0</vt:i4>
      </vt:variant>
      <vt:variant>
        <vt:i4>5</vt:i4>
      </vt:variant>
      <vt:variant>
        <vt:lpwstr>https://docs.employment.gov.au/system/files/doc/other/the_evaluation_of_jsa_2012-2015_0.pdf</vt:lpwstr>
      </vt:variant>
      <vt:variant>
        <vt:lpwstr/>
      </vt:variant>
      <vt:variant>
        <vt:i4>6029414</vt:i4>
      </vt:variant>
      <vt:variant>
        <vt:i4>96</vt:i4>
      </vt:variant>
      <vt:variant>
        <vt:i4>0</vt:i4>
      </vt:variant>
      <vt:variant>
        <vt:i4>5</vt:i4>
      </vt:variant>
      <vt:variant>
        <vt:lpwstr>https://docs.employment.gov.au/system/files/doc/other/good_practice_in_job_services_australia.pdf</vt:lpwstr>
      </vt:variant>
      <vt:variant>
        <vt:lpwstr/>
      </vt:variant>
      <vt:variant>
        <vt:i4>6029414</vt:i4>
      </vt:variant>
      <vt:variant>
        <vt:i4>93</vt:i4>
      </vt:variant>
      <vt:variant>
        <vt:i4>0</vt:i4>
      </vt:variant>
      <vt:variant>
        <vt:i4>5</vt:i4>
      </vt:variant>
      <vt:variant>
        <vt:lpwstr>https://docs.employment.gov.au/system/files/doc/other/good_practice_in_job_services_australia.pdf</vt:lpwstr>
      </vt:variant>
      <vt:variant>
        <vt:lpwstr/>
      </vt:variant>
      <vt:variant>
        <vt:i4>3801110</vt:i4>
      </vt:variant>
      <vt:variant>
        <vt:i4>90</vt:i4>
      </vt:variant>
      <vt:variant>
        <vt:i4>0</vt:i4>
      </vt:variant>
      <vt:variant>
        <vt:i4>5</vt:i4>
      </vt:variant>
      <vt:variant>
        <vt:lpwstr>https://docs.employment.gov.au/system/files/doc/other/the_evaluation_of_jsa_2012-2015_0.pdf</vt:lpwstr>
      </vt:variant>
      <vt:variant>
        <vt:lpwstr/>
      </vt:variant>
      <vt:variant>
        <vt:i4>524356</vt:i4>
      </vt:variant>
      <vt:variant>
        <vt:i4>87</vt:i4>
      </vt:variant>
      <vt:variant>
        <vt:i4>0</vt:i4>
      </vt:variant>
      <vt:variant>
        <vt:i4>5</vt:i4>
      </vt:variant>
      <vt:variant>
        <vt:lpwstr>https://www.vic.gov.au/framework-place-based-approaches/print-all</vt:lpwstr>
      </vt:variant>
      <vt:variant>
        <vt:lpwstr>executive-summary</vt:lpwstr>
      </vt:variant>
      <vt:variant>
        <vt:i4>3801110</vt:i4>
      </vt:variant>
      <vt:variant>
        <vt:i4>84</vt:i4>
      </vt:variant>
      <vt:variant>
        <vt:i4>0</vt:i4>
      </vt:variant>
      <vt:variant>
        <vt:i4>5</vt:i4>
      </vt:variant>
      <vt:variant>
        <vt:lpwstr>https://docs.employment.gov.au/system/files/doc/other/the_evaluation_of_jsa_2012-2015_0.pdf</vt:lpwstr>
      </vt:variant>
      <vt:variant>
        <vt:lpwstr/>
      </vt:variant>
      <vt:variant>
        <vt:i4>589838</vt:i4>
      </vt:variant>
      <vt:variant>
        <vt:i4>81</vt:i4>
      </vt:variant>
      <vt:variant>
        <vt:i4>0</vt:i4>
      </vt:variant>
      <vt:variant>
        <vt:i4>5</vt:i4>
      </vt:variant>
      <vt:variant>
        <vt:lpwstr>https://www.reconciliation.org.au/wp-content/uploads/2017/11/Auspolls-Evaluating-the-effectiveess-of-Reconciliation-Action-Plans-Overall-analysis.pdf</vt:lpwstr>
      </vt:variant>
      <vt:variant>
        <vt:lpwstr/>
      </vt:variant>
      <vt:variant>
        <vt:i4>7798819</vt:i4>
      </vt:variant>
      <vt:variant>
        <vt:i4>78</vt:i4>
      </vt:variant>
      <vt:variant>
        <vt:i4>0</vt:i4>
      </vt:variant>
      <vt:variant>
        <vt:i4>5</vt:i4>
      </vt:variant>
      <vt:variant>
        <vt:lpwstr>https://www.aihw.gov.au/getmedia/71bb346a-1b83-4038-a2f7-647e65a21445/ctg-ip03.pdf</vt:lpwstr>
      </vt:variant>
      <vt:variant>
        <vt:lpwstr/>
      </vt:variant>
      <vt:variant>
        <vt:i4>7471221</vt:i4>
      </vt:variant>
      <vt:variant>
        <vt:i4>75</vt:i4>
      </vt:variant>
      <vt:variant>
        <vt:i4>0</vt:i4>
      </vt:variant>
      <vt:variant>
        <vt:i4>5</vt:i4>
      </vt:variant>
      <vt:variant>
        <vt:lpwstr>https://doi.org/10.1787/dd1029ea-en</vt:lpwstr>
      </vt:variant>
      <vt:variant>
        <vt:lpwstr/>
      </vt:variant>
      <vt:variant>
        <vt:i4>7471221</vt:i4>
      </vt:variant>
      <vt:variant>
        <vt:i4>72</vt:i4>
      </vt:variant>
      <vt:variant>
        <vt:i4>0</vt:i4>
      </vt:variant>
      <vt:variant>
        <vt:i4>5</vt:i4>
      </vt:variant>
      <vt:variant>
        <vt:lpwstr>https://doi.org/10.1787/dd1029ea-en</vt:lpwstr>
      </vt:variant>
      <vt:variant>
        <vt:lpwstr/>
      </vt:variant>
      <vt:variant>
        <vt:i4>524367</vt:i4>
      </vt:variant>
      <vt:variant>
        <vt:i4>69</vt:i4>
      </vt:variant>
      <vt:variant>
        <vt:i4>0</vt:i4>
      </vt:variant>
      <vt:variant>
        <vt:i4>5</vt:i4>
      </vt:variant>
      <vt:variant>
        <vt:lpwstr>https://www.indigenous.gov.au/indigenous-advancement-strategy</vt:lpwstr>
      </vt:variant>
      <vt:variant>
        <vt:lpwstr/>
      </vt:variant>
      <vt:variant>
        <vt:i4>3670030</vt:i4>
      </vt:variant>
      <vt:variant>
        <vt:i4>66</vt:i4>
      </vt:variant>
      <vt:variant>
        <vt:i4>0</vt:i4>
      </vt:variant>
      <vt:variant>
        <vt:i4>5</vt:i4>
      </vt:variant>
      <vt:variant>
        <vt:lpwstr>https://www.aph.gov.au/About_Parliament/Parliamentary_Departments/Parliamentary_Library/pubs/BriefingBook44p/ClosingGap</vt:lpwstr>
      </vt:variant>
      <vt:variant>
        <vt:lpwstr/>
      </vt:variant>
      <vt:variant>
        <vt:i4>7995425</vt:i4>
      </vt:variant>
      <vt:variant>
        <vt:i4>63</vt:i4>
      </vt:variant>
      <vt:variant>
        <vt:i4>0</vt:i4>
      </vt:variant>
      <vt:variant>
        <vt:i4>5</vt:i4>
      </vt:variant>
      <vt:variant>
        <vt:lpwstr>https://humanrights.gov.au/sites/default/files/content/social_justice/sj_report/sjreport05/pdf/SocialJustice2005.pdf</vt:lpwstr>
      </vt:variant>
      <vt:variant>
        <vt:lpwstr/>
      </vt:variant>
      <vt:variant>
        <vt:i4>7798819</vt:i4>
      </vt:variant>
      <vt:variant>
        <vt:i4>60</vt:i4>
      </vt:variant>
      <vt:variant>
        <vt:i4>0</vt:i4>
      </vt:variant>
      <vt:variant>
        <vt:i4>5</vt:i4>
      </vt:variant>
      <vt:variant>
        <vt:lpwstr>https://www.aihw.gov.au/getmedia/71bb346a-1b83-4038-a2f7-647e65a21445/ctg-ip03.pdf</vt:lpwstr>
      </vt:variant>
      <vt:variant>
        <vt:lpwstr/>
      </vt:variant>
      <vt:variant>
        <vt:i4>7798819</vt:i4>
      </vt:variant>
      <vt:variant>
        <vt:i4>57</vt:i4>
      </vt:variant>
      <vt:variant>
        <vt:i4>0</vt:i4>
      </vt:variant>
      <vt:variant>
        <vt:i4>5</vt:i4>
      </vt:variant>
      <vt:variant>
        <vt:lpwstr>https://www.aihw.gov.au/getmedia/71bb346a-1b83-4038-a2f7-647e65a21445/ctg-ip03.pdf</vt:lpwstr>
      </vt:variant>
      <vt:variant>
        <vt:lpwstr/>
      </vt:variant>
      <vt:variant>
        <vt:i4>7798819</vt:i4>
      </vt:variant>
      <vt:variant>
        <vt:i4>54</vt:i4>
      </vt:variant>
      <vt:variant>
        <vt:i4>0</vt:i4>
      </vt:variant>
      <vt:variant>
        <vt:i4>5</vt:i4>
      </vt:variant>
      <vt:variant>
        <vt:lpwstr>https://www.aihw.gov.au/getmedia/71bb346a-1b83-4038-a2f7-647e65a21445/ctg-ip03.pdf</vt:lpwstr>
      </vt:variant>
      <vt:variant>
        <vt:lpwstr/>
      </vt:variant>
      <vt:variant>
        <vt:i4>5767225</vt:i4>
      </vt:variant>
      <vt:variant>
        <vt:i4>51</vt:i4>
      </vt:variant>
      <vt:variant>
        <vt:i4>0</vt:i4>
      </vt:variant>
      <vt:variant>
        <vt:i4>5</vt:i4>
      </vt:variant>
      <vt:variant>
        <vt:lpwstr>https://openresearch-repository.anu.edu.au/bitstream/1885/148933/1/Altman_CDEP_2005_0.pdf</vt:lpwstr>
      </vt:variant>
      <vt:variant>
        <vt:lpwstr/>
      </vt:variant>
      <vt:variant>
        <vt:i4>5505054</vt:i4>
      </vt:variant>
      <vt:variant>
        <vt:i4>48</vt:i4>
      </vt:variant>
      <vt:variant>
        <vt:i4>0</vt:i4>
      </vt:variant>
      <vt:variant>
        <vt:i4>5</vt:i4>
      </vt:variant>
      <vt:variant>
        <vt:lpwstr>https://www.voced.edu.au/content/ngv%3A29210</vt:lpwstr>
      </vt:variant>
      <vt:variant>
        <vt:lpwstr/>
      </vt:variant>
      <vt:variant>
        <vt:i4>5767225</vt:i4>
      </vt:variant>
      <vt:variant>
        <vt:i4>45</vt:i4>
      </vt:variant>
      <vt:variant>
        <vt:i4>0</vt:i4>
      </vt:variant>
      <vt:variant>
        <vt:i4>5</vt:i4>
      </vt:variant>
      <vt:variant>
        <vt:lpwstr>https://openresearch-repository.anu.edu.au/bitstream/1885/148933/1/Altman_CDEP_2005_0.pdf</vt:lpwstr>
      </vt:variant>
      <vt:variant>
        <vt:lpwstr/>
      </vt:variant>
      <vt:variant>
        <vt:i4>5767225</vt:i4>
      </vt:variant>
      <vt:variant>
        <vt:i4>42</vt:i4>
      </vt:variant>
      <vt:variant>
        <vt:i4>0</vt:i4>
      </vt:variant>
      <vt:variant>
        <vt:i4>5</vt:i4>
      </vt:variant>
      <vt:variant>
        <vt:lpwstr>https://openresearch-repository.anu.edu.au/bitstream/1885/148933/1/Altman_CDEP_2005_0.pdf</vt:lpwstr>
      </vt:variant>
      <vt:variant>
        <vt:lpwstr/>
      </vt:variant>
      <vt:variant>
        <vt:i4>7798819</vt:i4>
      </vt:variant>
      <vt:variant>
        <vt:i4>39</vt:i4>
      </vt:variant>
      <vt:variant>
        <vt:i4>0</vt:i4>
      </vt:variant>
      <vt:variant>
        <vt:i4>5</vt:i4>
      </vt:variant>
      <vt:variant>
        <vt:lpwstr>https://www.aihw.gov.au/getmedia/71bb346a-1b83-4038-a2f7-647e65a21445/ctg-ip03.pdf</vt:lpwstr>
      </vt:variant>
      <vt:variant>
        <vt:lpwstr/>
      </vt:variant>
      <vt:variant>
        <vt:i4>7798819</vt:i4>
      </vt:variant>
      <vt:variant>
        <vt:i4>36</vt:i4>
      </vt:variant>
      <vt:variant>
        <vt:i4>0</vt:i4>
      </vt:variant>
      <vt:variant>
        <vt:i4>5</vt:i4>
      </vt:variant>
      <vt:variant>
        <vt:lpwstr>https://www.aihw.gov.au/getmedia/71bb346a-1b83-4038-a2f7-647e65a21445/ctg-ip03.pdf</vt:lpwstr>
      </vt:variant>
      <vt:variant>
        <vt:lpwstr/>
      </vt:variant>
      <vt:variant>
        <vt:i4>7798819</vt:i4>
      </vt:variant>
      <vt:variant>
        <vt:i4>33</vt:i4>
      </vt:variant>
      <vt:variant>
        <vt:i4>0</vt:i4>
      </vt:variant>
      <vt:variant>
        <vt:i4>5</vt:i4>
      </vt:variant>
      <vt:variant>
        <vt:lpwstr>https://www.aihw.gov.au/getmedia/71bb346a-1b83-4038-a2f7-647e65a21445/ctg-ip03.pdf</vt:lpwstr>
      </vt:variant>
      <vt:variant>
        <vt:lpwstr/>
      </vt:variant>
      <vt:variant>
        <vt:i4>327766</vt:i4>
      </vt:variant>
      <vt:variant>
        <vt:i4>30</vt:i4>
      </vt:variant>
      <vt:variant>
        <vt:i4>0</vt:i4>
      </vt:variant>
      <vt:variant>
        <vt:i4>5</vt:i4>
      </vt:variant>
      <vt:variant>
        <vt:lpwstr>https://ctgreport.niaa.gov.au/employment</vt:lpwstr>
      </vt:variant>
      <vt:variant>
        <vt:lpwstr/>
      </vt:variant>
      <vt:variant>
        <vt:i4>3145817</vt:i4>
      </vt:variant>
      <vt:variant>
        <vt:i4>27</vt:i4>
      </vt:variant>
      <vt:variant>
        <vt:i4>0</vt:i4>
      </vt:variant>
      <vt:variant>
        <vt:i4>5</vt:i4>
      </vt:variant>
      <vt:variant>
        <vt:lpwstr>https://communitylegalqld.org.au/sites/default/files/downloads/pages/working_with_first_nations_people_-_trauma_transgenerational_transfer_and_effects_on_community_wellbeing.pdf</vt:lpwstr>
      </vt:variant>
      <vt:variant>
        <vt:lpwstr/>
      </vt:variant>
      <vt:variant>
        <vt:i4>7471221</vt:i4>
      </vt:variant>
      <vt:variant>
        <vt:i4>24</vt:i4>
      </vt:variant>
      <vt:variant>
        <vt:i4>0</vt:i4>
      </vt:variant>
      <vt:variant>
        <vt:i4>5</vt:i4>
      </vt:variant>
      <vt:variant>
        <vt:lpwstr>https://doi.org/10.1787/dd1029ea-en</vt:lpwstr>
      </vt:variant>
      <vt:variant>
        <vt:lpwstr/>
      </vt:variant>
      <vt:variant>
        <vt:i4>7798819</vt:i4>
      </vt:variant>
      <vt:variant>
        <vt:i4>21</vt:i4>
      </vt:variant>
      <vt:variant>
        <vt:i4>0</vt:i4>
      </vt:variant>
      <vt:variant>
        <vt:i4>5</vt:i4>
      </vt:variant>
      <vt:variant>
        <vt:lpwstr>https://www.aihw.gov.au/getmedia/71bb346a-1b83-4038-a2f7-647e65a21445/ctg-ip03.pdf</vt:lpwstr>
      </vt:variant>
      <vt:variant>
        <vt:lpwstr/>
      </vt:variant>
      <vt:variant>
        <vt:i4>7471221</vt:i4>
      </vt:variant>
      <vt:variant>
        <vt:i4>18</vt:i4>
      </vt:variant>
      <vt:variant>
        <vt:i4>0</vt:i4>
      </vt:variant>
      <vt:variant>
        <vt:i4>5</vt:i4>
      </vt:variant>
      <vt:variant>
        <vt:lpwstr>https://doi.org/10.1787/dd1029ea-en</vt:lpwstr>
      </vt:variant>
      <vt:variant>
        <vt:lpwstr/>
      </vt:variant>
      <vt:variant>
        <vt:i4>7798819</vt:i4>
      </vt:variant>
      <vt:variant>
        <vt:i4>15</vt:i4>
      </vt:variant>
      <vt:variant>
        <vt:i4>0</vt:i4>
      </vt:variant>
      <vt:variant>
        <vt:i4>5</vt:i4>
      </vt:variant>
      <vt:variant>
        <vt:lpwstr>https://www.aihw.gov.au/getmedia/71bb346a-1b83-4038-a2f7-647e65a21445/ctg-ip03.pdf</vt:lpwstr>
      </vt:variant>
      <vt:variant>
        <vt:lpwstr/>
      </vt:variant>
      <vt:variant>
        <vt:i4>7798819</vt:i4>
      </vt:variant>
      <vt:variant>
        <vt:i4>12</vt:i4>
      </vt:variant>
      <vt:variant>
        <vt:i4>0</vt:i4>
      </vt:variant>
      <vt:variant>
        <vt:i4>5</vt:i4>
      </vt:variant>
      <vt:variant>
        <vt:lpwstr>https://www.aihw.gov.au/getmedia/71bb346a-1b83-4038-a2f7-647e65a21445/ctg-ip03.pdf</vt:lpwstr>
      </vt:variant>
      <vt:variant>
        <vt:lpwstr/>
      </vt:variant>
      <vt:variant>
        <vt:i4>7798819</vt:i4>
      </vt:variant>
      <vt:variant>
        <vt:i4>9</vt:i4>
      </vt:variant>
      <vt:variant>
        <vt:i4>0</vt:i4>
      </vt:variant>
      <vt:variant>
        <vt:i4>5</vt:i4>
      </vt:variant>
      <vt:variant>
        <vt:lpwstr>https://www.aihw.gov.au/getmedia/71bb346a-1b83-4038-a2f7-647e65a21445/ctg-ip03.pdf</vt:lpwstr>
      </vt:variant>
      <vt:variant>
        <vt:lpwstr/>
      </vt:variant>
      <vt:variant>
        <vt:i4>7798819</vt:i4>
      </vt:variant>
      <vt:variant>
        <vt:i4>6</vt:i4>
      </vt:variant>
      <vt:variant>
        <vt:i4>0</vt:i4>
      </vt:variant>
      <vt:variant>
        <vt:i4>5</vt:i4>
      </vt:variant>
      <vt:variant>
        <vt:lpwstr>https://www.aihw.gov.au/getmedia/71bb346a-1b83-4038-a2f7-647e65a21445/ctg-ip03.pdf</vt:lpwstr>
      </vt:variant>
      <vt:variant>
        <vt:lpwstr/>
      </vt:variant>
      <vt:variant>
        <vt:i4>7798819</vt:i4>
      </vt:variant>
      <vt:variant>
        <vt:i4>3</vt:i4>
      </vt:variant>
      <vt:variant>
        <vt:i4>0</vt:i4>
      </vt:variant>
      <vt:variant>
        <vt:i4>5</vt:i4>
      </vt:variant>
      <vt:variant>
        <vt:lpwstr>https://www.aihw.gov.au/getmedia/71bb346a-1b83-4038-a2f7-647e65a21445/ctg-ip03.pdf</vt:lpwstr>
      </vt:variant>
      <vt:variant>
        <vt:lpwstr/>
      </vt:variant>
      <vt:variant>
        <vt:i4>2031690</vt:i4>
      </vt:variant>
      <vt:variant>
        <vt:i4>0</vt:i4>
      </vt:variant>
      <vt:variant>
        <vt:i4>0</vt:i4>
      </vt:variant>
      <vt:variant>
        <vt:i4>5</vt:i4>
      </vt:variant>
      <vt:variant>
        <vt:lpwstr>https://caepr.cass.anu.edu.au/research/publications/academic-perspectives-forrest-review-creating-parity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2022-04-20T01:15:00Z</dcterms:created>
  <dcterms:modified xsi:type="dcterms:W3CDTF">2022-04-20T05:14:00Z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29;#Training|2f396fb6-baad-479d-8254-1550153bbe31;#39;#Election|4090d51f-fccc-4f41-80dd-86270166a8a3;#62;#COVID-19|c1da604a-829f-435b-844b-fd97e09d1455;#18;#Cabinet|84cba657-17c1-4642-9e59-a0df180c2be5</vt:lpwstr>
  </property>
  <property fmtid="{D5CDD505-2E9C-101B-9397-08002B2CF9AE}" pid="4" name="HPRMSecurityCaveat">
    <vt:lpwstr/>
  </property>
  <property fmtid="{D5CDD505-2E9C-101B-9397-08002B2CF9AE}" pid="5" name="HPRMSecurityLevel">
    <vt:lpwstr>57;#OFFICIAL|11463c70-78df-4e3b-b0ff-f66cd3cb26ec</vt:lpwstr>
  </property>
  <property fmtid="{D5CDD505-2E9C-101B-9397-08002B2CF9AE}" pid="6" name="PMC.ESearch.TagGeneratedTime">
    <vt:lpwstr>2022-04-20T15:23:53</vt:lpwstr>
  </property>
</Properties>
</file>