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E3C2C" w14:textId="77777777" w:rsidR="004163FA" w:rsidRDefault="00123ACA" w:rsidP="004163FA">
      <w:pPr>
        <w:pStyle w:val="ProtectiveMarking"/>
        <w:rPr>
          <w:caps w:val="0"/>
          <w:noProof w:val="0"/>
          <w:color w:val="191919" w:themeColor="text1" w:themeTint="E6"/>
        </w:rPr>
      </w:pP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8D3C19">
            <w:t>OFFICIAL</w:t>
          </w:r>
        </w:sdtContent>
      </w:sdt>
    </w:p>
    <w:p w14:paraId="6B1739A0" w14:textId="77777777" w:rsidR="006B0488" w:rsidRDefault="0040648D" w:rsidP="006B0488">
      <w:r>
        <w:rPr>
          <w:noProof/>
          <w:lang w:eastAsia="en-AU"/>
        </w:rPr>
        <mc:AlternateContent>
          <mc:Choice Requires="wps">
            <w:drawing>
              <wp:anchor distT="0" distB="0" distL="114300" distR="114300" simplePos="0" relativeHeight="251662336" behindDoc="0" locked="1" layoutInCell="1" allowOverlap="1" wp14:anchorId="6BE9EB76" wp14:editId="07FB0349">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44B1CBE2E64841B595824FBF21FB8F6E"/>
                              </w:placeholder>
                              <w:dataBinding w:xpath="/root[1]/SectionName[1]" w:storeItemID="{F533AE62-A212-4B26-92DA-A3B336E8AE06}"/>
                              <w:text w:multiLine="1"/>
                            </w:sdtPr>
                            <w:sdtEndPr/>
                            <w:sdtContent>
                              <w:p w14:paraId="73D6A233" w14:textId="77777777" w:rsidR="0040648D" w:rsidRPr="00C91A83" w:rsidRDefault="008D3C19" w:rsidP="0040648D">
                                <w:pPr>
                                  <w:pStyle w:val="SectionNameRev"/>
                                </w:pPr>
                                <w:r>
                                  <w:t>Grant Design Branch</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BE9EB76" id="_x0000_t202" coordsize="21600,21600" o:spt="202" path="m,l,21600r21600,l21600,xe">
                <v:stroke joinstyle="miter"/>
                <v:path gradientshapeok="t" o:connecttype="rect"/>
              </v:shapetype>
              <v:shape id="Text Box 45" o:spid="_x0000_s1026" type="#_x0000_t202" style="position:absolute;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44B1CBE2E64841B595824FBF21FB8F6E"/>
                        </w:placeholder>
                        <w:dataBinding w:xpath="/root[1]/SectionName[1]" w:storeItemID="{F533AE62-A212-4B26-92DA-A3B336E8AE06}"/>
                        <w:text w:multiLine="1"/>
                      </w:sdtPr>
                      <w:sdtEndPr/>
                      <w:sdtContent>
                        <w:p w14:paraId="73D6A233" w14:textId="77777777" w:rsidR="0040648D" w:rsidRPr="00C91A83" w:rsidRDefault="008D3C19" w:rsidP="0040648D">
                          <w:pPr>
                            <w:pStyle w:val="SectionNameRev"/>
                          </w:pPr>
                          <w:r>
                            <w:t>Grant Design Branch</w:t>
                          </w:r>
                        </w:p>
                      </w:sdtContent>
                    </w:sdt>
                  </w:txbxContent>
                </v:textbox>
                <w10:wrap type="topAndBottom" anchorx="page" anchory="page"/>
                <w10:anchorlock/>
              </v:shape>
            </w:pict>
          </mc:Fallback>
        </mc:AlternateContent>
      </w:r>
    </w:p>
    <w:p w14:paraId="750AA090" w14:textId="77777777" w:rsidR="00E578B7" w:rsidRPr="002E6AA1" w:rsidRDefault="008D3C19" w:rsidP="00281E3E">
      <w:pPr>
        <w:pStyle w:val="Title"/>
      </w:pPr>
      <w:r>
        <w:t xml:space="preserve">Indigenous Advancement Strategy (IAS) Guidelines - </w:t>
      </w:r>
      <w:r w:rsidRPr="00390BD2">
        <w:t>Factsheet</w:t>
      </w:r>
      <w:r w:rsidRPr="00EF38A6">
        <w:t xml:space="preserve"> </w:t>
      </w:r>
    </w:p>
    <w:p w14:paraId="33BEB4D1" w14:textId="77777777" w:rsidR="0086672B" w:rsidRPr="00562166" w:rsidRDefault="00AE425A" w:rsidP="00AE425A">
      <w:pPr>
        <w:pStyle w:val="Heading2"/>
      </w:pPr>
      <w:r>
        <w:t xml:space="preserve">Changes to the </w:t>
      </w:r>
      <w:r w:rsidR="008D3C19">
        <w:t>IAS Guidelines –</w:t>
      </w:r>
      <w:r w:rsidR="00B31D87">
        <w:t xml:space="preserve"> </w:t>
      </w:r>
      <w:r w:rsidR="008D3C19">
        <w:t>26 July 2021</w:t>
      </w:r>
    </w:p>
    <w:p w14:paraId="362B7D2F" w14:textId="77777777" w:rsidR="00AE425A" w:rsidRDefault="00AE425A" w:rsidP="00AE425A">
      <w:pPr>
        <w:pStyle w:val="BodyText"/>
      </w:pPr>
      <w:r>
        <w:t xml:space="preserve">The Indigenous Advancement Strategy (IAS) Guidelines are changing to align with the Government’s </w:t>
      </w:r>
      <w:r w:rsidRPr="007670E8">
        <w:rPr>
          <w:i/>
        </w:rPr>
        <w:t>Streamlining Government Grants Administration</w:t>
      </w:r>
      <w:r>
        <w:t xml:space="preserve"> agenda.</w:t>
      </w:r>
    </w:p>
    <w:p w14:paraId="3D6E43F3" w14:textId="77777777" w:rsidR="00AE425A" w:rsidRDefault="00AE425A" w:rsidP="00AE425A">
      <w:pPr>
        <w:pStyle w:val="BodyText"/>
      </w:pPr>
      <w:r>
        <w:t>The changes will make the Guidelines:</w:t>
      </w:r>
    </w:p>
    <w:p w14:paraId="4A318CE1" w14:textId="77777777" w:rsidR="00AE425A" w:rsidRDefault="00AE425A" w:rsidP="00AE425A">
      <w:pPr>
        <w:pStyle w:val="BodyText"/>
        <w:numPr>
          <w:ilvl w:val="0"/>
          <w:numId w:val="27"/>
        </w:numPr>
        <w:ind w:left="426"/>
      </w:pPr>
      <w:r>
        <w:rPr>
          <w:b/>
        </w:rPr>
        <w:t xml:space="preserve">Easier to read - </w:t>
      </w:r>
      <w:r>
        <w:t xml:space="preserve">The new Grant Opportunity Guidelines (GOGs) will be on the whole-of-Government template and will use the same terminology as other Australian Government agencies. This will mean that the GOGs format and language will be familiar whenever you apply for funding from an Australian Government agency. </w:t>
      </w:r>
    </w:p>
    <w:p w14:paraId="69F67824" w14:textId="77777777" w:rsidR="00AE425A" w:rsidRDefault="00AE425A" w:rsidP="00AE425A">
      <w:pPr>
        <w:pStyle w:val="BodyText"/>
        <w:numPr>
          <w:ilvl w:val="0"/>
          <w:numId w:val="27"/>
        </w:numPr>
        <w:ind w:left="426"/>
      </w:pPr>
      <w:r>
        <w:rPr>
          <w:b/>
        </w:rPr>
        <w:t xml:space="preserve">Easier to understand program requirements </w:t>
      </w:r>
      <w:r w:rsidRPr="007670E8">
        <w:rPr>
          <w:b/>
        </w:rPr>
        <w:t xml:space="preserve">- </w:t>
      </w:r>
      <w:r>
        <w:t xml:space="preserve">Instead of an overarching set of IAS Guidelines, each funding opportunity will have its own GOGs. Each set of GOGs will provide detailed information about the specific funding opportunity and the criteria to be addressed - this should make it easier to decide whether to apply for funding. </w:t>
      </w:r>
    </w:p>
    <w:p w14:paraId="2F6BE634" w14:textId="77777777" w:rsidR="00AE425A" w:rsidRDefault="00AE425A" w:rsidP="00AE425A">
      <w:pPr>
        <w:pStyle w:val="BodyText"/>
        <w:numPr>
          <w:ilvl w:val="0"/>
          <w:numId w:val="27"/>
        </w:numPr>
        <w:ind w:left="426" w:hanging="426"/>
        <w:jc w:val="both"/>
      </w:pPr>
      <w:r w:rsidRPr="006F550F">
        <w:rPr>
          <w:b/>
        </w:rPr>
        <w:t xml:space="preserve">Give preference to fund suitable Indigenous organisations </w:t>
      </w:r>
      <w:r>
        <w:t xml:space="preserve">- a framework is clearly outlined in the GOGs to give preference for funding to organisations with the highest level of Indigenous involvement. This supports our commitment to </w:t>
      </w:r>
      <w:r w:rsidRPr="007217DB">
        <w:t>working with</w:t>
      </w:r>
      <w:r>
        <w:t xml:space="preserve"> Indigenous Australians to maximise their influence over the design and implementation of grant-funded activities that are intended to benefit them. </w:t>
      </w:r>
    </w:p>
    <w:p w14:paraId="596B2CA9" w14:textId="77777777" w:rsidR="00AE425A" w:rsidRDefault="00AE425A" w:rsidP="00AE425A">
      <w:pPr>
        <w:pStyle w:val="BodyText"/>
        <w:numPr>
          <w:ilvl w:val="1"/>
          <w:numId w:val="27"/>
        </w:numPr>
        <w:ind w:left="1418" w:hanging="284"/>
      </w:pPr>
      <w:r>
        <w:t xml:space="preserve">This does </w:t>
      </w:r>
      <w:r w:rsidRPr="007F07F1">
        <w:rPr>
          <w:b/>
        </w:rPr>
        <w:t xml:space="preserve">not </w:t>
      </w:r>
      <w:r>
        <w:t xml:space="preserve">mean that non-Indigenous organisations cannot be funded under the IAS. However, they will be expected to demonstrate a commitment to Indigenous employment and engagement. </w:t>
      </w:r>
    </w:p>
    <w:p w14:paraId="7F9D2C14" w14:textId="77777777" w:rsidR="00B31D87" w:rsidRDefault="00B31D87" w:rsidP="00B31D87">
      <w:pPr>
        <w:pStyle w:val="BodyText"/>
      </w:pPr>
      <w:r>
        <w:t>The new Grant Opportunity Guidelines (GOGs) will be published on GrantConnect (</w:t>
      </w:r>
      <w:hyperlink r:id="rId12" w:history="1">
        <w:r w:rsidRPr="00DE49FC">
          <w:rPr>
            <w:rStyle w:val="Hyperlink"/>
          </w:rPr>
          <w:t>grants.gov.au</w:t>
        </w:r>
      </w:hyperlink>
      <w:r>
        <w:t>).</w:t>
      </w:r>
    </w:p>
    <w:p w14:paraId="4BB0EF8E" w14:textId="77777777" w:rsidR="003F5F4B" w:rsidRDefault="00B31D87" w:rsidP="00B31D87">
      <w:pPr>
        <w:pStyle w:val="Heading3"/>
      </w:pPr>
      <w:r>
        <w:t>Applying for Funding</w:t>
      </w:r>
    </w:p>
    <w:p w14:paraId="5DE2F0D4" w14:textId="77777777" w:rsidR="00B31D87" w:rsidRDefault="00B31D87" w:rsidP="00B31D87">
      <w:pPr>
        <w:pStyle w:val="BodyText"/>
      </w:pPr>
      <w:r>
        <w:t xml:space="preserve">If you are interested in applying for IAS funding, you can see current and forecasted opportunities by going to </w:t>
      </w:r>
      <w:hyperlink r:id="rId13" w:history="1">
        <w:r w:rsidRPr="00B46353">
          <w:rPr>
            <w:rStyle w:val="Hyperlink"/>
          </w:rPr>
          <w:t>grants.gov.au</w:t>
        </w:r>
      </w:hyperlink>
      <w:r>
        <w:t xml:space="preserve">. </w:t>
      </w:r>
    </w:p>
    <w:p w14:paraId="663DD17A" w14:textId="77777777" w:rsidR="00B31D87" w:rsidRDefault="00B31D87" w:rsidP="00B31D87">
      <w:pPr>
        <w:pStyle w:val="BodyText"/>
      </w:pPr>
      <w:r>
        <w:t>You can also contact your local NIAA Regional Office (</w:t>
      </w:r>
      <w:hyperlink r:id="rId14" w:history="1">
        <w:r>
          <w:rPr>
            <w:rStyle w:val="Hyperlink"/>
          </w:rPr>
          <w:t>indigenous.gov.au/regional-offices/list-view</w:t>
        </w:r>
      </w:hyperlink>
      <w:r>
        <w:t>).</w:t>
      </w:r>
    </w:p>
    <w:p w14:paraId="6C9A14B4" w14:textId="77777777" w:rsidR="00B31D87" w:rsidRDefault="00B31D87" w:rsidP="00B31D87">
      <w:pPr>
        <w:pStyle w:val="Heading3"/>
      </w:pPr>
      <w:r>
        <w:t>Community Initiated Proposals</w:t>
      </w:r>
    </w:p>
    <w:p w14:paraId="6E191FFE" w14:textId="77777777" w:rsidR="00B31D87" w:rsidRDefault="00B31D87" w:rsidP="00B31D87">
      <w:pPr>
        <w:pStyle w:val="BodyText"/>
      </w:pPr>
      <w:r>
        <w:t xml:space="preserve">Communities, organisations, businesses and individuals will still be able to approach the Agency with funding proposals. This will take place under the </w:t>
      </w:r>
      <w:r w:rsidRPr="00C46054">
        <w:rPr>
          <w:i/>
        </w:rPr>
        <w:t xml:space="preserve">Agency Collaborates </w:t>
      </w:r>
      <w:r>
        <w:t xml:space="preserve">Grant Opportunity Guidelines (GOGs). </w:t>
      </w:r>
    </w:p>
    <w:p w14:paraId="54ED54F9" w14:textId="77777777" w:rsidR="00B31D87" w:rsidRDefault="00B31D87" w:rsidP="00B31D87">
      <w:pPr>
        <w:pStyle w:val="BodyText"/>
      </w:pPr>
      <w:r>
        <w:t>Before considering this pathway, you should check GrantConnect (</w:t>
      </w:r>
      <w:hyperlink r:id="rId15" w:history="1">
        <w:r w:rsidRPr="00DE49FC">
          <w:rPr>
            <w:rStyle w:val="Hyperlink"/>
          </w:rPr>
          <w:t>grants.gov.au</w:t>
        </w:r>
      </w:hyperlink>
      <w:r>
        <w:t xml:space="preserve">) for other funding opportunities that may align with your idea. IAS funding must be invested strategically to achieve best outcomes for Aboriginal and Torres Strait Islander Australians, and so the Agency would not generally fund a proposal that could be funded through another pathway. </w:t>
      </w:r>
    </w:p>
    <w:p w14:paraId="2FE1BE7B" w14:textId="77777777" w:rsidR="00B31D87" w:rsidRDefault="00B31D87" w:rsidP="00B31D87">
      <w:pPr>
        <w:pStyle w:val="BodyText"/>
      </w:pPr>
      <w:r>
        <w:lastRenderedPageBreak/>
        <w:t xml:space="preserve">We recognise that preparing a grant application is a significant commitment of time for any organisation. The Agency will therefore review your funding proposal, before you are asked to prepare a full application. </w:t>
      </w:r>
    </w:p>
    <w:p w14:paraId="02554F5A" w14:textId="77777777" w:rsidR="00B31D87" w:rsidRDefault="00B31D87" w:rsidP="00B31D87">
      <w:pPr>
        <w:pStyle w:val="BodyText"/>
      </w:pPr>
      <w:r>
        <w:t xml:space="preserve">Your proposal will be reviewed in the context of the criteria in the </w:t>
      </w:r>
      <w:r>
        <w:rPr>
          <w:i/>
        </w:rPr>
        <w:t xml:space="preserve">Agency Collaborates </w:t>
      </w:r>
      <w:r>
        <w:t xml:space="preserve">GOGs, </w:t>
      </w:r>
      <w:r w:rsidRPr="00C46054">
        <w:t>regional strategies and program priorities.</w:t>
      </w:r>
      <w:r>
        <w:t xml:space="preserve"> By doing this, we can make sure that you are not asked to invest resources in preparing applications for proposals that cannot be funded under the IAS or are unlikely to succeed. </w:t>
      </w:r>
    </w:p>
    <w:p w14:paraId="1DD1DAEE" w14:textId="77777777" w:rsidR="00B31D87" w:rsidRDefault="00B31D87" w:rsidP="00B31D87">
      <w:pPr>
        <w:pStyle w:val="Heading3"/>
      </w:pPr>
      <w:r>
        <w:t>Applications</w:t>
      </w:r>
      <w:bookmarkStart w:id="0" w:name="_GoBack"/>
      <w:bookmarkEnd w:id="0"/>
      <w:r>
        <w:t xml:space="preserve"> Submitted Before 26 July 2021</w:t>
      </w:r>
    </w:p>
    <w:p w14:paraId="16C8AEE3" w14:textId="77777777" w:rsidR="00B31D87" w:rsidRDefault="00B31D87" w:rsidP="00B31D87">
      <w:pPr>
        <w:pStyle w:val="BodyText"/>
      </w:pPr>
      <w:r>
        <w:t xml:space="preserve">If you have submitted an application for funding under the previous Guidelines, your application will be assessed against the guidelines that were in effect at the time it was lodged. If your application was lodged before publication of the new </w:t>
      </w:r>
      <w:r>
        <w:rPr>
          <w:i/>
        </w:rPr>
        <w:t xml:space="preserve">Agency Collaborates Guidelines </w:t>
      </w:r>
      <w:r>
        <w:t>on 26 July 2021, no further action is required (unless the Agency requests further information).</w:t>
      </w:r>
    </w:p>
    <w:p w14:paraId="2BE9FD74" w14:textId="77777777" w:rsidR="00B31D87" w:rsidRPr="003F632F" w:rsidRDefault="00B31D87" w:rsidP="00B31D87">
      <w:pPr>
        <w:pStyle w:val="BodyText"/>
      </w:pPr>
      <w:r>
        <w:t>If you have a Community Led Initial Proposal being considered, contact your NIAA Regional Office to discuss next steps.</w:t>
      </w:r>
    </w:p>
    <w:p w14:paraId="4AAD0D74" w14:textId="77777777" w:rsidR="00B31D87" w:rsidRPr="00B31D87" w:rsidRDefault="00B31D87" w:rsidP="00B31D87">
      <w:pPr>
        <w:pStyle w:val="BodyText"/>
      </w:pPr>
    </w:p>
    <w:sectPr w:rsidR="00B31D87" w:rsidRPr="00B31D87" w:rsidSect="001E4245">
      <w:headerReference w:type="default" r:id="rId16"/>
      <w:footerReference w:type="default" r:id="rId17"/>
      <w:headerReference w:type="first" r:id="rId18"/>
      <w:footerReference w:type="first" r:id="rId19"/>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A34BF" w14:textId="77777777" w:rsidR="00123ACA" w:rsidRDefault="00123ACA" w:rsidP="00B95533">
      <w:pPr>
        <w:spacing w:after="0" w:line="240" w:lineRule="auto"/>
      </w:pPr>
      <w:r>
        <w:separator/>
      </w:r>
    </w:p>
  </w:endnote>
  <w:endnote w:type="continuationSeparator" w:id="0">
    <w:p w14:paraId="5E24A1AB" w14:textId="77777777" w:rsidR="00123ACA" w:rsidRDefault="00123ACA"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1E520C3B" w14:textId="77777777" w:rsidR="009672EB" w:rsidRPr="00B87E45" w:rsidRDefault="008D3C19" w:rsidP="001007B9">
        <w:pPr>
          <w:pStyle w:val="ProtectiveMarking"/>
        </w:pPr>
        <w:r>
          <w:t>OFFICIAL</w:t>
        </w:r>
      </w:p>
    </w:sdtContent>
  </w:sdt>
  <w:p w14:paraId="4CAC0448"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7ADCAB4B" wp14:editId="7EA4552D">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9F5AA2"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0164A626" wp14:editId="0D46AA98">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5AE81B87"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123ACA">
                            <w:rPr>
                              <w:noProof/>
                              <w:color w:val="25303B" w:themeColor="accent1"/>
                            </w:rPr>
                            <w:t>2</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64A626"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5AE81B87"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123ACA">
                      <w:rPr>
                        <w:noProof/>
                        <w:color w:val="25303B" w:themeColor="accent1"/>
                      </w:rPr>
                      <w:t>2</w:t>
                    </w:r>
                    <w:r w:rsidRPr="00F97B14">
                      <w:rPr>
                        <w:color w:val="25303B" w:themeColor="accent1"/>
                      </w:rPr>
                      <w:fldChar w:fldCharType="end"/>
                    </w:r>
                  </w:p>
                </w:txbxContent>
              </v:textbox>
              <w10:wrap anchorx="margin" anchory="page"/>
              <w10:anchorlock/>
            </v:shape>
          </w:pict>
        </mc:Fallback>
      </mc:AlternateContent>
    </w:r>
  </w:p>
  <w:p w14:paraId="7E2D179E" w14:textId="77777777"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44B1CBE2E64841B595824FBF21FB8F6E"/>
        </w:placeholder>
        <w:dataBinding w:xpath="/root[1]/SectionName[1]" w:storeItemID="{F533AE62-A212-4B26-92DA-A3B336E8AE06}"/>
        <w:text/>
      </w:sdtPr>
      <w:sdtEndPr/>
      <w:sdtContent>
        <w:r w:rsidR="008D3C19">
          <w:rPr>
            <w:color w:val="25303B" w:themeColor="accent1"/>
          </w:rPr>
          <w:t>Grant Design Branch</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123ACA">
      <w:rPr>
        <w:noProof/>
        <w:color w:val="25303B" w:themeColor="accent1"/>
      </w:rPr>
      <w:t>Indigenous Advancement Strategy (IAS) Guidelines - Factsheet</w:t>
    </w:r>
    <w:r w:rsidRPr="0040648D">
      <w:rPr>
        <w:color w:val="25303B"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7C4EB3EC" w14:textId="77777777" w:rsidR="009672EB" w:rsidRPr="00B87E45" w:rsidRDefault="008D3C19" w:rsidP="00917F95">
        <w:pPr>
          <w:pStyle w:val="ProtectiveMarking"/>
        </w:pPr>
        <w:r>
          <w:t>OFFICIAL</w:t>
        </w:r>
      </w:p>
    </w:sdtContent>
  </w:sdt>
  <w:p w14:paraId="725971BF"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674D2FA0" wp14:editId="1728F13B">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BCE4D"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6C6DA6E4" w14:textId="77777777"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18BB31B0" wp14:editId="606DEAD4">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5DC91CFC"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123ACA">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BB31B0"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5DC91CFC"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123ACA">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placeholder/>
        <w:dataBinding w:xpath="/root[1]/SectionName[1]" w:storeItemID="{F533AE62-A212-4B26-92DA-A3B336E8AE06}"/>
        <w:text/>
      </w:sdtPr>
      <w:sdtEndPr/>
      <w:sdtContent>
        <w:r w:rsidR="008D3C19">
          <w:rPr>
            <w:color w:val="25303B" w:themeColor="accent1"/>
          </w:rPr>
          <w:t>Grant Design Branch</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123ACA">
      <w:rPr>
        <w:noProof/>
        <w:color w:val="25303B" w:themeColor="accent1"/>
      </w:rPr>
      <w:t>Indigenous Advancement Strategy (IAS) Guidelines - Factsheet</w:t>
    </w:r>
    <w:r w:rsidRPr="0040648D">
      <w:rPr>
        <w:color w:val="25303B"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B329F" w14:textId="77777777" w:rsidR="00123ACA" w:rsidRPr="007A6FC6" w:rsidRDefault="00123ACA" w:rsidP="00B95533">
      <w:pPr>
        <w:spacing w:after="0" w:line="240" w:lineRule="auto"/>
        <w:rPr>
          <w:color w:val="BEA887" w:themeColor="accent2"/>
        </w:rPr>
      </w:pPr>
      <w:r w:rsidRPr="007A6FC6">
        <w:rPr>
          <w:color w:val="BEA887" w:themeColor="accent2"/>
        </w:rPr>
        <w:separator/>
      </w:r>
    </w:p>
  </w:footnote>
  <w:footnote w:type="continuationSeparator" w:id="0">
    <w:p w14:paraId="6B073475" w14:textId="77777777" w:rsidR="00123ACA" w:rsidRPr="007A6FC6" w:rsidRDefault="00123ACA"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B92E" w14:textId="77777777" w:rsidR="009672EB" w:rsidRDefault="00123ACA" w:rsidP="009672EB">
    <w:pPr>
      <w:pStyle w:val="ProtectiveMarking"/>
    </w:pPr>
    <w:sdt>
      <w:sdtPr>
        <w:alias w:val="Classification"/>
        <w:tag w:val="Classification"/>
        <w:id w:val="1456145015"/>
        <w:dataBinding w:xpath="/root[1]/Classification[1]" w:storeItemID="{F533AE62-A212-4B26-92DA-A3B336E8AE06}"/>
        <w:text/>
      </w:sdtPr>
      <w:sdtEndPr/>
      <w:sdtContent>
        <w:r w:rsidR="008D3C19">
          <w:t>OFFICIAL</w:t>
        </w:r>
      </w:sdtContent>
    </w:sdt>
  </w:p>
  <w:p w14:paraId="3F69F02E" w14:textId="77777777" w:rsidR="009672EB" w:rsidRDefault="009672EB">
    <w:pPr>
      <w:pStyle w:val="Header"/>
    </w:pPr>
    <w:r>
      <w:rPr>
        <w:noProof/>
        <w:lang w:eastAsia="en-AU"/>
      </w:rPr>
      <w:drawing>
        <wp:anchor distT="0" distB="0" distL="114300" distR="114300" simplePos="0" relativeHeight="251714560" behindDoc="0" locked="1" layoutInCell="1" allowOverlap="1" wp14:anchorId="6B3E0CE6" wp14:editId="4681C12D">
          <wp:simplePos x="0" y="0"/>
          <wp:positionH relativeFrom="margin">
            <wp:align>left</wp:align>
          </wp:positionH>
          <wp:positionV relativeFrom="page">
            <wp:posOffset>628650</wp:posOffset>
          </wp:positionV>
          <wp:extent cx="6480000" cy="186711"/>
          <wp:effectExtent l="0" t="0" r="0" b="381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2FDFB6" w14:textId="77777777" w:rsidR="009672EB" w:rsidRDefault="0096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495B5" w14:textId="77777777" w:rsidR="009672EB" w:rsidRDefault="000756F7">
    <w:pPr>
      <w:pStyle w:val="Header"/>
    </w:pPr>
    <w:r>
      <w:rPr>
        <w:noProof/>
        <w:lang w:eastAsia="en-AU"/>
      </w:rPr>
      <mc:AlternateContent>
        <mc:Choice Requires="wps">
          <w:drawing>
            <wp:anchor distT="0" distB="0" distL="114300" distR="114300" simplePos="0" relativeHeight="251720704" behindDoc="0" locked="0" layoutInCell="1" allowOverlap="1" wp14:anchorId="6B0B31D4" wp14:editId="27838897">
              <wp:simplePos x="0" y="0"/>
              <wp:positionH relativeFrom="page">
                <wp:posOffset>2852738</wp:posOffset>
              </wp:positionH>
              <wp:positionV relativeFrom="page">
                <wp:posOffset>290513</wp:posOffset>
              </wp:positionV>
              <wp:extent cx="0" cy="620077"/>
              <wp:effectExtent l="0" t="0" r="38100" b="27940"/>
              <wp:wrapNone/>
              <wp:docPr id="43" name="Straight Connector 43"/>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A7AD3" id="Straight Connector 43" o:spid="_x0000_s1026" style="position:absolute;z-index:251720704;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7PA5&#10;9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19680" behindDoc="0" locked="1" layoutInCell="1" allowOverlap="1" wp14:anchorId="7C1BE0BE" wp14:editId="5489DBB3">
              <wp:simplePos x="0" y="0"/>
              <wp:positionH relativeFrom="page">
                <wp:posOffset>0</wp:posOffset>
              </wp:positionH>
              <wp:positionV relativeFrom="page">
                <wp:posOffset>1153160</wp:posOffset>
              </wp:positionV>
              <wp:extent cx="3096000" cy="143510"/>
              <wp:effectExtent l="0" t="0" r="9525" b="88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403A6811"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1BE0BE" id="_x0000_t202" coordsize="21600,21600" o:spt="202" path="m,l,21600r21600,l21600,xe">
              <v:stroke joinstyle="miter"/>
              <v:path gradientshapeok="t" o:connecttype="rect"/>
            </v:shapetype>
            <v:shape id="_x0000_s1028" type="#_x0000_t202" style="position:absolute;margin-left:0;margin-top:90.8pt;width:243.8pt;height:11.3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EnCgIAAPEDAAAOAAAAZHJzL2Uyb0RvYy54bWysU9tu2zAMfR+wfxD0vthJk6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" filled="f" stroked="f">
              <v:textbox inset="15mm,0,0,0">
                <w:txbxContent>
                  <w:p w14:paraId="403A6811"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8656" behindDoc="0" locked="1" layoutInCell="1" allowOverlap="1" wp14:anchorId="47BE3379" wp14:editId="66C993CD">
          <wp:simplePos x="0" y="0"/>
          <wp:positionH relativeFrom="page">
            <wp:posOffset>3020060</wp:posOffset>
          </wp:positionH>
          <wp:positionV relativeFrom="page">
            <wp:posOffset>292735</wp:posOffset>
          </wp:positionV>
          <wp:extent cx="1580400" cy="518400"/>
          <wp:effectExtent l="0" t="0" r="1270" b="0"/>
          <wp:wrapNone/>
          <wp:docPr id="46" name="Graphic 16" title="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7632" behindDoc="0" locked="0" layoutInCell="1" allowOverlap="1" wp14:anchorId="5E38206C" wp14:editId="2A40C03A">
          <wp:simplePos x="0" y="0"/>
          <wp:positionH relativeFrom="page">
            <wp:posOffset>537845</wp:posOffset>
          </wp:positionH>
          <wp:positionV relativeFrom="page">
            <wp:posOffset>258445</wp:posOffset>
          </wp:positionV>
          <wp:extent cx="2123440" cy="640080"/>
          <wp:effectExtent l="0" t="0" r="0" b="7620"/>
          <wp:wrapNone/>
          <wp:docPr id="47" name="Graphic 19"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16608" behindDoc="0" locked="1" layoutInCell="1" allowOverlap="1" wp14:anchorId="111B479E" wp14:editId="5E972401">
          <wp:simplePos x="0" y="0"/>
          <wp:positionH relativeFrom="page">
            <wp:align>left</wp:align>
          </wp:positionH>
          <wp:positionV relativeFrom="page">
            <wp:align>top</wp:align>
          </wp:positionV>
          <wp:extent cx="7448400" cy="1328400"/>
          <wp:effectExtent l="0" t="0" r="635" b="5715"/>
          <wp:wrapSquare wrapText="bothSides"/>
          <wp:docPr id="4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0" w15:restartNumberingAfterBreak="0">
    <w:nsid w:val="7E642997"/>
    <w:multiLevelType w:val="hybridMultilevel"/>
    <w:tmpl w:val="63BCAA6A"/>
    <w:lvl w:ilvl="0" w:tplc="08090001">
      <w:start w:val="1"/>
      <w:numFmt w:val="bullet"/>
      <w:lvlText w:val=""/>
      <w:lvlJc w:val="left"/>
      <w:pPr>
        <w:ind w:left="4188" w:hanging="360"/>
      </w:pPr>
      <w:rPr>
        <w:rFonts w:ascii="Symbol" w:hAnsi="Symbol" w:hint="default"/>
      </w:rPr>
    </w:lvl>
    <w:lvl w:ilvl="1" w:tplc="08090003">
      <w:start w:val="1"/>
      <w:numFmt w:val="bullet"/>
      <w:lvlText w:val="o"/>
      <w:lvlJc w:val="left"/>
      <w:pPr>
        <w:ind w:left="4908" w:hanging="360"/>
      </w:pPr>
      <w:rPr>
        <w:rFonts w:ascii="Courier New" w:hAnsi="Courier New" w:cs="Courier New" w:hint="default"/>
      </w:rPr>
    </w:lvl>
    <w:lvl w:ilvl="2" w:tplc="08090005" w:tentative="1">
      <w:start w:val="1"/>
      <w:numFmt w:val="bullet"/>
      <w:lvlText w:val=""/>
      <w:lvlJc w:val="left"/>
      <w:pPr>
        <w:ind w:left="5628" w:hanging="360"/>
      </w:pPr>
      <w:rPr>
        <w:rFonts w:ascii="Wingdings" w:hAnsi="Wingdings" w:hint="default"/>
      </w:rPr>
    </w:lvl>
    <w:lvl w:ilvl="3" w:tplc="08090001" w:tentative="1">
      <w:start w:val="1"/>
      <w:numFmt w:val="bullet"/>
      <w:lvlText w:val=""/>
      <w:lvlJc w:val="left"/>
      <w:pPr>
        <w:ind w:left="6348" w:hanging="360"/>
      </w:pPr>
      <w:rPr>
        <w:rFonts w:ascii="Symbol" w:hAnsi="Symbol" w:hint="default"/>
      </w:rPr>
    </w:lvl>
    <w:lvl w:ilvl="4" w:tplc="08090003" w:tentative="1">
      <w:start w:val="1"/>
      <w:numFmt w:val="bullet"/>
      <w:lvlText w:val="o"/>
      <w:lvlJc w:val="left"/>
      <w:pPr>
        <w:ind w:left="7068" w:hanging="360"/>
      </w:pPr>
      <w:rPr>
        <w:rFonts w:ascii="Courier New" w:hAnsi="Courier New" w:cs="Courier New" w:hint="default"/>
      </w:rPr>
    </w:lvl>
    <w:lvl w:ilvl="5" w:tplc="08090005" w:tentative="1">
      <w:start w:val="1"/>
      <w:numFmt w:val="bullet"/>
      <w:lvlText w:val=""/>
      <w:lvlJc w:val="left"/>
      <w:pPr>
        <w:ind w:left="7788" w:hanging="360"/>
      </w:pPr>
      <w:rPr>
        <w:rFonts w:ascii="Wingdings" w:hAnsi="Wingdings" w:hint="default"/>
      </w:rPr>
    </w:lvl>
    <w:lvl w:ilvl="6" w:tplc="08090001" w:tentative="1">
      <w:start w:val="1"/>
      <w:numFmt w:val="bullet"/>
      <w:lvlText w:val=""/>
      <w:lvlJc w:val="left"/>
      <w:pPr>
        <w:ind w:left="8508" w:hanging="360"/>
      </w:pPr>
      <w:rPr>
        <w:rFonts w:ascii="Symbol" w:hAnsi="Symbol" w:hint="default"/>
      </w:rPr>
    </w:lvl>
    <w:lvl w:ilvl="7" w:tplc="08090003" w:tentative="1">
      <w:start w:val="1"/>
      <w:numFmt w:val="bullet"/>
      <w:lvlText w:val="o"/>
      <w:lvlJc w:val="left"/>
      <w:pPr>
        <w:ind w:left="9228" w:hanging="360"/>
      </w:pPr>
      <w:rPr>
        <w:rFonts w:ascii="Courier New" w:hAnsi="Courier New" w:cs="Courier New" w:hint="default"/>
      </w:rPr>
    </w:lvl>
    <w:lvl w:ilvl="8" w:tplc="08090005" w:tentative="1">
      <w:start w:val="1"/>
      <w:numFmt w:val="bullet"/>
      <w:lvlText w:val=""/>
      <w:lvlJc w:val="left"/>
      <w:pPr>
        <w:ind w:left="9948"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4"/>
  </w:num>
  <w:num w:numId="20">
    <w:abstractNumId w:val="9"/>
  </w:num>
  <w:num w:numId="21">
    <w:abstractNumId w:val="0"/>
  </w:num>
  <w:num w:numId="22">
    <w:abstractNumId w:val="7"/>
  </w:num>
  <w:num w:numId="23">
    <w:abstractNumId w:val="7"/>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CA"/>
    <w:rsid w:val="00002F73"/>
    <w:rsid w:val="00007EB1"/>
    <w:rsid w:val="00014206"/>
    <w:rsid w:val="000230F3"/>
    <w:rsid w:val="00023AC4"/>
    <w:rsid w:val="000304B2"/>
    <w:rsid w:val="00031B5C"/>
    <w:rsid w:val="00034193"/>
    <w:rsid w:val="00034FEC"/>
    <w:rsid w:val="000407C0"/>
    <w:rsid w:val="0004082F"/>
    <w:rsid w:val="00042E89"/>
    <w:rsid w:val="00044BF9"/>
    <w:rsid w:val="000503A6"/>
    <w:rsid w:val="00053CD9"/>
    <w:rsid w:val="00057B46"/>
    <w:rsid w:val="00063034"/>
    <w:rsid w:val="00073D52"/>
    <w:rsid w:val="000756F7"/>
    <w:rsid w:val="00076AD1"/>
    <w:rsid w:val="000803CA"/>
    <w:rsid w:val="00091BCD"/>
    <w:rsid w:val="0009265A"/>
    <w:rsid w:val="00094B02"/>
    <w:rsid w:val="0009590F"/>
    <w:rsid w:val="00095BF3"/>
    <w:rsid w:val="000A041E"/>
    <w:rsid w:val="000A08CA"/>
    <w:rsid w:val="000A0E4C"/>
    <w:rsid w:val="000D106A"/>
    <w:rsid w:val="000D113F"/>
    <w:rsid w:val="000E351D"/>
    <w:rsid w:val="000E60F7"/>
    <w:rsid w:val="000F1B86"/>
    <w:rsid w:val="000F23B0"/>
    <w:rsid w:val="000F5917"/>
    <w:rsid w:val="001007B9"/>
    <w:rsid w:val="00105ECB"/>
    <w:rsid w:val="001205C8"/>
    <w:rsid w:val="00123ACA"/>
    <w:rsid w:val="00131315"/>
    <w:rsid w:val="00132268"/>
    <w:rsid w:val="001336CF"/>
    <w:rsid w:val="00143288"/>
    <w:rsid w:val="0015537B"/>
    <w:rsid w:val="0016781C"/>
    <w:rsid w:val="001727AF"/>
    <w:rsid w:val="00176EA5"/>
    <w:rsid w:val="00177611"/>
    <w:rsid w:val="0017798C"/>
    <w:rsid w:val="001809C6"/>
    <w:rsid w:val="00181C56"/>
    <w:rsid w:val="001850CB"/>
    <w:rsid w:val="001953CF"/>
    <w:rsid w:val="00195BA8"/>
    <w:rsid w:val="001A1957"/>
    <w:rsid w:val="001A2F86"/>
    <w:rsid w:val="001B0144"/>
    <w:rsid w:val="001B10ED"/>
    <w:rsid w:val="001C2FC8"/>
    <w:rsid w:val="001D283B"/>
    <w:rsid w:val="001E4245"/>
    <w:rsid w:val="001F0654"/>
    <w:rsid w:val="001F3722"/>
    <w:rsid w:val="001F738E"/>
    <w:rsid w:val="0020007C"/>
    <w:rsid w:val="0021247A"/>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94D1D"/>
    <w:rsid w:val="002955DD"/>
    <w:rsid w:val="002A0289"/>
    <w:rsid w:val="002A371E"/>
    <w:rsid w:val="002B4B0A"/>
    <w:rsid w:val="002C0866"/>
    <w:rsid w:val="002C5F5B"/>
    <w:rsid w:val="002C777D"/>
    <w:rsid w:val="002D40B1"/>
    <w:rsid w:val="002D45CD"/>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C6961"/>
    <w:rsid w:val="003D21A3"/>
    <w:rsid w:val="003D33F7"/>
    <w:rsid w:val="003E6B8B"/>
    <w:rsid w:val="003F017E"/>
    <w:rsid w:val="003F17BC"/>
    <w:rsid w:val="003F1A1E"/>
    <w:rsid w:val="003F5F4B"/>
    <w:rsid w:val="003F7E70"/>
    <w:rsid w:val="0040648D"/>
    <w:rsid w:val="00414CEB"/>
    <w:rsid w:val="004163FA"/>
    <w:rsid w:val="00423E92"/>
    <w:rsid w:val="004257F1"/>
    <w:rsid w:val="004366AE"/>
    <w:rsid w:val="0044371A"/>
    <w:rsid w:val="00454696"/>
    <w:rsid w:val="004616FF"/>
    <w:rsid w:val="004759ED"/>
    <w:rsid w:val="004945F7"/>
    <w:rsid w:val="004957BB"/>
    <w:rsid w:val="00497F14"/>
    <w:rsid w:val="004B2CB0"/>
    <w:rsid w:val="004B7B8B"/>
    <w:rsid w:val="004C18F6"/>
    <w:rsid w:val="004C6518"/>
    <w:rsid w:val="004D0B40"/>
    <w:rsid w:val="004D24EB"/>
    <w:rsid w:val="004D688C"/>
    <w:rsid w:val="004E58AE"/>
    <w:rsid w:val="004F20A9"/>
    <w:rsid w:val="004F73E8"/>
    <w:rsid w:val="0051316F"/>
    <w:rsid w:val="00523958"/>
    <w:rsid w:val="0053301E"/>
    <w:rsid w:val="005370B2"/>
    <w:rsid w:val="005400C8"/>
    <w:rsid w:val="00543E44"/>
    <w:rsid w:val="00543FDE"/>
    <w:rsid w:val="00552F1C"/>
    <w:rsid w:val="00562166"/>
    <w:rsid w:val="00574F28"/>
    <w:rsid w:val="00576C8D"/>
    <w:rsid w:val="0058793B"/>
    <w:rsid w:val="005917FA"/>
    <w:rsid w:val="00596D03"/>
    <w:rsid w:val="005A0DE7"/>
    <w:rsid w:val="005A355D"/>
    <w:rsid w:val="005B210C"/>
    <w:rsid w:val="005B241C"/>
    <w:rsid w:val="005B27D0"/>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1E36"/>
    <w:rsid w:val="00663EAD"/>
    <w:rsid w:val="006674FC"/>
    <w:rsid w:val="006719C9"/>
    <w:rsid w:val="00675B34"/>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711110"/>
    <w:rsid w:val="00714E79"/>
    <w:rsid w:val="007239F8"/>
    <w:rsid w:val="00753B4D"/>
    <w:rsid w:val="00754949"/>
    <w:rsid w:val="007660B9"/>
    <w:rsid w:val="00780AC4"/>
    <w:rsid w:val="00781797"/>
    <w:rsid w:val="007836C4"/>
    <w:rsid w:val="007956C4"/>
    <w:rsid w:val="007A27C5"/>
    <w:rsid w:val="007A52E1"/>
    <w:rsid w:val="007A6FC6"/>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DED"/>
    <w:rsid w:val="00877425"/>
    <w:rsid w:val="008777F4"/>
    <w:rsid w:val="00880786"/>
    <w:rsid w:val="008A6759"/>
    <w:rsid w:val="008B13B1"/>
    <w:rsid w:val="008B493F"/>
    <w:rsid w:val="008C115E"/>
    <w:rsid w:val="008D0504"/>
    <w:rsid w:val="008D1256"/>
    <w:rsid w:val="008D275A"/>
    <w:rsid w:val="008D3C19"/>
    <w:rsid w:val="008E109E"/>
    <w:rsid w:val="008E66E6"/>
    <w:rsid w:val="008F112A"/>
    <w:rsid w:val="00900D4B"/>
    <w:rsid w:val="009014BC"/>
    <w:rsid w:val="00902CAC"/>
    <w:rsid w:val="009036CA"/>
    <w:rsid w:val="00917F95"/>
    <w:rsid w:val="00923EDF"/>
    <w:rsid w:val="00935AD4"/>
    <w:rsid w:val="00937CE1"/>
    <w:rsid w:val="0094513B"/>
    <w:rsid w:val="0094688C"/>
    <w:rsid w:val="00963FB3"/>
    <w:rsid w:val="009672EB"/>
    <w:rsid w:val="00973090"/>
    <w:rsid w:val="0099436F"/>
    <w:rsid w:val="009959E0"/>
    <w:rsid w:val="00996BEA"/>
    <w:rsid w:val="009A33FB"/>
    <w:rsid w:val="009A5056"/>
    <w:rsid w:val="009B1A44"/>
    <w:rsid w:val="009B300F"/>
    <w:rsid w:val="009B4379"/>
    <w:rsid w:val="009D161E"/>
    <w:rsid w:val="009F751D"/>
    <w:rsid w:val="00A00EF2"/>
    <w:rsid w:val="00A069F9"/>
    <w:rsid w:val="00A07F0E"/>
    <w:rsid w:val="00A10AC2"/>
    <w:rsid w:val="00A173EC"/>
    <w:rsid w:val="00A17F9A"/>
    <w:rsid w:val="00A3076D"/>
    <w:rsid w:val="00A346CA"/>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1AA3"/>
    <w:rsid w:val="00AC4EB2"/>
    <w:rsid w:val="00AC7F21"/>
    <w:rsid w:val="00AD0F94"/>
    <w:rsid w:val="00AE0E38"/>
    <w:rsid w:val="00AE11C4"/>
    <w:rsid w:val="00AE297B"/>
    <w:rsid w:val="00AE425A"/>
    <w:rsid w:val="00AE58D5"/>
    <w:rsid w:val="00AE6686"/>
    <w:rsid w:val="00AF7794"/>
    <w:rsid w:val="00B0259B"/>
    <w:rsid w:val="00B06546"/>
    <w:rsid w:val="00B13055"/>
    <w:rsid w:val="00B24D0A"/>
    <w:rsid w:val="00B31D87"/>
    <w:rsid w:val="00B3317D"/>
    <w:rsid w:val="00B36583"/>
    <w:rsid w:val="00B37705"/>
    <w:rsid w:val="00B455C1"/>
    <w:rsid w:val="00B53058"/>
    <w:rsid w:val="00B83B2F"/>
    <w:rsid w:val="00B87E45"/>
    <w:rsid w:val="00B95533"/>
    <w:rsid w:val="00BB0F68"/>
    <w:rsid w:val="00BB1FFF"/>
    <w:rsid w:val="00BB2567"/>
    <w:rsid w:val="00BC24CA"/>
    <w:rsid w:val="00BD113A"/>
    <w:rsid w:val="00BD2B9F"/>
    <w:rsid w:val="00BD35B3"/>
    <w:rsid w:val="00BD3DA8"/>
    <w:rsid w:val="00BD45D5"/>
    <w:rsid w:val="00BE64F3"/>
    <w:rsid w:val="00C00697"/>
    <w:rsid w:val="00C0095A"/>
    <w:rsid w:val="00C241A5"/>
    <w:rsid w:val="00C464A7"/>
    <w:rsid w:val="00C511C3"/>
    <w:rsid w:val="00C51C42"/>
    <w:rsid w:val="00C52329"/>
    <w:rsid w:val="00C5771B"/>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7819"/>
    <w:rsid w:val="00D171A8"/>
    <w:rsid w:val="00D41A54"/>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D6C35"/>
    <w:rsid w:val="00DE193D"/>
    <w:rsid w:val="00DE710F"/>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E08F2"/>
    <w:rsid w:val="00EE1DD7"/>
    <w:rsid w:val="00EF125F"/>
    <w:rsid w:val="00EF2497"/>
    <w:rsid w:val="00EF38A6"/>
    <w:rsid w:val="00F017E0"/>
    <w:rsid w:val="00F03B20"/>
    <w:rsid w:val="00F065A0"/>
    <w:rsid w:val="00F21C70"/>
    <w:rsid w:val="00F26D11"/>
    <w:rsid w:val="00F27CBE"/>
    <w:rsid w:val="00F4121E"/>
    <w:rsid w:val="00F4212B"/>
    <w:rsid w:val="00F46D66"/>
    <w:rsid w:val="00F4704F"/>
    <w:rsid w:val="00F50EE3"/>
    <w:rsid w:val="00F651C4"/>
    <w:rsid w:val="00F7682E"/>
    <w:rsid w:val="00F92C57"/>
    <w:rsid w:val="00F9344F"/>
    <w:rsid w:val="00F97B14"/>
    <w:rsid w:val="00FB20C4"/>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CDBB6"/>
  <w14:discardImageEditingData/>
  <w15:chartTrackingRefBased/>
  <w15:docId w15:val="{18EC2B60-22F1-4808-8CAC-9C0C6E81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6F173B"/>
    <w:pPr>
      <w:keepNext/>
      <w:keepLines/>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6F173B"/>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6F173B"/>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6F173B"/>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6F173B"/>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6F173B"/>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6F173B"/>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6F173B"/>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6F173B"/>
  </w:style>
  <w:style w:type="character" w:customStyle="1" w:styleId="TitleChar">
    <w:name w:val="Title Char"/>
    <w:basedOn w:val="DefaultParagraphFont"/>
    <w:link w:val="Title"/>
    <w:rsid w:val="006F173B"/>
    <w:rPr>
      <w:rFonts w:asciiTheme="majorHAnsi" w:hAnsiTheme="majorHAnsi"/>
      <w:b/>
      <w:color w:val="DD7500" w:themeColor="accent4"/>
      <w:sz w:val="60"/>
      <w:szCs w:val="60"/>
    </w:rPr>
  </w:style>
  <w:style w:type="paragraph" w:styleId="Subtitle">
    <w:name w:val="Subtitle"/>
    <w:basedOn w:val="Normal"/>
    <w:next w:val="BodyText"/>
    <w:link w:val="SubtitleChar"/>
    <w:uiPriority w:val="1"/>
    <w:qFormat/>
    <w:rsid w:val="006F173B"/>
    <w:pPr>
      <w:numPr>
        <w:ilvl w:val="1"/>
      </w:numPr>
      <w:spacing w:before="120" w:after="360"/>
    </w:pPr>
    <w:rPr>
      <w:rFonts w:asciiTheme="majorHAnsi" w:eastAsiaTheme="minorEastAsia" w:hAnsiTheme="majorHAnsi"/>
      <w:color w:val="DD7500" w:themeColor="accent4"/>
      <w:spacing w:val="15"/>
      <w:sz w:val="28"/>
      <w:szCs w:val="22"/>
    </w:rPr>
  </w:style>
  <w:style w:type="character" w:customStyle="1" w:styleId="SubtitleChar">
    <w:name w:val="Subtitle Char"/>
    <w:basedOn w:val="DefaultParagraphFont"/>
    <w:link w:val="Subtitle"/>
    <w:uiPriority w:val="1"/>
    <w:rsid w:val="006F173B"/>
    <w:rPr>
      <w:rFonts w:asciiTheme="majorHAnsi" w:eastAsiaTheme="minorEastAsia" w:hAnsiTheme="majorHAnsi"/>
      <w:color w:val="DD7500" w:themeColor="accent4"/>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Hyperlink">
    <w:name w:val="Hyperlink"/>
    <w:basedOn w:val="DefaultParagraphFont"/>
    <w:uiPriority w:val="99"/>
    <w:unhideWhenUsed/>
    <w:rsid w:val="00B31D87"/>
    <w:rPr>
      <w:color w:val="0289C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rants.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grant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rants.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digenous.gov.au/regional-offices/list-vie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hare.internal.pmc.gov.au@SSL\DavWWWRoot\teams\msd_cb\SmallProjects\Web%20Publishing%20NIAA\niaa-2021-055%20-%20IAS%20guidelines\Webready\ias-guidelines-changes-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B1CBE2E64841B595824FBF21FB8F6E"/>
        <w:category>
          <w:name w:val="General"/>
          <w:gallery w:val="placeholder"/>
        </w:category>
        <w:types>
          <w:type w:val="bbPlcHdr"/>
        </w:types>
        <w:behaviors>
          <w:behavior w:val="content"/>
        </w:behaviors>
        <w:guid w:val="{2763ABE7-532E-4D51-A1C1-1D4C18AA4CED}"/>
      </w:docPartPr>
      <w:docPartBody>
        <w:p w:rsidR="00000000" w:rsidRDefault="007054B5">
          <w:pPr>
            <w:pStyle w:val="44B1CBE2E64841B595824FBF21FB8F6E"/>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44B1CBE2E64841B595824FBF21FB8F6E">
    <w:name w:val="44B1CBE2E64841B595824FBF21FB8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Name/>
  <Classification>OFFICIAL</Classification>
  <DLM/>
  <SectionName>Grant Design Branch</SectionName>
  <DH/>
  <Byline/>
</root>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66541c0-0594-4e6a-9105-c24d4b6de6f7">
      <UserInfo>
        <DisplayName/>
        <AccountId xsi:nil="true"/>
        <AccountType/>
      </UserInfo>
    </SharedWithUsers>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ShareHubID xmlns="166541c0-0594-4e6a-9105-c24d4b6de6f7">DOC21-191645</ShareHubID>
    <TaxCatchAll xmlns="166541c0-0594-4e6a-9105-c24d4b6de6f7">
      <Value>56</Value>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09AD00AF-A5B0-4720-B1C5-9F9147029FAD}">
  <ds:schemaRefs>
    <ds:schemaRef ds:uri="http://schemas.microsoft.com/sharepoint/v3/contenttype/forms"/>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7CBB4B70-67B8-4A52-B9B0-1E21BDD9E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99B1C-A28E-41DC-BC11-5DF6E31C9BF1}">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166541c0-0594-4e6a-9105-c24d4b6de6f7"/>
    <ds:schemaRef ds:uri="http://www.w3.org/XML/1998/namespace"/>
  </ds:schemaRefs>
</ds:datastoreItem>
</file>

<file path=customXml/itemProps5.xml><?xml version="1.0" encoding="utf-8"?>
<ds:datastoreItem xmlns:ds="http://schemas.openxmlformats.org/officeDocument/2006/customXml" ds:itemID="{C107A47C-D16F-4E0C-AA8D-309AC058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ias-guidelines-changes-factsheet.dotx</Template>
  <TotalTime>2</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Lipapis, Sia</dc:creator>
  <cp:keywords/>
  <dc:description/>
  <cp:lastModifiedBy>Lipapis, Anastasia</cp:lastModifiedBy>
  <cp:revision>1</cp:revision>
  <dcterms:created xsi:type="dcterms:W3CDTF">2021-07-05T22:47:00Z</dcterms:created>
  <dcterms:modified xsi:type="dcterms:W3CDTF">2021-07-05T22:49:00Z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56;#Official|f53c1d54-6e59-4b8b-8af5-a00f9baa8e57</vt:lpwstr>
  </property>
  <property fmtid="{D5CDD505-2E9C-101B-9397-08002B2CF9AE}" pid="5" name="HPRMSecurityLevel">
    <vt:lpwstr>57;#OFFICIAL|11463c70-78df-4e3b-b0ff-f66cd3cb26ec</vt:lpwstr>
  </property>
  <property fmtid="{D5CDD505-2E9C-101B-9397-08002B2CF9AE}" pid="6" name="PMC.ESearch.TagGeneratedTime">
    <vt:lpwstr>2021-07-06T08:52:10</vt:lpwstr>
  </property>
  <property fmtid="{D5CDD505-2E9C-101B-9397-08002B2CF9AE}" pid="7" name="Order">
    <vt:r8>2400</vt:r8>
  </property>
  <property fmtid="{D5CDD505-2E9C-101B-9397-08002B2CF9AE}" pid="8" name="vti_imgdate">
    <vt:lpwstr/>
  </property>
</Properties>
</file>