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39FECF" w14:textId="4E26784F" w:rsidR="00130497" w:rsidRPr="00FC209C" w:rsidRDefault="00B109E9" w:rsidP="005C15AB">
      <w:pPr>
        <w:pStyle w:val="Title"/>
        <w:ind w:left="4677"/>
        <w:rPr>
          <w:color w:val="000000"/>
        </w:rPr>
      </w:pPr>
      <w:r w:rsidRPr="00B109E9">
        <w:rPr>
          <w:color w:val="auto"/>
        </w:rPr>
        <w:t>Role Models and Leaders Australia</w:t>
      </w:r>
    </w:p>
    <w:p w14:paraId="497D8F76" w14:textId="77777777" w:rsidR="00B109E9" w:rsidRDefault="00B109E9" w:rsidP="00BA476F">
      <w:pPr>
        <w:pStyle w:val="Subtitle"/>
        <w:ind w:left="4677"/>
        <w:rPr>
          <w:b/>
          <w:color w:val="auto"/>
          <w:sz w:val="48"/>
          <w:szCs w:val="48"/>
        </w:rPr>
      </w:pPr>
      <w:bookmarkStart w:id="0" w:name="_GoBack"/>
      <w:r w:rsidRPr="00B109E9">
        <w:rPr>
          <w:b/>
          <w:color w:val="auto"/>
          <w:sz w:val="48"/>
          <w:szCs w:val="48"/>
        </w:rPr>
        <w:t>Evaluation of Girl</w:t>
      </w:r>
      <w:r w:rsidRPr="00B109E9">
        <w:rPr>
          <w:b/>
          <w:color w:val="auto"/>
          <w:sz w:val="48"/>
          <w:szCs w:val="48"/>
        </w:rPr>
        <w:lastRenderedPageBreak/>
        <w:t>s Academy Program: Summary Report</w:t>
      </w:r>
    </w:p>
    <w:bookmarkEnd w:id="0"/>
    <w:p w14:paraId="73995DC4" w14:textId="63E5A501" w:rsidR="00130497" w:rsidRPr="00934BC6" w:rsidRDefault="00B109E9" w:rsidP="00934BC6">
      <w:pPr>
        <w:pStyle w:val="Subtitle"/>
        <w:spacing w:before="600"/>
        <w:ind w:left="4678"/>
        <w:rPr>
          <w:color w:val="auto"/>
          <w:sz w:val="28"/>
          <w:szCs w:val="28"/>
        </w:rPr>
      </w:pPr>
      <w:r w:rsidRPr="00934BC6">
        <w:rPr>
          <w:color w:val="auto"/>
          <w:sz w:val="28"/>
          <w:szCs w:val="28"/>
        </w:rPr>
        <w:lastRenderedPageBreak/>
        <w:t>4 February 2020</w:t>
      </w:r>
    </w:p>
    <w:p w14:paraId="6D4D89B5" w14:textId="6F6C9508" w:rsidR="008330BE" w:rsidRPr="00F61FF3" w:rsidRDefault="008330BE" w:rsidP="000E2401">
      <w:pPr>
        <w:pStyle w:val="Subtitle"/>
        <w:ind w:left="4677"/>
        <w:rPr>
          <w:color w:val="auto"/>
        </w:rPr>
      </w:pPr>
    </w:p>
    <w:p w14:paraId="75EEFACA" w14:textId="1E02D261" w:rsidR="00E04983" w:rsidRPr="00F61FF3" w:rsidRDefault="00E04983" w:rsidP="00F61FF3">
      <w:pPr>
        <w:tabs>
          <w:tab w:val="left" w:pos="5550"/>
        </w:tabs>
        <w:sectPr w:rsidR="00E04983" w:rsidRPr="00F61FF3" w:rsidSect="005C15AB">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1361" w:right="1134" w:bottom="1701" w:left="1134" w:header="709" w:footer="2041" w:gutter="0"/>
          <w:cols w:space="708"/>
          <w:formProt w:val="0"/>
          <w:titlePg/>
          <w:docGrid w:linePitch="360"/>
        </w:sectPr>
      </w:pPr>
    </w:p>
    <w:p w14:paraId="41C167B5" w14:textId="77777777" w:rsidR="007D4522" w:rsidRPr="007D4522" w:rsidRDefault="007D4522" w:rsidP="00E47230">
      <w:pPr>
        <w:spacing w:before="9360" w:after="0"/>
      </w:pPr>
      <w:r>
        <w:rPr>
          <w:noProof/>
          <w:lang w:eastAsia="en-AU"/>
        </w:rPr>
        <w:lastRenderedPageBreak/>
        <w:drawing>
          <wp:inline distT="0" distB="0" distL="0" distR="0" wp14:anchorId="33B468CA" wp14:editId="2B24E5A6">
            <wp:extent cx="1824355" cy="572135"/>
            <wp:effectExtent l="0" t="0" r="4445" b="0"/>
            <wp:docPr id="12" name="Picture 12" descr="Lirata logo"/>
            <wp:cNvGraphicFramePr/>
            <a:graphic xmlns:a="http://schemas.openxmlformats.org/drawingml/2006/main">
              <a:graphicData uri="http://schemas.openxmlformats.org/drawingml/2006/picture">
                <pic:pic xmlns:pic="http://schemas.openxmlformats.org/drawingml/2006/picture">
                  <pic:nvPicPr>
                    <pic:cNvPr id="12" name="Picture 12" descr="Lirata logo"/>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4355" cy="572135"/>
                    </a:xfrm>
                    <a:prstGeom prst="rect">
                      <a:avLst/>
                    </a:prstGeom>
                    <a:noFill/>
                    <a:ln>
                      <a:noFill/>
                    </a:ln>
                  </pic:spPr>
                </pic:pic>
              </a:graphicData>
            </a:graphic>
          </wp:inline>
        </w:drawing>
      </w:r>
    </w:p>
    <w:p w14:paraId="05D8D000" w14:textId="77777777" w:rsidR="00E47230" w:rsidRDefault="00E47230" w:rsidP="00E47230">
      <w:pPr>
        <w:spacing w:after="0"/>
        <w:rPr>
          <w:b/>
          <w:bCs/>
          <w:sz w:val="20"/>
          <w:szCs w:val="20"/>
        </w:rPr>
      </w:pPr>
    </w:p>
    <w:p w14:paraId="60F2FEE4" w14:textId="563D39A2" w:rsidR="007D4522" w:rsidRDefault="007D4522" w:rsidP="00E47230">
      <w:pPr>
        <w:rPr>
          <w:sz w:val="20"/>
          <w:szCs w:val="20"/>
        </w:rPr>
      </w:pPr>
      <w:r w:rsidRPr="007D4522">
        <w:rPr>
          <w:b/>
          <w:bCs/>
          <w:sz w:val="20"/>
          <w:szCs w:val="20"/>
        </w:rPr>
        <w:t>Lirata Ltd</w:t>
      </w:r>
      <w:r>
        <w:rPr>
          <w:sz w:val="20"/>
          <w:szCs w:val="20"/>
        </w:rPr>
        <w:t xml:space="preserve"> | Building capacity for social justice</w:t>
      </w:r>
    </w:p>
    <w:p w14:paraId="7ADCD0FF" w14:textId="3D01638B" w:rsidR="007D4522" w:rsidRPr="007D4522" w:rsidRDefault="007D4522" w:rsidP="007D4522">
      <w:pPr>
        <w:spacing w:after="0"/>
        <w:rPr>
          <w:sz w:val="20"/>
          <w:szCs w:val="20"/>
        </w:rPr>
      </w:pPr>
      <w:r w:rsidRPr="007D4522">
        <w:rPr>
          <w:sz w:val="20"/>
          <w:szCs w:val="20"/>
        </w:rPr>
        <w:t>ABN 90 614 584 057</w:t>
      </w:r>
    </w:p>
    <w:p w14:paraId="044AB0BD" w14:textId="77777777" w:rsidR="007D4522" w:rsidRPr="007D4522" w:rsidRDefault="007D4522" w:rsidP="007D4522">
      <w:pPr>
        <w:spacing w:after="0"/>
        <w:rPr>
          <w:sz w:val="20"/>
          <w:szCs w:val="20"/>
        </w:rPr>
      </w:pPr>
      <w:r w:rsidRPr="007D4522">
        <w:rPr>
          <w:sz w:val="20"/>
          <w:szCs w:val="20"/>
        </w:rPr>
        <w:t>PO Box 726, Macleod VIC 3085 Australia</w:t>
      </w:r>
    </w:p>
    <w:p w14:paraId="09437DED" w14:textId="6B3404BC" w:rsidR="007D4522" w:rsidRPr="007D4522" w:rsidRDefault="005C15AB" w:rsidP="007D4522">
      <w:pPr>
        <w:spacing w:after="0"/>
        <w:rPr>
          <w:sz w:val="20"/>
          <w:szCs w:val="20"/>
        </w:rPr>
      </w:pPr>
      <w:r>
        <w:rPr>
          <w:sz w:val="20"/>
          <w:szCs w:val="20"/>
        </w:rPr>
        <w:t xml:space="preserve">(+61) </w:t>
      </w:r>
      <w:r w:rsidR="007D4522" w:rsidRPr="007D4522">
        <w:rPr>
          <w:sz w:val="20"/>
          <w:szCs w:val="20"/>
        </w:rPr>
        <w:t>0407 314 716</w:t>
      </w:r>
      <w:r w:rsidR="007D4522">
        <w:rPr>
          <w:sz w:val="20"/>
          <w:szCs w:val="20"/>
        </w:rPr>
        <w:t xml:space="preserve"> | </w:t>
      </w:r>
      <w:hyperlink r:id="rId18" w:history="1">
        <w:r w:rsidR="007D4522" w:rsidRPr="007D4522">
          <w:rPr>
            <w:rStyle w:val="Hyperlink"/>
            <w:color w:val="auto"/>
            <w:sz w:val="20"/>
            <w:szCs w:val="20"/>
          </w:rPr>
          <w:t>contactus@lirata.com</w:t>
        </w:r>
      </w:hyperlink>
      <w:r w:rsidR="007D4522" w:rsidRPr="007D4522">
        <w:rPr>
          <w:sz w:val="20"/>
          <w:szCs w:val="20"/>
        </w:rPr>
        <w:t xml:space="preserve"> | </w:t>
      </w:r>
      <w:hyperlink r:id="rId19" w:history="1">
        <w:r>
          <w:rPr>
            <w:rStyle w:val="Hyperlink"/>
            <w:color w:val="auto"/>
            <w:sz w:val="20"/>
            <w:szCs w:val="20"/>
          </w:rPr>
          <w:t>www.lirata.com</w:t>
        </w:r>
      </w:hyperlink>
    </w:p>
    <w:p w14:paraId="54446359" w14:textId="65112B0C" w:rsidR="00E04983" w:rsidRPr="00D927C8" w:rsidRDefault="00E04983" w:rsidP="007D4522">
      <w:pPr>
        <w:spacing w:before="480"/>
        <w:rPr>
          <w:sz w:val="20"/>
        </w:rPr>
      </w:pPr>
      <w:r w:rsidRPr="00D927C8">
        <w:rPr>
          <w:sz w:val="20"/>
        </w:rPr>
        <w:t xml:space="preserve">Copyright © </w:t>
      </w:r>
      <w:r w:rsidR="00262DCB">
        <w:rPr>
          <w:sz w:val="20"/>
        </w:rPr>
        <w:t>Role Models and Leaders Australia</w:t>
      </w:r>
      <w:r w:rsidR="00EA2945">
        <w:rPr>
          <w:sz w:val="20"/>
        </w:rPr>
        <w:t xml:space="preserve"> 2020</w:t>
      </w:r>
    </w:p>
    <w:p w14:paraId="5EA43FBF" w14:textId="5814EF7C" w:rsidR="00E04983" w:rsidRDefault="00E04983" w:rsidP="00E04983">
      <w:pPr>
        <w:spacing w:after="0"/>
        <w:rPr>
          <w:sz w:val="20"/>
        </w:rPr>
      </w:pPr>
      <w:r w:rsidRPr="00D927C8">
        <w:rPr>
          <w:sz w:val="20"/>
        </w:rPr>
        <w:t xml:space="preserve">Suggested citation: </w:t>
      </w:r>
      <w:r>
        <w:rPr>
          <w:sz w:val="20"/>
        </w:rPr>
        <w:br/>
      </w:r>
      <w:r w:rsidR="00D44AD3" w:rsidRPr="00E31CF9">
        <w:rPr>
          <w:sz w:val="20"/>
        </w:rPr>
        <w:t>Clapp, C., Rosauer, K., Marsh, J., Bottrell, D., Espinosa Abascal, T., Planigale, M., Read, L. 20</w:t>
      </w:r>
      <w:r w:rsidR="00D44AD3">
        <w:rPr>
          <w:sz w:val="20"/>
        </w:rPr>
        <w:t>20</w:t>
      </w:r>
      <w:r w:rsidR="00D44AD3" w:rsidRPr="00E31CF9">
        <w:rPr>
          <w:sz w:val="20"/>
        </w:rPr>
        <w:t xml:space="preserve">. </w:t>
      </w:r>
      <w:r w:rsidR="00D44AD3" w:rsidRPr="00E31CF9">
        <w:rPr>
          <w:i/>
          <w:iCs/>
          <w:sz w:val="20"/>
        </w:rPr>
        <w:t xml:space="preserve">Role Models and Leaders Australia. Evaluation of Girls Academy Program: </w:t>
      </w:r>
      <w:r w:rsidR="00D44AD3">
        <w:rPr>
          <w:i/>
          <w:iCs/>
          <w:sz w:val="20"/>
        </w:rPr>
        <w:t>Summary</w:t>
      </w:r>
      <w:r w:rsidR="00D44AD3" w:rsidRPr="00E31CF9">
        <w:rPr>
          <w:i/>
          <w:iCs/>
          <w:sz w:val="20"/>
        </w:rPr>
        <w:t xml:space="preserve"> Report.</w:t>
      </w:r>
      <w:r w:rsidR="00D44AD3" w:rsidRPr="00E31CF9">
        <w:rPr>
          <w:sz w:val="20"/>
        </w:rPr>
        <w:t xml:space="preserve"> Melbourne: Lirata Consulting.</w:t>
      </w:r>
    </w:p>
    <w:p w14:paraId="78180B72" w14:textId="77777777" w:rsidR="00E74848" w:rsidRDefault="00E74848" w:rsidP="00E04983">
      <w:pPr>
        <w:spacing w:after="0"/>
        <w:rPr>
          <w:sz w:val="20"/>
        </w:rPr>
      </w:pPr>
    </w:p>
    <w:p w14:paraId="70E3A2F7" w14:textId="77777777" w:rsidR="00B30190" w:rsidRDefault="00B30190" w:rsidP="006577D7">
      <w:pPr>
        <w:sectPr w:rsidR="00B30190" w:rsidSect="00D64D05">
          <w:headerReference w:type="default" r:id="rId20"/>
          <w:footerReference w:type="default" r:id="rId21"/>
          <w:headerReference w:type="first" r:id="rId22"/>
          <w:pgSz w:w="11906" w:h="16838" w:code="9"/>
          <w:pgMar w:top="1361" w:right="1134" w:bottom="1701" w:left="1134" w:header="567" w:footer="454" w:gutter="0"/>
          <w:pgNumType w:start="1"/>
          <w:cols w:space="708"/>
          <w:formProt w:val="0"/>
          <w:docGrid w:linePitch="360"/>
        </w:sectPr>
      </w:pPr>
    </w:p>
    <w:p w14:paraId="220514C5" w14:textId="77777777" w:rsidR="00DB429F" w:rsidRDefault="00DB429F" w:rsidP="00C82818">
      <w:pPr>
        <w:pStyle w:val="Heading1noTOC"/>
        <w:shd w:val="clear" w:color="auto" w:fill="DBE5F1" w:themeFill="accent1" w:themeFillTint="33"/>
        <w:spacing w:before="4440"/>
        <w:ind w:left="1276" w:right="1700"/>
      </w:pPr>
      <w:r>
        <w:lastRenderedPageBreak/>
        <w:t>Acknowledgements</w:t>
      </w:r>
    </w:p>
    <w:p w14:paraId="37FA90F9" w14:textId="77777777" w:rsidR="00DB429F" w:rsidRDefault="00DB429F" w:rsidP="00C82818">
      <w:pPr>
        <w:shd w:val="clear" w:color="auto" w:fill="DBE5F1" w:themeFill="accent1" w:themeFillTint="33"/>
        <w:ind w:left="1276" w:right="1700"/>
      </w:pPr>
      <w:r>
        <w:t>Lirata Consulting acknowledges the Traditional Owners of the lands and waters on which this evaluation took place, and pay our respects to their Elders past, present and emerging.</w:t>
      </w:r>
    </w:p>
    <w:p w14:paraId="22987E45" w14:textId="77777777" w:rsidR="00DB429F" w:rsidRDefault="00DB429F" w:rsidP="00C82818">
      <w:pPr>
        <w:shd w:val="clear" w:color="auto" w:fill="DBE5F1" w:themeFill="accent1" w:themeFillTint="33"/>
        <w:ind w:left="1276" w:right="1700"/>
      </w:pPr>
      <w:r>
        <w:lastRenderedPageBreak/>
        <w:t>We gratefully acknowledge the contribution of Girls Academy staff, students, parents, Community members and Elders, who generously gave their time and knowledge to the evaluation.</w:t>
      </w:r>
    </w:p>
    <w:p w14:paraId="4F30E06D" w14:textId="77777777" w:rsidR="00DB429F" w:rsidRDefault="00DB429F" w:rsidP="00C82818">
      <w:pPr>
        <w:shd w:val="clear" w:color="auto" w:fill="DBE5F1" w:themeFill="accent1" w:themeFillTint="33"/>
        <w:ind w:left="1276" w:right="1700"/>
      </w:pPr>
      <w:r>
        <w:t>We thank the senior leadership team of Role Models and Leaders Australia for their oversight and guidance. We thank the Regional and Program Managers for assistance with coordinating project activities and for sharing their insights about the program. We thank all of the members of the Evaluation Steering Committee for their useful contributions.</w:t>
      </w:r>
    </w:p>
    <w:p w14:paraId="22CA5F75" w14:textId="211E9AC1" w:rsidR="00E74848" w:rsidRDefault="00DB429F" w:rsidP="00C82818">
      <w:pPr>
        <w:shd w:val="clear" w:color="auto" w:fill="DBE5F1" w:themeFill="accent1" w:themeFillTint="33"/>
        <w:spacing w:after="3000"/>
        <w:ind w:left="1276" w:right="1700"/>
      </w:pPr>
      <w:r>
        <w:t xml:space="preserve">We respect the work of all of those involved with the Girls Academy Program and their </w:t>
      </w:r>
      <w:r>
        <w:lastRenderedPageBreak/>
        <w:t>commitment to making a difference in the lives of young people.</w:t>
      </w:r>
    </w:p>
    <w:p w14:paraId="54F43821" w14:textId="381A379C" w:rsidR="00731DF8" w:rsidRDefault="00731DF8" w:rsidP="00731DF8">
      <w:pPr>
        <w:sectPr w:rsidR="00731DF8" w:rsidSect="00235DBD">
          <w:headerReference w:type="default" r:id="rId23"/>
          <w:footerReference w:type="default" r:id="rId24"/>
          <w:pgSz w:w="11906" w:h="16838" w:code="9"/>
          <w:pgMar w:top="1361" w:right="1134" w:bottom="1701" w:left="1134" w:header="340" w:footer="454" w:gutter="0"/>
          <w:pgNumType w:start="1"/>
          <w:cols w:space="708"/>
          <w:formProt w:val="0"/>
          <w:docGrid w:linePitch="360"/>
        </w:sectPr>
      </w:pPr>
    </w:p>
    <w:sdt>
      <w:sdtPr>
        <w:rPr>
          <w:rFonts w:ascii="Calibri" w:eastAsia="Calibri" w:hAnsi="Calibri" w:cs="ArialMT"/>
          <w:bCs w:val="0"/>
          <w:caps w:val="0"/>
          <w:color w:val="auto"/>
          <w:sz w:val="22"/>
          <w:szCs w:val="18"/>
          <w:lang w:eastAsia="en-US"/>
        </w:rPr>
        <w:id w:val="-196245195"/>
        <w:docPartObj>
          <w:docPartGallery w:val="Table of Contents"/>
          <w:docPartUnique/>
        </w:docPartObj>
      </w:sdtPr>
      <w:sdtEndPr>
        <w:rPr>
          <w:b/>
          <w:noProof/>
        </w:rPr>
      </w:sdtEndPr>
      <w:sdtContent>
        <w:p w14:paraId="6E4CCEB1" w14:textId="77777777" w:rsidR="00CA49F3" w:rsidRDefault="00CA49F3" w:rsidP="007E236F">
          <w:pPr>
            <w:pStyle w:val="Heading1noTOC"/>
          </w:pPr>
          <w:r>
            <w:t>Contents</w:t>
          </w:r>
        </w:p>
        <w:p w14:paraId="68962691" w14:textId="0236B9D3" w:rsidR="00E24E47" w:rsidRDefault="007E236F">
          <w:pPr>
            <w:pStyle w:val="TOC1"/>
            <w:rPr>
              <w:rFonts w:asciiTheme="minorHAnsi" w:eastAsiaTheme="minorEastAsia" w:hAnsiTheme="minorHAnsi" w:cstheme="minorBidi"/>
              <w:b w:val="0"/>
              <w:noProof/>
              <w:szCs w:val="22"/>
              <w:lang w:eastAsia="en-AU"/>
            </w:rPr>
          </w:pPr>
          <w:r>
            <w:rPr>
              <w:b w:val="0"/>
            </w:rPr>
            <w:fldChar w:fldCharType="begin"/>
          </w:r>
          <w:r>
            <w:rPr>
              <w:b w:val="0"/>
            </w:rPr>
            <w:instrText xml:space="preserve"> TOC \o "2-2" \h \z \t "Heading 1,1,Numbered Heading 1,1,Heading 1 No space before,1,Numbered Heading 1 No space before,1" </w:instrText>
          </w:r>
          <w:r>
            <w:rPr>
              <w:b w:val="0"/>
            </w:rPr>
            <w:fldChar w:fldCharType="separate"/>
          </w:r>
          <w:hyperlink w:anchor="_Toc90650014" w:history="1">
            <w:r w:rsidR="00E24E47" w:rsidRPr="00D43575">
              <w:rPr>
                <w:rStyle w:val="Hyperlink"/>
                <w:noProof/>
              </w:rPr>
              <w:t>Introduction</w:t>
            </w:r>
            <w:r w:rsidR="00E24E47">
              <w:rPr>
                <w:noProof/>
                <w:webHidden/>
              </w:rPr>
              <w:tab/>
            </w:r>
            <w:r w:rsidR="00E24E47">
              <w:rPr>
                <w:noProof/>
                <w:webHidden/>
              </w:rPr>
              <w:fldChar w:fldCharType="begin"/>
            </w:r>
            <w:r w:rsidR="00E24E47">
              <w:rPr>
                <w:noProof/>
                <w:webHidden/>
              </w:rPr>
              <w:instrText xml:space="preserve"> PAGEREF _Toc90650014 \h </w:instrText>
            </w:r>
            <w:r w:rsidR="00E24E47">
              <w:rPr>
                <w:noProof/>
                <w:webHidden/>
              </w:rPr>
            </w:r>
            <w:r w:rsidR="00E24E47">
              <w:rPr>
                <w:noProof/>
                <w:webHidden/>
              </w:rPr>
              <w:fldChar w:fldCharType="separate"/>
            </w:r>
            <w:r w:rsidR="00E24E47">
              <w:rPr>
                <w:noProof/>
                <w:webHidden/>
              </w:rPr>
              <w:t>3</w:t>
            </w:r>
            <w:r w:rsidR="00E24E47">
              <w:rPr>
                <w:noProof/>
                <w:webHidden/>
              </w:rPr>
              <w:fldChar w:fldCharType="end"/>
            </w:r>
          </w:hyperlink>
        </w:p>
        <w:p w14:paraId="63528295" w14:textId="0BE51B51" w:rsidR="00E24E47" w:rsidRDefault="008034D0">
          <w:pPr>
            <w:pStyle w:val="TOC1"/>
            <w:rPr>
              <w:rFonts w:asciiTheme="minorHAnsi" w:eastAsiaTheme="minorEastAsia" w:hAnsiTheme="minorHAnsi" w:cstheme="minorBidi"/>
              <w:b w:val="0"/>
              <w:noProof/>
              <w:szCs w:val="22"/>
              <w:lang w:eastAsia="en-AU"/>
            </w:rPr>
          </w:pPr>
          <w:hyperlink w:anchor="_Toc90650015" w:history="1">
            <w:r w:rsidR="00E24E47" w:rsidRPr="00D43575">
              <w:rPr>
                <w:rStyle w:val="Hyperlink"/>
                <w:noProof/>
              </w:rPr>
              <w:t>Context</w:t>
            </w:r>
            <w:r w:rsidR="00E24E47">
              <w:rPr>
                <w:noProof/>
                <w:webHidden/>
              </w:rPr>
              <w:tab/>
            </w:r>
            <w:r w:rsidR="00E24E47">
              <w:rPr>
                <w:noProof/>
                <w:webHidden/>
              </w:rPr>
              <w:fldChar w:fldCharType="begin"/>
            </w:r>
            <w:r w:rsidR="00E24E47">
              <w:rPr>
                <w:noProof/>
                <w:webHidden/>
              </w:rPr>
              <w:instrText xml:space="preserve"> PAGEREF _Toc90650015 \h </w:instrText>
            </w:r>
            <w:r w:rsidR="00E24E47">
              <w:rPr>
                <w:noProof/>
                <w:webHidden/>
              </w:rPr>
            </w:r>
            <w:r w:rsidR="00E24E47">
              <w:rPr>
                <w:noProof/>
                <w:webHidden/>
              </w:rPr>
              <w:fldChar w:fldCharType="separate"/>
            </w:r>
            <w:r w:rsidR="00E24E47">
              <w:rPr>
                <w:noProof/>
                <w:webHidden/>
              </w:rPr>
              <w:t>3</w:t>
            </w:r>
            <w:r w:rsidR="00E24E47">
              <w:rPr>
                <w:noProof/>
                <w:webHidden/>
              </w:rPr>
              <w:fldChar w:fldCharType="end"/>
            </w:r>
          </w:hyperlink>
        </w:p>
        <w:p w14:paraId="6F687C45" w14:textId="394E1F37" w:rsidR="00E24E47" w:rsidRDefault="008034D0">
          <w:pPr>
            <w:pStyle w:val="TOC2"/>
            <w:rPr>
              <w:rFonts w:asciiTheme="minorHAnsi" w:eastAsiaTheme="minorEastAsia" w:hAnsiTheme="minorHAnsi" w:cstheme="minorBidi"/>
              <w:noProof/>
              <w:szCs w:val="22"/>
              <w:lang w:eastAsia="en-AU"/>
            </w:rPr>
          </w:pPr>
          <w:hyperlink w:anchor="_Toc90650016" w:history="1">
            <w:r w:rsidR="00E24E47" w:rsidRPr="00D43575">
              <w:rPr>
                <w:rStyle w:val="Hyperlink"/>
                <w:noProof/>
              </w:rPr>
              <w:t>Role Models and Leaders Australia</w:t>
            </w:r>
            <w:r w:rsidR="00E24E47">
              <w:rPr>
                <w:noProof/>
                <w:webHidden/>
              </w:rPr>
              <w:tab/>
            </w:r>
            <w:r w:rsidR="00E24E47">
              <w:rPr>
                <w:noProof/>
                <w:webHidden/>
              </w:rPr>
              <w:fldChar w:fldCharType="begin"/>
            </w:r>
            <w:r w:rsidR="00E24E47">
              <w:rPr>
                <w:noProof/>
                <w:webHidden/>
              </w:rPr>
              <w:instrText xml:space="preserve"> PAGEREF _Toc90650016 \h </w:instrText>
            </w:r>
            <w:r w:rsidR="00E24E47">
              <w:rPr>
                <w:noProof/>
                <w:webHidden/>
              </w:rPr>
            </w:r>
            <w:r w:rsidR="00E24E47">
              <w:rPr>
                <w:noProof/>
                <w:webHidden/>
              </w:rPr>
              <w:fldChar w:fldCharType="separate"/>
            </w:r>
            <w:r w:rsidR="00E24E47">
              <w:rPr>
                <w:noProof/>
                <w:webHidden/>
              </w:rPr>
              <w:t>3</w:t>
            </w:r>
            <w:r w:rsidR="00E24E47">
              <w:rPr>
                <w:noProof/>
                <w:webHidden/>
              </w:rPr>
              <w:fldChar w:fldCharType="end"/>
            </w:r>
          </w:hyperlink>
        </w:p>
        <w:p w14:paraId="167463B9" w14:textId="72FBA023" w:rsidR="00E24E47" w:rsidRDefault="008034D0">
          <w:pPr>
            <w:pStyle w:val="TOC2"/>
            <w:rPr>
              <w:rFonts w:asciiTheme="minorHAnsi" w:eastAsiaTheme="minorEastAsia" w:hAnsiTheme="minorHAnsi" w:cstheme="minorBidi"/>
              <w:noProof/>
              <w:szCs w:val="22"/>
              <w:lang w:eastAsia="en-AU"/>
            </w:rPr>
          </w:pPr>
          <w:hyperlink w:anchor="_Toc90650017" w:history="1">
            <w:r w:rsidR="00E24E47" w:rsidRPr="00D43575">
              <w:rPr>
                <w:rStyle w:val="Hyperlink"/>
                <w:noProof/>
              </w:rPr>
              <w:t>Girls Academy Program</w:t>
            </w:r>
            <w:r w:rsidR="00E24E47">
              <w:rPr>
                <w:noProof/>
                <w:webHidden/>
              </w:rPr>
              <w:tab/>
            </w:r>
            <w:r w:rsidR="00E24E47">
              <w:rPr>
                <w:noProof/>
                <w:webHidden/>
              </w:rPr>
              <w:fldChar w:fldCharType="begin"/>
            </w:r>
            <w:r w:rsidR="00E24E47">
              <w:rPr>
                <w:noProof/>
                <w:webHidden/>
              </w:rPr>
              <w:instrText xml:space="preserve"> PAGEREF _Toc90650017 \h </w:instrText>
            </w:r>
            <w:r w:rsidR="00E24E47">
              <w:rPr>
                <w:noProof/>
                <w:webHidden/>
              </w:rPr>
            </w:r>
            <w:r w:rsidR="00E24E47">
              <w:rPr>
                <w:noProof/>
                <w:webHidden/>
              </w:rPr>
              <w:fldChar w:fldCharType="separate"/>
            </w:r>
            <w:r w:rsidR="00E24E47">
              <w:rPr>
                <w:noProof/>
                <w:webHidden/>
              </w:rPr>
              <w:t>3</w:t>
            </w:r>
            <w:r w:rsidR="00E24E47">
              <w:rPr>
                <w:noProof/>
                <w:webHidden/>
              </w:rPr>
              <w:fldChar w:fldCharType="end"/>
            </w:r>
          </w:hyperlink>
        </w:p>
        <w:p w14:paraId="0A225F0A" w14:textId="71338FBD" w:rsidR="00E24E47" w:rsidRDefault="008034D0">
          <w:pPr>
            <w:pStyle w:val="TOC2"/>
            <w:rPr>
              <w:rFonts w:asciiTheme="minorHAnsi" w:eastAsiaTheme="minorEastAsia" w:hAnsiTheme="minorHAnsi" w:cstheme="minorBidi"/>
              <w:noProof/>
              <w:szCs w:val="22"/>
              <w:lang w:eastAsia="en-AU"/>
            </w:rPr>
          </w:pPr>
          <w:hyperlink w:anchor="_Toc90650018" w:history="1">
            <w:r w:rsidR="00E24E47" w:rsidRPr="00D43575">
              <w:rPr>
                <w:rStyle w:val="Hyperlink"/>
                <w:noProof/>
              </w:rPr>
              <w:t>Program delivery</w:t>
            </w:r>
            <w:r w:rsidR="00E24E47">
              <w:rPr>
                <w:noProof/>
                <w:webHidden/>
              </w:rPr>
              <w:tab/>
            </w:r>
            <w:r w:rsidR="00E24E47">
              <w:rPr>
                <w:noProof/>
                <w:webHidden/>
              </w:rPr>
              <w:fldChar w:fldCharType="begin"/>
            </w:r>
            <w:r w:rsidR="00E24E47">
              <w:rPr>
                <w:noProof/>
                <w:webHidden/>
              </w:rPr>
              <w:instrText xml:space="preserve"> PAGEREF _Toc90650018 \h </w:instrText>
            </w:r>
            <w:r w:rsidR="00E24E47">
              <w:rPr>
                <w:noProof/>
                <w:webHidden/>
              </w:rPr>
            </w:r>
            <w:r w:rsidR="00E24E47">
              <w:rPr>
                <w:noProof/>
                <w:webHidden/>
              </w:rPr>
              <w:fldChar w:fldCharType="separate"/>
            </w:r>
            <w:r w:rsidR="00E24E47">
              <w:rPr>
                <w:noProof/>
                <w:webHidden/>
              </w:rPr>
              <w:t>4</w:t>
            </w:r>
            <w:r w:rsidR="00E24E47">
              <w:rPr>
                <w:noProof/>
                <w:webHidden/>
              </w:rPr>
              <w:fldChar w:fldCharType="end"/>
            </w:r>
          </w:hyperlink>
        </w:p>
        <w:p w14:paraId="63A4CA43" w14:textId="52B39B4E" w:rsidR="00E24E47" w:rsidRDefault="008034D0">
          <w:pPr>
            <w:pStyle w:val="TOC1"/>
            <w:rPr>
              <w:rFonts w:asciiTheme="minorHAnsi" w:eastAsiaTheme="minorEastAsia" w:hAnsiTheme="minorHAnsi" w:cstheme="minorBidi"/>
              <w:b w:val="0"/>
              <w:noProof/>
              <w:szCs w:val="22"/>
              <w:lang w:eastAsia="en-AU"/>
            </w:rPr>
          </w:pPr>
          <w:hyperlink w:anchor="_Toc90650019" w:history="1">
            <w:r w:rsidR="00E24E47" w:rsidRPr="00D43575">
              <w:rPr>
                <w:rStyle w:val="Hyperlink"/>
                <w:noProof/>
              </w:rPr>
              <w:t>Evaluation</w:t>
            </w:r>
            <w:r w:rsidR="00E24E47">
              <w:rPr>
                <w:noProof/>
                <w:webHidden/>
              </w:rPr>
              <w:tab/>
            </w:r>
            <w:r w:rsidR="00E24E47">
              <w:rPr>
                <w:noProof/>
                <w:webHidden/>
              </w:rPr>
              <w:fldChar w:fldCharType="begin"/>
            </w:r>
            <w:r w:rsidR="00E24E47">
              <w:rPr>
                <w:noProof/>
                <w:webHidden/>
              </w:rPr>
              <w:instrText xml:space="preserve"> PAGEREF _Toc90650019 \h </w:instrText>
            </w:r>
            <w:r w:rsidR="00E24E47">
              <w:rPr>
                <w:noProof/>
                <w:webHidden/>
              </w:rPr>
            </w:r>
            <w:r w:rsidR="00E24E47">
              <w:rPr>
                <w:noProof/>
                <w:webHidden/>
              </w:rPr>
              <w:fldChar w:fldCharType="separate"/>
            </w:r>
            <w:r w:rsidR="00E24E47">
              <w:rPr>
                <w:noProof/>
                <w:webHidden/>
              </w:rPr>
              <w:t>4</w:t>
            </w:r>
            <w:r w:rsidR="00E24E47">
              <w:rPr>
                <w:noProof/>
                <w:webHidden/>
              </w:rPr>
              <w:fldChar w:fldCharType="end"/>
            </w:r>
          </w:hyperlink>
        </w:p>
        <w:p w14:paraId="43F05F0E" w14:textId="715D3551" w:rsidR="00E24E47" w:rsidRDefault="008034D0">
          <w:pPr>
            <w:pStyle w:val="TOC2"/>
            <w:rPr>
              <w:rFonts w:asciiTheme="minorHAnsi" w:eastAsiaTheme="minorEastAsia" w:hAnsiTheme="minorHAnsi" w:cstheme="minorBidi"/>
              <w:noProof/>
              <w:szCs w:val="22"/>
              <w:lang w:eastAsia="en-AU"/>
            </w:rPr>
          </w:pPr>
          <w:hyperlink w:anchor="_Toc90650020" w:history="1">
            <w:r w:rsidR="00E24E47" w:rsidRPr="00D43575">
              <w:rPr>
                <w:rStyle w:val="Hyperlink"/>
                <w:noProof/>
              </w:rPr>
              <w:t>Methodology</w:t>
            </w:r>
            <w:r w:rsidR="00E24E47">
              <w:rPr>
                <w:noProof/>
                <w:webHidden/>
              </w:rPr>
              <w:tab/>
            </w:r>
            <w:r w:rsidR="00E24E47">
              <w:rPr>
                <w:noProof/>
                <w:webHidden/>
              </w:rPr>
              <w:fldChar w:fldCharType="begin"/>
            </w:r>
            <w:r w:rsidR="00E24E47">
              <w:rPr>
                <w:noProof/>
                <w:webHidden/>
              </w:rPr>
              <w:instrText xml:space="preserve"> PAGEREF _Toc90650020 \h </w:instrText>
            </w:r>
            <w:r w:rsidR="00E24E47">
              <w:rPr>
                <w:noProof/>
                <w:webHidden/>
              </w:rPr>
            </w:r>
            <w:r w:rsidR="00E24E47">
              <w:rPr>
                <w:noProof/>
                <w:webHidden/>
              </w:rPr>
              <w:fldChar w:fldCharType="separate"/>
            </w:r>
            <w:r w:rsidR="00E24E47">
              <w:rPr>
                <w:noProof/>
                <w:webHidden/>
              </w:rPr>
              <w:t>5</w:t>
            </w:r>
            <w:r w:rsidR="00E24E47">
              <w:rPr>
                <w:noProof/>
                <w:webHidden/>
              </w:rPr>
              <w:fldChar w:fldCharType="end"/>
            </w:r>
          </w:hyperlink>
        </w:p>
        <w:p w14:paraId="777B7972" w14:textId="6CBB8543" w:rsidR="00E24E47" w:rsidRDefault="008034D0">
          <w:pPr>
            <w:pStyle w:val="TOC2"/>
            <w:rPr>
              <w:rFonts w:asciiTheme="minorHAnsi" w:eastAsiaTheme="minorEastAsia" w:hAnsiTheme="minorHAnsi" w:cstheme="minorBidi"/>
              <w:noProof/>
              <w:szCs w:val="22"/>
              <w:lang w:eastAsia="en-AU"/>
            </w:rPr>
          </w:pPr>
          <w:hyperlink w:anchor="_Toc90650021" w:history="1">
            <w:r w:rsidR="00E24E47" w:rsidRPr="00D43575">
              <w:rPr>
                <w:rStyle w:val="Hyperlink"/>
                <w:noProof/>
              </w:rPr>
              <w:t>Limitations</w:t>
            </w:r>
            <w:r w:rsidR="00E24E47">
              <w:rPr>
                <w:noProof/>
                <w:webHidden/>
              </w:rPr>
              <w:tab/>
            </w:r>
            <w:r w:rsidR="00E24E47">
              <w:rPr>
                <w:noProof/>
                <w:webHidden/>
              </w:rPr>
              <w:fldChar w:fldCharType="begin"/>
            </w:r>
            <w:r w:rsidR="00E24E47">
              <w:rPr>
                <w:noProof/>
                <w:webHidden/>
              </w:rPr>
              <w:instrText xml:space="preserve"> PAGEREF _Toc90650021 \h </w:instrText>
            </w:r>
            <w:r w:rsidR="00E24E47">
              <w:rPr>
                <w:noProof/>
                <w:webHidden/>
              </w:rPr>
            </w:r>
            <w:r w:rsidR="00E24E47">
              <w:rPr>
                <w:noProof/>
                <w:webHidden/>
              </w:rPr>
              <w:fldChar w:fldCharType="separate"/>
            </w:r>
            <w:r w:rsidR="00E24E47">
              <w:rPr>
                <w:noProof/>
                <w:webHidden/>
              </w:rPr>
              <w:t>6</w:t>
            </w:r>
            <w:r w:rsidR="00E24E47">
              <w:rPr>
                <w:noProof/>
                <w:webHidden/>
              </w:rPr>
              <w:fldChar w:fldCharType="end"/>
            </w:r>
          </w:hyperlink>
        </w:p>
        <w:p w14:paraId="56EEF0B1" w14:textId="7ECA22AC" w:rsidR="00E24E47" w:rsidRDefault="008034D0">
          <w:pPr>
            <w:pStyle w:val="TOC1"/>
            <w:rPr>
              <w:rFonts w:asciiTheme="minorHAnsi" w:eastAsiaTheme="minorEastAsia" w:hAnsiTheme="minorHAnsi" w:cstheme="minorBidi"/>
              <w:b w:val="0"/>
              <w:noProof/>
              <w:szCs w:val="22"/>
              <w:lang w:eastAsia="en-AU"/>
            </w:rPr>
          </w:pPr>
          <w:hyperlink w:anchor="_Toc90650022" w:history="1">
            <w:r w:rsidR="00E24E47" w:rsidRPr="00D43575">
              <w:rPr>
                <w:rStyle w:val="Hyperlink"/>
                <w:noProof/>
              </w:rPr>
              <w:t>Findings</w:t>
            </w:r>
            <w:r w:rsidR="00E24E47">
              <w:rPr>
                <w:noProof/>
                <w:webHidden/>
              </w:rPr>
              <w:tab/>
            </w:r>
            <w:r w:rsidR="00E24E47">
              <w:rPr>
                <w:noProof/>
                <w:webHidden/>
              </w:rPr>
              <w:fldChar w:fldCharType="begin"/>
            </w:r>
            <w:r w:rsidR="00E24E47">
              <w:rPr>
                <w:noProof/>
                <w:webHidden/>
              </w:rPr>
              <w:instrText xml:space="preserve"> PAGEREF _Toc90650022 \h </w:instrText>
            </w:r>
            <w:r w:rsidR="00E24E47">
              <w:rPr>
                <w:noProof/>
                <w:webHidden/>
              </w:rPr>
            </w:r>
            <w:r w:rsidR="00E24E47">
              <w:rPr>
                <w:noProof/>
                <w:webHidden/>
              </w:rPr>
              <w:fldChar w:fldCharType="separate"/>
            </w:r>
            <w:r w:rsidR="00E24E47">
              <w:rPr>
                <w:noProof/>
                <w:webHidden/>
              </w:rPr>
              <w:t>6</w:t>
            </w:r>
            <w:r w:rsidR="00E24E47">
              <w:rPr>
                <w:noProof/>
                <w:webHidden/>
              </w:rPr>
              <w:fldChar w:fldCharType="end"/>
            </w:r>
          </w:hyperlink>
        </w:p>
        <w:p w14:paraId="27948DE5" w14:textId="7AC0AC6C" w:rsidR="00E24E47" w:rsidRDefault="008034D0">
          <w:pPr>
            <w:pStyle w:val="TOC2"/>
            <w:rPr>
              <w:rFonts w:asciiTheme="minorHAnsi" w:eastAsiaTheme="minorEastAsia" w:hAnsiTheme="minorHAnsi" w:cstheme="minorBidi"/>
              <w:noProof/>
              <w:szCs w:val="22"/>
              <w:lang w:eastAsia="en-AU"/>
            </w:rPr>
          </w:pPr>
          <w:hyperlink w:anchor="_Toc90650023" w:history="1">
            <w:r w:rsidR="00E24E47" w:rsidRPr="00D43575">
              <w:rPr>
                <w:rStyle w:val="Hyperlink"/>
                <w:noProof/>
              </w:rPr>
              <w:t>Relevance</w:t>
            </w:r>
            <w:r w:rsidR="00E24E47">
              <w:rPr>
                <w:noProof/>
                <w:webHidden/>
              </w:rPr>
              <w:tab/>
            </w:r>
            <w:r w:rsidR="00E24E47">
              <w:rPr>
                <w:noProof/>
                <w:webHidden/>
              </w:rPr>
              <w:fldChar w:fldCharType="begin"/>
            </w:r>
            <w:r w:rsidR="00E24E47">
              <w:rPr>
                <w:noProof/>
                <w:webHidden/>
              </w:rPr>
              <w:instrText xml:space="preserve"> PAGEREF _Toc90650023 \h </w:instrText>
            </w:r>
            <w:r w:rsidR="00E24E47">
              <w:rPr>
                <w:noProof/>
                <w:webHidden/>
              </w:rPr>
            </w:r>
            <w:r w:rsidR="00E24E47">
              <w:rPr>
                <w:noProof/>
                <w:webHidden/>
              </w:rPr>
              <w:fldChar w:fldCharType="separate"/>
            </w:r>
            <w:r w:rsidR="00E24E47">
              <w:rPr>
                <w:noProof/>
                <w:webHidden/>
              </w:rPr>
              <w:t>6</w:t>
            </w:r>
            <w:r w:rsidR="00E24E47">
              <w:rPr>
                <w:noProof/>
                <w:webHidden/>
              </w:rPr>
              <w:fldChar w:fldCharType="end"/>
            </w:r>
          </w:hyperlink>
        </w:p>
        <w:p w14:paraId="09144AA2" w14:textId="318A68C3" w:rsidR="00E24E47" w:rsidRDefault="008034D0">
          <w:pPr>
            <w:pStyle w:val="TOC2"/>
            <w:rPr>
              <w:rFonts w:asciiTheme="minorHAnsi" w:eastAsiaTheme="minorEastAsia" w:hAnsiTheme="minorHAnsi" w:cstheme="minorBidi"/>
              <w:noProof/>
              <w:szCs w:val="22"/>
              <w:lang w:eastAsia="en-AU"/>
            </w:rPr>
          </w:pPr>
          <w:hyperlink w:anchor="_Toc90650024" w:history="1">
            <w:r w:rsidR="00E24E47" w:rsidRPr="00D43575">
              <w:rPr>
                <w:rStyle w:val="Hyperlink"/>
                <w:noProof/>
              </w:rPr>
              <w:t>Effectiveness</w:t>
            </w:r>
            <w:r w:rsidR="00E24E47">
              <w:rPr>
                <w:noProof/>
                <w:webHidden/>
              </w:rPr>
              <w:tab/>
            </w:r>
            <w:r w:rsidR="00E24E47">
              <w:rPr>
                <w:noProof/>
                <w:webHidden/>
              </w:rPr>
              <w:fldChar w:fldCharType="begin"/>
            </w:r>
            <w:r w:rsidR="00E24E47">
              <w:rPr>
                <w:noProof/>
                <w:webHidden/>
              </w:rPr>
              <w:instrText xml:space="preserve"> PAGEREF _Toc90650024 \h </w:instrText>
            </w:r>
            <w:r w:rsidR="00E24E47">
              <w:rPr>
                <w:noProof/>
                <w:webHidden/>
              </w:rPr>
            </w:r>
            <w:r w:rsidR="00E24E47">
              <w:rPr>
                <w:noProof/>
                <w:webHidden/>
              </w:rPr>
              <w:fldChar w:fldCharType="separate"/>
            </w:r>
            <w:r w:rsidR="00E24E47">
              <w:rPr>
                <w:noProof/>
                <w:webHidden/>
              </w:rPr>
              <w:t>7</w:t>
            </w:r>
            <w:r w:rsidR="00E24E47">
              <w:rPr>
                <w:noProof/>
                <w:webHidden/>
              </w:rPr>
              <w:fldChar w:fldCharType="end"/>
            </w:r>
          </w:hyperlink>
        </w:p>
        <w:p w14:paraId="6A7FE46B" w14:textId="346D1DCD" w:rsidR="00E24E47" w:rsidRDefault="008034D0">
          <w:pPr>
            <w:pStyle w:val="TOC2"/>
            <w:rPr>
              <w:rFonts w:asciiTheme="minorHAnsi" w:eastAsiaTheme="minorEastAsia" w:hAnsiTheme="minorHAnsi" w:cstheme="minorBidi"/>
              <w:noProof/>
              <w:szCs w:val="22"/>
              <w:lang w:eastAsia="en-AU"/>
            </w:rPr>
          </w:pPr>
          <w:hyperlink w:anchor="_Toc90650025" w:history="1">
            <w:r w:rsidR="00E24E47" w:rsidRPr="00D43575">
              <w:rPr>
                <w:rStyle w:val="Hyperlink"/>
                <w:noProof/>
              </w:rPr>
              <w:t>Impact</w:t>
            </w:r>
            <w:r w:rsidR="00E24E47">
              <w:rPr>
                <w:noProof/>
                <w:webHidden/>
              </w:rPr>
              <w:tab/>
            </w:r>
            <w:r w:rsidR="00E24E47">
              <w:rPr>
                <w:noProof/>
                <w:webHidden/>
              </w:rPr>
              <w:fldChar w:fldCharType="begin"/>
            </w:r>
            <w:r w:rsidR="00E24E47">
              <w:rPr>
                <w:noProof/>
                <w:webHidden/>
              </w:rPr>
              <w:instrText xml:space="preserve"> PAGEREF _Toc90650025 \h </w:instrText>
            </w:r>
            <w:r w:rsidR="00E24E47">
              <w:rPr>
                <w:noProof/>
                <w:webHidden/>
              </w:rPr>
            </w:r>
            <w:r w:rsidR="00E24E47">
              <w:rPr>
                <w:noProof/>
                <w:webHidden/>
              </w:rPr>
              <w:fldChar w:fldCharType="separate"/>
            </w:r>
            <w:r w:rsidR="00E24E47">
              <w:rPr>
                <w:noProof/>
                <w:webHidden/>
              </w:rPr>
              <w:t>8</w:t>
            </w:r>
            <w:r w:rsidR="00E24E47">
              <w:rPr>
                <w:noProof/>
                <w:webHidden/>
              </w:rPr>
              <w:fldChar w:fldCharType="end"/>
            </w:r>
          </w:hyperlink>
        </w:p>
        <w:p w14:paraId="476AC638" w14:textId="4E5907D5" w:rsidR="00E24E47" w:rsidRDefault="008034D0">
          <w:pPr>
            <w:pStyle w:val="TOC2"/>
            <w:rPr>
              <w:rFonts w:asciiTheme="minorHAnsi" w:eastAsiaTheme="minorEastAsia" w:hAnsiTheme="minorHAnsi" w:cstheme="minorBidi"/>
              <w:noProof/>
              <w:szCs w:val="22"/>
              <w:lang w:eastAsia="en-AU"/>
            </w:rPr>
          </w:pPr>
          <w:hyperlink w:anchor="_Toc90650026" w:history="1">
            <w:r w:rsidR="00E24E47" w:rsidRPr="00D43575">
              <w:rPr>
                <w:rStyle w:val="Hyperlink"/>
                <w:noProof/>
              </w:rPr>
              <w:t>Efficiency</w:t>
            </w:r>
            <w:r w:rsidR="00E24E47">
              <w:rPr>
                <w:noProof/>
                <w:webHidden/>
              </w:rPr>
              <w:tab/>
            </w:r>
            <w:r w:rsidR="00E24E47">
              <w:rPr>
                <w:noProof/>
                <w:webHidden/>
              </w:rPr>
              <w:fldChar w:fldCharType="begin"/>
            </w:r>
            <w:r w:rsidR="00E24E47">
              <w:rPr>
                <w:noProof/>
                <w:webHidden/>
              </w:rPr>
              <w:instrText xml:space="preserve"> PAGEREF _Toc90650026 \h </w:instrText>
            </w:r>
            <w:r w:rsidR="00E24E47">
              <w:rPr>
                <w:noProof/>
                <w:webHidden/>
              </w:rPr>
            </w:r>
            <w:r w:rsidR="00E24E47">
              <w:rPr>
                <w:noProof/>
                <w:webHidden/>
              </w:rPr>
              <w:fldChar w:fldCharType="separate"/>
            </w:r>
            <w:r w:rsidR="00E24E47">
              <w:rPr>
                <w:noProof/>
                <w:webHidden/>
              </w:rPr>
              <w:t>8</w:t>
            </w:r>
            <w:r w:rsidR="00E24E47">
              <w:rPr>
                <w:noProof/>
                <w:webHidden/>
              </w:rPr>
              <w:fldChar w:fldCharType="end"/>
            </w:r>
          </w:hyperlink>
        </w:p>
        <w:p w14:paraId="66433B04" w14:textId="52A6CF33" w:rsidR="00E24E47" w:rsidRDefault="008034D0">
          <w:pPr>
            <w:pStyle w:val="TOC2"/>
            <w:rPr>
              <w:rFonts w:asciiTheme="minorHAnsi" w:eastAsiaTheme="minorEastAsia" w:hAnsiTheme="minorHAnsi" w:cstheme="minorBidi"/>
              <w:noProof/>
              <w:szCs w:val="22"/>
              <w:lang w:eastAsia="en-AU"/>
            </w:rPr>
          </w:pPr>
          <w:hyperlink w:anchor="_Toc90650027" w:history="1">
            <w:r w:rsidR="00E24E47" w:rsidRPr="00D43575">
              <w:rPr>
                <w:rStyle w:val="Hyperlink"/>
                <w:noProof/>
              </w:rPr>
              <w:t>Sustainability</w:t>
            </w:r>
            <w:r w:rsidR="00E24E47">
              <w:rPr>
                <w:noProof/>
                <w:webHidden/>
              </w:rPr>
              <w:tab/>
            </w:r>
            <w:r w:rsidR="00E24E47">
              <w:rPr>
                <w:noProof/>
                <w:webHidden/>
              </w:rPr>
              <w:fldChar w:fldCharType="begin"/>
            </w:r>
            <w:r w:rsidR="00E24E47">
              <w:rPr>
                <w:noProof/>
                <w:webHidden/>
              </w:rPr>
              <w:instrText xml:space="preserve"> PAGEREF _Toc90650027 \h </w:instrText>
            </w:r>
            <w:r w:rsidR="00E24E47">
              <w:rPr>
                <w:noProof/>
                <w:webHidden/>
              </w:rPr>
            </w:r>
            <w:r w:rsidR="00E24E47">
              <w:rPr>
                <w:noProof/>
                <w:webHidden/>
              </w:rPr>
              <w:fldChar w:fldCharType="separate"/>
            </w:r>
            <w:r w:rsidR="00E24E47">
              <w:rPr>
                <w:noProof/>
                <w:webHidden/>
              </w:rPr>
              <w:t>9</w:t>
            </w:r>
            <w:r w:rsidR="00E24E47">
              <w:rPr>
                <w:noProof/>
                <w:webHidden/>
              </w:rPr>
              <w:fldChar w:fldCharType="end"/>
            </w:r>
          </w:hyperlink>
        </w:p>
        <w:p w14:paraId="3C3BFF24" w14:textId="4E23D642" w:rsidR="00E24E47" w:rsidRDefault="008034D0">
          <w:pPr>
            <w:pStyle w:val="TOC2"/>
            <w:rPr>
              <w:rFonts w:asciiTheme="minorHAnsi" w:eastAsiaTheme="minorEastAsia" w:hAnsiTheme="minorHAnsi" w:cstheme="minorBidi"/>
              <w:noProof/>
              <w:szCs w:val="22"/>
              <w:lang w:eastAsia="en-AU"/>
            </w:rPr>
          </w:pPr>
          <w:hyperlink w:anchor="_Toc90650028" w:history="1">
            <w:r w:rsidR="00E24E47" w:rsidRPr="00D43575">
              <w:rPr>
                <w:rStyle w:val="Hyperlink"/>
                <w:noProof/>
              </w:rPr>
              <w:t>Barriers and enablers</w:t>
            </w:r>
            <w:r w:rsidR="00E24E47">
              <w:rPr>
                <w:noProof/>
                <w:webHidden/>
              </w:rPr>
              <w:tab/>
            </w:r>
            <w:r w:rsidR="00E24E47">
              <w:rPr>
                <w:noProof/>
                <w:webHidden/>
              </w:rPr>
              <w:fldChar w:fldCharType="begin"/>
            </w:r>
            <w:r w:rsidR="00E24E47">
              <w:rPr>
                <w:noProof/>
                <w:webHidden/>
              </w:rPr>
              <w:instrText xml:space="preserve"> PAGEREF _Toc90650028 \h </w:instrText>
            </w:r>
            <w:r w:rsidR="00E24E47">
              <w:rPr>
                <w:noProof/>
                <w:webHidden/>
              </w:rPr>
            </w:r>
            <w:r w:rsidR="00E24E47">
              <w:rPr>
                <w:noProof/>
                <w:webHidden/>
              </w:rPr>
              <w:fldChar w:fldCharType="separate"/>
            </w:r>
            <w:r w:rsidR="00E24E47">
              <w:rPr>
                <w:noProof/>
                <w:webHidden/>
              </w:rPr>
              <w:t>9</w:t>
            </w:r>
            <w:r w:rsidR="00E24E47">
              <w:rPr>
                <w:noProof/>
                <w:webHidden/>
              </w:rPr>
              <w:fldChar w:fldCharType="end"/>
            </w:r>
          </w:hyperlink>
        </w:p>
        <w:p w14:paraId="64B7D720" w14:textId="7E637BD1" w:rsidR="00E24E47" w:rsidRDefault="008034D0">
          <w:pPr>
            <w:pStyle w:val="TOC2"/>
            <w:rPr>
              <w:rFonts w:asciiTheme="minorHAnsi" w:eastAsiaTheme="minorEastAsia" w:hAnsiTheme="minorHAnsi" w:cstheme="minorBidi"/>
              <w:noProof/>
              <w:szCs w:val="22"/>
              <w:lang w:eastAsia="en-AU"/>
            </w:rPr>
          </w:pPr>
          <w:hyperlink w:anchor="_Toc90650029" w:history="1">
            <w:r w:rsidR="00E24E47" w:rsidRPr="00D43575">
              <w:rPr>
                <w:rStyle w:val="Hyperlink"/>
                <w:noProof/>
              </w:rPr>
              <w:t>Governance and management</w:t>
            </w:r>
            <w:r w:rsidR="00E24E47">
              <w:rPr>
                <w:noProof/>
                <w:webHidden/>
              </w:rPr>
              <w:tab/>
            </w:r>
            <w:r w:rsidR="00E24E47">
              <w:rPr>
                <w:noProof/>
                <w:webHidden/>
              </w:rPr>
              <w:fldChar w:fldCharType="begin"/>
            </w:r>
            <w:r w:rsidR="00E24E47">
              <w:rPr>
                <w:noProof/>
                <w:webHidden/>
              </w:rPr>
              <w:instrText xml:space="preserve"> PAGEREF _Toc90650029 \h </w:instrText>
            </w:r>
            <w:r w:rsidR="00E24E47">
              <w:rPr>
                <w:noProof/>
                <w:webHidden/>
              </w:rPr>
            </w:r>
            <w:r w:rsidR="00E24E47">
              <w:rPr>
                <w:noProof/>
                <w:webHidden/>
              </w:rPr>
              <w:fldChar w:fldCharType="separate"/>
            </w:r>
            <w:r w:rsidR="00E24E47">
              <w:rPr>
                <w:noProof/>
                <w:webHidden/>
              </w:rPr>
              <w:t>10</w:t>
            </w:r>
            <w:r w:rsidR="00E24E47">
              <w:rPr>
                <w:noProof/>
                <w:webHidden/>
              </w:rPr>
              <w:fldChar w:fldCharType="end"/>
            </w:r>
          </w:hyperlink>
        </w:p>
        <w:p w14:paraId="7BC4D8AA" w14:textId="4798B8B4" w:rsidR="00E24E47" w:rsidRDefault="008034D0">
          <w:pPr>
            <w:pStyle w:val="TOC1"/>
            <w:rPr>
              <w:rFonts w:asciiTheme="minorHAnsi" w:eastAsiaTheme="minorEastAsia" w:hAnsiTheme="minorHAnsi" w:cstheme="minorBidi"/>
              <w:b w:val="0"/>
              <w:noProof/>
              <w:szCs w:val="22"/>
              <w:lang w:eastAsia="en-AU"/>
            </w:rPr>
          </w:pPr>
          <w:hyperlink w:anchor="_Toc90650030" w:history="1">
            <w:r w:rsidR="00E24E47" w:rsidRPr="00D43575">
              <w:rPr>
                <w:rStyle w:val="Hyperlink"/>
                <w:noProof/>
              </w:rPr>
              <w:t>Conclusion</w:t>
            </w:r>
            <w:r w:rsidR="00E24E47">
              <w:rPr>
                <w:noProof/>
                <w:webHidden/>
              </w:rPr>
              <w:tab/>
            </w:r>
            <w:r w:rsidR="00E24E47">
              <w:rPr>
                <w:noProof/>
                <w:webHidden/>
              </w:rPr>
              <w:fldChar w:fldCharType="begin"/>
            </w:r>
            <w:r w:rsidR="00E24E47">
              <w:rPr>
                <w:noProof/>
                <w:webHidden/>
              </w:rPr>
              <w:instrText xml:space="preserve"> PAGEREF _Toc90650030 \h </w:instrText>
            </w:r>
            <w:r w:rsidR="00E24E47">
              <w:rPr>
                <w:noProof/>
                <w:webHidden/>
              </w:rPr>
            </w:r>
            <w:r w:rsidR="00E24E47">
              <w:rPr>
                <w:noProof/>
                <w:webHidden/>
              </w:rPr>
              <w:fldChar w:fldCharType="separate"/>
            </w:r>
            <w:r w:rsidR="00E24E47">
              <w:rPr>
                <w:noProof/>
                <w:webHidden/>
              </w:rPr>
              <w:t>10</w:t>
            </w:r>
            <w:r w:rsidR="00E24E47">
              <w:rPr>
                <w:noProof/>
                <w:webHidden/>
              </w:rPr>
              <w:fldChar w:fldCharType="end"/>
            </w:r>
          </w:hyperlink>
        </w:p>
        <w:p w14:paraId="49B8DD21" w14:textId="471F4545" w:rsidR="00E24E47" w:rsidRDefault="008034D0">
          <w:pPr>
            <w:pStyle w:val="TOC1"/>
            <w:rPr>
              <w:rFonts w:asciiTheme="minorHAnsi" w:eastAsiaTheme="minorEastAsia" w:hAnsiTheme="minorHAnsi" w:cstheme="minorBidi"/>
              <w:b w:val="0"/>
              <w:noProof/>
              <w:szCs w:val="22"/>
              <w:lang w:eastAsia="en-AU"/>
            </w:rPr>
          </w:pPr>
          <w:hyperlink w:anchor="_Toc90650031" w:history="1">
            <w:r w:rsidR="00E24E47" w:rsidRPr="00D43575">
              <w:rPr>
                <w:rStyle w:val="Hyperlink"/>
                <w:noProof/>
              </w:rPr>
              <w:t>Summary of recommendations</w:t>
            </w:r>
            <w:r w:rsidR="00E24E47">
              <w:rPr>
                <w:noProof/>
                <w:webHidden/>
              </w:rPr>
              <w:tab/>
            </w:r>
            <w:r w:rsidR="00E24E47">
              <w:rPr>
                <w:noProof/>
                <w:webHidden/>
              </w:rPr>
              <w:fldChar w:fldCharType="begin"/>
            </w:r>
            <w:r w:rsidR="00E24E47">
              <w:rPr>
                <w:noProof/>
                <w:webHidden/>
              </w:rPr>
              <w:instrText xml:space="preserve"> PAGEREF _Toc90650031 \h </w:instrText>
            </w:r>
            <w:r w:rsidR="00E24E47">
              <w:rPr>
                <w:noProof/>
                <w:webHidden/>
              </w:rPr>
            </w:r>
            <w:r w:rsidR="00E24E47">
              <w:rPr>
                <w:noProof/>
                <w:webHidden/>
              </w:rPr>
              <w:fldChar w:fldCharType="separate"/>
            </w:r>
            <w:r w:rsidR="00E24E47">
              <w:rPr>
                <w:noProof/>
                <w:webHidden/>
              </w:rPr>
              <w:t>11</w:t>
            </w:r>
            <w:r w:rsidR="00E24E47">
              <w:rPr>
                <w:noProof/>
                <w:webHidden/>
              </w:rPr>
              <w:fldChar w:fldCharType="end"/>
            </w:r>
          </w:hyperlink>
        </w:p>
        <w:p w14:paraId="54082011" w14:textId="2C71FB36" w:rsidR="00E24E47" w:rsidRDefault="008034D0">
          <w:pPr>
            <w:pStyle w:val="TOC1"/>
            <w:rPr>
              <w:rFonts w:asciiTheme="minorHAnsi" w:eastAsiaTheme="minorEastAsia" w:hAnsiTheme="minorHAnsi" w:cstheme="minorBidi"/>
              <w:b w:val="0"/>
              <w:noProof/>
              <w:szCs w:val="22"/>
              <w:lang w:eastAsia="en-AU"/>
            </w:rPr>
          </w:pPr>
          <w:hyperlink w:anchor="_Toc90650032" w:history="1">
            <w:r w:rsidR="00E24E47" w:rsidRPr="00D43575">
              <w:rPr>
                <w:rStyle w:val="Hyperlink"/>
                <w:noProof/>
              </w:rPr>
              <w:t>Literature review</w:t>
            </w:r>
            <w:r w:rsidR="00E24E47">
              <w:rPr>
                <w:noProof/>
                <w:webHidden/>
              </w:rPr>
              <w:tab/>
            </w:r>
            <w:r w:rsidR="00E24E47">
              <w:rPr>
                <w:noProof/>
                <w:webHidden/>
              </w:rPr>
              <w:fldChar w:fldCharType="begin"/>
            </w:r>
            <w:r w:rsidR="00E24E47">
              <w:rPr>
                <w:noProof/>
                <w:webHidden/>
              </w:rPr>
              <w:instrText xml:space="preserve"> PAGEREF _Toc90650032 \h </w:instrText>
            </w:r>
            <w:r w:rsidR="00E24E47">
              <w:rPr>
                <w:noProof/>
                <w:webHidden/>
              </w:rPr>
            </w:r>
            <w:r w:rsidR="00E24E47">
              <w:rPr>
                <w:noProof/>
                <w:webHidden/>
              </w:rPr>
              <w:fldChar w:fldCharType="separate"/>
            </w:r>
            <w:r w:rsidR="00E24E47">
              <w:rPr>
                <w:noProof/>
                <w:webHidden/>
              </w:rPr>
              <w:t>12</w:t>
            </w:r>
            <w:r w:rsidR="00E24E47">
              <w:rPr>
                <w:noProof/>
                <w:webHidden/>
              </w:rPr>
              <w:fldChar w:fldCharType="end"/>
            </w:r>
          </w:hyperlink>
        </w:p>
        <w:p w14:paraId="56C3074A" w14:textId="689A571E" w:rsidR="00E24E47" w:rsidRDefault="008034D0">
          <w:pPr>
            <w:pStyle w:val="TOC2"/>
            <w:rPr>
              <w:rFonts w:asciiTheme="minorHAnsi" w:eastAsiaTheme="minorEastAsia" w:hAnsiTheme="minorHAnsi" w:cstheme="minorBidi"/>
              <w:noProof/>
              <w:szCs w:val="22"/>
              <w:lang w:eastAsia="en-AU"/>
            </w:rPr>
          </w:pPr>
          <w:hyperlink w:anchor="_Toc90650033" w:history="1">
            <w:r w:rsidR="00E24E47" w:rsidRPr="00D43575">
              <w:rPr>
                <w:rStyle w:val="Hyperlink"/>
                <w:noProof/>
              </w:rPr>
              <w:t>Introduction</w:t>
            </w:r>
            <w:r w:rsidR="00E24E47">
              <w:rPr>
                <w:noProof/>
                <w:webHidden/>
              </w:rPr>
              <w:tab/>
            </w:r>
            <w:r w:rsidR="00E24E47">
              <w:rPr>
                <w:noProof/>
                <w:webHidden/>
              </w:rPr>
              <w:fldChar w:fldCharType="begin"/>
            </w:r>
            <w:r w:rsidR="00E24E47">
              <w:rPr>
                <w:noProof/>
                <w:webHidden/>
              </w:rPr>
              <w:instrText xml:space="preserve"> PAGEREF _Toc90650033 \h </w:instrText>
            </w:r>
            <w:r w:rsidR="00E24E47">
              <w:rPr>
                <w:noProof/>
                <w:webHidden/>
              </w:rPr>
            </w:r>
            <w:r w:rsidR="00E24E47">
              <w:rPr>
                <w:noProof/>
                <w:webHidden/>
              </w:rPr>
              <w:fldChar w:fldCharType="separate"/>
            </w:r>
            <w:r w:rsidR="00E24E47">
              <w:rPr>
                <w:noProof/>
                <w:webHidden/>
              </w:rPr>
              <w:t>12</w:t>
            </w:r>
            <w:r w:rsidR="00E24E47">
              <w:rPr>
                <w:noProof/>
                <w:webHidden/>
              </w:rPr>
              <w:fldChar w:fldCharType="end"/>
            </w:r>
          </w:hyperlink>
        </w:p>
        <w:p w14:paraId="12FB76EE" w14:textId="13DB44C9" w:rsidR="00E24E47" w:rsidRDefault="008034D0">
          <w:pPr>
            <w:pStyle w:val="TOC2"/>
            <w:rPr>
              <w:rFonts w:asciiTheme="minorHAnsi" w:eastAsiaTheme="minorEastAsia" w:hAnsiTheme="minorHAnsi" w:cstheme="minorBidi"/>
              <w:noProof/>
              <w:szCs w:val="22"/>
              <w:lang w:eastAsia="en-AU"/>
            </w:rPr>
          </w:pPr>
          <w:hyperlink w:anchor="_Toc90650034" w:history="1">
            <w:r w:rsidR="00E24E47" w:rsidRPr="00D43575">
              <w:rPr>
                <w:rStyle w:val="Hyperlink"/>
                <w:noProof/>
              </w:rPr>
              <w:t>Policy context: Closing the Gap</w:t>
            </w:r>
            <w:r w:rsidR="00E24E47">
              <w:rPr>
                <w:noProof/>
                <w:webHidden/>
              </w:rPr>
              <w:tab/>
            </w:r>
            <w:r w:rsidR="00E24E47">
              <w:rPr>
                <w:noProof/>
                <w:webHidden/>
              </w:rPr>
              <w:fldChar w:fldCharType="begin"/>
            </w:r>
            <w:r w:rsidR="00E24E47">
              <w:rPr>
                <w:noProof/>
                <w:webHidden/>
              </w:rPr>
              <w:instrText xml:space="preserve"> PAGEREF _Toc90650034 \h </w:instrText>
            </w:r>
            <w:r w:rsidR="00E24E47">
              <w:rPr>
                <w:noProof/>
                <w:webHidden/>
              </w:rPr>
            </w:r>
            <w:r w:rsidR="00E24E47">
              <w:rPr>
                <w:noProof/>
                <w:webHidden/>
              </w:rPr>
              <w:fldChar w:fldCharType="separate"/>
            </w:r>
            <w:r w:rsidR="00E24E47">
              <w:rPr>
                <w:noProof/>
                <w:webHidden/>
              </w:rPr>
              <w:t>12</w:t>
            </w:r>
            <w:r w:rsidR="00E24E47">
              <w:rPr>
                <w:noProof/>
                <w:webHidden/>
              </w:rPr>
              <w:fldChar w:fldCharType="end"/>
            </w:r>
          </w:hyperlink>
        </w:p>
        <w:p w14:paraId="540E4228" w14:textId="3C1EF510" w:rsidR="00E24E47" w:rsidRDefault="008034D0">
          <w:pPr>
            <w:pStyle w:val="TOC2"/>
            <w:rPr>
              <w:rFonts w:asciiTheme="minorHAnsi" w:eastAsiaTheme="minorEastAsia" w:hAnsiTheme="minorHAnsi" w:cstheme="minorBidi"/>
              <w:noProof/>
              <w:szCs w:val="22"/>
              <w:lang w:eastAsia="en-AU"/>
            </w:rPr>
          </w:pPr>
          <w:hyperlink w:anchor="_Toc90650035" w:history="1">
            <w:r w:rsidR="00E24E47" w:rsidRPr="00D43575">
              <w:rPr>
                <w:rStyle w:val="Hyperlink"/>
                <w:noProof/>
              </w:rPr>
              <w:t>Evaluation programs</w:t>
            </w:r>
            <w:r w:rsidR="00E24E47">
              <w:rPr>
                <w:noProof/>
                <w:webHidden/>
              </w:rPr>
              <w:tab/>
            </w:r>
            <w:r w:rsidR="00E24E47">
              <w:rPr>
                <w:noProof/>
                <w:webHidden/>
              </w:rPr>
              <w:fldChar w:fldCharType="begin"/>
            </w:r>
            <w:r w:rsidR="00E24E47">
              <w:rPr>
                <w:noProof/>
                <w:webHidden/>
              </w:rPr>
              <w:instrText xml:space="preserve"> PAGEREF _Toc90650035 \h </w:instrText>
            </w:r>
            <w:r w:rsidR="00E24E47">
              <w:rPr>
                <w:noProof/>
                <w:webHidden/>
              </w:rPr>
            </w:r>
            <w:r w:rsidR="00E24E47">
              <w:rPr>
                <w:noProof/>
                <w:webHidden/>
              </w:rPr>
              <w:fldChar w:fldCharType="separate"/>
            </w:r>
            <w:r w:rsidR="00E24E47">
              <w:rPr>
                <w:noProof/>
                <w:webHidden/>
              </w:rPr>
              <w:t>14</w:t>
            </w:r>
            <w:r w:rsidR="00E24E47">
              <w:rPr>
                <w:noProof/>
                <w:webHidden/>
              </w:rPr>
              <w:fldChar w:fldCharType="end"/>
            </w:r>
          </w:hyperlink>
        </w:p>
        <w:p w14:paraId="420CCD20" w14:textId="2CA76CAE" w:rsidR="00E24E47" w:rsidRDefault="008034D0">
          <w:pPr>
            <w:pStyle w:val="TOC2"/>
            <w:rPr>
              <w:rFonts w:asciiTheme="minorHAnsi" w:eastAsiaTheme="minorEastAsia" w:hAnsiTheme="minorHAnsi" w:cstheme="minorBidi"/>
              <w:noProof/>
              <w:szCs w:val="22"/>
              <w:lang w:eastAsia="en-AU"/>
            </w:rPr>
          </w:pPr>
          <w:hyperlink w:anchor="_Toc90650036" w:history="1">
            <w:r w:rsidR="00E24E47" w:rsidRPr="00D43575">
              <w:rPr>
                <w:rStyle w:val="Hyperlink"/>
                <w:noProof/>
              </w:rPr>
              <w:t>Characteristics of effective programs</w:t>
            </w:r>
            <w:r w:rsidR="00E24E47">
              <w:rPr>
                <w:noProof/>
                <w:webHidden/>
              </w:rPr>
              <w:tab/>
            </w:r>
            <w:r w:rsidR="00E24E47">
              <w:rPr>
                <w:noProof/>
                <w:webHidden/>
              </w:rPr>
              <w:fldChar w:fldCharType="begin"/>
            </w:r>
            <w:r w:rsidR="00E24E47">
              <w:rPr>
                <w:noProof/>
                <w:webHidden/>
              </w:rPr>
              <w:instrText xml:space="preserve"> PAGEREF _Toc90650036 \h </w:instrText>
            </w:r>
            <w:r w:rsidR="00E24E47">
              <w:rPr>
                <w:noProof/>
                <w:webHidden/>
              </w:rPr>
            </w:r>
            <w:r w:rsidR="00E24E47">
              <w:rPr>
                <w:noProof/>
                <w:webHidden/>
              </w:rPr>
              <w:fldChar w:fldCharType="separate"/>
            </w:r>
            <w:r w:rsidR="00E24E47">
              <w:rPr>
                <w:noProof/>
                <w:webHidden/>
              </w:rPr>
              <w:t>16</w:t>
            </w:r>
            <w:r w:rsidR="00E24E47">
              <w:rPr>
                <w:noProof/>
                <w:webHidden/>
              </w:rPr>
              <w:fldChar w:fldCharType="end"/>
            </w:r>
          </w:hyperlink>
        </w:p>
        <w:p w14:paraId="0026213E" w14:textId="2A222604" w:rsidR="00E24E47" w:rsidRDefault="008034D0">
          <w:pPr>
            <w:pStyle w:val="TOC2"/>
            <w:rPr>
              <w:rFonts w:asciiTheme="minorHAnsi" w:eastAsiaTheme="minorEastAsia" w:hAnsiTheme="minorHAnsi" w:cstheme="minorBidi"/>
              <w:noProof/>
              <w:szCs w:val="22"/>
              <w:lang w:eastAsia="en-AU"/>
            </w:rPr>
          </w:pPr>
          <w:hyperlink w:anchor="_Toc90650037" w:history="1">
            <w:r w:rsidR="00E24E47" w:rsidRPr="00D43575">
              <w:rPr>
                <w:rStyle w:val="Hyperlink"/>
                <w:noProof/>
              </w:rPr>
              <w:t>Key themes</w:t>
            </w:r>
            <w:r w:rsidR="00E24E47">
              <w:rPr>
                <w:noProof/>
                <w:webHidden/>
              </w:rPr>
              <w:tab/>
            </w:r>
            <w:r w:rsidR="00E24E47">
              <w:rPr>
                <w:noProof/>
                <w:webHidden/>
              </w:rPr>
              <w:fldChar w:fldCharType="begin"/>
            </w:r>
            <w:r w:rsidR="00E24E47">
              <w:rPr>
                <w:noProof/>
                <w:webHidden/>
              </w:rPr>
              <w:instrText xml:space="preserve"> PAGEREF _Toc90650037 \h </w:instrText>
            </w:r>
            <w:r w:rsidR="00E24E47">
              <w:rPr>
                <w:noProof/>
                <w:webHidden/>
              </w:rPr>
            </w:r>
            <w:r w:rsidR="00E24E47">
              <w:rPr>
                <w:noProof/>
                <w:webHidden/>
              </w:rPr>
              <w:fldChar w:fldCharType="separate"/>
            </w:r>
            <w:r w:rsidR="00E24E47">
              <w:rPr>
                <w:noProof/>
                <w:webHidden/>
              </w:rPr>
              <w:t>21</w:t>
            </w:r>
            <w:r w:rsidR="00E24E47">
              <w:rPr>
                <w:noProof/>
                <w:webHidden/>
              </w:rPr>
              <w:fldChar w:fldCharType="end"/>
            </w:r>
          </w:hyperlink>
        </w:p>
        <w:p w14:paraId="51D5E81E" w14:textId="4C6DA986" w:rsidR="00E24E47" w:rsidRDefault="008034D0">
          <w:pPr>
            <w:pStyle w:val="TOC2"/>
            <w:rPr>
              <w:rFonts w:asciiTheme="minorHAnsi" w:eastAsiaTheme="minorEastAsia" w:hAnsiTheme="minorHAnsi" w:cstheme="minorBidi"/>
              <w:noProof/>
              <w:szCs w:val="22"/>
              <w:lang w:eastAsia="en-AU"/>
            </w:rPr>
          </w:pPr>
          <w:hyperlink w:anchor="_Toc90650038" w:history="1">
            <w:r w:rsidR="00E24E47" w:rsidRPr="00D43575">
              <w:rPr>
                <w:rStyle w:val="Hyperlink"/>
                <w:noProof/>
              </w:rPr>
              <w:t>Summary</w:t>
            </w:r>
            <w:r w:rsidR="00E24E47">
              <w:rPr>
                <w:noProof/>
                <w:webHidden/>
              </w:rPr>
              <w:tab/>
            </w:r>
            <w:r w:rsidR="00E24E47">
              <w:rPr>
                <w:noProof/>
                <w:webHidden/>
              </w:rPr>
              <w:fldChar w:fldCharType="begin"/>
            </w:r>
            <w:r w:rsidR="00E24E47">
              <w:rPr>
                <w:noProof/>
                <w:webHidden/>
              </w:rPr>
              <w:instrText xml:space="preserve"> PAGEREF _Toc90650038 \h </w:instrText>
            </w:r>
            <w:r w:rsidR="00E24E47">
              <w:rPr>
                <w:noProof/>
                <w:webHidden/>
              </w:rPr>
            </w:r>
            <w:r w:rsidR="00E24E47">
              <w:rPr>
                <w:noProof/>
                <w:webHidden/>
              </w:rPr>
              <w:fldChar w:fldCharType="separate"/>
            </w:r>
            <w:r w:rsidR="00E24E47">
              <w:rPr>
                <w:noProof/>
                <w:webHidden/>
              </w:rPr>
              <w:t>25</w:t>
            </w:r>
            <w:r w:rsidR="00E24E47">
              <w:rPr>
                <w:noProof/>
                <w:webHidden/>
              </w:rPr>
              <w:fldChar w:fldCharType="end"/>
            </w:r>
          </w:hyperlink>
        </w:p>
        <w:p w14:paraId="1636A144" w14:textId="58E5C8F0" w:rsidR="00E24E47" w:rsidRDefault="008034D0">
          <w:pPr>
            <w:pStyle w:val="TOC1"/>
            <w:rPr>
              <w:rFonts w:asciiTheme="minorHAnsi" w:eastAsiaTheme="minorEastAsia" w:hAnsiTheme="minorHAnsi" w:cstheme="minorBidi"/>
              <w:b w:val="0"/>
              <w:noProof/>
              <w:szCs w:val="22"/>
              <w:lang w:eastAsia="en-AU"/>
            </w:rPr>
          </w:pPr>
          <w:hyperlink w:anchor="_Toc90650039" w:history="1">
            <w:r w:rsidR="00E24E47" w:rsidRPr="00D43575">
              <w:rPr>
                <w:rStyle w:val="Hyperlink"/>
                <w:noProof/>
              </w:rPr>
              <w:t>References</w:t>
            </w:r>
            <w:r w:rsidR="00E24E47">
              <w:rPr>
                <w:noProof/>
                <w:webHidden/>
              </w:rPr>
              <w:tab/>
            </w:r>
            <w:r w:rsidR="00E24E47">
              <w:rPr>
                <w:noProof/>
                <w:webHidden/>
              </w:rPr>
              <w:fldChar w:fldCharType="begin"/>
            </w:r>
            <w:r w:rsidR="00E24E47">
              <w:rPr>
                <w:noProof/>
                <w:webHidden/>
              </w:rPr>
              <w:instrText xml:space="preserve"> PAGEREF _Toc90650039 \h </w:instrText>
            </w:r>
            <w:r w:rsidR="00E24E47">
              <w:rPr>
                <w:noProof/>
                <w:webHidden/>
              </w:rPr>
            </w:r>
            <w:r w:rsidR="00E24E47">
              <w:rPr>
                <w:noProof/>
                <w:webHidden/>
              </w:rPr>
              <w:fldChar w:fldCharType="separate"/>
            </w:r>
            <w:r w:rsidR="00E24E47">
              <w:rPr>
                <w:noProof/>
                <w:webHidden/>
              </w:rPr>
              <w:t>26</w:t>
            </w:r>
            <w:r w:rsidR="00E24E47">
              <w:rPr>
                <w:noProof/>
                <w:webHidden/>
              </w:rPr>
              <w:fldChar w:fldCharType="end"/>
            </w:r>
          </w:hyperlink>
        </w:p>
        <w:p w14:paraId="16B0359A" w14:textId="48D571D0" w:rsidR="00CA49F3" w:rsidRDefault="007E236F">
          <w:r>
            <w:rPr>
              <w:b/>
            </w:rPr>
            <w:fldChar w:fldCharType="end"/>
          </w:r>
        </w:p>
      </w:sdtContent>
    </w:sdt>
    <w:p w14:paraId="14D4C7A9" w14:textId="77777777" w:rsidR="007F1923" w:rsidRDefault="007F1923" w:rsidP="00CA49F3"/>
    <w:p w14:paraId="38EA4B5D" w14:textId="77777777" w:rsidR="00D64D05" w:rsidRDefault="00D64D05" w:rsidP="00CA49F3">
      <w:pPr>
        <w:sectPr w:rsidR="00D64D05" w:rsidSect="00235DBD">
          <w:headerReference w:type="first" r:id="rId25"/>
          <w:pgSz w:w="11906" w:h="16838" w:code="9"/>
          <w:pgMar w:top="1361" w:right="1134" w:bottom="1701" w:left="1134" w:header="340" w:footer="454" w:gutter="0"/>
          <w:cols w:space="708"/>
          <w:formProt w:val="0"/>
          <w:docGrid w:linePitch="360"/>
        </w:sectPr>
      </w:pPr>
    </w:p>
    <w:p w14:paraId="0F5A09C1" w14:textId="2C1176EC" w:rsidR="00887AF3" w:rsidRDefault="00905C73" w:rsidP="00B109E9">
      <w:pPr>
        <w:pStyle w:val="Heading1Nospacebefore"/>
      </w:pPr>
      <w:bookmarkStart w:id="1" w:name="_Toc90650014"/>
      <w:bookmarkStart w:id="2" w:name="_Hlk507532561"/>
      <w:r>
        <w:lastRenderedPageBreak/>
        <w:t>Introduction</w:t>
      </w:r>
      <w:bookmarkEnd w:id="1"/>
    </w:p>
    <w:p w14:paraId="55305049" w14:textId="77777777" w:rsidR="00D44AD3" w:rsidRDefault="00D44AD3" w:rsidP="00D44AD3">
      <w:r>
        <w:t>This report summarises the findings of an independent evaluation of the Role Models and Leaders Australia (RMLA) Girls Academy, a program designed to overcome barriers to education for Aboriginal girls. The evaluation was undertaken by Lirata Consulting between September 2018 and September 2019.</w:t>
      </w:r>
    </w:p>
    <w:p w14:paraId="3984EE11" w14:textId="77777777" w:rsidR="00D44AD3" w:rsidRDefault="00D44AD3" w:rsidP="00D44AD3">
      <w:r>
        <w:t>The evaluation draws on data collected via a mixed methodology encompassing surveys, interviews, focus groups/conversation circles, analysis of monitoring data and site visits. The analysis examines the Girls Academy Program across a number of dimensions including relevance, effectiveness, impact, efficiency, sustainability, barriers and enablers, and governance and management, whilst also providing recommendations for the ongoing success and improvement of the program.</w:t>
      </w:r>
    </w:p>
    <w:p w14:paraId="5B162D24" w14:textId="444B0998" w:rsidR="00D64D05" w:rsidRDefault="00D44AD3" w:rsidP="00CF5FF5">
      <w:r>
        <w:t>The full Final Report of the evaluation was completed in February 2020. This Summary Report outlines key findings from the full report, and also contains the literature review prepared as part of the evaluation.</w:t>
      </w:r>
    </w:p>
    <w:p w14:paraId="2FB4966B" w14:textId="40581663" w:rsidR="008C33CD" w:rsidRDefault="00B109E9" w:rsidP="00B109E9">
      <w:pPr>
        <w:pStyle w:val="Heading1"/>
      </w:pPr>
      <w:bookmarkStart w:id="3" w:name="_Toc90650015"/>
      <w:r>
        <w:lastRenderedPageBreak/>
        <w:t>C</w:t>
      </w:r>
      <w:r w:rsidR="004769C1">
        <w:t>ontext</w:t>
      </w:r>
      <w:bookmarkEnd w:id="3"/>
    </w:p>
    <w:p w14:paraId="7A1E277A" w14:textId="6C96BF84" w:rsidR="00E83346" w:rsidRPr="00E24E47" w:rsidRDefault="00D44AD3" w:rsidP="00E24E47">
      <w:pPr>
        <w:pStyle w:val="Heading2ExecSummary"/>
      </w:pPr>
      <w:bookmarkStart w:id="4" w:name="_Toc90650016"/>
      <w:r w:rsidRPr="00E24E47">
        <w:t>Role Models and Leaders Australia</w:t>
      </w:r>
      <w:bookmarkEnd w:id="4"/>
    </w:p>
    <w:p w14:paraId="6111BA75" w14:textId="55F142E0" w:rsidR="00D44AD3" w:rsidRDefault="00D44AD3" w:rsidP="00726433">
      <w:r w:rsidRPr="00D44AD3">
        <w:t>RMLA is a not-for-profit charitable organisation founded in 2004 by Olympian and champion basketballer Ricky Grace with the support of the Chesson Family. The Girls Academy Program is the largest and highest profile aspect of RMLA’s work. Following extensive lobbying with the Australian Government, the first Girls Academy opened at the Clontarf Aboriginal College in Perth in 2004. There are now 43 Girls Academies over 47 campuses in Western Australia (WA), the Northern Territory (NT), New South Wales (NSW) and Queensland (QLD).</w:t>
      </w:r>
    </w:p>
    <w:p w14:paraId="7BED9BA6" w14:textId="48FDEEB2" w:rsidR="00E83346" w:rsidRPr="00E24E47" w:rsidRDefault="00D44AD3" w:rsidP="00E24E47">
      <w:pPr>
        <w:pStyle w:val="Heading2ExecSummary"/>
      </w:pPr>
      <w:bookmarkStart w:id="5" w:name="_Toc90650017"/>
      <w:r w:rsidRPr="00E24E47">
        <w:t>Girls Academy Program</w:t>
      </w:r>
      <w:bookmarkEnd w:id="5"/>
    </w:p>
    <w:p w14:paraId="2E424BE2" w14:textId="5DFDB9C8" w:rsidR="00D44AD3" w:rsidRDefault="00D44AD3" w:rsidP="00726433">
      <w:pPr>
        <w:rPr>
          <w:lang w:eastAsia="en-AU"/>
        </w:rPr>
      </w:pPr>
      <w:r w:rsidRPr="00D44AD3">
        <w:rPr>
          <w:lang w:eastAsia="en-AU"/>
        </w:rPr>
        <w:t>The Girls Academy Program was established with the aim of overcoming the barriers that can prevent Aboriginal and Torres Strait Islander girls from completing their education, entering the workforce, reaching their full potential and positively contributing to their communities. The key intended result of the Girls Academy Program is:</w:t>
      </w:r>
    </w:p>
    <w:p w14:paraId="6126725B" w14:textId="77777777" w:rsidR="00D44AD3" w:rsidRPr="00D44AD3" w:rsidRDefault="00D44AD3" w:rsidP="00726433">
      <w:pPr>
        <w:pStyle w:val="Quote"/>
      </w:pPr>
      <w:r w:rsidRPr="00D44AD3">
        <w:t xml:space="preserve">A confident educated Indigenous girl capable of breaking the cycle of disadvantage by creating a </w:t>
      </w:r>
      <w:r w:rsidRPr="00D44AD3">
        <w:lastRenderedPageBreak/>
        <w:t>successful future for herself and having the capacity to positively influence others.</w:t>
      </w:r>
    </w:p>
    <w:p w14:paraId="4DC58801" w14:textId="77777777" w:rsidR="00D44AD3" w:rsidRDefault="00D44AD3" w:rsidP="00726433">
      <w:pPr>
        <w:rPr>
          <w:lang w:eastAsia="en-AU"/>
        </w:rPr>
      </w:pPr>
      <w:r>
        <w:rPr>
          <w:lang w:eastAsia="en-AU"/>
        </w:rPr>
        <w:t xml:space="preserve">The program works in partnership with the school system to provide culturally grounded, community led activities that aim to nurture and develop the girls’ self-concept, confidence and self-esteem, strengthen and support their resilience, and encourage and support school attendance, achievement and academic success. The program seeks to support Academy girls to complete and graduate from 12 years of schooling, with a post-school plan that they have the capacity and support to successfully implement. </w:t>
      </w:r>
      <w:r>
        <w:t>A draft program logic for the Girls Academy Program has been developed by RMLA and outlines the program’s intended outcomes.</w:t>
      </w:r>
    </w:p>
    <w:p w14:paraId="2DFF5A6B" w14:textId="77777777" w:rsidR="00D44AD3" w:rsidRDefault="00D44AD3" w:rsidP="00D44AD3">
      <w:pPr>
        <w:rPr>
          <w:spacing w:val="-1"/>
        </w:rPr>
      </w:pPr>
      <w:r>
        <w:rPr>
          <w:lang w:eastAsia="en-AU"/>
        </w:rPr>
        <w:t xml:space="preserve">The Girls Academy Program expanded rapidly from 14 Academies in three states in 2016 to 43 Academies in four states in 2019, with funding from the </w:t>
      </w:r>
      <w:r>
        <w:rPr>
          <w:spacing w:val="-1"/>
        </w:rPr>
        <w:t>Department of Prime Minister and Cabinet (DPMC)</w:t>
      </w:r>
      <w:r>
        <w:rPr>
          <w:lang w:eastAsia="en-AU"/>
        </w:rPr>
        <w:t xml:space="preserve"> and </w:t>
      </w:r>
      <w:r>
        <w:rPr>
          <w:spacing w:val="-1"/>
        </w:rPr>
        <w:t>Departments of Education in WA, the NT, NSW, and QLD</w:t>
      </w:r>
      <w:r>
        <w:rPr>
          <w:lang w:eastAsia="en-AU"/>
        </w:rPr>
        <w:t xml:space="preserve">. </w:t>
      </w:r>
      <w:r>
        <w:rPr>
          <w:spacing w:val="-1"/>
        </w:rPr>
        <w:t>Philanthropic support, donations and fundraising provide additional revenue for the program</w:t>
      </w:r>
      <w:r>
        <w:rPr>
          <w:lang w:eastAsia="en-AU"/>
        </w:rPr>
        <w:t>.</w:t>
      </w:r>
      <w:r>
        <w:rPr>
          <w:spacing w:val="-1"/>
        </w:rPr>
        <w:t xml:space="preserve"> In May 2019, Federal Government funding and oversight of the Girls Academy Program passed from DPMC to the newly established National Indigenous Australians Agency (NIAA).</w:t>
      </w:r>
    </w:p>
    <w:p w14:paraId="2DD4E953" w14:textId="1B6F5AD0" w:rsidR="009A65DA" w:rsidRPr="00E24E47" w:rsidRDefault="00D44AD3" w:rsidP="00E24E47">
      <w:pPr>
        <w:pStyle w:val="Heading2ExecSummary"/>
      </w:pPr>
      <w:bookmarkStart w:id="6" w:name="_Toc90650018"/>
      <w:r w:rsidRPr="00E24E47">
        <w:lastRenderedPageBreak/>
        <w:t>Program delivery</w:t>
      </w:r>
      <w:bookmarkEnd w:id="6"/>
    </w:p>
    <w:p w14:paraId="2E1129FA" w14:textId="77777777" w:rsidR="00D44AD3" w:rsidRDefault="00D44AD3" w:rsidP="00726433">
      <w:pPr>
        <w:pStyle w:val="NormalBeforeList"/>
      </w:pPr>
      <w:r>
        <w:t>In order to achieve its aims, the Girls Academy has developed five core program elements that provide the structure and rationale for the program’s activities.</w:t>
      </w:r>
    </w:p>
    <w:p w14:paraId="6384161D" w14:textId="47453B81" w:rsidR="00D44AD3" w:rsidRDefault="00D44AD3" w:rsidP="00726433">
      <w:pPr>
        <w:pStyle w:val="NumberBulletLevel1"/>
      </w:pPr>
      <w:r>
        <w:t>Well Being – I am Me, I am beautiful</w:t>
      </w:r>
    </w:p>
    <w:p w14:paraId="5D513C83" w14:textId="2680B8B6" w:rsidR="00D44AD3" w:rsidRDefault="00D44AD3" w:rsidP="00726433">
      <w:pPr>
        <w:pStyle w:val="NumberBulletLevel1"/>
      </w:pPr>
      <w:r>
        <w:t>Health – Healthy Body, Healthy Mind</w:t>
      </w:r>
    </w:p>
    <w:p w14:paraId="108B4F99" w14:textId="16A553FF" w:rsidR="00D44AD3" w:rsidRDefault="00D44AD3" w:rsidP="00726433">
      <w:pPr>
        <w:pStyle w:val="NumberBulletLevel1"/>
      </w:pPr>
      <w:r>
        <w:t>Cultural Knowledge and Understanding – Cultural Connections</w:t>
      </w:r>
    </w:p>
    <w:p w14:paraId="4B796A89" w14:textId="520F8635" w:rsidR="00D44AD3" w:rsidRDefault="00D44AD3" w:rsidP="00726433">
      <w:pPr>
        <w:pStyle w:val="NumberBulletLevel1"/>
      </w:pPr>
      <w:r>
        <w:t>Future Pathways and Careers – Imagine</w:t>
      </w:r>
    </w:p>
    <w:p w14:paraId="0BF8EE54" w14:textId="4FE0DE7D" w:rsidR="00D44AD3" w:rsidRDefault="00D44AD3" w:rsidP="00726433">
      <w:pPr>
        <w:pStyle w:val="NumberBulletLevel1"/>
      </w:pPr>
      <w:r>
        <w:t>Leadership – Be the Change</w:t>
      </w:r>
    </w:p>
    <w:p w14:paraId="0358B7D4" w14:textId="67DBB6D9" w:rsidR="00CC5E11" w:rsidRPr="00CC5E11" w:rsidRDefault="00D44AD3" w:rsidP="00726433">
      <w:pPr>
        <w:pStyle w:val="NormalAfterList"/>
      </w:pPr>
      <w:r>
        <w:t>A broad range of activities is linked to each of the five program elements. Some are consistent across all Girls Academies, but individual activities are prioritised according to the needs of each local Academy and the specific characteristics of the community they are situated in.</w:t>
      </w:r>
    </w:p>
    <w:p w14:paraId="7CCEA720" w14:textId="6745750F" w:rsidR="00887AF3" w:rsidRDefault="00CC5E11" w:rsidP="00B109E9">
      <w:pPr>
        <w:pStyle w:val="Heading1"/>
      </w:pPr>
      <w:bookmarkStart w:id="7" w:name="_Toc90650019"/>
      <w:r>
        <w:t>E</w:t>
      </w:r>
      <w:r w:rsidR="00292421">
        <w:t>valuation</w:t>
      </w:r>
      <w:bookmarkEnd w:id="7"/>
    </w:p>
    <w:p w14:paraId="62630AF9" w14:textId="7615039B" w:rsidR="00D44AD3" w:rsidRDefault="00D44AD3" w:rsidP="00726433">
      <w:r>
        <w:t>With the support of its major funder, the National Indigenous Australians Agency (NIAA), in 2017 RMLA decided to undertake two evaluations of the Girls Academy Program to provide it with independent evidence of the extent to which it was meet</w:t>
      </w:r>
      <w:r>
        <w:lastRenderedPageBreak/>
        <w:t xml:space="preserve">ing its aims. The first study was conducted by PwC: </w:t>
      </w:r>
      <w:r w:rsidRPr="007F09F4">
        <w:rPr>
          <w:i/>
          <w:iCs/>
        </w:rPr>
        <w:t>The estimated economic impact of the Girls Academy Program, August 2018</w:t>
      </w:r>
      <w:r>
        <w:t xml:space="preserve"> </w:t>
      </w:r>
      <w:r w:rsidR="007F09F4">
        <w:rPr>
          <w:i/>
          <w:iCs/>
          <w:lang w:eastAsia="en-AU"/>
        </w:rPr>
        <w:fldChar w:fldCharType="begin" w:fldLock="1"/>
      </w:r>
      <w:r w:rsidR="005F5266">
        <w:rPr>
          <w:i/>
          <w:iCs/>
          <w:lang w:eastAsia="en-AU"/>
        </w:rPr>
        <w:instrText>ADDIN CSL_CITATION {"citationItems":[{"id":"ITEM-1","itemData":{"author":[{"dropping-particle":"","family":"PwC","given":"","non-dropping-particle":"","parse-names":false,"suffix":""}],"id":"ITEM-1","issued":{"date-parts":[["2018"]]},"publisher":"PwC","title":"The estimated economic impact of the Girls Academy Program","type":"report"},"uris":["http://www.mendeley.com/documents/?uuid=5c078aa3-f57e-4fb6-bb62-6b3058e3a655"]}],"mendeley":{"formattedCitation":"(PwC, 2018)","plainTextFormattedCitation":"(PwC, 2018)","previouslyFormattedCitation":"(PwC, 2018)"},"properties":{"noteIndex":0},"schema":"https://github.com/citation-style-language/schema/raw/master/csl-citation.json"}</w:instrText>
      </w:r>
      <w:r w:rsidR="007F09F4">
        <w:rPr>
          <w:i/>
          <w:iCs/>
          <w:lang w:eastAsia="en-AU"/>
        </w:rPr>
        <w:fldChar w:fldCharType="separate"/>
      </w:r>
      <w:r w:rsidR="006537A1" w:rsidRPr="006537A1">
        <w:rPr>
          <w:iCs/>
          <w:noProof/>
          <w:lang w:eastAsia="en-AU"/>
        </w:rPr>
        <w:t>(PwC, 2018)</w:t>
      </w:r>
      <w:r w:rsidR="007F09F4">
        <w:rPr>
          <w:i/>
          <w:iCs/>
          <w:lang w:eastAsia="en-AU"/>
        </w:rPr>
        <w:fldChar w:fldCharType="end"/>
      </w:r>
      <w:r>
        <w:t xml:space="preserve">. </w:t>
      </w:r>
    </w:p>
    <w:p w14:paraId="0CA8EB65" w14:textId="77777777" w:rsidR="00D44AD3" w:rsidRDefault="00D44AD3" w:rsidP="00726433">
      <w:r>
        <w:t>The second evaluation was conducted by Lirata Consulting and its findings are summarised in this report.</w:t>
      </w:r>
    </w:p>
    <w:p w14:paraId="475B3B9C" w14:textId="77777777" w:rsidR="00D44AD3" w:rsidRDefault="00D44AD3" w:rsidP="00726433">
      <w:r>
        <w:t>Its primary purpose is to contribute to the program’s ongoing development and implementation, by enabling RMLA and its partners to learn from work to date and to improve policies, processes and methodology. The secondary purpose is to contribute to strengthening RMLA’s accountability to key stakeholders, including funders and sponsors, by generating a credible body of evidence in relation to the program’s level of quality and value.</w:t>
      </w:r>
    </w:p>
    <w:p w14:paraId="5DFA29AC" w14:textId="486C3BD8" w:rsidR="00D44AD3" w:rsidRDefault="00D44AD3" w:rsidP="00726433">
      <w:pPr>
        <w:pStyle w:val="NormalBeforeList"/>
      </w:pPr>
      <w:r>
        <w:t>The current evaluation has focused on:</w:t>
      </w:r>
    </w:p>
    <w:p w14:paraId="5969CBCE" w14:textId="4DB1B5F6" w:rsidR="00D44AD3" w:rsidRDefault="00D44AD3" w:rsidP="0097435D">
      <w:pPr>
        <w:pStyle w:val="BulletLevel1"/>
      </w:pPr>
      <w:r>
        <w:t xml:space="preserve">Assessing the </w:t>
      </w:r>
      <w:r w:rsidRPr="007F09F4">
        <w:rPr>
          <w:b/>
          <w:bCs/>
        </w:rPr>
        <w:t>relevance</w:t>
      </w:r>
      <w:r>
        <w:t xml:space="preserve"> of the Girls Academy Program, including the extent to which the five core program elements have been implemented as intended, the extent to which the programs and their implementation reflect the underlying values of the Australian Government’s Indigenous Advancement Strategy (IAS), and the extent of relevance to community needs at each site</w:t>
      </w:r>
    </w:p>
    <w:p w14:paraId="4ABC8683" w14:textId="199EF023" w:rsidR="00D44AD3" w:rsidRDefault="00D44AD3" w:rsidP="0097435D">
      <w:pPr>
        <w:pStyle w:val="BulletLevel1"/>
      </w:pPr>
      <w:r>
        <w:lastRenderedPageBreak/>
        <w:t xml:space="preserve">Investigating the level of </w:t>
      </w:r>
      <w:r w:rsidRPr="007F09F4">
        <w:rPr>
          <w:b/>
          <w:bCs/>
        </w:rPr>
        <w:t>effectiveness</w:t>
      </w:r>
      <w:r>
        <w:t xml:space="preserve"> of the Girls Academy Program through analysing participant outcomes in the four key result areas of personal development, school attendance, academic achievement and post-school transition, along with other positive or negative outcomes</w:t>
      </w:r>
    </w:p>
    <w:p w14:paraId="3D811FEA" w14:textId="47B63296" w:rsidR="00D44AD3" w:rsidRDefault="00D44AD3" w:rsidP="0097435D">
      <w:pPr>
        <w:pStyle w:val="BulletLevel1"/>
      </w:pPr>
      <w:r>
        <w:t xml:space="preserve">Identifying evidence of overall program </w:t>
      </w:r>
      <w:r w:rsidRPr="007F09F4">
        <w:rPr>
          <w:b/>
          <w:bCs/>
        </w:rPr>
        <w:t>impact</w:t>
      </w:r>
      <w:r>
        <w:t>, including school and community impacts over time</w:t>
      </w:r>
    </w:p>
    <w:p w14:paraId="1DB2230F" w14:textId="51F8B720" w:rsidR="00D44AD3" w:rsidRDefault="00D44AD3" w:rsidP="0097435D">
      <w:pPr>
        <w:pStyle w:val="BulletLevel1"/>
      </w:pPr>
      <w:r>
        <w:t xml:space="preserve">Assessing the level of </w:t>
      </w:r>
      <w:r w:rsidRPr="007F09F4">
        <w:rPr>
          <w:b/>
          <w:bCs/>
        </w:rPr>
        <w:t>efficiency</w:t>
      </w:r>
      <w:r>
        <w:t xml:space="preserve"> with which the program is being implemented</w:t>
      </w:r>
    </w:p>
    <w:p w14:paraId="55F7C220" w14:textId="16D4FF76" w:rsidR="00D44AD3" w:rsidRDefault="00D44AD3" w:rsidP="0097435D">
      <w:pPr>
        <w:pStyle w:val="BulletLevel1"/>
      </w:pPr>
      <w:r>
        <w:t xml:space="preserve">Assessing the </w:t>
      </w:r>
      <w:r w:rsidRPr="007F09F4">
        <w:rPr>
          <w:b/>
          <w:bCs/>
        </w:rPr>
        <w:t>sustainability</w:t>
      </w:r>
      <w:r>
        <w:t xml:space="preserve"> of program benefits for individual participants, and the level of sustainability of the program model and its delivery over time, especially during periods of expansion</w:t>
      </w:r>
    </w:p>
    <w:p w14:paraId="1CDF3100" w14:textId="677963C4" w:rsidR="00D44AD3" w:rsidRDefault="00D44AD3" w:rsidP="0097435D">
      <w:pPr>
        <w:pStyle w:val="BulletLevel1"/>
      </w:pPr>
      <w:r>
        <w:t xml:space="preserve">Identifying internal and external </w:t>
      </w:r>
      <w:r w:rsidRPr="007F09F4">
        <w:rPr>
          <w:b/>
          <w:bCs/>
        </w:rPr>
        <w:t>barriers and enablers</w:t>
      </w:r>
      <w:r>
        <w:t xml:space="preserve"> to effective program delivery, and critical success factors that contribute to successful implementation</w:t>
      </w:r>
    </w:p>
    <w:p w14:paraId="39678BA4" w14:textId="7AE71DA2" w:rsidR="00D44AD3" w:rsidRDefault="00D44AD3" w:rsidP="0097435D">
      <w:pPr>
        <w:pStyle w:val="BulletLevel1"/>
      </w:pPr>
      <w:r>
        <w:t xml:space="preserve">Identifying </w:t>
      </w:r>
      <w:r w:rsidRPr="007F09F4">
        <w:rPr>
          <w:b/>
          <w:bCs/>
        </w:rPr>
        <w:t>strengths and areas for improvement</w:t>
      </w:r>
      <w:r>
        <w:t xml:space="preserve"> in organisational and program governance, management, processes and systems that impact on the success of the program</w:t>
      </w:r>
    </w:p>
    <w:p w14:paraId="7B409698" w14:textId="437295DD" w:rsidR="00D44AD3" w:rsidRDefault="00D44AD3" w:rsidP="0097435D">
      <w:pPr>
        <w:pStyle w:val="BulletLevel1"/>
      </w:pPr>
      <w:r>
        <w:t xml:space="preserve">Providing clear and actionable </w:t>
      </w:r>
      <w:r w:rsidRPr="007F09F4">
        <w:rPr>
          <w:b/>
          <w:bCs/>
        </w:rPr>
        <w:t xml:space="preserve">recommendations </w:t>
      </w:r>
      <w:r>
        <w:t>to further strengthen the program and its implementation.</w:t>
      </w:r>
    </w:p>
    <w:p w14:paraId="3B5D4B44" w14:textId="45BAE98C" w:rsidR="00887AF3" w:rsidRDefault="00606D84" w:rsidP="00B109E9">
      <w:pPr>
        <w:pStyle w:val="Heading2"/>
      </w:pPr>
      <w:bookmarkStart w:id="8" w:name="_Toc90650020"/>
      <w:r>
        <w:lastRenderedPageBreak/>
        <w:t>Methodology</w:t>
      </w:r>
      <w:bookmarkEnd w:id="8"/>
    </w:p>
    <w:p w14:paraId="719800C8" w14:textId="77777777" w:rsidR="00606D84" w:rsidRPr="00606D84" w:rsidRDefault="00606D84" w:rsidP="0097435D">
      <w:r w:rsidRPr="00606D84">
        <w:t>The evaluation methodology used mixed methods, including surveys of Girls Academy staff (n=57) and key school contacts (n=26) on key indicators relating to the relevance, effectiveness, efficiency, impact, sustainability, barriers and enablers, and strengths and opportunities for improvements to the Girls Academy Program. Qualitative methods were also used to gather more in-depth explanatory data through visits to 5 of the programs 37 sites.</w:t>
      </w:r>
    </w:p>
    <w:p w14:paraId="6F62EC0B" w14:textId="77777777" w:rsidR="00606D84" w:rsidRPr="00606D84" w:rsidRDefault="00606D84" w:rsidP="0097435D">
      <w:r w:rsidRPr="00606D84">
        <w:t>These included targeted interviews, conversation circles, focus groups and observations with girls attending the Academy program (n=55), past students (n=4), family members (n=11), Girls Academy staff, including Girls Academy Regional Managers, Program Managers, Development Officers and Post School Options Officers, (n=20), Girls Academy Advisory Group members (n=11), key school contacts (n=22) and external stakeholders (n=9) at five Girls Academies in the Northern Territory (1), Queensland (2) and Western Australia (2).</w:t>
      </w:r>
    </w:p>
    <w:p w14:paraId="410657B5" w14:textId="77777777" w:rsidR="00606D84" w:rsidRPr="00606D84" w:rsidRDefault="00606D84" w:rsidP="0097435D">
      <w:r w:rsidRPr="00606D84">
        <w:t>A desktop review of program and management documentation was also undertaken, as were interviews with RMLA Management (n=15) to assess the governance and management of the Girls Academy Program.</w:t>
      </w:r>
    </w:p>
    <w:p w14:paraId="05F9CFB2" w14:textId="0948617A" w:rsidR="00606D84" w:rsidRPr="0097435D" w:rsidRDefault="00606D84" w:rsidP="0097435D">
      <w:pPr>
        <w:pStyle w:val="NormalBeforeList"/>
        <w:rPr>
          <w:rFonts w:eastAsia="Calibri"/>
        </w:rPr>
      </w:pPr>
      <w:r w:rsidRPr="0097435D">
        <w:lastRenderedPageBreak/>
        <w:t xml:space="preserve">Data from all sources was synthesised and used to address the </w:t>
      </w:r>
      <w:r w:rsidRPr="007F09F4">
        <w:rPr>
          <w:b/>
          <w:bCs/>
        </w:rPr>
        <w:t>key evaluation questions</w:t>
      </w:r>
      <w:r w:rsidRPr="0097435D">
        <w:t>:</w:t>
      </w:r>
    </w:p>
    <w:p w14:paraId="3BF0661A" w14:textId="77777777" w:rsidR="00606D84" w:rsidRPr="00606D84" w:rsidRDefault="00606D84" w:rsidP="007F09F4">
      <w:pPr>
        <w:pStyle w:val="NumberBulletLevel1"/>
        <w:numPr>
          <w:ilvl w:val="0"/>
          <w:numId w:val="37"/>
        </w:numPr>
      </w:pPr>
      <w:r w:rsidRPr="00606D84">
        <w:t xml:space="preserve">How </w:t>
      </w:r>
      <w:r w:rsidRPr="007F09F4">
        <w:rPr>
          <w:b/>
          <w:bCs/>
        </w:rPr>
        <w:t>relevant</w:t>
      </w:r>
      <w:r w:rsidRPr="00606D84">
        <w:t xml:space="preserve"> is the Girls Academy Program model and its implementation to the values and needs of its key stakeholders?</w:t>
      </w:r>
    </w:p>
    <w:p w14:paraId="1089D77A" w14:textId="77777777" w:rsidR="00606D84" w:rsidRPr="00606D84" w:rsidRDefault="00606D84" w:rsidP="007F09F4">
      <w:pPr>
        <w:pStyle w:val="NumberBulletLevel1"/>
      </w:pPr>
      <w:r w:rsidRPr="00606D84">
        <w:t xml:space="preserve">How </w:t>
      </w:r>
      <w:r w:rsidRPr="00606D84">
        <w:rPr>
          <w:b/>
          <w:bCs/>
        </w:rPr>
        <w:t>effective</w:t>
      </w:r>
      <w:r w:rsidRPr="00606D84">
        <w:t xml:space="preserve"> is the Girls Academy Program in achieving its intended results for participants?</w:t>
      </w:r>
    </w:p>
    <w:p w14:paraId="131C299B" w14:textId="77777777" w:rsidR="00606D84" w:rsidRPr="00606D84" w:rsidRDefault="00606D84" w:rsidP="007F09F4">
      <w:pPr>
        <w:pStyle w:val="NumberBulletLevel1"/>
      </w:pPr>
      <w:r w:rsidRPr="00606D84">
        <w:t xml:space="preserve">How </w:t>
      </w:r>
      <w:r w:rsidRPr="00606D84">
        <w:rPr>
          <w:b/>
          <w:bCs/>
        </w:rPr>
        <w:t>efficient</w:t>
      </w:r>
      <w:r w:rsidRPr="00606D84">
        <w:t xml:space="preserve"> are RMLA and the Girls Academy Program in using available resources to achieve the program objectives?</w:t>
      </w:r>
    </w:p>
    <w:p w14:paraId="3A74E152" w14:textId="77777777" w:rsidR="00606D84" w:rsidRPr="00606D84" w:rsidRDefault="00606D84" w:rsidP="007F09F4">
      <w:pPr>
        <w:pStyle w:val="NumberBulletLevel1"/>
      </w:pPr>
      <w:r w:rsidRPr="00606D84">
        <w:t xml:space="preserve">What </w:t>
      </w:r>
      <w:r w:rsidRPr="00606D84">
        <w:rPr>
          <w:b/>
          <w:bCs/>
        </w:rPr>
        <w:t>impacts</w:t>
      </w:r>
      <w:r w:rsidRPr="00606D84">
        <w:t xml:space="preserve"> does the Girls Academy Program achieve within schools and communities, and how do these occur?</w:t>
      </w:r>
    </w:p>
    <w:p w14:paraId="30F4E19A" w14:textId="77777777" w:rsidR="00606D84" w:rsidRPr="00606D84" w:rsidRDefault="00606D84" w:rsidP="007F09F4">
      <w:pPr>
        <w:pStyle w:val="NumberBulletLevel1"/>
      </w:pPr>
      <w:r w:rsidRPr="00606D84">
        <w:t xml:space="preserve">How </w:t>
      </w:r>
      <w:r w:rsidRPr="00606D84">
        <w:rPr>
          <w:b/>
          <w:bCs/>
        </w:rPr>
        <w:t>sustainable</w:t>
      </w:r>
      <w:r w:rsidRPr="00606D84">
        <w:t xml:space="preserve"> are program benefits for individuals, schools and communities?</w:t>
      </w:r>
    </w:p>
    <w:p w14:paraId="3D7FB07B" w14:textId="77777777" w:rsidR="00606D84" w:rsidRPr="00606D84" w:rsidRDefault="00606D84" w:rsidP="007F09F4">
      <w:pPr>
        <w:pStyle w:val="NumberBulletLevel1"/>
      </w:pPr>
      <w:r w:rsidRPr="00606D84">
        <w:t xml:space="preserve">What are the </w:t>
      </w:r>
      <w:r w:rsidRPr="00606D84">
        <w:rPr>
          <w:b/>
          <w:bCs/>
        </w:rPr>
        <w:t>enablers, barriers and critical success factors</w:t>
      </w:r>
      <w:r w:rsidRPr="00606D84">
        <w:t xml:space="preserve"> for effective and sustainable implementation of the Girls Academy Program?</w:t>
      </w:r>
    </w:p>
    <w:p w14:paraId="66A228DC" w14:textId="77777777" w:rsidR="00606D84" w:rsidRPr="00606D84" w:rsidRDefault="00606D84" w:rsidP="007F09F4">
      <w:pPr>
        <w:pStyle w:val="NumberBulletLevel1"/>
      </w:pPr>
      <w:r w:rsidRPr="00606D84">
        <w:t xml:space="preserve">How could organisational and Program </w:t>
      </w:r>
      <w:r w:rsidRPr="00606D84">
        <w:rPr>
          <w:b/>
          <w:bCs/>
        </w:rPr>
        <w:t>governance, management, processes and systems</w:t>
      </w:r>
      <w:r w:rsidRPr="00606D84">
        <w:t xml:space="preserve"> be further strengthened to enhance program delivery?</w:t>
      </w:r>
    </w:p>
    <w:p w14:paraId="178AF6F2" w14:textId="77777777" w:rsidR="00606D84" w:rsidRPr="006C5265" w:rsidRDefault="00606D84" w:rsidP="0097435D">
      <w:pPr>
        <w:pStyle w:val="NormalAfterList"/>
      </w:pPr>
      <w:r>
        <w:lastRenderedPageBreak/>
        <w:t xml:space="preserve">The evaluation framework provides a formal rubric for rating the Girls Academy Program on each of the first five </w:t>
      </w:r>
      <w:r w:rsidRPr="0097435D">
        <w:t>evaluation</w:t>
      </w:r>
      <w:r>
        <w:t xml:space="preserve"> questions as either </w:t>
      </w:r>
      <w:r w:rsidRPr="00D008ED">
        <w:rPr>
          <w:i/>
          <w:iCs/>
        </w:rPr>
        <w:t>Poor</w:t>
      </w:r>
      <w:r>
        <w:t xml:space="preserve">, </w:t>
      </w:r>
      <w:r w:rsidRPr="00D008ED">
        <w:rPr>
          <w:i/>
          <w:iCs/>
        </w:rPr>
        <w:t>Adequate</w:t>
      </w:r>
      <w:r>
        <w:t xml:space="preserve">, </w:t>
      </w:r>
      <w:r w:rsidRPr="00D008ED">
        <w:rPr>
          <w:i/>
          <w:iCs/>
        </w:rPr>
        <w:t>Good</w:t>
      </w:r>
      <w:r>
        <w:t xml:space="preserve"> or </w:t>
      </w:r>
      <w:r w:rsidRPr="00D008ED">
        <w:rPr>
          <w:i/>
          <w:iCs/>
        </w:rPr>
        <w:t>Excellent</w:t>
      </w:r>
      <w:r>
        <w:t>.</w:t>
      </w:r>
    </w:p>
    <w:p w14:paraId="66607837" w14:textId="62F50C2F" w:rsidR="007D25DE" w:rsidRDefault="00606D84" w:rsidP="00B109E9">
      <w:pPr>
        <w:pStyle w:val="Heading2"/>
      </w:pPr>
      <w:bookmarkStart w:id="9" w:name="_Toc90650021"/>
      <w:r>
        <w:t>Limitations</w:t>
      </w:r>
      <w:bookmarkEnd w:id="9"/>
    </w:p>
    <w:p w14:paraId="2242D78E" w14:textId="77777777" w:rsidR="00606D84" w:rsidRDefault="00606D84" w:rsidP="0097435D">
      <w:pPr>
        <w:pStyle w:val="NormalBeforeList"/>
      </w:pPr>
      <w:r w:rsidRPr="00606D84">
        <w:t>A number of limitations to the evaluation methodology were encountered:</w:t>
      </w:r>
    </w:p>
    <w:p w14:paraId="39167084" w14:textId="77777777" w:rsidR="00606D84" w:rsidRPr="00606D84" w:rsidRDefault="00606D84" w:rsidP="0097435D">
      <w:pPr>
        <w:pStyle w:val="BulletLevel1"/>
      </w:pPr>
      <w:r w:rsidRPr="00606D84">
        <w:t>The sample of sites visited and stakeholders spoken to formed only a small proportion of total sites and enrolments.</w:t>
      </w:r>
    </w:p>
    <w:p w14:paraId="2CE75C49" w14:textId="77777777" w:rsidR="00606D84" w:rsidRPr="00606D84" w:rsidRDefault="00606D84" w:rsidP="0097435D">
      <w:pPr>
        <w:pStyle w:val="BulletLevel1"/>
      </w:pPr>
      <w:r w:rsidRPr="00606D84">
        <w:t>Site visits could not be undertaken in NSW.</w:t>
      </w:r>
    </w:p>
    <w:p w14:paraId="42CC1850" w14:textId="77777777" w:rsidR="00606D84" w:rsidRPr="00606D84" w:rsidRDefault="00606D84" w:rsidP="0097435D">
      <w:pPr>
        <w:pStyle w:val="BulletLevel1"/>
      </w:pPr>
      <w:r w:rsidRPr="00606D84">
        <w:t>Monitoring data was unable to be accessed in WA and NSW.</w:t>
      </w:r>
    </w:p>
    <w:p w14:paraId="2ACD8CF4" w14:textId="603A194A" w:rsidR="00606D84" w:rsidRDefault="00606D84" w:rsidP="0097435D">
      <w:pPr>
        <w:pStyle w:val="BulletLevel1"/>
      </w:pPr>
      <w:r w:rsidRPr="00606D84">
        <w:t>Survey response numbers were lower than expected.</w:t>
      </w:r>
    </w:p>
    <w:p w14:paraId="6F6E680D" w14:textId="199D6611" w:rsidR="0043190C" w:rsidRDefault="00606D84" w:rsidP="0097435D">
      <w:pPr>
        <w:pStyle w:val="NormalAfterList"/>
      </w:pPr>
      <w:r>
        <w:t>These limitations affected the robustness of some evaluation findings, and this is flagged in the full Final Report where relevant.</w:t>
      </w:r>
      <w:bookmarkEnd w:id="2"/>
    </w:p>
    <w:p w14:paraId="3E66DA43" w14:textId="09BAE6D6" w:rsidR="0043190C" w:rsidRDefault="0043190C" w:rsidP="00B109E9">
      <w:pPr>
        <w:pStyle w:val="Heading1"/>
      </w:pPr>
      <w:bookmarkStart w:id="10" w:name="_Toc90650022"/>
      <w:r>
        <w:lastRenderedPageBreak/>
        <w:t>Findings</w:t>
      </w:r>
      <w:bookmarkEnd w:id="10"/>
    </w:p>
    <w:p w14:paraId="005D0E8A" w14:textId="121B6F1A" w:rsidR="0043190C" w:rsidRDefault="00606D84" w:rsidP="00B109E9">
      <w:pPr>
        <w:pStyle w:val="Heading2"/>
      </w:pPr>
      <w:bookmarkStart w:id="11" w:name="_Toc90650023"/>
      <w:r>
        <w:t>Relevance</w:t>
      </w:r>
      <w:bookmarkEnd w:id="11"/>
    </w:p>
    <w:p w14:paraId="73F32F12" w14:textId="77777777" w:rsidR="00606D84" w:rsidRPr="0097435D" w:rsidRDefault="00606D84" w:rsidP="0097435D">
      <w:pPr>
        <w:pStyle w:val="NormalBeforeList"/>
      </w:pPr>
      <w:r w:rsidRPr="0097435D">
        <w:t>The analysis suggests that the Girls Academy Program is highly relevant to the needs of its stakeholders and, in particular, Aboriginal girls. It was considered culturally appropriate, included strong collaboration with Aboriginal Australians, and was generally accessible and responsive to local needs:</w:t>
      </w:r>
    </w:p>
    <w:p w14:paraId="5361B901" w14:textId="77777777" w:rsidR="00606D84" w:rsidRPr="00606D84" w:rsidRDefault="00606D84" w:rsidP="0097435D">
      <w:pPr>
        <w:pStyle w:val="BulletLevel1"/>
      </w:pPr>
      <w:r w:rsidRPr="00606D84">
        <w:t>It provides additional staff to schools to enable more direct contact and support to Aboriginal girls</w:t>
      </w:r>
    </w:p>
    <w:p w14:paraId="670331C1" w14:textId="77777777" w:rsidR="00606D84" w:rsidRPr="00606D84" w:rsidRDefault="00606D84" w:rsidP="0097435D">
      <w:pPr>
        <w:pStyle w:val="BulletLevel1"/>
      </w:pPr>
      <w:r w:rsidRPr="00606D84">
        <w:t>It provides a room and safe space for Aboriginal girls within each school</w:t>
      </w:r>
    </w:p>
    <w:p w14:paraId="0098A384" w14:textId="77777777" w:rsidR="00606D84" w:rsidRPr="00606D84" w:rsidRDefault="00606D84" w:rsidP="0097435D">
      <w:pPr>
        <w:pStyle w:val="BulletLevel1"/>
      </w:pPr>
      <w:r w:rsidRPr="00606D84">
        <w:t>It is increasingly staffed by Aboriginal women who are more likely to form strong connections to Aboriginal girls</w:t>
      </w:r>
    </w:p>
    <w:p w14:paraId="7AC5AFBA" w14:textId="77777777" w:rsidR="00606D84" w:rsidRPr="00606D84" w:rsidRDefault="00606D84" w:rsidP="0097435D">
      <w:pPr>
        <w:pStyle w:val="BulletLevel1"/>
      </w:pPr>
      <w:r w:rsidRPr="00606D84">
        <w:t>It sits outside the school curriculum and therefore can focus on girls’ general wellbeing including social, family, health and other issues that impact on their education</w:t>
      </w:r>
    </w:p>
    <w:p w14:paraId="0CF37C4B" w14:textId="77777777" w:rsidR="00606D84" w:rsidRPr="00606D84" w:rsidRDefault="00606D84" w:rsidP="0097435D">
      <w:pPr>
        <w:pStyle w:val="BulletLevel1"/>
      </w:pPr>
      <w:r w:rsidRPr="00606D84">
        <w:t>It provides girls with opportunities to participate in social, recreational and leisure activities outside of school time</w:t>
      </w:r>
    </w:p>
    <w:p w14:paraId="73F402B7" w14:textId="77777777" w:rsidR="00606D84" w:rsidRPr="00606D84" w:rsidRDefault="00606D84" w:rsidP="0097435D">
      <w:pPr>
        <w:pStyle w:val="BulletLevel1"/>
      </w:pPr>
      <w:r w:rsidRPr="00606D84">
        <w:t>It is strongly connected to Aboriginal Communities and Elders</w:t>
      </w:r>
    </w:p>
    <w:p w14:paraId="73190C88" w14:textId="77777777" w:rsidR="00606D84" w:rsidRPr="00606D84" w:rsidRDefault="00606D84" w:rsidP="0097435D">
      <w:pPr>
        <w:pStyle w:val="BulletLevel1"/>
      </w:pPr>
      <w:r w:rsidRPr="00606D84">
        <w:lastRenderedPageBreak/>
        <w:t>It is responsive to local needs and very embedded within the community</w:t>
      </w:r>
    </w:p>
    <w:p w14:paraId="2302A688" w14:textId="77777777" w:rsidR="00606D84" w:rsidRPr="00606D84" w:rsidRDefault="00606D84" w:rsidP="0097435D">
      <w:pPr>
        <w:pStyle w:val="BulletLevel1"/>
      </w:pPr>
      <w:r w:rsidRPr="00606D84">
        <w:t>It provides direct support, including transport and food to encourage attendance.</w:t>
      </w:r>
    </w:p>
    <w:p w14:paraId="37BB8340" w14:textId="77777777" w:rsidR="00606D84" w:rsidRPr="00606D84" w:rsidRDefault="00606D84" w:rsidP="0097435D">
      <w:pPr>
        <w:pStyle w:val="NormalAfterList"/>
      </w:pPr>
      <w:r w:rsidRPr="00606D84">
        <w:t>While no stakeholders found any aspects of the program irrelevant, there were a number of opportunities for improvement identified, including ensuring that the core elements of the program are consistently embedded across all Academies, determining what the program model looks like for students at different year levels, clarifying the Academies’ role in behavioural management with schools, improving individual schools’ cultural understanding of Aboriginal people, and ensuring all Academies are well aligned to community need.</w:t>
      </w:r>
    </w:p>
    <w:p w14:paraId="2FA711E8" w14:textId="77777777" w:rsidR="00606D84" w:rsidRPr="00606D84" w:rsidRDefault="00606D84" w:rsidP="0097435D">
      <w:pPr>
        <w:rPr>
          <w:lang w:eastAsia="en-AU"/>
        </w:rPr>
      </w:pPr>
      <w:r w:rsidRPr="00606D84">
        <w:rPr>
          <w:lang w:eastAsia="en-AU"/>
        </w:rPr>
        <w:t>Schools and Academy staff across all Academies visited identified a number of girls who were not engaged with the program or with school. Further work is required to understand what more could be done to engage these girls and whether the program model needs to be adapted to better meet their needs. While school staff felt positive about RMLA listening to suggestions about the program, Academy staff were less positive about this and further work is required to understand the nature of the issue confronting schools and Academy staff.</w:t>
      </w:r>
    </w:p>
    <w:p w14:paraId="3766BB16" w14:textId="77777777" w:rsidR="00606D84" w:rsidRPr="00606D84" w:rsidRDefault="00606D84" w:rsidP="00606D84">
      <w:pPr>
        <w:rPr>
          <w:lang w:eastAsia="en-AU"/>
        </w:rPr>
      </w:pPr>
      <w:r w:rsidRPr="00606D84">
        <w:rPr>
          <w:lang w:eastAsia="en-AU"/>
        </w:rPr>
        <w:lastRenderedPageBreak/>
        <w:t xml:space="preserve">Using the evaluation rubric, the program’s performance on the criterion of Relevance was rated as </w:t>
      </w:r>
      <w:r w:rsidRPr="00606D84">
        <w:rPr>
          <w:b/>
          <w:bCs/>
          <w:lang w:eastAsia="en-AU"/>
        </w:rPr>
        <w:t>Excellent</w:t>
      </w:r>
      <w:r w:rsidRPr="00606D84">
        <w:rPr>
          <w:lang w:eastAsia="en-AU"/>
        </w:rPr>
        <w:t>. The strength of evidence was high.</w:t>
      </w:r>
    </w:p>
    <w:p w14:paraId="17591E64" w14:textId="6AE04D52" w:rsidR="00291D1E" w:rsidRDefault="00606D84" w:rsidP="00B109E9">
      <w:pPr>
        <w:pStyle w:val="Heading2"/>
      </w:pPr>
      <w:bookmarkStart w:id="12" w:name="_Toc90650024"/>
      <w:r>
        <w:t>Effectiveness</w:t>
      </w:r>
      <w:bookmarkEnd w:id="12"/>
    </w:p>
    <w:p w14:paraId="43B8E513" w14:textId="77777777" w:rsidR="00606D84" w:rsidRPr="00606D84" w:rsidRDefault="00606D84" w:rsidP="00606D84">
      <w:pPr>
        <w:rPr>
          <w:lang w:eastAsia="en-AU"/>
        </w:rPr>
      </w:pPr>
      <w:r w:rsidRPr="00606D84">
        <w:rPr>
          <w:lang w:eastAsia="en-AU"/>
        </w:rPr>
        <w:t>Based on the data analysed, the Girls Academy Program seems to be effective in engaging Aboriginal girls in school, and to have a moderate impact on their attendance in the NT and QLD compared to Aboriginal students not engaged in the program. Stakeholder perceptions regarding the effect on attendance were stronger than the quantitative data suggests. Perceptions of stakeholders were positive in relation to the program’s impact on improving academic achievement leading to year 12 completion, but no quantitative data was available to support this.</w:t>
      </w:r>
    </w:p>
    <w:p w14:paraId="2738D7FB" w14:textId="77777777" w:rsidR="00606D84" w:rsidRPr="00606D84" w:rsidRDefault="00606D84" w:rsidP="00606D84">
      <w:pPr>
        <w:rPr>
          <w:lang w:eastAsia="en-AU"/>
        </w:rPr>
      </w:pPr>
      <w:r w:rsidRPr="00606D84">
        <w:rPr>
          <w:lang w:eastAsia="en-AU"/>
        </w:rPr>
        <w:t>Perceptions were somewhat less positive on the program’s effectiveness in assisting girls achieve their post-school options with the evaluation supporting RMLA’s intent to do more work in this area, including the establishment of a Post School Transitions program.</w:t>
      </w:r>
    </w:p>
    <w:p w14:paraId="4AC27600" w14:textId="77777777" w:rsidR="00606D84" w:rsidRPr="0097435D" w:rsidRDefault="00606D84" w:rsidP="0097435D">
      <w:pPr>
        <w:pStyle w:val="NormalBeforeList"/>
      </w:pPr>
      <w:r w:rsidRPr="0097435D">
        <w:t>Factors impacting on effectiveness included:</w:t>
      </w:r>
    </w:p>
    <w:p w14:paraId="2135B239" w14:textId="77777777" w:rsidR="00606D84" w:rsidRPr="00606D84" w:rsidRDefault="00606D84" w:rsidP="0097435D">
      <w:pPr>
        <w:pStyle w:val="BulletLevel1"/>
      </w:pPr>
      <w:r w:rsidRPr="00606D84">
        <w:t>Having a welcoming and inclusive space within the school which helps the girls feel safe</w:t>
      </w:r>
    </w:p>
    <w:p w14:paraId="2402EE7B" w14:textId="77777777" w:rsidR="00606D84" w:rsidRPr="00606D84" w:rsidRDefault="00606D84" w:rsidP="0097435D">
      <w:pPr>
        <w:pStyle w:val="BulletLevel1"/>
      </w:pPr>
      <w:r w:rsidRPr="00606D84">
        <w:lastRenderedPageBreak/>
        <w:t>Active support to be present with the girls and resolve any issues which arise at school or which are stopping the girls getting to school, again helping the girls feel safe and like they are moving forward</w:t>
      </w:r>
    </w:p>
    <w:p w14:paraId="1F8399E3" w14:textId="77777777" w:rsidR="00606D84" w:rsidRPr="00606D84" w:rsidRDefault="00606D84" w:rsidP="0097435D">
      <w:pPr>
        <w:pStyle w:val="BulletLevel1"/>
      </w:pPr>
      <w:r w:rsidRPr="00606D84">
        <w:t>Building connections with parents which means parents will feel more positive about the school and be more active in getting their girls to attend</w:t>
      </w:r>
    </w:p>
    <w:p w14:paraId="16B34B98" w14:textId="77777777" w:rsidR="00606D84" w:rsidRPr="00606D84" w:rsidRDefault="00606D84" w:rsidP="0097435D">
      <w:pPr>
        <w:pStyle w:val="BulletLevel1"/>
      </w:pPr>
      <w:r w:rsidRPr="00606D84">
        <w:t>Practical strategies including checking attendance, taking girls to class, providing transport, food etc.</w:t>
      </w:r>
    </w:p>
    <w:p w14:paraId="7767CD8C" w14:textId="77777777" w:rsidR="00606D84" w:rsidRPr="00606D84" w:rsidRDefault="00606D84" w:rsidP="0097435D">
      <w:pPr>
        <w:pStyle w:val="BulletLevel1"/>
      </w:pPr>
      <w:r w:rsidRPr="00606D84">
        <w:t>Encouragement and rewards for attendance which help build motivation and reinforce positive behaviour</w:t>
      </w:r>
    </w:p>
    <w:p w14:paraId="64457110" w14:textId="77777777" w:rsidR="00606D84" w:rsidRPr="00606D84" w:rsidRDefault="00606D84" w:rsidP="0097435D">
      <w:pPr>
        <w:pStyle w:val="BulletLevel1"/>
      </w:pPr>
      <w:r w:rsidRPr="00606D84">
        <w:t>Advocating and working with the school to reduce barriers to engagement generated by the school.</w:t>
      </w:r>
    </w:p>
    <w:p w14:paraId="570F60BB" w14:textId="77777777" w:rsidR="00606D84" w:rsidRPr="00606D84" w:rsidRDefault="00606D84" w:rsidP="0097435D">
      <w:pPr>
        <w:pStyle w:val="NormalBetweenLists"/>
      </w:pPr>
      <w:r w:rsidRPr="00606D84">
        <w:t xml:space="preserve">Using the evaluation rubric the program’s performance on Effectiveness was rated at each of the five sub-criterion levels. </w:t>
      </w:r>
    </w:p>
    <w:p w14:paraId="03FED1AF" w14:textId="77777777" w:rsidR="00606D84" w:rsidRPr="00606D84" w:rsidRDefault="00606D84" w:rsidP="0097435D">
      <w:pPr>
        <w:pStyle w:val="BulletLevel1"/>
      </w:pPr>
      <w:r w:rsidRPr="00606D84">
        <w:rPr>
          <w:i/>
          <w:iCs/>
        </w:rPr>
        <w:t xml:space="preserve">Strong identity and personal development </w:t>
      </w:r>
      <w:r w:rsidRPr="00606D84">
        <w:t>was rated as</w:t>
      </w:r>
      <w:r w:rsidRPr="00606D84">
        <w:rPr>
          <w:i/>
          <w:iCs/>
        </w:rPr>
        <w:t xml:space="preserve"> </w:t>
      </w:r>
      <w:r w:rsidRPr="00606D84">
        <w:rPr>
          <w:b/>
          <w:bCs/>
        </w:rPr>
        <w:t xml:space="preserve">Excellent. </w:t>
      </w:r>
      <w:r w:rsidRPr="00606D84">
        <w:t>The strength of evidence was moderate.</w:t>
      </w:r>
    </w:p>
    <w:p w14:paraId="61BEE1B1" w14:textId="77777777" w:rsidR="00606D84" w:rsidRPr="00606D84" w:rsidRDefault="00606D84" w:rsidP="0097435D">
      <w:pPr>
        <w:pStyle w:val="BulletLevel1"/>
      </w:pPr>
      <w:r w:rsidRPr="00606D84">
        <w:rPr>
          <w:i/>
          <w:iCs/>
        </w:rPr>
        <w:t>Increased engagement in school</w:t>
      </w:r>
      <w:r w:rsidRPr="00606D84">
        <w:t xml:space="preserve"> was rated as </w:t>
      </w:r>
      <w:r w:rsidRPr="00606D84">
        <w:rPr>
          <w:b/>
          <w:bCs/>
        </w:rPr>
        <w:t>Adequate</w:t>
      </w:r>
      <w:r w:rsidRPr="00606D84">
        <w:t>. The strength of evidence was moderate.</w:t>
      </w:r>
    </w:p>
    <w:p w14:paraId="72E52933" w14:textId="77777777" w:rsidR="00606D84" w:rsidRPr="00606D84" w:rsidRDefault="00606D84" w:rsidP="0097435D">
      <w:pPr>
        <w:pStyle w:val="BulletLevel1"/>
      </w:pPr>
      <w:r w:rsidRPr="00606D84">
        <w:rPr>
          <w:i/>
          <w:iCs/>
        </w:rPr>
        <w:t>Increased attendance at school</w:t>
      </w:r>
      <w:r w:rsidRPr="00606D84">
        <w:t xml:space="preserve"> was rated as </w:t>
      </w:r>
      <w:r w:rsidRPr="00606D84">
        <w:rPr>
          <w:b/>
          <w:bCs/>
        </w:rPr>
        <w:t>Adequate</w:t>
      </w:r>
      <w:r w:rsidRPr="00606D84">
        <w:t>. The strength of evidence was moderate.</w:t>
      </w:r>
    </w:p>
    <w:p w14:paraId="5C6A8AED" w14:textId="77777777" w:rsidR="00606D84" w:rsidRPr="00606D84" w:rsidRDefault="00606D84" w:rsidP="0097435D">
      <w:pPr>
        <w:pStyle w:val="BulletLevel1"/>
      </w:pPr>
      <w:r w:rsidRPr="00606D84">
        <w:rPr>
          <w:i/>
          <w:iCs/>
        </w:rPr>
        <w:lastRenderedPageBreak/>
        <w:t>Improved academic achievement leading to Year 12 graduation</w:t>
      </w:r>
      <w:r w:rsidRPr="00606D84">
        <w:t xml:space="preserve"> was rated as </w:t>
      </w:r>
      <w:r w:rsidRPr="00606D84">
        <w:rPr>
          <w:b/>
          <w:bCs/>
        </w:rPr>
        <w:t>Adequate</w:t>
      </w:r>
      <w:r w:rsidRPr="00606D84">
        <w:t>. The strength of evidence was moderate.</w:t>
      </w:r>
    </w:p>
    <w:p w14:paraId="7E609A9C" w14:textId="77777777" w:rsidR="00606D84" w:rsidRPr="00606D84" w:rsidRDefault="00606D84" w:rsidP="0097435D">
      <w:pPr>
        <w:pStyle w:val="BulletLevel1"/>
      </w:pPr>
      <w:r w:rsidRPr="00606D84">
        <w:rPr>
          <w:i/>
          <w:iCs/>
        </w:rPr>
        <w:t>Successful post school transition</w:t>
      </w:r>
      <w:r w:rsidRPr="00606D84">
        <w:t xml:space="preserve"> was rated as </w:t>
      </w:r>
      <w:r w:rsidRPr="00606D84">
        <w:rPr>
          <w:b/>
          <w:bCs/>
        </w:rPr>
        <w:t>Poor</w:t>
      </w:r>
      <w:r w:rsidRPr="00606D84">
        <w:t>. The strength of evidence was low.</w:t>
      </w:r>
    </w:p>
    <w:p w14:paraId="5B183DD1" w14:textId="77777777" w:rsidR="00606D84" w:rsidRPr="00606D84" w:rsidRDefault="00606D84" w:rsidP="0097435D">
      <w:pPr>
        <w:pStyle w:val="NormalAfterList"/>
        <w:rPr>
          <w:b/>
          <w:bCs/>
        </w:rPr>
      </w:pPr>
      <w:r w:rsidRPr="00606D84">
        <w:t xml:space="preserve">The program’s performance for Effectiveness overall was rated as </w:t>
      </w:r>
      <w:r w:rsidRPr="00606D84">
        <w:rPr>
          <w:b/>
          <w:bCs/>
        </w:rPr>
        <w:t>Adequate.</w:t>
      </w:r>
    </w:p>
    <w:p w14:paraId="6F6A614F" w14:textId="5B1FE573" w:rsidR="00887AF3" w:rsidRDefault="00606D84" w:rsidP="00B109E9">
      <w:pPr>
        <w:pStyle w:val="Heading3"/>
      </w:pPr>
      <w:r>
        <w:t>Limitations</w:t>
      </w:r>
    </w:p>
    <w:p w14:paraId="7BF071F9" w14:textId="77777777" w:rsidR="00606D84" w:rsidRDefault="00606D84">
      <w:pPr>
        <w:autoSpaceDE/>
        <w:autoSpaceDN/>
        <w:adjustRightInd/>
        <w:spacing w:after="0" w:line="240" w:lineRule="auto"/>
      </w:pPr>
      <w:r w:rsidRPr="00606D84">
        <w:t>The strength of evidence for each of the sub-criteria is moderate or low and caution should be exercised in placing reliance on the ratings.</w:t>
      </w:r>
    </w:p>
    <w:p w14:paraId="525157AA" w14:textId="5362B7FE" w:rsidR="00606D84" w:rsidRDefault="00606D84" w:rsidP="00B109E9">
      <w:pPr>
        <w:pStyle w:val="Heading2"/>
      </w:pPr>
      <w:bookmarkStart w:id="13" w:name="_Toc90650025"/>
      <w:r>
        <w:t>Impact</w:t>
      </w:r>
      <w:bookmarkEnd w:id="13"/>
    </w:p>
    <w:p w14:paraId="1F454205" w14:textId="77777777" w:rsidR="00606D84" w:rsidRPr="0097435D" w:rsidRDefault="00606D84" w:rsidP="0097435D">
      <w:r w:rsidRPr="0097435D">
        <w:t>The analysis suggests that the Girls Academy Program has a positive impact on a range of domains investigated in this evaluation. The main pathway to impact appears to be strong relationships between Academy and school staff, and Academy staff with other school staff in roles that support Aboriginal students. Girls’ relationships with other Academy girls and meeting the broader Academy population at events like the year 12 Summit created positive impacts for students.</w:t>
      </w:r>
    </w:p>
    <w:p w14:paraId="3F028C17" w14:textId="77777777" w:rsidR="00606D84" w:rsidRDefault="00606D84" w:rsidP="00606D84">
      <w:pPr>
        <w:rPr>
          <w:lang w:eastAsia="en-AU"/>
        </w:rPr>
      </w:pPr>
      <w:r>
        <w:rPr>
          <w:lang w:eastAsia="en-AU"/>
        </w:rPr>
        <w:lastRenderedPageBreak/>
        <w:t>School and Academy staff were positive in relation to the broader impacts of the Academy program on the schools’ approach to working with Aboriginal students, relationships between the school and the Aboriginal Community, and on girls’ families. Survey responses from school key contacts and Academy staff indicated that the Girls Academy had a positive impact on the community, limited evidence, other than anecdotal, was given for this. Having a Girls Academy within a school was perceived to have some positive impact on other students in the school.</w:t>
      </w:r>
    </w:p>
    <w:p w14:paraId="0D39808A" w14:textId="266DBCD3" w:rsidR="00606D84" w:rsidRDefault="00606D84" w:rsidP="00606D84">
      <w:pPr>
        <w:rPr>
          <w:lang w:eastAsia="en-AU"/>
        </w:rPr>
      </w:pPr>
      <w:r>
        <w:rPr>
          <w:lang w:eastAsia="en-AU"/>
        </w:rPr>
        <w:t xml:space="preserve">Using the evaluation rubric, the program’s performance on the criterion of Impact was rated as </w:t>
      </w:r>
      <w:r w:rsidRPr="007F09F4">
        <w:rPr>
          <w:b/>
          <w:bCs/>
          <w:lang w:eastAsia="en-AU"/>
        </w:rPr>
        <w:t>Good</w:t>
      </w:r>
      <w:r>
        <w:rPr>
          <w:lang w:eastAsia="en-AU"/>
        </w:rPr>
        <w:t>.</w:t>
      </w:r>
    </w:p>
    <w:p w14:paraId="5AF1B967" w14:textId="3DB6B8DC" w:rsidR="00606D84" w:rsidRDefault="00606D84" w:rsidP="00B109E9">
      <w:pPr>
        <w:pStyle w:val="Heading3"/>
      </w:pPr>
      <w:r>
        <w:t>Limitations</w:t>
      </w:r>
    </w:p>
    <w:p w14:paraId="4746F3D4" w14:textId="0738222C" w:rsidR="00606D84" w:rsidRDefault="00606D84" w:rsidP="00606D84">
      <w:r w:rsidRPr="00606D84">
        <w:rPr>
          <w:lang w:eastAsia="en-AU"/>
        </w:rPr>
        <w:t>The strength of evidence was low and caution</w:t>
      </w:r>
      <w:r w:rsidRPr="00606D84">
        <w:t xml:space="preserve"> should be exercised in placing reliance on the rating.</w:t>
      </w:r>
    </w:p>
    <w:p w14:paraId="0F83B3ED" w14:textId="1BE5A6B0" w:rsidR="00606D84" w:rsidRDefault="00606D84" w:rsidP="00B109E9">
      <w:pPr>
        <w:pStyle w:val="Heading2"/>
      </w:pPr>
      <w:bookmarkStart w:id="14" w:name="_Toc90650026"/>
      <w:r>
        <w:t>Efficiency</w:t>
      </w:r>
      <w:bookmarkEnd w:id="14"/>
    </w:p>
    <w:p w14:paraId="549C7A41" w14:textId="77777777" w:rsidR="00606D84" w:rsidRDefault="00606D84" w:rsidP="00606D84">
      <w:pPr>
        <w:rPr>
          <w:lang w:eastAsia="en-AU"/>
        </w:rPr>
      </w:pPr>
      <w:r>
        <w:rPr>
          <w:lang w:eastAsia="en-AU"/>
        </w:rPr>
        <w:t xml:space="preserve">The analysis suggests that the Girls Academy Program requires substantial expenditure due to two main factors: the staffing model, and travel costs connected with the widely dispersed and sometimes remote sites. Staffing of individual Academies operates on a 25:1 ratio of participants to staff, with a minimum of two staff per Academy. This level of staff resourcing is </w:t>
      </w:r>
      <w:r>
        <w:rPr>
          <w:lang w:eastAsia="en-AU"/>
        </w:rPr>
        <w:lastRenderedPageBreak/>
        <w:t>intermediate between the ‘high end’ of programs which involve intensive support, and the ‘low end’ of primarily volunteer-based or high-volume support services.</w:t>
      </w:r>
    </w:p>
    <w:p w14:paraId="120AFD50" w14:textId="77777777" w:rsidR="00606D84" w:rsidRDefault="00606D84" w:rsidP="00606D84">
      <w:pPr>
        <w:rPr>
          <w:lang w:eastAsia="en-AU"/>
        </w:rPr>
      </w:pPr>
      <w:r>
        <w:rPr>
          <w:lang w:eastAsia="en-AU"/>
        </w:rPr>
        <w:t>Given the Academies are located across four states and territories, travel is a major cost in providing support and training to Academy staff, providing a leadership presence by RMLA management, promoting the program to new schools and Aboriginal Communities, and managing relationships with government and other funders. While efficiencies have been created in more newly established Academies through the location of a number of programs in close geographic proximity to each other, travel will continue to be a substantial cost to the program.</w:t>
      </w:r>
    </w:p>
    <w:p w14:paraId="4AA4968A" w14:textId="77777777" w:rsidR="00606D84" w:rsidRDefault="00606D84" w:rsidP="00606D84">
      <w:pPr>
        <w:rPr>
          <w:lang w:eastAsia="en-AU"/>
        </w:rPr>
      </w:pPr>
      <w:r>
        <w:rPr>
          <w:lang w:eastAsia="en-AU"/>
        </w:rPr>
        <w:t>Resourcing was identified as a problem for staff with poor access to IT clearly an issue in QLD Academies. Other issues included inequity in resources between programs for boys (rooms, capacity to fund trips and activity), and the adequacy of the Academy room. Program documentation and resources, while available through the organisation’s shared drive, do not appear to be meeting the needs of all staff.</w:t>
      </w:r>
    </w:p>
    <w:p w14:paraId="273019FB" w14:textId="77777777" w:rsidR="00606D84" w:rsidRDefault="00606D84" w:rsidP="00606D84">
      <w:pPr>
        <w:rPr>
          <w:lang w:eastAsia="en-AU"/>
        </w:rPr>
      </w:pPr>
      <w:r>
        <w:rPr>
          <w:lang w:eastAsia="en-AU"/>
        </w:rPr>
        <w:t xml:space="preserve">The evaluation did not analyse the value for money of the program, but findings from research undertaken by PwC indicated that the Girls Academy Program returns $1.31 for every $1 spent. This report considered a range of direct impacts of the </w:t>
      </w:r>
      <w:r>
        <w:rPr>
          <w:lang w:eastAsia="en-AU"/>
        </w:rPr>
        <w:lastRenderedPageBreak/>
        <w:t>Girls Academy Program including educational outcomes, income and employment, welfare changes, justice changes and changes in health reported outcomes. Based upon their review, PwC estimated that the Girls Academy Program provided a benefit-cost ratio of 1.31.</w:t>
      </w:r>
    </w:p>
    <w:p w14:paraId="7B617098" w14:textId="77777777" w:rsidR="00606D84" w:rsidRDefault="00606D84" w:rsidP="00606D84">
      <w:pPr>
        <w:rPr>
          <w:lang w:eastAsia="en-AU"/>
        </w:rPr>
      </w:pPr>
      <w:r>
        <w:rPr>
          <w:lang w:eastAsia="en-AU"/>
        </w:rPr>
        <w:t>Given the continuing growth in number of Academies over time, it would be useful to repeat the economic analysis in future to assess any changes in this ratio over time.</w:t>
      </w:r>
    </w:p>
    <w:p w14:paraId="6429832F" w14:textId="77777777" w:rsidR="00606D84" w:rsidRDefault="00606D84" w:rsidP="00606D84">
      <w:pPr>
        <w:rPr>
          <w:lang w:eastAsia="en-AU"/>
        </w:rPr>
      </w:pPr>
      <w:r>
        <w:rPr>
          <w:lang w:eastAsia="en-AU"/>
        </w:rPr>
        <w:t xml:space="preserve">The available evidence indicates that the Girls Academy program is delivered reasonably efficiently within the scope of the resources available to it. </w:t>
      </w:r>
    </w:p>
    <w:p w14:paraId="543865D5" w14:textId="6E50FD81" w:rsidR="00606D84" w:rsidRDefault="00606D84" w:rsidP="00606D84">
      <w:pPr>
        <w:rPr>
          <w:lang w:eastAsia="en-AU"/>
        </w:rPr>
      </w:pPr>
      <w:r>
        <w:rPr>
          <w:lang w:eastAsia="en-AU"/>
        </w:rPr>
        <w:t xml:space="preserve">Using the evaluation rubric, the program’s performance on the criterion of Efficiency was rated as </w:t>
      </w:r>
      <w:r w:rsidRPr="007F09F4">
        <w:rPr>
          <w:b/>
          <w:bCs/>
          <w:lang w:eastAsia="en-AU"/>
        </w:rPr>
        <w:t>Good</w:t>
      </w:r>
      <w:r>
        <w:rPr>
          <w:lang w:eastAsia="en-AU"/>
        </w:rPr>
        <w:t>. The strength of evidence was moderate to high.</w:t>
      </w:r>
    </w:p>
    <w:p w14:paraId="341A208B" w14:textId="1E3071A0" w:rsidR="00606D84" w:rsidRDefault="00606D84" w:rsidP="00B109E9">
      <w:pPr>
        <w:pStyle w:val="Heading2"/>
      </w:pPr>
      <w:bookmarkStart w:id="15" w:name="_Toc90650027"/>
      <w:r>
        <w:t>Sustainability</w:t>
      </w:r>
      <w:bookmarkEnd w:id="15"/>
    </w:p>
    <w:p w14:paraId="07621D1B" w14:textId="77777777" w:rsidR="00606D84" w:rsidRDefault="00606D84" w:rsidP="00606D84">
      <w:pPr>
        <w:rPr>
          <w:lang w:eastAsia="en-AU"/>
        </w:rPr>
      </w:pPr>
      <w:r>
        <w:rPr>
          <w:lang w:eastAsia="en-AU"/>
        </w:rPr>
        <w:t>Only limited data was available to the evaluation on the sustainability of outcomes for girls in their post school years. The Girls Academy program do not yet collect monitoring data on this area, and evaluation resourcing was prioritised to site visits with current participants rather than follow-up of past participants. A small number of interviews with past participants iden</w:t>
      </w:r>
      <w:r>
        <w:rPr>
          <w:lang w:eastAsia="en-AU"/>
        </w:rPr>
        <w:lastRenderedPageBreak/>
        <w:t>tified ongoing positive outcomes for individuals. Examples of individual positive outcomes suggest that this is the case for at least some students, but further data is needed to assess overall sustainability of outcomes.</w:t>
      </w:r>
    </w:p>
    <w:p w14:paraId="5A0345CF" w14:textId="77777777" w:rsidR="00606D84" w:rsidRDefault="00606D84" w:rsidP="00606D84">
      <w:pPr>
        <w:rPr>
          <w:lang w:eastAsia="en-AU"/>
        </w:rPr>
      </w:pPr>
      <w:r>
        <w:rPr>
          <w:lang w:eastAsia="en-AU"/>
        </w:rPr>
        <w:t>No specific issues in relation to the growth in the overall Academy program impacting on sustainability were raised by Academy staff, however concerns were expressed in relation to increasing workloads and high administrative requirements.</w:t>
      </w:r>
    </w:p>
    <w:p w14:paraId="4A9A0E75" w14:textId="77777777" w:rsidR="00606D84" w:rsidRDefault="00606D84" w:rsidP="00606D84">
      <w:pPr>
        <w:rPr>
          <w:lang w:eastAsia="en-AU"/>
        </w:rPr>
      </w:pPr>
      <w:r>
        <w:rPr>
          <w:lang w:eastAsia="en-AU"/>
        </w:rPr>
        <w:t xml:space="preserve">Using the evaluation rubric, the program’s performance on the criterion of Sustainability was rated as </w:t>
      </w:r>
      <w:r w:rsidRPr="007F09F4">
        <w:rPr>
          <w:b/>
          <w:bCs/>
          <w:lang w:eastAsia="en-AU"/>
        </w:rPr>
        <w:t>Adequate</w:t>
      </w:r>
      <w:r>
        <w:rPr>
          <w:lang w:eastAsia="en-AU"/>
        </w:rPr>
        <w:t>.</w:t>
      </w:r>
    </w:p>
    <w:p w14:paraId="13298CCD" w14:textId="77777777" w:rsidR="00606D84" w:rsidRDefault="00606D84" w:rsidP="00B109E9">
      <w:pPr>
        <w:pStyle w:val="Heading3"/>
      </w:pPr>
      <w:r>
        <w:t>Limitations</w:t>
      </w:r>
    </w:p>
    <w:p w14:paraId="4383C325" w14:textId="118EBA8C" w:rsidR="00606D84" w:rsidRDefault="00606D84" w:rsidP="00606D84">
      <w:pPr>
        <w:rPr>
          <w:lang w:eastAsia="en-AU"/>
        </w:rPr>
      </w:pPr>
      <w:r>
        <w:rPr>
          <w:lang w:eastAsia="en-AU"/>
        </w:rPr>
        <w:t>The strength of evidence was very low for sustainability of individual outcomes but high for sustainability of the program through expansion. Caution should be exercised in placing reliance on the individual outcomes rating.</w:t>
      </w:r>
    </w:p>
    <w:p w14:paraId="2B974163" w14:textId="4522FFED" w:rsidR="00606D84" w:rsidRDefault="00606D84" w:rsidP="00B109E9">
      <w:pPr>
        <w:pStyle w:val="Heading2"/>
      </w:pPr>
      <w:bookmarkStart w:id="16" w:name="_Toc90650028"/>
      <w:r>
        <w:t>Barriers and enablers</w:t>
      </w:r>
      <w:bookmarkEnd w:id="16"/>
    </w:p>
    <w:p w14:paraId="54ABA56A" w14:textId="77777777" w:rsidR="00606D84" w:rsidRPr="00606D84" w:rsidRDefault="00606D84" w:rsidP="00606D84">
      <w:pPr>
        <w:rPr>
          <w:lang w:eastAsia="en-AU"/>
        </w:rPr>
      </w:pPr>
      <w:r w:rsidRPr="00606D84">
        <w:rPr>
          <w:lang w:eastAsia="en-AU"/>
        </w:rPr>
        <w:t>The analysis suggests that there are more challenges for remote Academies in terms of overall resources available to support the Community. Issues of staffing and provision of support were identified through the evaluation for the remote site visited.</w:t>
      </w:r>
    </w:p>
    <w:p w14:paraId="57F5AE65" w14:textId="77777777" w:rsidR="00606D84" w:rsidRPr="00606D84" w:rsidRDefault="00606D84" w:rsidP="00606D84">
      <w:pPr>
        <w:rPr>
          <w:lang w:eastAsia="en-AU"/>
        </w:rPr>
      </w:pPr>
      <w:r w:rsidRPr="00606D84">
        <w:rPr>
          <w:lang w:eastAsia="en-AU"/>
        </w:rPr>
        <w:lastRenderedPageBreak/>
        <w:t>Strong relationships with local Aboriginal Communities and stakeholders was found to be positive at the Academies visited and integral to their successful outcomes. Engagement of school leaders was also found to be important in ensuring the Girls Academy was well integrated within the school and not siloed from the general school community, and this was also evidenced.</w:t>
      </w:r>
    </w:p>
    <w:p w14:paraId="07303F32" w14:textId="77777777" w:rsidR="00606D84" w:rsidRPr="00606D84" w:rsidRDefault="00606D84" w:rsidP="00606D84">
      <w:pPr>
        <w:rPr>
          <w:lang w:eastAsia="en-AU"/>
        </w:rPr>
      </w:pPr>
      <w:r w:rsidRPr="00606D84">
        <w:rPr>
          <w:lang w:eastAsia="en-AU"/>
        </w:rPr>
        <w:t>Issues of resourcing were identified by Academy staff including having more girls enrolled than their target numbers, and tensions between focusing on girls who were engaged in the program or reducing support to them to more actively engage those who were not engaged in school. In four of the five Academies visited, staff are currently attempting to do both, but acknowledge that resources do not always make this possible. Enrolments in the Girls Academy generally seem in line with targets, but there are still a significant number of Aboriginal girls in partner schools not attending.</w:t>
      </w:r>
    </w:p>
    <w:p w14:paraId="60F52738" w14:textId="77777777" w:rsidR="00606D84" w:rsidRPr="00606D84" w:rsidRDefault="00606D84" w:rsidP="00606D84">
      <w:pPr>
        <w:rPr>
          <w:lang w:eastAsia="en-AU"/>
        </w:rPr>
      </w:pPr>
      <w:r w:rsidRPr="00606D84">
        <w:rPr>
          <w:lang w:eastAsia="en-AU"/>
        </w:rPr>
        <w:t>Staffing is an issue raised by most stakeholders as both a strength and limitation of the program. Strong and highly skilled Aboriginal women are seen as important to the success of the program, however difficulty in recruiting Aboriginal women, with the required skills, is not always possible. Improvements in this area were identified.</w:t>
      </w:r>
    </w:p>
    <w:p w14:paraId="37EE892E" w14:textId="77777777" w:rsidR="00606D84" w:rsidRPr="00606D84" w:rsidRDefault="00606D84" w:rsidP="00606D84">
      <w:pPr>
        <w:rPr>
          <w:lang w:eastAsia="en-AU"/>
        </w:rPr>
      </w:pPr>
      <w:r w:rsidRPr="00606D84">
        <w:rPr>
          <w:lang w:eastAsia="en-AU"/>
        </w:rPr>
        <w:lastRenderedPageBreak/>
        <w:t>Some issues were found in relation to the adequacy of documentation to enable staff to do their work effectively.</w:t>
      </w:r>
    </w:p>
    <w:p w14:paraId="6AC0FED6" w14:textId="01B9A07E" w:rsidR="00606D84" w:rsidRDefault="00606D84" w:rsidP="00B109E9">
      <w:pPr>
        <w:pStyle w:val="Heading2"/>
      </w:pPr>
      <w:bookmarkStart w:id="17" w:name="_Toc90650029"/>
      <w:r>
        <w:t>Governance and management</w:t>
      </w:r>
      <w:bookmarkEnd w:id="17"/>
    </w:p>
    <w:p w14:paraId="017886DB" w14:textId="77777777" w:rsidR="00606D84" w:rsidRPr="00606D84" w:rsidRDefault="00606D84" w:rsidP="00606D84">
      <w:pPr>
        <w:rPr>
          <w:lang w:eastAsia="en-AU"/>
        </w:rPr>
      </w:pPr>
      <w:r w:rsidRPr="00606D84">
        <w:t xml:space="preserve">The evaluators were asked to review RMLA’s </w:t>
      </w:r>
      <w:r w:rsidRPr="00606D84">
        <w:rPr>
          <w:lang w:eastAsia="en-AU"/>
        </w:rPr>
        <w:t xml:space="preserve">governance and management systems alongside the evaluation of the Girls Academy Program. </w:t>
      </w:r>
      <w:r w:rsidRPr="00606D84">
        <w:t xml:space="preserve">An initial assessment of these </w:t>
      </w:r>
      <w:r w:rsidRPr="00606D84">
        <w:rPr>
          <w:lang w:eastAsia="en-AU"/>
        </w:rPr>
        <w:t>systems in January 2019 identified a number of gaps, and a set of improvements were recommended across areas including governance, Human Resources, finance, knowledge management and more. A subsequent review in August 2019 found that some of these gaps had been rectified, and planning and work was evident to address others.</w:t>
      </w:r>
    </w:p>
    <w:p w14:paraId="07DA1EE2" w14:textId="77777777" w:rsidR="00606D84" w:rsidRPr="00606D84" w:rsidRDefault="00606D84" w:rsidP="00606D84">
      <w:pPr>
        <w:rPr>
          <w:lang w:eastAsia="en-AU"/>
        </w:rPr>
      </w:pPr>
      <w:r w:rsidRPr="00606D84">
        <w:rPr>
          <w:lang w:eastAsia="en-AU"/>
        </w:rPr>
        <w:t>A new Board is in place that includes Aboriginal and non-Aboriginal women to better reflect the program’s target group who are young Aboriginal women. The organisation has restructured to ensure that it has the required level of management support to manage its growth, including the addition of two new Aboriginal General Managers to support its operations.</w:t>
      </w:r>
    </w:p>
    <w:p w14:paraId="55DF74BB" w14:textId="77777777" w:rsidR="00606D84" w:rsidRPr="00606D84" w:rsidRDefault="00606D84" w:rsidP="00606D84">
      <w:pPr>
        <w:rPr>
          <w:lang w:eastAsia="en-AU"/>
        </w:rPr>
      </w:pPr>
      <w:r w:rsidRPr="00606D84">
        <w:rPr>
          <w:lang w:eastAsia="en-AU"/>
        </w:rPr>
        <w:t>There are opportunities to further strengthen RMLA’s systems for staff support and development, state and Academy level budgeting, knowledge management, and program data collection.</w:t>
      </w:r>
    </w:p>
    <w:p w14:paraId="494EADD5" w14:textId="658257F2" w:rsidR="00606D84" w:rsidRDefault="00606D84" w:rsidP="00B109E9">
      <w:pPr>
        <w:pStyle w:val="Heading1"/>
      </w:pPr>
      <w:bookmarkStart w:id="18" w:name="_Toc90650030"/>
      <w:r>
        <w:lastRenderedPageBreak/>
        <w:t>Conclusion</w:t>
      </w:r>
      <w:bookmarkEnd w:id="18"/>
    </w:p>
    <w:p w14:paraId="1F03358B" w14:textId="77777777" w:rsidR="00606D84" w:rsidRDefault="00606D84" w:rsidP="00606D84">
      <w:pPr>
        <w:rPr>
          <w:lang w:eastAsia="en-AU"/>
        </w:rPr>
      </w:pPr>
      <w:r>
        <w:rPr>
          <w:lang w:eastAsia="en-AU"/>
        </w:rPr>
        <w:t>The Girls Academy Program has evolved from small beginnings and is now operating at scale across four states and territories. The program has demonstrated the ability to offer culturally relevant and engaging support to Aboriginal girls, and there is strong qualitative evidence of effectiveness across the sites visited during this evaluation. Given the positive benefit-cost ratio of the program identified through prior research, the Girls Academy Program represents a promising model of support, enabling positive outcomes for Aboriginal girls.</w:t>
      </w:r>
    </w:p>
    <w:p w14:paraId="5929C646" w14:textId="77777777" w:rsidR="00606D84" w:rsidRDefault="00606D84" w:rsidP="00606D84">
      <w:pPr>
        <w:rPr>
          <w:lang w:eastAsia="en-AU"/>
        </w:rPr>
      </w:pPr>
      <w:r>
        <w:rPr>
          <w:lang w:eastAsia="en-AU"/>
        </w:rPr>
        <w:t>Strength of evidence available to the evaluation varied widely across the evaluation criteria. Only minimal quantitative monitoring data was accessible, and only a small portion of Academy sites were able to be visited by the evaluators. These limitations should be borne in mind when considering the reliability of findings.</w:t>
      </w:r>
    </w:p>
    <w:p w14:paraId="5474C7BD" w14:textId="6B5DC5F5" w:rsidR="00B109E9" w:rsidRDefault="00606D84" w:rsidP="00606D84">
      <w:pPr>
        <w:rPr>
          <w:lang w:eastAsia="en-AU"/>
        </w:rPr>
      </w:pPr>
      <w:r>
        <w:rPr>
          <w:lang w:eastAsia="en-AU"/>
        </w:rPr>
        <w:t xml:space="preserve">The organisation and the Academy are dealing with a range of operational and governance challenges that impact on the delivery of the program. While RMLA has made progress in some areas over the past year, further improvement is needed to gain best value from the program and increase sustainability. A range of opportunities for improvement are identified in the </w:t>
      </w:r>
      <w:r>
        <w:rPr>
          <w:lang w:eastAsia="en-AU"/>
        </w:rPr>
        <w:lastRenderedPageBreak/>
        <w:t>full Final Report, and key recommendations are summarised below.</w:t>
      </w:r>
      <w:r w:rsidR="00B109E9">
        <w:rPr>
          <w:lang w:eastAsia="en-AU"/>
        </w:rPr>
        <w:br w:type="page"/>
      </w:r>
    </w:p>
    <w:p w14:paraId="1380692B" w14:textId="12916B75" w:rsidR="00606D84" w:rsidRDefault="00606D84" w:rsidP="00B109E9">
      <w:pPr>
        <w:pStyle w:val="Heading1Nospacebefore"/>
      </w:pPr>
      <w:bookmarkStart w:id="19" w:name="_Toc90650031"/>
      <w:r>
        <w:lastRenderedPageBreak/>
        <w:t>Summary of recommendations</w:t>
      </w:r>
      <w:bookmarkEnd w:id="19"/>
    </w:p>
    <w:p w14:paraId="30BCB4F6" w14:textId="77777777" w:rsidR="00B41A1F" w:rsidRPr="00B41A1F" w:rsidRDefault="00B41A1F" w:rsidP="00B41A1F">
      <w:pPr>
        <w:pStyle w:val="Recommendationtext"/>
        <w:pBdr>
          <w:left w:val="none" w:sz="0" w:space="0" w:color="auto"/>
        </w:pBdr>
        <w:spacing w:after="200"/>
        <w:ind w:left="397" w:hanging="397"/>
        <w:rPr>
          <w:i w:val="0"/>
          <w:iCs/>
        </w:rPr>
      </w:pPr>
      <w:bookmarkStart w:id="20" w:name="_Hlk26771166"/>
      <w:r w:rsidRPr="00B41A1F">
        <w:rPr>
          <w:i w:val="0"/>
          <w:iCs/>
        </w:rPr>
        <w:t>Undertake further analysis of academic achievement data across states to identify whether there are specific barriers or issues to girls achieving academic goals, taking into account location-specific issues. This will require negotiation with each jurisdiction to determine the most effective way to obtain this data including issues relating to privacy.</w:t>
      </w:r>
    </w:p>
    <w:p w14:paraId="3E58B20E" w14:textId="77777777" w:rsidR="00B41A1F" w:rsidRPr="00B41A1F" w:rsidRDefault="00B41A1F" w:rsidP="00B41A1F">
      <w:pPr>
        <w:pStyle w:val="Recommendationtext"/>
        <w:pBdr>
          <w:left w:val="none" w:sz="0" w:space="0" w:color="auto"/>
        </w:pBdr>
        <w:spacing w:after="200"/>
        <w:ind w:left="397" w:hanging="397"/>
        <w:rPr>
          <w:i w:val="0"/>
          <w:iCs/>
        </w:rPr>
      </w:pPr>
      <w:r w:rsidRPr="00B41A1F">
        <w:rPr>
          <w:i w:val="0"/>
          <w:iCs/>
        </w:rPr>
        <w:t>As part of the Monitoring and Evaluation strategy include mechanisms to follow up with graduates periodically after program exit, to collect data on longer-term pathways and outcomes for girls.</w:t>
      </w:r>
    </w:p>
    <w:p w14:paraId="6524DB6E" w14:textId="77777777" w:rsidR="00B41A1F" w:rsidRPr="00B41A1F" w:rsidRDefault="00B41A1F" w:rsidP="00B41A1F">
      <w:pPr>
        <w:pStyle w:val="Recommendationtext"/>
        <w:pBdr>
          <w:left w:val="none" w:sz="0" w:space="0" w:color="auto"/>
        </w:pBdr>
        <w:spacing w:after="200"/>
        <w:ind w:left="397" w:hanging="397"/>
        <w:rPr>
          <w:i w:val="0"/>
          <w:iCs/>
        </w:rPr>
      </w:pPr>
      <w:r w:rsidRPr="00B41A1F">
        <w:rPr>
          <w:i w:val="0"/>
          <w:iCs/>
        </w:rPr>
        <w:t>Include the development of a long-term infrastructure plan in RMLA’s Strategic Plan.</w:t>
      </w:r>
    </w:p>
    <w:p w14:paraId="583DAE09" w14:textId="77777777" w:rsidR="00B41A1F" w:rsidRPr="00B41A1F" w:rsidRDefault="00B41A1F" w:rsidP="00B41A1F">
      <w:pPr>
        <w:pStyle w:val="Recommendationtext"/>
        <w:pBdr>
          <w:left w:val="none" w:sz="0" w:space="0" w:color="auto"/>
        </w:pBdr>
        <w:spacing w:after="200"/>
        <w:ind w:left="397" w:hanging="397"/>
        <w:rPr>
          <w:i w:val="0"/>
          <w:iCs/>
        </w:rPr>
      </w:pPr>
      <w:r w:rsidRPr="00B41A1F">
        <w:rPr>
          <w:i w:val="0"/>
          <w:iCs/>
        </w:rPr>
        <w:t>Develop a suite of mandatory training for RMLA staff covering privacy, bullying and harassment, cultural safety, Work Health &amp; Safety, Working with Children Requirements, and any jurisdiction-specific legislative or policy requirements.</w:t>
      </w:r>
    </w:p>
    <w:p w14:paraId="2ED76709" w14:textId="77777777" w:rsidR="00B41A1F" w:rsidRPr="00B41A1F" w:rsidRDefault="00B41A1F" w:rsidP="00B41A1F">
      <w:pPr>
        <w:pStyle w:val="Recommendationtext"/>
        <w:pBdr>
          <w:left w:val="none" w:sz="0" w:space="0" w:color="auto"/>
        </w:pBdr>
        <w:spacing w:after="200"/>
        <w:ind w:left="397" w:hanging="397"/>
        <w:rPr>
          <w:i w:val="0"/>
          <w:iCs/>
        </w:rPr>
      </w:pPr>
      <w:r w:rsidRPr="00B41A1F">
        <w:rPr>
          <w:i w:val="0"/>
          <w:iCs/>
        </w:rPr>
        <w:lastRenderedPageBreak/>
        <w:t>Undertake a training needs analysis across the Girls Academy Program to identify what gaps there are in staff skill and knowledge. Develop a plan to address these gaps which may be at the individual, Academy, state or regional level.</w:t>
      </w:r>
    </w:p>
    <w:p w14:paraId="2EFF8BFD" w14:textId="4066671C" w:rsidR="00B41A1F" w:rsidRPr="00B41A1F" w:rsidRDefault="00B41A1F" w:rsidP="00B41A1F">
      <w:pPr>
        <w:pStyle w:val="Recommendationtext"/>
        <w:pBdr>
          <w:left w:val="none" w:sz="0" w:space="0" w:color="auto"/>
        </w:pBdr>
        <w:spacing w:after="200"/>
        <w:ind w:left="397" w:hanging="397"/>
        <w:rPr>
          <w:i w:val="0"/>
          <w:iCs/>
        </w:rPr>
      </w:pPr>
      <w:r w:rsidRPr="00B41A1F">
        <w:rPr>
          <w:i w:val="0"/>
          <w:iCs/>
        </w:rPr>
        <w:t>Develop a business continuity plan.</w:t>
      </w:r>
    </w:p>
    <w:p w14:paraId="470F7C9E" w14:textId="77777777" w:rsidR="00B41A1F" w:rsidRPr="00B41A1F" w:rsidRDefault="00B41A1F" w:rsidP="00B41A1F">
      <w:pPr>
        <w:pStyle w:val="Recommendationtext"/>
        <w:pBdr>
          <w:left w:val="none" w:sz="0" w:space="0" w:color="auto"/>
        </w:pBdr>
        <w:spacing w:after="200"/>
        <w:ind w:left="397" w:hanging="397"/>
        <w:rPr>
          <w:i w:val="0"/>
          <w:iCs/>
        </w:rPr>
      </w:pPr>
      <w:r w:rsidRPr="00B41A1F">
        <w:rPr>
          <w:i w:val="0"/>
          <w:iCs/>
        </w:rPr>
        <w:t>Invest in a risk management system that can be used by staff throughout the organisation to ensure that all risks, including those at the local site level, are captured and dealt with, and near misses collated in order to highlight system gaps.</w:t>
      </w:r>
    </w:p>
    <w:p w14:paraId="2055E5A1" w14:textId="77777777" w:rsidR="00B41A1F" w:rsidRPr="00B41A1F" w:rsidRDefault="00B41A1F" w:rsidP="00B41A1F">
      <w:pPr>
        <w:pStyle w:val="Recommendationtext"/>
        <w:pBdr>
          <w:left w:val="none" w:sz="0" w:space="0" w:color="auto"/>
        </w:pBdr>
        <w:spacing w:after="200"/>
        <w:ind w:left="397" w:hanging="397"/>
        <w:rPr>
          <w:i w:val="0"/>
          <w:iCs/>
        </w:rPr>
      </w:pPr>
      <w:r w:rsidRPr="00B41A1F">
        <w:rPr>
          <w:i w:val="0"/>
          <w:iCs/>
        </w:rPr>
        <w:t>Following the outcomes of the Compliance Review, develop a legislative compliance system that includes identifying all legislative and other compliance requirements. Record these in a register that assigns responsibility for monitoring compliance and includes routine reporting of compliance status to the Board.</w:t>
      </w:r>
    </w:p>
    <w:p w14:paraId="19157602" w14:textId="77777777" w:rsidR="00B41A1F" w:rsidRPr="00B41A1F" w:rsidRDefault="00B41A1F" w:rsidP="00B41A1F">
      <w:pPr>
        <w:pStyle w:val="Recommendationtext"/>
        <w:pBdr>
          <w:left w:val="none" w:sz="0" w:space="0" w:color="auto"/>
        </w:pBdr>
        <w:spacing w:after="200"/>
        <w:ind w:left="397" w:hanging="397"/>
        <w:rPr>
          <w:i w:val="0"/>
          <w:iCs/>
        </w:rPr>
      </w:pPr>
      <w:r w:rsidRPr="00B41A1F">
        <w:rPr>
          <w:i w:val="0"/>
          <w:iCs/>
        </w:rPr>
        <w:t>Introduce a consistent system for meetings and for recording key information about meetings, including decisions made and actions assigned, at the individual Academy and regional level.</w:t>
      </w:r>
    </w:p>
    <w:p w14:paraId="700D4AD6" w14:textId="77777777" w:rsidR="00B41A1F" w:rsidRPr="00B41A1F" w:rsidRDefault="00B41A1F" w:rsidP="00B41A1F">
      <w:pPr>
        <w:pStyle w:val="Recommendationtext"/>
        <w:pBdr>
          <w:left w:val="none" w:sz="0" w:space="0" w:color="auto"/>
        </w:pBdr>
        <w:spacing w:after="200"/>
        <w:ind w:left="397" w:hanging="397"/>
        <w:rPr>
          <w:i w:val="0"/>
          <w:iCs/>
        </w:rPr>
      </w:pPr>
      <w:r w:rsidRPr="00B41A1F">
        <w:rPr>
          <w:i w:val="0"/>
          <w:iCs/>
        </w:rPr>
        <w:lastRenderedPageBreak/>
        <w:t>Work with funders to implement a streamlined and consistent set of indicators and reporting requirements for the Girls Academy Program across jurisdictions. This could include mapping the data collection and reporting requirements, and indicators to ensure these are accurate. Where inconsistencies are identified undertake conversations with funders to agree on modifications to achieve greater consistency.</w:t>
      </w:r>
    </w:p>
    <w:p w14:paraId="2A5E25B7" w14:textId="77777777" w:rsidR="00B41A1F" w:rsidRPr="00B41A1F" w:rsidRDefault="00B41A1F" w:rsidP="00B41A1F">
      <w:pPr>
        <w:pStyle w:val="Recommendationtext"/>
        <w:pBdr>
          <w:left w:val="none" w:sz="0" w:space="0" w:color="auto"/>
        </w:pBdr>
        <w:spacing w:after="200"/>
        <w:ind w:left="397" w:hanging="397"/>
        <w:rPr>
          <w:i w:val="0"/>
          <w:iCs/>
        </w:rPr>
      </w:pPr>
      <w:r w:rsidRPr="00B41A1F">
        <w:rPr>
          <w:i w:val="0"/>
          <w:iCs/>
        </w:rPr>
        <w:t>Develop a central repository of program data, and efficient ways in which to populate this with information supplied by individual Academies, to enable more effective use of organisational data for reporting, evaluation and program planning.</w:t>
      </w:r>
    </w:p>
    <w:p w14:paraId="51918B06" w14:textId="77777777" w:rsidR="00B41A1F" w:rsidRPr="00B41A1F" w:rsidRDefault="00B41A1F" w:rsidP="00B41A1F">
      <w:pPr>
        <w:pStyle w:val="Recommendationtext"/>
        <w:pBdr>
          <w:left w:val="none" w:sz="0" w:space="0" w:color="auto"/>
        </w:pBdr>
        <w:spacing w:after="200"/>
        <w:ind w:left="397" w:hanging="397"/>
        <w:rPr>
          <w:i w:val="0"/>
          <w:iCs/>
        </w:rPr>
      </w:pPr>
      <w:r w:rsidRPr="00B41A1F">
        <w:rPr>
          <w:i w:val="0"/>
          <w:iCs/>
        </w:rPr>
        <w:t>Revisit the work done on the Monitoring and Evaluation framework and consider next steps in progressing this work, to further evidence the outcomes for girls due to their participation in the Girls Academy Program.</w:t>
      </w:r>
    </w:p>
    <w:bookmarkEnd w:id="20"/>
    <w:p w14:paraId="65D47691" w14:textId="3FAA1B91" w:rsidR="0043190C" w:rsidRDefault="0043190C">
      <w:pPr>
        <w:autoSpaceDE/>
        <w:autoSpaceDN/>
        <w:adjustRightInd/>
        <w:spacing w:after="0" w:line="240" w:lineRule="auto"/>
      </w:pPr>
      <w:r>
        <w:br w:type="page"/>
      </w:r>
    </w:p>
    <w:p w14:paraId="0FD91E14" w14:textId="3ECEAA0C" w:rsidR="0043190C" w:rsidRDefault="004253AA" w:rsidP="004253AA">
      <w:pPr>
        <w:pStyle w:val="Heading1"/>
      </w:pPr>
      <w:bookmarkStart w:id="21" w:name="_Toc90650032"/>
      <w:r>
        <w:lastRenderedPageBreak/>
        <w:t>Literature review</w:t>
      </w:r>
      <w:bookmarkEnd w:id="21"/>
    </w:p>
    <w:p w14:paraId="2E0900DD" w14:textId="560520FC" w:rsidR="00291D1E" w:rsidRDefault="004253AA" w:rsidP="006412ED">
      <w:pPr>
        <w:pStyle w:val="Heading2"/>
      </w:pPr>
      <w:bookmarkStart w:id="22" w:name="_Toc90650033"/>
      <w:r>
        <w:t>Introduction</w:t>
      </w:r>
      <w:bookmarkEnd w:id="22"/>
    </w:p>
    <w:p w14:paraId="25B33224" w14:textId="77777777" w:rsidR="004253AA" w:rsidRPr="004253AA" w:rsidRDefault="004253AA" w:rsidP="004253AA">
      <w:pPr>
        <w:rPr>
          <w:lang w:eastAsia="en-AU"/>
        </w:rPr>
      </w:pPr>
      <w:r w:rsidRPr="004253AA">
        <w:rPr>
          <w:lang w:eastAsia="en-AU"/>
        </w:rPr>
        <w:t>A brief literature review was conducted by Lirata Consulting during the preparation phase of the Role Model and Leaders Australia (RMLA) Girls Academy Evaluation.</w:t>
      </w:r>
    </w:p>
    <w:p w14:paraId="66974FBD" w14:textId="77777777" w:rsidR="004253AA" w:rsidRPr="004253AA" w:rsidRDefault="004253AA" w:rsidP="004253AA">
      <w:pPr>
        <w:rPr>
          <w:lang w:eastAsia="en-AU"/>
        </w:rPr>
      </w:pPr>
      <w:r w:rsidRPr="004253AA">
        <w:rPr>
          <w:lang w:eastAsia="en-AU"/>
        </w:rPr>
        <w:t xml:space="preserve">The purpose of the literature review was to assist with establishing the theoretical context for the evaluation in program areas that support student capacity building: </w:t>
      </w:r>
      <w:r w:rsidRPr="004253AA">
        <w:t xml:space="preserve">school engagement, retention, achievement, wellbeing and post-school pathways. </w:t>
      </w:r>
      <w:r w:rsidRPr="004253AA">
        <w:rPr>
          <w:lang w:eastAsia="en-AU"/>
        </w:rPr>
        <w:t>The review helped guide the evaluation methodology and informed development of the data collection tools.</w:t>
      </w:r>
    </w:p>
    <w:p w14:paraId="55DAFC7F" w14:textId="77777777" w:rsidR="004253AA" w:rsidRPr="004253AA" w:rsidRDefault="004253AA" w:rsidP="004253AA">
      <w:pPr>
        <w:rPr>
          <w:lang w:eastAsia="en-AU"/>
        </w:rPr>
      </w:pPr>
      <w:r w:rsidRPr="004253AA">
        <w:rPr>
          <w:lang w:eastAsia="en-AU"/>
        </w:rPr>
        <w:t>Due to resource limitations, the literature review was targeted in scope. While there is a significant body of general literature on Aboriginal and Torres Strait Islander education, specific studies of school-based programs supporting student capacity building were limited, with even fewer specifically focusing upon Aboriginal students and girls in particular.</w:t>
      </w:r>
    </w:p>
    <w:p w14:paraId="4D15711F" w14:textId="77777777" w:rsidR="004253AA" w:rsidRPr="004253AA" w:rsidRDefault="004253AA" w:rsidP="0097435D">
      <w:pPr>
        <w:pStyle w:val="NormalBeforeList"/>
      </w:pPr>
      <w:r w:rsidRPr="004253AA">
        <w:t>Findings have been summarised under four broad areas:</w:t>
      </w:r>
    </w:p>
    <w:p w14:paraId="4AA19C0F" w14:textId="77777777" w:rsidR="004253AA" w:rsidRPr="004253AA" w:rsidRDefault="004253AA" w:rsidP="0097435D">
      <w:pPr>
        <w:pStyle w:val="BulletLevel1"/>
      </w:pPr>
      <w:r w:rsidRPr="004253AA">
        <w:t>The policy context for the Girls Academy Program, as articulated via the Closing the Gap Strategy</w:t>
      </w:r>
    </w:p>
    <w:p w14:paraId="34ECD792" w14:textId="77777777" w:rsidR="004253AA" w:rsidRPr="004253AA" w:rsidRDefault="004253AA" w:rsidP="0097435D">
      <w:pPr>
        <w:pStyle w:val="BulletLevel1"/>
      </w:pPr>
      <w:r w:rsidRPr="004253AA">
        <w:lastRenderedPageBreak/>
        <w:t>Previous evaluations of educational programs that support Aboriginal and Torres Strait Islander students, including one specifically focused on examining supports to diminish the impact of educational disadvantage for Aboriginal girls</w:t>
      </w:r>
    </w:p>
    <w:p w14:paraId="7D16D9FF" w14:textId="77777777" w:rsidR="004253AA" w:rsidRPr="004253AA" w:rsidRDefault="004253AA" w:rsidP="0097435D">
      <w:pPr>
        <w:pStyle w:val="BulletLevel1"/>
      </w:pPr>
      <w:r w:rsidRPr="004253AA">
        <w:t>An overview of the characteristics of effective school-based programs</w:t>
      </w:r>
    </w:p>
    <w:p w14:paraId="70B6034B" w14:textId="77777777" w:rsidR="004253AA" w:rsidRPr="004253AA" w:rsidRDefault="004253AA" w:rsidP="0097435D">
      <w:pPr>
        <w:pStyle w:val="BulletLevel1"/>
      </w:pPr>
      <w:r w:rsidRPr="004253AA">
        <w:t>Key themes emerging from the general literature on Aboriginal and Torres Strait Islander education.</w:t>
      </w:r>
    </w:p>
    <w:p w14:paraId="72DF7BE4" w14:textId="1AE6E678" w:rsidR="00291D1E" w:rsidRDefault="004253AA" w:rsidP="00B109E9">
      <w:pPr>
        <w:pStyle w:val="Heading2"/>
      </w:pPr>
      <w:bookmarkStart w:id="23" w:name="_Toc90650034"/>
      <w:r>
        <w:t>Policy context: Closing the Gap</w:t>
      </w:r>
      <w:bookmarkEnd w:id="23"/>
    </w:p>
    <w:p w14:paraId="12158594" w14:textId="77777777" w:rsidR="004253AA" w:rsidRPr="004253AA" w:rsidRDefault="004253AA" w:rsidP="004253AA">
      <w:pPr>
        <w:spacing w:line="276" w:lineRule="auto"/>
      </w:pPr>
      <w:r w:rsidRPr="004253AA">
        <w:t>The Girls Academy Program is one a number of programs established to address the significant disadvantage that Aboriginal girls experience in relation to education and falls within the scope of the Australian Government’s Closing the Gap initiative. While established prior to the introduction of Closing the Gap, the Girls Academy Program has strong links to a number of priority areas identified in this strategy.</w:t>
      </w:r>
    </w:p>
    <w:p w14:paraId="5EB2286D" w14:textId="77777777" w:rsidR="004253AA" w:rsidRPr="004253AA" w:rsidRDefault="004253AA" w:rsidP="004253AA">
      <w:pPr>
        <w:spacing w:line="276" w:lineRule="auto"/>
      </w:pPr>
      <w:r w:rsidRPr="004253AA">
        <w:t xml:space="preserve">The Closing the Gap journey formally commenced in 2008 following a strong campaign that aimed to achieve equality for Aboriginal and Torres Strait Islander people in health and life expectancy within 25 years. Six Closing the Gap targets were introduced, contained within an overarching Commonwealth, </w:t>
      </w:r>
      <w:r w:rsidRPr="004253AA">
        <w:lastRenderedPageBreak/>
        <w:t>State and Territory agreement called the National Indigenous Reform Agreement. A school attendance target was added in 2014 and an expanded early childhood target was added in 2015 following the expiry of the remote early childhood education target.</w:t>
      </w:r>
    </w:p>
    <w:p w14:paraId="73C5B722" w14:textId="03B7AB41" w:rsidR="004253AA" w:rsidRPr="004253AA" w:rsidRDefault="004253AA" w:rsidP="004253AA">
      <w:pPr>
        <w:spacing w:line="276" w:lineRule="auto"/>
      </w:pPr>
      <w:r w:rsidRPr="004253AA">
        <w:t xml:space="preserve">Following the release of the 2019 Closing the Gap report </w:t>
      </w:r>
      <w:r w:rsidRPr="004253AA">
        <w:fldChar w:fldCharType="begin" w:fldLock="1"/>
      </w:r>
      <w:r w:rsidR="005F5266">
        <w:instrText>ADDIN CSL_CITATION {"citationItems":[{"id":"ITEM-1","itemData":{"author":[{"dropping-particle":"","family":"Commonwealth of Australia Department of the Prime Minister and Cabinet","given":"","non-dropping-particle":"","parse-names":false,"suffix":""}],"id":"ITEM-1","issued":{"date-parts":[["2019"]]},"title":"Closing the Gap Prime Minister's Report 2018","type":"report"},"uris":["http://www.mendeley.com/documents/?uuid=0fe47e12-7d16-4f19-b264-f98e8040deb1"]}],"mendeley":{"formattedCitation":"(Commonwealth of Australia Department of the Prime Minister and Cabinet, 2019)","plainTextFormattedCitation":"(Commonwealth of Australia Department of the Prime Minister and Cabinet, 2019)","previouslyFormattedCitation":"(Commonwealth of Australia Department of the Prime Minister and Cabinet, 2019)"},"properties":{"noteIndex":0},"schema":"https://github.com/citation-style-language/schema/raw/master/csl-citation.json"}</w:instrText>
      </w:r>
      <w:r w:rsidRPr="004253AA">
        <w:fldChar w:fldCharType="separate"/>
      </w:r>
      <w:r w:rsidR="006537A1" w:rsidRPr="006537A1">
        <w:rPr>
          <w:noProof/>
        </w:rPr>
        <w:t>(Commonwealth of Australia Department of the Prime Minister and Cabinet, 2019)</w:t>
      </w:r>
      <w:r w:rsidRPr="004253AA">
        <w:fldChar w:fldCharType="end"/>
      </w:r>
      <w:r w:rsidRPr="004253AA">
        <w:t>, the government committed to refreshing the strategy based on learnings from the first ten years. The strategy has been renamed Closing the Gap Refresh and includes an increased focus on working in partnership with Indigenous communities, using strengths-based and community led approaches, greater collaboration with State and Territory governments, development of evidence-based strategies and increased accountabilities for outcomes.</w:t>
      </w:r>
    </w:p>
    <w:p w14:paraId="030F95E1" w14:textId="77777777" w:rsidR="004253AA" w:rsidRPr="004253AA" w:rsidRDefault="004253AA" w:rsidP="0097435D">
      <w:pPr>
        <w:pStyle w:val="NormalBeforeList"/>
        <w:rPr>
          <w:shd w:val="clear" w:color="auto" w:fill="FFFFFF"/>
        </w:rPr>
      </w:pPr>
      <w:r w:rsidRPr="004253AA">
        <w:rPr>
          <w:shd w:val="clear" w:color="auto" w:fill="FFFFFF"/>
        </w:rPr>
        <w:t>The Australian Government recognises its important role in Indigenous education, including:</w:t>
      </w:r>
    </w:p>
    <w:p w14:paraId="07F59C67" w14:textId="77777777" w:rsidR="004253AA" w:rsidRPr="004253AA" w:rsidRDefault="004253AA" w:rsidP="0097435D">
      <w:pPr>
        <w:pStyle w:val="BulletLevel1"/>
      </w:pPr>
      <w:r w:rsidRPr="004253AA">
        <w:rPr>
          <w:shd w:val="clear" w:color="auto" w:fill="FFFFFF"/>
        </w:rPr>
        <w:t>Improving opportunities for Aboriginal and Torres Strait Islander students to attend and thrive at school, regardless of location</w:t>
      </w:r>
    </w:p>
    <w:p w14:paraId="747DCFB8" w14:textId="77777777" w:rsidR="004253AA" w:rsidRPr="004253AA" w:rsidRDefault="004253AA" w:rsidP="0097435D">
      <w:pPr>
        <w:pStyle w:val="BulletLevel1"/>
      </w:pPr>
      <w:r w:rsidRPr="004253AA">
        <w:rPr>
          <w:shd w:val="clear" w:color="auto" w:fill="FFFFFF"/>
        </w:rPr>
        <w:t>Ensuring that gender-specific educational needs are identified and addressed</w:t>
      </w:r>
    </w:p>
    <w:p w14:paraId="1996AE70" w14:textId="704FD1BF" w:rsidR="004253AA" w:rsidRPr="004253AA" w:rsidRDefault="004253AA" w:rsidP="0097435D">
      <w:pPr>
        <w:pStyle w:val="BulletLevel1"/>
      </w:pPr>
      <w:r w:rsidRPr="004253AA">
        <w:rPr>
          <w:shd w:val="clear" w:color="auto" w:fill="FFFFFF"/>
        </w:rPr>
        <w:lastRenderedPageBreak/>
        <w:t xml:space="preserve">Funding complementary activities that support engagement, attainment and completion in school and post-school education. </w:t>
      </w:r>
      <w:r w:rsidRPr="004253AA">
        <w:rPr>
          <w:shd w:val="clear" w:color="auto" w:fill="FFFFFF"/>
        </w:rPr>
        <w:fldChar w:fldCharType="begin" w:fldLock="1"/>
      </w:r>
      <w:r w:rsidR="005F5266">
        <w:rPr>
          <w:shd w:val="clear" w:color="auto" w:fill="FFFFFF"/>
        </w:rPr>
        <w:instrText>ADDIN CSL_CITATION {"citationItems":[{"id":"ITEM-1","itemData":{"author":[{"dropping-particle":"","family":"Commonwealth of Australia Department of the Prime Minister and Cabinet","given":"","non-dropping-particle":"","parse-names":false,"suffix":""}],"id":"ITEM-1","issued":{"date-parts":[["2019"]]},"title":"Closing the Gap Prime Minister's Report 2018","type":"report"},"uris":["http://www.mendeley.com/documents/?uuid=0fe47e12-7d16-4f19-b264-f98e8040deb1"]}],"mendeley":{"formattedCitation":"(Commonwealth of Australia Department of the Prime Minister and Cabinet, 2019)","plainTextFormattedCitation":"(Commonwealth of Australia Department of the Prime Minister and Cabinet, 2019)","previouslyFormattedCitation":"(Commonwealth of Australia Department of the Prime Minister and Cabinet, 2019)"},"properties":{"noteIndex":0},"schema":"https://github.com/citation-style-language/schema/raw/master/csl-citation.json"}</w:instrText>
      </w:r>
      <w:r w:rsidRPr="004253AA">
        <w:rPr>
          <w:shd w:val="clear" w:color="auto" w:fill="FFFFFF"/>
        </w:rPr>
        <w:fldChar w:fldCharType="separate"/>
      </w:r>
      <w:r w:rsidR="006537A1" w:rsidRPr="006537A1">
        <w:rPr>
          <w:noProof/>
          <w:shd w:val="clear" w:color="auto" w:fill="FFFFFF"/>
        </w:rPr>
        <w:t>(Commonwealth of Australia Department of the Prime Minister and Cabinet, 2019)</w:t>
      </w:r>
      <w:r w:rsidRPr="004253AA">
        <w:rPr>
          <w:shd w:val="clear" w:color="auto" w:fill="FFFFFF"/>
        </w:rPr>
        <w:fldChar w:fldCharType="end"/>
      </w:r>
    </w:p>
    <w:p w14:paraId="44AEB8E8" w14:textId="77777777" w:rsidR="004253AA" w:rsidRPr="004253AA" w:rsidRDefault="004253AA" w:rsidP="0097435D">
      <w:pPr>
        <w:pStyle w:val="NormalAfterList"/>
      </w:pPr>
      <w:r w:rsidRPr="004253AA">
        <w:t>The purposes of RMLA Girls Academies are consistent with these aims and the Closing the Gap Refresh directions.</w:t>
      </w:r>
    </w:p>
    <w:p w14:paraId="7DF87B49" w14:textId="06DBE94D" w:rsidR="004253AA" w:rsidRPr="004253AA" w:rsidRDefault="004253AA" w:rsidP="0097435D">
      <w:pPr>
        <w:pStyle w:val="NormalBeforeList"/>
      </w:pPr>
      <w:r w:rsidRPr="004253AA">
        <w:t xml:space="preserve">The 2019 Closing the Gap final report on 2008-2018 outcomes identified that only two of the seven targets were on track to be met </w:t>
      </w:r>
      <w:r w:rsidRPr="004253AA">
        <w:fldChar w:fldCharType="begin" w:fldLock="1"/>
      </w:r>
      <w:r w:rsidR="005F5266">
        <w:instrText>ADDIN CSL_CITATION {"citationItems":[{"id":"ITEM-1","itemData":{"author":[{"dropping-particle":"","family":"Commonwealth of Australia Department of the Prime Minister and Cabinet","given":"","non-dropping-particle":"","parse-names":false,"suffix":""}],"id":"ITEM-1","issued":{"date-parts":[["2019"]]},"title":"Closing the Gap Prime Minister's Report 2018","type":"report"},"uris":["http://www.mendeley.com/documents/?uuid=0fe47e12-7d16-4f19-b264-f98e8040deb1"]}],"mendeley":{"formattedCitation":"(Commonwealth of Australia Department of the Prime Minister and Cabinet, 2019)","plainTextFormattedCitation":"(Commonwealth of Australia Department of the Prime Minister and Cabinet, 2019)","previouslyFormattedCitation":"(Commonwealth of Australia Department of the Prime Minister and Cabinet, 2019)"},"properties":{"noteIndex":0},"schema":"https://github.com/citation-style-language/schema/raw/master/csl-citation.json"}</w:instrText>
      </w:r>
      <w:r w:rsidRPr="004253AA">
        <w:fldChar w:fldCharType="separate"/>
      </w:r>
      <w:r w:rsidR="006537A1" w:rsidRPr="006537A1">
        <w:rPr>
          <w:noProof/>
        </w:rPr>
        <w:t>(Commonwealth of Australia Department of the Prime Minister and Cabinet, 2019)</w:t>
      </w:r>
      <w:r w:rsidRPr="004253AA">
        <w:fldChar w:fldCharType="end"/>
      </w:r>
      <w:r w:rsidRPr="004253AA">
        <w:t>. A number of the Closing the Gap targets relate to improvement in educational outcomes for Aboriginal and Torres Strait Islander young people including:</w:t>
      </w:r>
    </w:p>
    <w:p w14:paraId="409EAC03" w14:textId="77777777" w:rsidR="004253AA" w:rsidRPr="004253AA" w:rsidRDefault="004253AA" w:rsidP="0097435D">
      <w:pPr>
        <w:pStyle w:val="BulletLevel1"/>
      </w:pPr>
      <w:r w:rsidRPr="004253AA">
        <w:t>Halve the gap in year 12 attainment by 2020</w:t>
      </w:r>
    </w:p>
    <w:p w14:paraId="2239B8BF" w14:textId="77777777" w:rsidR="004253AA" w:rsidRPr="004253AA" w:rsidRDefault="004253AA" w:rsidP="0097435D">
      <w:pPr>
        <w:pStyle w:val="BulletLevel1"/>
      </w:pPr>
      <w:r w:rsidRPr="004253AA">
        <w:t>Close the gap in school attendance rates by 2018</w:t>
      </w:r>
    </w:p>
    <w:p w14:paraId="1B714012" w14:textId="77777777" w:rsidR="004253AA" w:rsidRPr="004253AA" w:rsidRDefault="004253AA" w:rsidP="0097435D">
      <w:pPr>
        <w:pStyle w:val="BulletLevel1"/>
      </w:pPr>
      <w:r w:rsidRPr="004253AA">
        <w:t>Halve the gap in reading and numeracy by 2018</w:t>
      </w:r>
    </w:p>
    <w:p w14:paraId="62B3AD5B" w14:textId="77777777" w:rsidR="004253AA" w:rsidRPr="004253AA" w:rsidRDefault="004253AA" w:rsidP="0097435D">
      <w:pPr>
        <w:pStyle w:val="BulletLevel1"/>
      </w:pPr>
      <w:r w:rsidRPr="004253AA">
        <w:t>Halve the gap in employment by 2018.</w:t>
      </w:r>
    </w:p>
    <w:p w14:paraId="220E6C74" w14:textId="57D662A4" w:rsidR="004253AA" w:rsidRPr="004253AA" w:rsidRDefault="004253AA" w:rsidP="004253AA">
      <w:pPr>
        <w:autoSpaceDE/>
        <w:autoSpaceDN/>
        <w:adjustRightInd/>
        <w:spacing w:before="200"/>
        <w:rPr>
          <w:rFonts w:eastAsia="Times New Roman" w:cs="Times New Roman"/>
          <w:szCs w:val="24"/>
          <w:lang w:eastAsia="en-AU"/>
        </w:rPr>
      </w:pPr>
      <w:r w:rsidRPr="004253AA">
        <w:rPr>
          <w:rFonts w:eastAsia="Times New Roman" w:cs="Times New Roman"/>
          <w:szCs w:val="24"/>
          <w:lang w:eastAsia="en-AU"/>
        </w:rPr>
        <w:t xml:space="preserve">Only one of these educational targets is on track to be met - halving the gap in year 12 attainment by 2020. From 2006 to 2016, the gap for this target reduced by 13 percentage points, with 65% of Indigenous 20-24-year-olds attaining Year 12 or equivalent tertiary Certificate qualification (up from 47%) </w:t>
      </w:r>
      <w:r w:rsidRPr="004253AA">
        <w:rPr>
          <w:rFonts w:eastAsia="Times New Roman" w:cs="Times New Roman"/>
          <w:szCs w:val="24"/>
          <w:lang w:eastAsia="en-AU"/>
        </w:rPr>
        <w:fldChar w:fldCharType="begin" w:fldLock="1"/>
      </w:r>
      <w:r w:rsidR="005F5266">
        <w:rPr>
          <w:rFonts w:eastAsia="Times New Roman" w:cs="Times New Roman"/>
          <w:szCs w:val="24"/>
          <w:lang w:eastAsia="en-AU"/>
        </w:rPr>
        <w:instrText>ADDIN CSL_CITATION {"citationItems":[{"id":"ITEM-1","itemData":{"author":[{"dropping-particle":"","family":"Commonwealth of Australia Department of the Prime Minister and Cabinet","given":"","non-dropping-particle":"","parse-names":false,"suffix":""}],"id":"ITEM-1","issued":{"date-parts":[["2019"]]},"title":"Closing the Gap Prime Minister's Report 2018","type":"report"},"uris":["http://www.mendeley.com/documents/?uuid=0fe47e12-7d16-4f19-b264-f98e8040deb1"]}],"mendeley":{"formattedCitation":"(Commonwealth of Australia Department of the Prime Minister and Cabinet, 2019)","plainTextFormattedCitation":"(Commonwealth of Australia Department of the Prime Minister and Cabinet, 2019)","previouslyFormattedCitation":"(Commonwealth of Australia Department of the Prime Minister and Cabinet, 2019)"},"properties":{"noteIndex":0},"schema":"https://github.com/citation-style-language/schema/raw/master/csl-citation.json"}</w:instrText>
      </w:r>
      <w:r w:rsidRPr="004253AA">
        <w:rPr>
          <w:rFonts w:eastAsia="Times New Roman" w:cs="Times New Roman"/>
          <w:szCs w:val="24"/>
          <w:lang w:eastAsia="en-AU"/>
        </w:rPr>
        <w:fldChar w:fldCharType="separate"/>
      </w:r>
      <w:r w:rsidR="006537A1" w:rsidRPr="006537A1">
        <w:rPr>
          <w:rFonts w:eastAsia="Times New Roman" w:cs="Times New Roman"/>
          <w:noProof/>
          <w:szCs w:val="24"/>
          <w:lang w:eastAsia="en-AU"/>
        </w:rPr>
        <w:t xml:space="preserve">(Commonwealth of Australia Department of the Prime Minister </w:t>
      </w:r>
      <w:r w:rsidR="006537A1" w:rsidRPr="006537A1">
        <w:rPr>
          <w:rFonts w:eastAsia="Times New Roman" w:cs="Times New Roman"/>
          <w:noProof/>
          <w:szCs w:val="24"/>
          <w:lang w:eastAsia="en-AU"/>
        </w:rPr>
        <w:lastRenderedPageBreak/>
        <w:t>and Cabinet, 2019)</w:t>
      </w:r>
      <w:r w:rsidRPr="004253AA">
        <w:rPr>
          <w:rFonts w:eastAsia="Times New Roman" w:cs="Times New Roman"/>
          <w:szCs w:val="24"/>
          <w:lang w:eastAsia="en-AU"/>
        </w:rPr>
        <w:fldChar w:fldCharType="end"/>
      </w:r>
      <w:r w:rsidRPr="004253AA">
        <w:rPr>
          <w:rFonts w:eastAsia="Times New Roman" w:cs="Times New Roman"/>
          <w:szCs w:val="24"/>
          <w:lang w:eastAsia="en-AU"/>
        </w:rPr>
        <w:t>. Indigenous attendance rates (82% nationally) did not improve from 2014 to 2018 and remain below the 93% non-Indigenous attendance rate.</w:t>
      </w:r>
    </w:p>
    <w:p w14:paraId="1E63634D" w14:textId="61E29B3B" w:rsidR="004253AA" w:rsidRPr="004253AA" w:rsidRDefault="004253AA" w:rsidP="004253AA">
      <w:pPr>
        <w:rPr>
          <w:shd w:val="clear" w:color="auto" w:fill="FFFFFF"/>
        </w:rPr>
      </w:pPr>
      <w:r w:rsidRPr="004253AA">
        <w:rPr>
          <w:shd w:val="clear" w:color="auto" w:fill="FFFFFF"/>
        </w:rPr>
        <w:t xml:space="preserve">The attendance gap widens throughout secondary years, increasing from 8 to 14 percentage points and is more pronounced in remote schools. Rates of consistent attendance (defined as students attending 90% or more of the time) were also lower at 49% for Aboriginal and Torres Strait Islander students compared to 77% for non-Indigenous students. In secondary school, Aboriginal and Torres Strait Islander girls’ consistent attendance was 41%. The overall employment gap for 15- to 64-year-olds did not decrease: between 2006 to 2016, while non-Indigenous employment remained around 72% nationally, Indigenous employment rates fell to 47% </w:t>
      </w:r>
      <w:r w:rsidRPr="004253AA">
        <w:rPr>
          <w:shd w:val="clear" w:color="auto" w:fill="FFFFFF"/>
        </w:rPr>
        <w:fldChar w:fldCharType="begin" w:fldLock="1"/>
      </w:r>
      <w:r w:rsidR="005F5266">
        <w:rPr>
          <w:shd w:val="clear" w:color="auto" w:fill="FFFFFF"/>
        </w:rPr>
        <w:instrText>ADDIN CSL_CITATION {"citationItems":[{"id":"ITEM-1","itemData":{"author":[{"dropping-particle":"","family":"Commonwealth of Australia Department of the Prime Minister and Cabinet","given":"","non-dropping-particle":"","parse-names":false,"suffix":""}],"id":"ITEM-1","issued":{"date-parts":[["2019"]]},"title":"Closing the Gap Prime Minister's Report 2018","type":"report"},"uris":["http://www.mendeley.com/documents/?uuid=0fe47e12-7d16-4f19-b264-f98e8040deb1"]}],"mendeley":{"formattedCitation":"(Commonwealth of Australia Department of the Prime Minister and Cabinet, 2019)","plainTextFormattedCitation":"(Commonwealth of Australia Department of the Prime Minister and Cabinet, 2019)","previouslyFormattedCitation":"(Commonwealth of Australia Department of the Prime Minister and Cabinet, 2019)"},"properties":{"noteIndex":0},"schema":"https://github.com/citation-style-language/schema/raw/master/csl-citation.json"}</w:instrText>
      </w:r>
      <w:r w:rsidRPr="004253AA">
        <w:rPr>
          <w:shd w:val="clear" w:color="auto" w:fill="FFFFFF"/>
        </w:rPr>
        <w:fldChar w:fldCharType="separate"/>
      </w:r>
      <w:r w:rsidR="006537A1" w:rsidRPr="006537A1">
        <w:rPr>
          <w:noProof/>
          <w:shd w:val="clear" w:color="auto" w:fill="FFFFFF"/>
        </w:rPr>
        <w:t>(Commonwealth of Australia Department of the Prime Minister and Cabinet, 2019)</w:t>
      </w:r>
      <w:r w:rsidRPr="004253AA">
        <w:rPr>
          <w:shd w:val="clear" w:color="auto" w:fill="FFFFFF"/>
        </w:rPr>
        <w:fldChar w:fldCharType="end"/>
      </w:r>
      <w:r w:rsidRPr="004253AA">
        <w:rPr>
          <w:shd w:val="clear" w:color="auto" w:fill="FFFFFF"/>
        </w:rPr>
        <w:t>.</w:t>
      </w:r>
    </w:p>
    <w:p w14:paraId="65E54D8C" w14:textId="5132E167" w:rsidR="004253AA" w:rsidRPr="004253AA" w:rsidRDefault="004253AA" w:rsidP="004253AA">
      <w:r w:rsidRPr="004253AA">
        <w:rPr>
          <w:shd w:val="clear" w:color="auto" w:fill="FFFFFF"/>
        </w:rPr>
        <w:t xml:space="preserve">Additional data highlight the significance of Year 12 attainment to young people’s post-school opportunities. The unemployment gap is highest in the </w:t>
      </w:r>
      <w:r w:rsidRPr="004253AA">
        <w:t xml:space="preserve">15 to 24 years age group. </w:t>
      </w:r>
      <w:r w:rsidRPr="004253AA">
        <w:rPr>
          <w:shd w:val="clear" w:color="auto" w:fill="FFFFFF"/>
        </w:rPr>
        <w:t xml:space="preserve">For Indigenous young people, the unemployment rate </w:t>
      </w:r>
      <w:r w:rsidRPr="004253AA">
        <w:t xml:space="preserve">of </w:t>
      </w:r>
      <w:r w:rsidRPr="004253AA">
        <w:rPr>
          <w:shd w:val="clear" w:color="auto" w:fill="FFFFFF"/>
        </w:rPr>
        <w:t>27% is significantly higher than the non-Indigenous rate of</w:t>
      </w:r>
      <w:r w:rsidRPr="004253AA">
        <w:t xml:space="preserve"> 14% </w:t>
      </w:r>
      <w:r w:rsidRPr="004253AA">
        <w:fldChar w:fldCharType="begin" w:fldLock="1"/>
      </w:r>
      <w:r w:rsidR="005F5266">
        <w:instrText>ADDIN CSL_CITATION {"citationItems":[{"id":"ITEM-1","itemData":{"author":[{"dropping-particle":"","family":"Australian Bureau of Statistics","given":"","non-dropping-particle":"","parse-names":false,"suffix":""}],"id":"ITEM-1","issued":{"date-parts":[["2016"]]},"title":"Census of Population and Housing: Characteristics of Aboriginal and Torres Strait Islander Australians, 2016","type":"report"},"uris":["http://www.mendeley.com/documents/?uuid=badc5563-8d9c-4eda-8a7b-b56c6a53a7c9"]}],"mendeley":{"formattedCitation":"(Australian Bureau of Statistics, 2016)","plainTextFormattedCitation":"(Australian Bureau of Statistics, 2016)","previouslyFormattedCitation":"(Australian Bureau of Statistics, 2016)"},"properties":{"noteIndex":0},"schema":"https://github.com/citation-style-language/schema/raw/master/csl-citation.json"}</w:instrText>
      </w:r>
      <w:r w:rsidRPr="004253AA">
        <w:fldChar w:fldCharType="separate"/>
      </w:r>
      <w:r w:rsidR="006537A1" w:rsidRPr="006537A1">
        <w:rPr>
          <w:noProof/>
        </w:rPr>
        <w:t>(Australian Bureau of Statistics, 2016)</w:t>
      </w:r>
      <w:r w:rsidRPr="004253AA">
        <w:fldChar w:fldCharType="end"/>
      </w:r>
      <w:r w:rsidRPr="004253AA">
        <w:t xml:space="preserve">. </w:t>
      </w:r>
      <w:r w:rsidRPr="004253AA">
        <w:rPr>
          <w:shd w:val="clear" w:color="auto" w:fill="FFFFFF"/>
        </w:rPr>
        <w:t xml:space="preserve">While underrepresentation in universities persists, the number of Indigenous enrolments and completions significantly increased over the past decade. Indigenous enrolments more than doubled, to 19,237 in 2017, a 69% </w:t>
      </w:r>
      <w:r w:rsidRPr="004253AA">
        <w:rPr>
          <w:shd w:val="clear" w:color="auto" w:fill="FFFFFF"/>
        </w:rPr>
        <w:lastRenderedPageBreak/>
        <w:t xml:space="preserve">increase from 2007, with young women comprising two thirds of the cohort </w:t>
      </w:r>
      <w:r w:rsidRPr="004253AA">
        <w:rPr>
          <w:shd w:val="clear" w:color="auto" w:fill="FFFFFF"/>
        </w:rPr>
        <w:fldChar w:fldCharType="begin" w:fldLock="1"/>
      </w:r>
      <w:r w:rsidR="005F5266">
        <w:rPr>
          <w:shd w:val="clear" w:color="auto" w:fill="FFFFFF"/>
        </w:rPr>
        <w:instrText>ADDIN CSL_CITATION {"citationItems":[{"id":"ITEM-1","itemData":{"author":[{"dropping-particle":"","family":"Commonwealth of Australia Department of the Prime Minister and Cabinet","given":"","non-dropping-particle":"","parse-names":false,"suffix":""}],"id":"ITEM-1","issued":{"date-parts":[["2019"]]},"title":"Closing the Gap Prime Minister's Report 2018","type":"report"},"uris":["http://www.mendeley.com/documents/?uuid=0fe47e12-7d16-4f19-b264-f98e8040deb1"]}],"mendeley":{"formattedCitation":"(Commonwealth of Australia Department of the Prime Minister and Cabinet, 2019)","plainTextFormattedCitation":"(Commonwealth of Australia Department of the Prime Minister and Cabinet, 2019)","previouslyFormattedCitation":"(Commonwealth of Australia Department of the Prime Minister and Cabinet, 2019)"},"properties":{"noteIndex":0},"schema":"https://github.com/citation-style-language/schema/raw/master/csl-citation.json"}</w:instrText>
      </w:r>
      <w:r w:rsidRPr="004253AA">
        <w:rPr>
          <w:shd w:val="clear" w:color="auto" w:fill="FFFFFF"/>
        </w:rPr>
        <w:fldChar w:fldCharType="separate"/>
      </w:r>
      <w:r w:rsidR="006537A1" w:rsidRPr="006537A1">
        <w:rPr>
          <w:noProof/>
          <w:shd w:val="clear" w:color="auto" w:fill="FFFFFF"/>
        </w:rPr>
        <w:t>(Commonwealth of Australia Department of the Prime Minister and Cabinet, 2019)</w:t>
      </w:r>
      <w:r w:rsidRPr="004253AA">
        <w:rPr>
          <w:shd w:val="clear" w:color="auto" w:fill="FFFFFF"/>
        </w:rPr>
        <w:fldChar w:fldCharType="end"/>
      </w:r>
      <w:r w:rsidRPr="004253AA">
        <w:rPr>
          <w:shd w:val="clear" w:color="auto" w:fill="FFFFFF"/>
        </w:rPr>
        <w:t>.</w:t>
      </w:r>
    </w:p>
    <w:p w14:paraId="5D5CF331" w14:textId="47C1D699" w:rsidR="00291D1E" w:rsidRDefault="004253AA" w:rsidP="004253AA">
      <w:pPr>
        <w:pStyle w:val="Heading2"/>
      </w:pPr>
      <w:bookmarkStart w:id="24" w:name="_Toc90650035"/>
      <w:r>
        <w:t>Evaluation programs</w:t>
      </w:r>
      <w:bookmarkEnd w:id="24"/>
    </w:p>
    <w:p w14:paraId="0CF8DC04" w14:textId="77777777" w:rsidR="004253AA" w:rsidRPr="004253AA" w:rsidRDefault="004253AA" w:rsidP="004253AA">
      <w:r w:rsidRPr="004253AA">
        <w:t>This section provides a brief overview of previous evaluations of key school-based programs that support Aboriginal and Torres Strait Islander students. Only one evaluation was found of another program specifically supporting Aboriginal girls.</w:t>
      </w:r>
    </w:p>
    <w:p w14:paraId="29931D05" w14:textId="77777777" w:rsidR="004253AA" w:rsidRPr="004253AA" w:rsidRDefault="004253AA" w:rsidP="004253AA">
      <w:pPr>
        <w:pStyle w:val="Heading3"/>
      </w:pPr>
      <w:r w:rsidRPr="004253AA">
        <w:t>Girls Academy program – Estimated economic impact</w:t>
      </w:r>
    </w:p>
    <w:p w14:paraId="0BCCFEEB" w14:textId="292D102A" w:rsidR="004253AA" w:rsidRPr="004253AA" w:rsidRDefault="004253AA" w:rsidP="004253AA">
      <w:pPr>
        <w:rPr>
          <w:i/>
          <w:iCs/>
        </w:rPr>
      </w:pPr>
      <w:r w:rsidRPr="004253AA">
        <w:t xml:space="preserve">To date, one study has been completed on the Girls Academy Program - PricewaterhouseCoopers’ cost-benefit analysis of </w:t>
      </w:r>
      <w:r w:rsidRPr="004253AA">
        <w:rPr>
          <w:i/>
          <w:iCs/>
        </w:rPr>
        <w:t>The</w:t>
      </w:r>
      <w:r w:rsidRPr="004253AA">
        <w:t xml:space="preserve"> e</w:t>
      </w:r>
      <w:r w:rsidRPr="004253AA">
        <w:rPr>
          <w:i/>
          <w:iCs/>
        </w:rPr>
        <w:t>stimated economic impact of the Girls Academy program</w:t>
      </w:r>
      <w:r w:rsidRPr="004253AA">
        <w:t xml:space="preserve"> </w:t>
      </w:r>
      <w:r w:rsidRPr="004253AA">
        <w:fldChar w:fldCharType="begin" w:fldLock="1"/>
      </w:r>
      <w:r w:rsidR="005F5266">
        <w:instrText>ADDIN CSL_CITATION {"citationItems":[{"id":"ITEM-1","itemData":{"author":[{"dropping-particle":"","family":"PwC","given":"","non-dropping-particle":"","parse-names":false,"suffix":""}],"id":"ITEM-1","issued":{"date-parts":[["2018"]]},"publisher":"PwC","title":"The estimated economic impact of the Girls Academy Program","type":"report"},"uris":["http://www.mendeley.com/documents/?uuid=5c078aa3-f57e-4fb6-bb62-6b3058e3a655"]}],"mendeley":{"formattedCitation":"(PwC, 2018)","plainTextFormattedCitation":"(PwC, 2018)","previouslyFormattedCitation":"(PwC, 2018)"},"properties":{"noteIndex":0},"schema":"https://github.com/citation-style-language/schema/raw/master/csl-citation.json"}</w:instrText>
      </w:r>
      <w:r w:rsidRPr="004253AA">
        <w:fldChar w:fldCharType="separate"/>
      </w:r>
      <w:r w:rsidR="006537A1" w:rsidRPr="006537A1">
        <w:rPr>
          <w:noProof/>
        </w:rPr>
        <w:t>(PwC, 2018)</w:t>
      </w:r>
      <w:r w:rsidRPr="004253AA">
        <w:fldChar w:fldCharType="end"/>
      </w:r>
      <w:r w:rsidRPr="004253AA">
        <w:rPr>
          <w:i/>
          <w:iCs/>
        </w:rPr>
        <w:t xml:space="preserve">. </w:t>
      </w:r>
      <w:r w:rsidRPr="004253AA">
        <w:t xml:space="preserve">Analysis of 2016 ABS Census Data indicated that Aboriginal and Torres Strait Islander girls who complete year 12 are significantly more likely to achieve certificate level or higher post-school qualifications; more likely to be employed; less likely to be on welfare and incarcerated; and have better health outcomes than those who do not complete year 12. </w:t>
      </w:r>
    </w:p>
    <w:p w14:paraId="525C3664" w14:textId="77777777" w:rsidR="004253AA" w:rsidRPr="004253AA" w:rsidRDefault="004253AA" w:rsidP="0097435D">
      <w:pPr>
        <w:pStyle w:val="NormalBeforeList"/>
      </w:pPr>
      <w:r w:rsidRPr="004253AA">
        <w:lastRenderedPageBreak/>
        <w:t>PwC’s analysis of qualitative data collected by RMLA the review found that:</w:t>
      </w:r>
    </w:p>
    <w:p w14:paraId="369F7CEF" w14:textId="77777777" w:rsidR="004253AA" w:rsidRPr="004253AA" w:rsidRDefault="004253AA" w:rsidP="0097435D">
      <w:pPr>
        <w:pStyle w:val="BulletLevel1"/>
      </w:pPr>
      <w:r w:rsidRPr="004253AA">
        <w:t>Girls attending the Academy Program were more likely to complete Year 12 than those not attending the program, creating a number of additional benefits to society that would not occur had the program not been run</w:t>
      </w:r>
    </w:p>
    <w:p w14:paraId="1F88B82A" w14:textId="77777777" w:rsidR="004253AA" w:rsidRPr="004253AA" w:rsidRDefault="004253AA" w:rsidP="0097435D">
      <w:pPr>
        <w:pStyle w:val="BulletLevel1"/>
      </w:pPr>
      <w:r w:rsidRPr="004253AA">
        <w:t>The program on average improves Year 12 completion by 5-7% with this increasing over time</w:t>
      </w:r>
    </w:p>
    <w:p w14:paraId="5B0DE6D8" w14:textId="77777777" w:rsidR="004253AA" w:rsidRPr="004253AA" w:rsidRDefault="004253AA" w:rsidP="0097435D">
      <w:pPr>
        <w:pStyle w:val="BulletLevel1"/>
      </w:pPr>
      <w:r w:rsidRPr="004253AA">
        <w:t>The Girls Academy program had a Benefit-Cost Ratio of 1.31:1</w:t>
      </w:r>
    </w:p>
    <w:p w14:paraId="3F5DC02A" w14:textId="77777777" w:rsidR="004253AA" w:rsidRPr="004253AA" w:rsidRDefault="004253AA" w:rsidP="0097435D">
      <w:pPr>
        <w:pStyle w:val="BulletLevel1"/>
        <w:rPr>
          <w:szCs w:val="22"/>
        </w:rPr>
      </w:pPr>
      <w:r w:rsidRPr="004253AA">
        <w:rPr>
          <w:szCs w:val="22"/>
        </w:rPr>
        <w:t>Some Academy schools perform significantly better than this average, improving Year 12 completion by 50%. This suggests that some Girls Academies are more successful than others and that there is significant room for Girls Academy Programs to effect greater social impact.</w:t>
      </w:r>
    </w:p>
    <w:p w14:paraId="59ACCADC" w14:textId="77777777" w:rsidR="004253AA" w:rsidRPr="004253AA" w:rsidRDefault="004253AA" w:rsidP="004253AA">
      <w:pPr>
        <w:pStyle w:val="Heading3"/>
      </w:pPr>
      <w:r w:rsidRPr="004253AA">
        <w:t>Clontarf Boys Academy</w:t>
      </w:r>
    </w:p>
    <w:p w14:paraId="54EF528E" w14:textId="77777777" w:rsidR="004253AA" w:rsidRPr="004253AA" w:rsidRDefault="004253AA" w:rsidP="004253AA">
      <w:pPr>
        <w:spacing w:line="276" w:lineRule="auto"/>
      </w:pPr>
      <w:r w:rsidRPr="004253AA">
        <w:t xml:space="preserve">The most well known school-based education program in Australia to support Aboriginal and Torres Strait Islander young people is the Clontarf Academy program for boys, run by the Clontarf Foundation. The program operates in over 120 schools across Australia catering for approximately 8000 boys. The program operates through providing football academies at schools </w:t>
      </w:r>
      <w:r w:rsidRPr="004253AA">
        <w:lastRenderedPageBreak/>
        <w:t>using sports like Rugby League and AFL to engage and retain boys in education. While the focus is on sport, a range of other activities are also provided including camps, excursions, leadership and team-building exercises, tutoring and homework assistance, and health and hygiene checks. Like the Girls Academy Program, the Clontarf Program has expanded rapidly in recent years through the injection of additional funding.</w:t>
      </w:r>
    </w:p>
    <w:p w14:paraId="7C3EFC5B" w14:textId="3A550C60" w:rsidR="004253AA" w:rsidRPr="004253AA" w:rsidRDefault="004253AA" w:rsidP="0097435D">
      <w:pPr>
        <w:pStyle w:val="NormalBeforeList"/>
      </w:pPr>
      <w:r w:rsidRPr="004253AA">
        <w:t xml:space="preserve">An evaluation undertaken by the NSW Department of Education </w:t>
      </w:r>
      <w:r w:rsidRPr="004253AA">
        <w:fldChar w:fldCharType="begin" w:fldLock="1"/>
      </w:r>
      <w:r w:rsidR="005F5266">
        <w:instrText>ADDIN CSL_CITATION {"citationItems":[{"id":"ITEM-1","itemData":{"author":[{"dropping-particle":"","family":"Yu","given":"Katrina","non-dropping-particle":"","parse-names":false,"suffix":""},{"dropping-particle":"","family":"Rintoul","given":"Duncan","non-dropping-particle":"","parse-names":false,"suffix":""},{"dropping-particle":"","family":"Hao","given":"Steven","non-dropping-particle":"","parse-names":false,"suffix":""},{"dropping-particle":"","family":"Watkins","given":"Ian","non-dropping-particle":"","parse-names":false,"suffix":""},{"dropping-particle":"","family":"Wan","given":"Wai-Yin","non-dropping-particle":"","parse-names":false,"suffix":""}],"id":"ITEM-1","issued":{"date-parts":[["2017"]]},"publisher":"Centre for Education Statistics and Evaluation","publisher-place":"Sydney, NSW","title":"Evaluation of the NSW Clontarf Academies Program","type":"report"},"uris":["http://www.mendeley.com/documents/?uuid=fde7801c-557f-48c2-b0fb-5d263b2d01e5"]}],"mendeley":{"formattedCitation":"(Yu, Rintoul, Hao, Watkins, &amp; Wan, 2017)","plainTextFormattedCitation":"(Yu, Rintoul, Hao, Watkins, &amp; Wan, 2017)","previouslyFormattedCitation":"(Yu, Rintoul, Hao, Watkins, &amp; Wan, 2017)"},"properties":{"noteIndex":0},"schema":"https://github.com/citation-style-language/schema/raw/master/csl-citation.json"}</w:instrText>
      </w:r>
      <w:r w:rsidRPr="004253AA">
        <w:fldChar w:fldCharType="separate"/>
      </w:r>
      <w:r w:rsidR="006537A1" w:rsidRPr="006537A1">
        <w:rPr>
          <w:noProof/>
        </w:rPr>
        <w:t>(Yu, Rintoul, Hao, Watkins, &amp; Wan, 2017)</w:t>
      </w:r>
      <w:r w:rsidRPr="004253AA">
        <w:fldChar w:fldCharType="end"/>
      </w:r>
      <w:r w:rsidRPr="004253AA">
        <w:t xml:space="preserve"> of 12 of the 25 Clontarf academies operating in the state at the time identified a number of processes important to its success. These include:</w:t>
      </w:r>
    </w:p>
    <w:p w14:paraId="1764290B" w14:textId="77777777" w:rsidR="004253AA" w:rsidRPr="004253AA" w:rsidRDefault="004253AA" w:rsidP="0097435D">
      <w:pPr>
        <w:pStyle w:val="BulletLevel1"/>
      </w:pPr>
      <w:r w:rsidRPr="004253AA">
        <w:t>Careful recruitment of staff (Aboriginal and non-Aboriginal) who are passionate, dedicated, respected in their local community and able to build strong and trusting relationships with the boys</w:t>
      </w:r>
    </w:p>
    <w:p w14:paraId="788759BE" w14:textId="77777777" w:rsidR="004253AA" w:rsidRPr="004253AA" w:rsidRDefault="004253AA" w:rsidP="0097435D">
      <w:pPr>
        <w:pStyle w:val="BulletLevel1"/>
      </w:pPr>
      <w:r w:rsidRPr="004253AA">
        <w:t>Clear communication channels between Clontarf and the school in order to minimise potential misunderstandings and misgivings, particularly around the rationale for time spent out of the classroom during school hours and the program being only for Aboriginal boys</w:t>
      </w:r>
    </w:p>
    <w:p w14:paraId="7B8ACA8D" w14:textId="77777777" w:rsidR="004253AA" w:rsidRPr="004253AA" w:rsidRDefault="004253AA" w:rsidP="0097435D">
      <w:pPr>
        <w:pStyle w:val="BulletLevel1"/>
      </w:pPr>
      <w:r w:rsidRPr="004253AA">
        <w:t>Ensuring that the Academy and its staff are involved in the school and not just a ‘tack on’</w:t>
      </w:r>
    </w:p>
    <w:p w14:paraId="16897F3B" w14:textId="77777777" w:rsidR="004253AA" w:rsidRPr="004253AA" w:rsidRDefault="004253AA" w:rsidP="0097435D">
      <w:pPr>
        <w:pStyle w:val="BulletLevel1"/>
      </w:pPr>
      <w:r w:rsidRPr="004253AA">
        <w:lastRenderedPageBreak/>
        <w:t>Provision of resources and a sufficiently large physical space for the Academy to operate</w:t>
      </w:r>
    </w:p>
    <w:p w14:paraId="33E2C596" w14:textId="77777777" w:rsidR="004253AA" w:rsidRPr="004253AA" w:rsidRDefault="004253AA" w:rsidP="0097435D">
      <w:pPr>
        <w:pStyle w:val="BulletLevel1"/>
      </w:pPr>
      <w:r w:rsidRPr="004253AA">
        <w:t>A holistic approach by the Academy in terms of the variety and intensity of activities offered and a broad-based approach to wellbeing.</w:t>
      </w:r>
    </w:p>
    <w:p w14:paraId="1DC2EC74" w14:textId="08D61EBE" w:rsidR="004253AA" w:rsidRDefault="004253AA" w:rsidP="0097435D">
      <w:pPr>
        <w:pStyle w:val="NormalAfterList"/>
      </w:pPr>
      <w:r w:rsidRPr="004253AA">
        <w:t>The program was highly regarded by schools, students, parents and community members but statistical analysis of educational and criminal justice outcomes showed only modest impact. While the analysis found a positive attendance effect for Years 7-9, no significant effect was identified on retention, NAPLAN, long suspensions or re-offending. The study concluded that the Clontarf Program was operating a break even in terms of value for money in the schools sampled.</w:t>
      </w:r>
    </w:p>
    <w:p w14:paraId="735D1ADC" w14:textId="77777777" w:rsidR="004253AA" w:rsidRPr="004253AA" w:rsidRDefault="004253AA" w:rsidP="004253AA">
      <w:pPr>
        <w:pStyle w:val="Heading3"/>
      </w:pPr>
      <w:r w:rsidRPr="004253AA">
        <w:t>Girls at the Centre</w:t>
      </w:r>
    </w:p>
    <w:p w14:paraId="55DC68A0" w14:textId="77777777" w:rsidR="004253AA" w:rsidRPr="004253AA" w:rsidRDefault="004253AA" w:rsidP="004253AA">
      <w:r w:rsidRPr="004253AA">
        <w:t xml:space="preserve">The Smith Family’s </w:t>
      </w:r>
      <w:r w:rsidRPr="004253AA">
        <w:rPr>
          <w:i/>
        </w:rPr>
        <w:t xml:space="preserve">Girls at the Centre </w:t>
      </w:r>
      <w:r w:rsidRPr="004253AA">
        <w:t xml:space="preserve">Program is an aspirational program that aims to counteract the high absenteeism and school drop-out rates of teenage Aboriginal and Torres Strait Islander girls by helping them to build constructive relationships with each other, their schools, families and community members </w:t>
      </w:r>
    </w:p>
    <w:p w14:paraId="03A6A1F6" w14:textId="5BAAF04B" w:rsidR="004253AA" w:rsidRPr="004253AA" w:rsidRDefault="004253AA" w:rsidP="004253AA">
      <w:r w:rsidRPr="004253AA">
        <w:t xml:space="preserve">An evaluation of a pilot at Centralian Middle School in Alice Springs </w:t>
      </w:r>
      <w:r w:rsidRPr="004253AA">
        <w:fldChar w:fldCharType="begin" w:fldLock="1"/>
      </w:r>
      <w:r w:rsidR="005F5266">
        <w:instrText>ADDIN CSL_CITATION {"citationItems":[{"id":"ITEM-1","itemData":{"author":[{"dropping-particle":"","family":"Lea","given":"Tess","non-dropping-particle":"","parse-names":false,"suffix":""},{"dropping-particle":"","family":"Driscoll","given":"Catherine","non-dropping-particle":"","parse-names":false,"suffix":""},{"dropping-particle":"","family":"Robinson","given":"Penelope","non-dropping-particle":"","parse-names":false,"suffix":""}],"id":"ITEM-1","issued":{"date-parts":[["2012"]]},"publisher":"University of Sydney","publisher-place":"Sydney, NSW","title":"Evaluation of The Smith Family's Girls at the Centre Program: Centralian Middle School, Alice Springes","type":"report"},"uris":["http://www.mendeley.com/documents/?uuid=991de017-37bd-4d53-a309-e470ba9df068"]}],"mendeley":{"formattedCitation":"(Lea, Driscoll, &amp; Robinson, 2012)","plainTextFormattedCitation":"(Lea, Driscoll, &amp; Robinson, 2012)","previouslyFormattedCitation":"(Lea, Driscoll, &amp; Robinson, 2012)"},"properties":{"noteIndex":0},"schema":"https://github.com/citation-style-language/schema/raw/master/csl-citation.json"}</w:instrText>
      </w:r>
      <w:r w:rsidRPr="004253AA">
        <w:fldChar w:fldCharType="separate"/>
      </w:r>
      <w:r w:rsidR="006537A1" w:rsidRPr="006537A1">
        <w:rPr>
          <w:noProof/>
        </w:rPr>
        <w:t>(Lea, Driscoll, &amp; Robinson, 2012)</w:t>
      </w:r>
      <w:r w:rsidRPr="004253AA">
        <w:fldChar w:fldCharType="end"/>
      </w:r>
      <w:r w:rsidRPr="004253AA">
        <w:t xml:space="preserve">, found that the program met its objectives of improving Indigenous girls’ literacy, </w:t>
      </w:r>
      <w:r w:rsidRPr="004253AA">
        <w:lastRenderedPageBreak/>
        <w:t xml:space="preserve">life skills and goals, and improved attendance and retention to Year 12. The program is comprised of wraparound case management and a range of life skills activities. </w:t>
      </w:r>
    </w:p>
    <w:p w14:paraId="2AA01A0F" w14:textId="0789524B" w:rsidR="004253AA" w:rsidRPr="004253AA" w:rsidRDefault="004253AA" w:rsidP="004253AA">
      <w:r w:rsidRPr="004253AA">
        <w:t xml:space="preserve">Following extensive consultations, observations and case studies, the Girls at the Centre Program was reported to be highly valued by school staff, girl participants and their families. Many contributing factors accounted for the positive outcomes found in this evaluation, mirroring the OECD’s </w:t>
      </w:r>
      <w:r w:rsidRPr="004253AA">
        <w:fldChar w:fldCharType="begin" w:fldLock="1"/>
      </w:r>
      <w:r w:rsidR="006537A1">
        <w:instrText>ADDIN CSL_CITATION {"citationItems":[{"id":"ITEM-1","itemData":{"DOI":"10.1787/9789264279421-en","ISBN":"9789264279414","abstract":"Indigenous peoples are diverse, within and across nations. However, the Indigenous peoples have experienced colonisation processes that have undermined Indigenous young people's access to their identity, language and culture. At the same time, Indigenous children have not generally had access to the same quality of education that other children in their country have had access to. These two forces in combination have undermined the educational opportunities and outcomes of successive generations of Indigenous children and young people, at times with catastrophic effect. The six Canadian provinces and territories that participated in this study, along with New Zealand and Queensland (Australia), are actively seeking to better meet the educational needs and aspirations of Indigenous students and their families. The report seeks to identify promising strategies, policies, programmes and practices that support improved learning outcomes for Indigenous students and to build an empirical evidence base on Indigenous students in education. The study investigates four areas in Indigenous education: well-being, participation, engagement and achievement in education. These outcomes are inter-connected and mutually reinforcing, and each is essential for the success of every student. ISbn 978-92-64-27941-4 91 2017 09 1 P","author":[{"dropping-particle":"","family":"OECD","given":"","non-dropping-particle":"","parse-names":false,"suffix":""}],"container-title":"Promising Practices in Supporting Success for Indigenous Students","id":"ITEM-1","issued":{"date-parts":[["2017","8","9"]]},"publisher":"Organisation for Economic Co-operation and Development","title":"Promising Practices in Supporting Success for Indigenous Students","type":"book"},"suppress-author":1,"uris":["http://www.mendeley.com/documents/?uuid=bb9a85ee-5c8c-3cef-b5d5-dcf536bdf68e"]}],"mendeley":{"formattedCitation":"(2017)","plainTextFormattedCitation":"(2017)","previouslyFormattedCitation":"(2017)"},"properties":{"noteIndex":0},"schema":"https://github.com/citation-style-language/schema/raw/master/csl-citation.json"}</w:instrText>
      </w:r>
      <w:r w:rsidRPr="004253AA">
        <w:fldChar w:fldCharType="separate"/>
      </w:r>
      <w:r w:rsidRPr="004253AA">
        <w:rPr>
          <w:noProof/>
        </w:rPr>
        <w:t>(2017)</w:t>
      </w:r>
      <w:r w:rsidRPr="004253AA">
        <w:fldChar w:fldCharType="end"/>
      </w:r>
      <w:r w:rsidRPr="004253AA">
        <w:t xml:space="preserve"> designated practices for success. These included community engagement and strategic partnerships, and the allocation of resources to support girls’ education. The dedicated girls’ room and welcoming space for parents and community members was highlighted as a positive factor.</w:t>
      </w:r>
    </w:p>
    <w:p w14:paraId="5B14740F" w14:textId="77777777" w:rsidR="004253AA" w:rsidRPr="004253AA" w:rsidRDefault="004253AA" w:rsidP="004253AA">
      <w:r w:rsidRPr="004253AA">
        <w:t>Mentoring was reported to be one of the key features that attracted girls to the Girls at the Centre Program. This involved interstate trips and homestays with host families. Travel was considered to be an appreciated opportunity to broaden girls’ horizons.</w:t>
      </w:r>
    </w:p>
    <w:p w14:paraId="3AB54FA5" w14:textId="77777777" w:rsidR="004253AA" w:rsidRPr="004253AA" w:rsidRDefault="004253AA" w:rsidP="004253AA">
      <w:r w:rsidRPr="004253AA">
        <w:t xml:space="preserve">Girl Coaches were also identified as key to the success of the program. They are encouragers, conflict mediators and negotiators, providing support to girls, families and school staff. They provide practical support to the girls, ‘hassling and helping’ them to stay connected with school and fulfil their potential. </w:t>
      </w:r>
      <w:r w:rsidRPr="004253AA">
        <w:lastRenderedPageBreak/>
        <w:t xml:space="preserve">They are considered to be pivotal in strengthening family and school relationships. </w:t>
      </w:r>
    </w:p>
    <w:p w14:paraId="58BD51DE" w14:textId="77777777" w:rsidR="004253AA" w:rsidRPr="004253AA" w:rsidRDefault="004253AA" w:rsidP="004253AA">
      <w:r w:rsidRPr="004253AA">
        <w:t xml:space="preserve">Although Girls at the Centre is described as a program for Indigenous girls, non-Indigenous girls do also participate. This is seen as inclusive and nurtures positive peer relationships, with girls mixing in wider circles and sharing their diverse interests. </w:t>
      </w:r>
    </w:p>
    <w:p w14:paraId="71FAA52F" w14:textId="00AE003D" w:rsidR="004253AA" w:rsidRPr="004253AA" w:rsidRDefault="004253AA" w:rsidP="004253AA">
      <w:r w:rsidRPr="004253AA">
        <w:t xml:space="preserve">The overall program impact was found to justify its funding and continuance, with potential to be expanded to other sites, including urban, large regional, and non-Indigenous settings, and with consideration of a boys’ specific program at Centralian Senior College. The authors recommended </w:t>
      </w:r>
      <w:r w:rsidRPr="004253AA">
        <w:rPr>
          <w:i/>
        </w:rPr>
        <w:t xml:space="preserve">Scaling Up — From Vision to Large‐Scale Change: A Management Framework for Practitioners </w:t>
      </w:r>
      <w:r w:rsidRPr="004253AA">
        <w:fldChar w:fldCharType="begin" w:fldLock="1"/>
      </w:r>
      <w:r w:rsidR="005F5266">
        <w:instrText>ADDIN CSL_CITATION {"citationItems":[{"id":"ITEM-1","itemData":{"ISBN":"2024880754","abstract":"The concept of “scaling up” has become increasingly popular as donors have acknowledged with concern the relatively poor record of innovative pilot projects in extending their reach to large populations. Recognizing this, in October 2003, the John D. and Catherine T. MacArthur Foundation awarded a grant to Management Systems International (MSI) to develop a field-tested framework and set of guidelines for improved management of the scaling-up process. This framework was intended to be of direct and immediate use to those planning, implementing, and funding pilot projects and to those hoping to take the results of such projects to scale. An earlier draft of the Scaling Up Management (SUM) Framework was used in field tests with reproductive health non-governmental organizations (NGOs) in Nigeria and Mexico and as a basis for initial dissemination efforts. This revised version of the framework reflects that experience and incorporates the feedback from initial dissemination. One significant finding emerged from this research: Few so-called “pilot projects” take the steps needed to maximize their prospects for scaling up. The framework and guidelines presented in this document seek to improve this track record by offering practical advice on a three-step process to carry out each of ten key tasks needed for effective scaling up. These tasks include: Step 1: Develop a Scaling-up Plan Y Task 1: Create a Vision 1A. The Model: What Is Being Scaled Up? 1B. The Methods: How Will Scaling Up Be Accomplished? 1C. Organizational Roles: Who Performs the Key Functions? 1D. Dimensions of Scaling Up: Where Does the Scaling Up Occur? Y Task 2: Assess Scalability 2A. Determining the Viability of the Model for Scaling Up 2B. Analyzing the Organizational and Social Context Y Task 3: Fill Information Gaps Y Task 4: Prepare a Scaling-up Plan Step 2: Establish the Pre-conditions for Scaling Up Y Task 5: Legitimize Change Y Task 6: Build a Constituency Y Task 7: Realign and Mobilize Resources Step 3: Implement the Scaling-up Process Y Task 8: Modify Organizational Structures Y Task 9: Coordinate Action Y Task 10: Track Performance and Maintain Momentum For each Task, the document suggests actions that need to be taken, presents alternative tactics that can be used, and references tools and outside resources that can be of help. Annexes to the document summarize the field work conducted by MSI in Mexico and Nigeria (Annex 1); present a sequenced list of questions to guide the sca…","author":[{"dropping-particle":"","family":"Management Systems International","given":"","non-dropping-particle":"","parse-names":false,"suffix":""}],"id":"ITEM-1","issued":{"date-parts":[["2012"]]},"number-of-pages":"54","publisher":"Management Systems International","title":"Scaling Up—From Vision to Large‐Scale Change: A Management Framework for Practitioners","type":"report"},"uris":["http://www.mendeley.com/documents/?uuid=3ad3b9eb-162f-37e6-818b-b8fc2371dbeb"]}],"mendeley":{"formattedCitation":"(Management Systems International, 2012)","plainTextFormattedCitation":"(Management Systems International, 2012)","previouslyFormattedCitation":"(Management Systems International, 2012)"},"properties":{"noteIndex":0},"schema":"https://github.com/citation-style-language/schema/raw/master/csl-citation.json"}</w:instrText>
      </w:r>
      <w:r w:rsidRPr="004253AA">
        <w:fldChar w:fldCharType="separate"/>
      </w:r>
      <w:r w:rsidR="006537A1" w:rsidRPr="006537A1">
        <w:rPr>
          <w:noProof/>
        </w:rPr>
        <w:t>(Management Systems International, 2012)</w:t>
      </w:r>
      <w:r w:rsidRPr="004253AA">
        <w:fldChar w:fldCharType="end"/>
      </w:r>
      <w:r w:rsidRPr="004253AA">
        <w:t xml:space="preserve"> as a useful guide to assist with this planning.</w:t>
      </w:r>
    </w:p>
    <w:p w14:paraId="07BDA366" w14:textId="77777777" w:rsidR="004253AA" w:rsidRPr="004253AA" w:rsidRDefault="004253AA" w:rsidP="004253AA">
      <w:pPr>
        <w:pStyle w:val="Heading3"/>
      </w:pPr>
      <w:r w:rsidRPr="004253AA">
        <w:t>The Australian Indigenous Mentoring Experience (AIME)</w:t>
      </w:r>
    </w:p>
    <w:p w14:paraId="11322E37" w14:textId="77777777" w:rsidR="004253AA" w:rsidRPr="004253AA" w:rsidRDefault="004253AA" w:rsidP="004253AA">
      <w:pPr>
        <w:rPr>
          <w:lang w:eastAsia="en-AU"/>
        </w:rPr>
      </w:pPr>
      <w:r w:rsidRPr="004253AA">
        <w:rPr>
          <w:lang w:eastAsia="en-AU"/>
        </w:rPr>
        <w:t xml:space="preserve">AIME is a program working with 12- to 18-year-old Indigenous secondary school students to bridge the pathway to university. Over 15,000 Australian students have participated in the program, along with 5,000 university student mentors </w:t>
      </w:r>
    </w:p>
    <w:p w14:paraId="4D23A342" w14:textId="6B6B3711" w:rsidR="004253AA" w:rsidRPr="004253AA" w:rsidRDefault="004253AA" w:rsidP="004253AA">
      <w:pPr>
        <w:rPr>
          <w:lang w:eastAsia="en-AU"/>
        </w:rPr>
      </w:pPr>
      <w:r w:rsidRPr="004253AA">
        <w:rPr>
          <w:lang w:eastAsia="en-AU"/>
        </w:rPr>
        <w:t xml:space="preserve">The program comprises structured group sessions on university campuses which are led by Indigenous university students who act as role models, and involves Indigenous and non-Indigenous </w:t>
      </w:r>
      <w:r w:rsidRPr="004253AA">
        <w:rPr>
          <w:lang w:eastAsia="en-AU"/>
        </w:rPr>
        <w:lastRenderedPageBreak/>
        <w:t xml:space="preserve">university students assisting the school students one-on-one. Presenters express high expectations of the students and share a message of resourcefulness and capability, with reference to cultural histories and the right to education </w:t>
      </w:r>
      <w:r w:rsidRPr="004253AA">
        <w:rPr>
          <w:lang w:eastAsia="en-AU"/>
        </w:rPr>
        <w:fldChar w:fldCharType="begin" w:fldLock="1"/>
      </w:r>
      <w:r w:rsidR="005F5266">
        <w:rPr>
          <w:lang w:eastAsia="en-AU"/>
        </w:rPr>
        <w:instrText>ADDIN CSL_CITATION {"citationItems":[{"id":"ITEM-1","itemData":{"DOI":"10.1007/s13384-015-0174-3","ISSN":"22105328","abstract":"A strong feature of the widening participation agenda is improving the aspirations of groups that are underrepresented in higher education. This paper seeks to reposition the utility of this as a focal point of educational interventions by showcasing the success of a mentoring program that takes a different approach. The Australian Indigenous Mentoring Experience (AIME) significantly and positively impacts Australian Indigenous high school students’ aspirations to finish school and continue to further study, training or employment. AIME is not read as a classic intervention program for raising aspirations. Instead, AIME builds upon the cultural wealth of participants and adopts an approach that seeks to inspire individuals rather than remediate them. The paper draws on survey data and fieldwork to present an example case study for resisting the assumption that young people’s aspirations are deficit and in need of ‘improving’. The paper describes how AIME works within young people’s ‘windows of aspiration’ to positively impact their engagement in school and further education, training and employment.","author":[{"dropping-particle":"","family":"Harwood","given":"Valerie","non-dropping-particle":"","parse-names":false,"suffix":""},{"dropping-particle":"","family":"McMahon","given":"Samantha","non-dropping-particle":"","parse-names":false,"suffix":""},{"dropping-particle":"","family":"O’Shea","given":"Sarah","non-dropping-particle":"","parse-names":false,"suffix":""},{"dropping-particle":"","family":"Bodkin-Andrews","given":"Gawaian","non-dropping-particle":"","parse-names":false,"suffix":""},{"dropping-particle":"","family":"Priestly","given":"Amy","non-dropping-particle":"","parse-names":false,"suffix":""}],"container-title":"Australian Educational Researcher","id":"ITEM-1","issue":"2","issued":{"date-parts":[["2015","4","20"]]},"page":"217-236","title":"Recognising aspiration: the AIME program’s effectiveness in inspiring Indigenous young people’s participation in schooling and opportunities for further education and employment","type":"article-journal","volume":"42"},"uris":["http://www.mendeley.com/documents/?uuid=5af1c01a-3729-3071-9119-1736b87c6d5a"]}],"mendeley":{"formattedCitation":"(Harwood, McMahon, O’Shea, Bodkin-Andrews, &amp; Priestly, 2015)","plainTextFormattedCitation":"(Harwood, McMahon, O’Shea, Bodkin-Andrews, &amp; Priestly, 2015)","previouslyFormattedCitation":"(Harwood, McMahon, O’Shea, Bodkin-Andrews, &amp; Priestly, 2015)"},"properties":{"noteIndex":0},"schema":"https://github.com/citation-style-language/schema/raw/master/csl-citation.json"}</w:instrText>
      </w:r>
      <w:r w:rsidRPr="004253AA">
        <w:rPr>
          <w:lang w:eastAsia="en-AU"/>
        </w:rPr>
        <w:fldChar w:fldCharType="separate"/>
      </w:r>
      <w:r w:rsidR="006537A1" w:rsidRPr="006537A1">
        <w:rPr>
          <w:noProof/>
          <w:lang w:eastAsia="en-AU"/>
        </w:rPr>
        <w:t>(Harwood, McMahon, O’Shea, Bodkin-Andrews, &amp; Priestly, 2015)</w:t>
      </w:r>
      <w:r w:rsidRPr="004253AA">
        <w:rPr>
          <w:lang w:eastAsia="en-AU"/>
        </w:rPr>
        <w:fldChar w:fldCharType="end"/>
      </w:r>
      <w:r w:rsidRPr="004253AA">
        <w:rPr>
          <w:lang w:eastAsia="en-AU"/>
        </w:rPr>
        <w:t>. These sessions are accompanied by one-to-one mentor visits to students at their schools.</w:t>
      </w:r>
    </w:p>
    <w:p w14:paraId="6B3B0C6A" w14:textId="77777777" w:rsidR="004253AA" w:rsidRPr="004253AA" w:rsidRDefault="004253AA" w:rsidP="004253AA">
      <w:r w:rsidRPr="004253AA">
        <w:rPr>
          <w:lang w:eastAsia="en-AU"/>
        </w:rPr>
        <w:t xml:space="preserve">Harwood and colleagues </w:t>
      </w:r>
      <w:r w:rsidRPr="004253AA">
        <w:rPr>
          <w:lang w:eastAsia="en-AU"/>
        </w:rPr>
        <w:fldChar w:fldCharType="begin" w:fldLock="1"/>
      </w:r>
      <w:r w:rsidRPr="004253AA">
        <w:rPr>
          <w:lang w:eastAsia="en-AU"/>
        </w:rPr>
        <w:instrText>ADDIN CSL_CITATION {"citationItems":[{"id":"ITEM-1","itemData":{"DOI":"10.1007/s13384-015-0174-3","ISSN":"22105328","abstract":"A strong feature of the widening participation agenda is improving the aspirations of groups that are underrepresented in higher education. This paper seeks to reposition the utility of this as a focal point of educational interventions by showcasing the success of a mentoring program that takes a different approach. The Australian Indigenous Mentoring Experience (AIME) significantly and positively impacts Australian Indigenous high school students’ aspirations to finish school and continue to further study, training or employment. AIME is not read as a classic intervention program for raising aspirations. Instead, AIME builds upon the cultural wealth of participants and adopts an approach that seeks to inspire individuals rather than remediate them. The paper draws on survey data and fieldwork to present an example case study for resisting the assumption that young people’s aspirations are deficit and in need of ‘improving’. The paper describes how AIME works within young people’s ‘windows of aspiration’ to positively impact their engagement in school and further education, training and employment.","author":[{"dropping-particle":"","family":"Harwood","given":"Valerie","non-dropping-particle":"","parse-names":false,"suffix":""},{"dropping-particle":"","family":"McMahon","given":"Samantha","non-dropping-particle":"","parse-names":false,"suffix":""},{"dropping-particle":"","family":"O’Shea","given":"Sarah","non-dropping-particle":"","parse-names":false,"suffix":""},{"dropping-particle":"","family":"Bodkin-Andrews","given":"Gawaian","non-dropping-particle":"","parse-names":false,"suffix":""},{"dropping-particle":"","family":"Priestly","given":"Amy","non-dropping-particle":"","parse-names":false,"suffix":""}],"container-title":"Australian Educational Researcher","id":"ITEM-1","issue":"2","issued":{"date-parts":[["2015","4","20"]]},"page":"217-236","title":"Recognising aspiration: the AIME program’s effectiveness in inspiring Indigenous young people’s participation in schooling and opportunities for further education and employment","type":"article-journal","volume":"42"},"suppress-author":1,"uris":["http://www.mendeley.com/documents/?uuid=5af1c01a-3729-3071-9119-1736b87c6d5a"]}],"mendeley":{"formattedCitation":"(2015)","plainTextFormattedCitation":"(2015)","previouslyFormattedCitation":"(2015)"},"properties":{"noteIndex":0},"schema":"https://github.com/citation-style-language/schema/raw/master/csl-citation.json"}</w:instrText>
      </w:r>
      <w:r w:rsidRPr="004253AA">
        <w:rPr>
          <w:lang w:eastAsia="en-AU"/>
        </w:rPr>
        <w:fldChar w:fldCharType="separate"/>
      </w:r>
      <w:r w:rsidRPr="004253AA">
        <w:rPr>
          <w:noProof/>
          <w:lang w:eastAsia="en-AU"/>
        </w:rPr>
        <w:t>(2015)</w:t>
      </w:r>
      <w:r w:rsidRPr="004253AA">
        <w:rPr>
          <w:lang w:eastAsia="en-AU"/>
        </w:rPr>
        <w:fldChar w:fldCharType="end"/>
      </w:r>
      <w:r w:rsidRPr="004253AA">
        <w:rPr>
          <w:lang w:eastAsia="en-AU"/>
        </w:rPr>
        <w:t xml:space="preserve"> evaluation of AIME found positive impacts on students’ aspirations to complete secondary school and continue in further study or enter employment. One of the significant themes highlighted in the evaluation included the role of Indigenous success as part of the activities and conversations. </w:t>
      </w:r>
      <w:r w:rsidRPr="004253AA">
        <w:t xml:space="preserve">The program and its discourses place a strong emphasis on personal and cultural assets. The theme of students ‘stepping up’ is based on the recognised barriers to students realising aspirations, such as low confidence or ‘shame’; stepping up is explained in terms of personal action to realise aspiration and is connected to the ‘cultural wealth of Ancestors’. Importantly, the program is not about </w:t>
      </w:r>
      <w:r w:rsidRPr="004253AA">
        <w:rPr>
          <w:i/>
        </w:rPr>
        <w:t>improving</w:t>
      </w:r>
      <w:r w:rsidRPr="004253AA">
        <w:t xml:space="preserve"> students’ aspirations, but validating, exploring and strengthening them. The mentoring relationships that develop were found to value each individual ‘for who they are’ and ‘what’ they bring to the program, with an emphasis on both valuing and appreciating an individual’s aspirational capital.</w:t>
      </w:r>
    </w:p>
    <w:p w14:paraId="553EE196" w14:textId="77777777" w:rsidR="004253AA" w:rsidRPr="004253AA" w:rsidRDefault="004253AA" w:rsidP="004253AA">
      <w:r w:rsidRPr="004253AA">
        <w:lastRenderedPageBreak/>
        <w:t>an emphasis on both valuing and appreciating an individual’s aspirational capital.</w:t>
      </w:r>
    </w:p>
    <w:p w14:paraId="68610F28" w14:textId="77777777" w:rsidR="004253AA" w:rsidRPr="004253AA" w:rsidRDefault="004253AA" w:rsidP="004253AA">
      <w:pPr>
        <w:pStyle w:val="Heading3"/>
      </w:pPr>
      <w:r w:rsidRPr="004253AA">
        <w:t>Youth-centred context specific programs</w:t>
      </w:r>
    </w:p>
    <w:p w14:paraId="6E8F5F4C" w14:textId="77777777" w:rsidR="004253AA" w:rsidRPr="004253AA" w:rsidRDefault="004253AA" w:rsidP="004253AA">
      <w:r w:rsidRPr="004253AA">
        <w:t xml:space="preserve">Based upon previous literature that emphasises the importance of the specific context, Flouris, Crane and Lindeman </w:t>
      </w:r>
      <w:r w:rsidRPr="004253AA">
        <w:fldChar w:fldCharType="begin" w:fldLock="1"/>
      </w:r>
      <w:r w:rsidRPr="004253AA">
        <w:instrText>ADDIN CSL_CITATION {"citationItems":[{"id":"ITEM-1","itemData":{"DOI":"10.1080/10371656.2016.1150197","ISSN":"1037-1656","abstract":"A diversity of programmes seeks to develop youth’s capacities and connection to the communities in which they live. Some focus on ameliorating a particular issue, or ‘deficit’, whilst others, such as sporting, recreation and youth groups, are more grounded in the community. This article reports findings from 60 qualitative interviews conducted with a range of stakeholders involved in a diversity of youth programmes in three remote Indigenous communities in Central Australia. ‘Youth centred–context specific’ is found to provide a positive frame for programme delivery, encouraging explicit focus on programme logic, content and processes and relational, temporal and spatial aspects of practice context to enhance youth programme planning and delivery in remote communities. Culturally safe service planning and delivery suggest locally determined processes for decision-making and community ownership, at times offering service access for all ages for culturally relevant activity engagement.","author":[{"dropping-particle":"","family":"Flouris","given":"Anna","non-dropping-particle":"","parse-names":false,"suffix":""},{"dropping-particle":"","family":"Crane","given":"Phil","non-dropping-particle":"","parse-names":false,"suffix":""},{"dropping-particle":"","family":"Lindeman","given":"Melissa A.","non-dropping-particle":"","parse-names":false,"suffix":""}],"container-title":"Rural Society","id":"ITEM-1","issue":"1","issued":{"date-parts":[["2016","1","2"]]},"page":"37-54","publisher":"Routledge","title":"Youth programmes in remote indigenous communities: context matters","type":"article-journal","volume":"25"},"suppress-author":1,"uris":["http://www.mendeley.com/documents/?uuid=81cc5a08-028f-3872-98f7-5f4a5ce58c2e"]}],"mendeley":{"formattedCitation":"(2016)","plainTextFormattedCitation":"(2016)","previouslyFormattedCitation":"(2016)"},"properties":{"noteIndex":0},"schema":"https://github.com/citation-style-language/schema/raw/master/csl-citation.json"}</w:instrText>
      </w:r>
      <w:r w:rsidRPr="004253AA">
        <w:fldChar w:fldCharType="separate"/>
      </w:r>
      <w:r w:rsidRPr="004253AA">
        <w:rPr>
          <w:noProof/>
        </w:rPr>
        <w:t>(2016)</w:t>
      </w:r>
      <w:r w:rsidRPr="004253AA">
        <w:fldChar w:fldCharType="end"/>
      </w:r>
      <w:r w:rsidRPr="004253AA">
        <w:t xml:space="preserve"> reviewed a range of youth programs in three remote Indigenous communities in Central Australia within the frame of ‘youth centred-context specific’ program delivery. This framing explicitly prioritised local community needs, and appraised programs in terms of acting upon those needs. The study comprised 60 qualitative interviews with stakeholders across a range of youth programs, and examines the framing through the perspectives of young people, service providers and the broader Aboriginal community.</w:t>
      </w:r>
    </w:p>
    <w:p w14:paraId="0D47EAC9" w14:textId="72EE81D8" w:rsidR="004253AA" w:rsidRPr="004253AA" w:rsidRDefault="004253AA" w:rsidP="004253AA">
      <w:r w:rsidRPr="004253AA">
        <w:t xml:space="preserve">It was concluded that programs for youth wellbeing should not work solely with young people. The whole community orientation promotes strong cultural and intergenerational relationships and knowledge transfer. Youth programs, therefore, need to operate in a way that is ‘flexible, appreciates the different understandings of time and community and is informed by a mix of recreational, skill development and traditional cultural elements’ </w:t>
      </w:r>
      <w:r w:rsidRPr="004253AA">
        <w:fldChar w:fldCharType="begin" w:fldLock="1"/>
      </w:r>
      <w:r w:rsidR="005F5266">
        <w:instrText>ADDIN CSL_CITATION {"citationItems":[{"id":"ITEM-1","itemData":{"DOI":"10.1080/10371656.2016.1150197","ISSN":"1037-1656","abstract":"A diversity of programmes seeks to develop youth’s capacities and connection to the communities in which they live. Some focus on ameliorating a particular issue, or ‘deficit’, whilst others, such as sporting, recreation and youth groups, are more grounded in the community. This article reports findings from 60 qualitative interviews conducted with a range of stakeholders involved in a diversity of youth programmes in three remote Indigenous communities in Central Australia. ‘Youth centred–context specific’ is found to provide a positive frame for programme delivery, encouraging explicit focus on programme logic, content and processes and relational, temporal and spatial aspects of practice context to enhance youth programme planning and delivery in remote communities. Culturally safe service planning and delivery suggest locally determined processes for decision-making and community ownership, at times offering service access for all ages for culturally relevant activity engagement.","author":[{"dropping-particle":"","family":"Flouris","given":"Anna","non-dropping-particle":"","parse-names":false,"suffix":""},{"dropping-particle":"","family":"Crane","given":"Phil","non-dropping-particle":"","parse-names":false,"suffix":""},{"dropping-particle":"","family":"Lindeman","given":"Melissa A.","non-dropping-particle":"","parse-names":false,"suffix":""}],"container-title":"Rural Society","id":"ITEM-1","issue":"1","issued":{"date-parts":[["2016","1","2"]]},"page":"37-54","publisher":"Routledge","title":"Youth programmes in remote indigenous communities: context matters","type":"article-journal","volume":"25"},"locator":"50","uris":["http://www.mendeley.com/documents/?uuid=81cc5a08-028f-3872-98f7-5f4a5ce58c2e"]}],"mendeley":{"formattedCitation":"(Flouris et al., 2016, p. 50)","plainTextFormattedCitation":"(Flouris et al., 2016, p. 50)","previouslyFormattedCitation":"(Flouris et al., 2016, p. 50)"},"properties":{"noteIndex":0},"schema":"https://github.com/citation-style-language/schema/raw/master/csl-citation.json"}</w:instrText>
      </w:r>
      <w:r w:rsidRPr="004253AA">
        <w:fldChar w:fldCharType="separate"/>
      </w:r>
      <w:r w:rsidR="006537A1" w:rsidRPr="006537A1">
        <w:rPr>
          <w:noProof/>
        </w:rPr>
        <w:t>(Flouris et al., 2016, p. 50)</w:t>
      </w:r>
      <w:r w:rsidRPr="004253AA">
        <w:fldChar w:fldCharType="end"/>
      </w:r>
      <w:r w:rsidRPr="004253AA">
        <w:t>.</w:t>
      </w:r>
    </w:p>
    <w:p w14:paraId="1B06E462" w14:textId="77777777" w:rsidR="004253AA" w:rsidRPr="004253AA" w:rsidRDefault="004253AA" w:rsidP="004253AA">
      <w:r w:rsidRPr="004253AA">
        <w:lastRenderedPageBreak/>
        <w:t>The study noted differences between Aboriginal and non-Aboriginal perspectives on the purpose and value of youth programs. Non-Aboriginal service providers tended to advocate for structured programs with identifiable learning outcomes, whereas Aboriginal service providers and community members emphasised the value of safe spaces and activities as ‘preventing problematic behaviour’. The authors suggest that access to programs should not be conditional on the realisation of particular outcomes, but should foster opportunities for more specific strategies and outcomes over time.</w:t>
      </w:r>
    </w:p>
    <w:p w14:paraId="222EB167" w14:textId="79DEA8CF" w:rsidR="00ED661E" w:rsidRDefault="004253AA" w:rsidP="006412ED">
      <w:pPr>
        <w:pStyle w:val="Heading2"/>
      </w:pPr>
      <w:bookmarkStart w:id="25" w:name="_Toc90650036"/>
      <w:r>
        <w:t>Characteristics of effective programs</w:t>
      </w:r>
      <w:bookmarkEnd w:id="25"/>
    </w:p>
    <w:p w14:paraId="12DE2F1A" w14:textId="77777777" w:rsidR="004253AA" w:rsidRPr="004253AA" w:rsidRDefault="004253AA" w:rsidP="004253AA">
      <w:pPr>
        <w:rPr>
          <w:i/>
          <w:iCs/>
          <w:color w:val="5B9BD5"/>
        </w:rPr>
      </w:pPr>
      <w:r w:rsidRPr="004253AA">
        <w:rPr>
          <w:lang w:eastAsia="en-AU"/>
        </w:rPr>
        <w:t xml:space="preserve">Indigenous peoples have experienced colonisation practices which have undermined young Indigenous people’s access to their identity, language and culture, and have not had access to the same level of quality education as non-Indigenous peers. </w:t>
      </w:r>
    </w:p>
    <w:p w14:paraId="70C1B8CE" w14:textId="780862A2" w:rsidR="004253AA" w:rsidRPr="004253AA" w:rsidRDefault="004253AA" w:rsidP="0097435D">
      <w:pPr>
        <w:pStyle w:val="Quote"/>
      </w:pPr>
      <w:r w:rsidRPr="004253AA">
        <w:t xml:space="preserve">These two forces in combination have undermined the educational opportunities and outcomes of successive generations of Indigenous children and young people, at times with catastrophic effect. </w:t>
      </w:r>
      <w:r w:rsidRPr="004253AA">
        <w:fldChar w:fldCharType="begin" w:fldLock="1"/>
      </w:r>
      <w:r w:rsidR="005F5266">
        <w:instrText>ADDIN CSL_CITATION {"citationItems":[{"id":"ITEM-1","itemData":{"DOI":"10.1787/9789264279421-en","ISBN":"9789264279414","abstract":"Indigenous peoples are diverse, within and across nations. However, the Indigenous peoples have experienced colonisation processes that have undermined Indigenous young people's access to their identity, language and culture. At the same time, Indigenous children have not generally had access to the same quality of education that other children in their country have had access to. These two forces in combination have undermined the educational opportunities and outcomes of successive generations of Indigenous children and young people, at times with catastrophic effect. The six Canadian provinces and territories that participated in this study, along with New Zealand and Queensland (Australia), are actively seeking to better meet the educational needs and aspirations of Indigenous students and their families. The report seeks to identify promising strategies, policies, programmes and practices that support improved learning outcomes for Indigenous students and to build an empirical evidence base on Indigenous students in education. The study investigates four areas in Indigenous education: well-being, participation, engagement and achievement in education. These outcomes are inter-connected and mutually reinforcing, and each is essential for the success of every student. ISbn 978-92-64-27941-4 91 2017 09 1 P","author":[{"dropping-particle":"","family":"OECD","given":"","non-dropping-particle":"","parse-names":false,"suffix":""}],"container-title":"Promising Practices in Supporting Success for Indigenous Students","id":"ITEM-1","issued":{"date-parts":[["2017","8","9"]]},"publisher":"Organisation for Economic Co-operation and Development","title":"Promising Practices in Supporting Success for Indigenous Students","type":"book"},"locator":"16","uris":["http://www.mendeley.com/documents/?uuid=bb9a85ee-5c8c-3cef-b5d5-dcf536bdf68e"]}],"mendeley":{"formattedCitation":"(OECD, 2017, p. 16)","plainTextFormattedCitation":"(OECD, 2017, p. 16)","previouslyFormattedCitation":"(OECD, 2017, p. 16)"},"properties":{"noteIndex":0},"schema":"https://github.com/citation-style-language/schema/raw/master/csl-citation.json"}</w:instrText>
      </w:r>
      <w:r w:rsidRPr="004253AA">
        <w:fldChar w:fldCharType="separate"/>
      </w:r>
      <w:r w:rsidR="006537A1" w:rsidRPr="006537A1">
        <w:rPr>
          <w:i w:val="0"/>
          <w:noProof/>
        </w:rPr>
        <w:t>(OECD, 2017, p. 16)</w:t>
      </w:r>
      <w:r w:rsidRPr="004253AA">
        <w:fldChar w:fldCharType="end"/>
      </w:r>
    </w:p>
    <w:p w14:paraId="2DD5A651" w14:textId="77777777" w:rsidR="004253AA" w:rsidRPr="004253AA" w:rsidRDefault="004253AA" w:rsidP="004253AA">
      <w:pPr>
        <w:pStyle w:val="Heading3"/>
      </w:pPr>
      <w:r w:rsidRPr="004253AA">
        <w:lastRenderedPageBreak/>
        <w:t>Promising Practices</w:t>
      </w:r>
    </w:p>
    <w:p w14:paraId="785A2EA4" w14:textId="51085DDE" w:rsidR="004253AA" w:rsidRPr="004253AA" w:rsidRDefault="004253AA" w:rsidP="004253AA">
      <w:r w:rsidRPr="004253AA">
        <w:t xml:space="preserve">The OECD </w:t>
      </w:r>
      <w:r w:rsidRPr="004253AA">
        <w:fldChar w:fldCharType="begin" w:fldLock="1"/>
      </w:r>
      <w:r w:rsidR="006537A1">
        <w:instrText>ADDIN CSL_CITATION {"citationItems":[{"id":"ITEM-1","itemData":{"DOI":"10.1787/9789264279421-en","ISBN":"9789264279414","abstract":"Indigenous peoples are diverse, within and across nations. However, the Indigenous peoples have experienced colonisation processes that have undermined Indigenous young people's access to their identity, language and culture. At the same time, Indigenous children have not generally had access to the same quality of education that other children in their country have had access to. These two forces in combination have undermined the educational opportunities and outcomes of successive generations of Indigenous children and young people, at times with catastrophic effect. The six Canadian provinces and territories that participated in this study, along with New Zealand and Queensland (Australia), are actively seeking to better meet the educational needs and aspirations of Indigenous students and their families. The report seeks to identify promising strategies, policies, programmes and practices that support improved learning outcomes for Indigenous students and to build an empirical evidence base on Indigenous students in education. The study investigates four areas in Indigenous education: well-being, participation, engagement and achievement in education. These outcomes are inter-connected and mutually reinforcing, and each is essential for the success of every student. ISbn 978-92-64-27941-4 91 2017 09 1 P","author":[{"dropping-particle":"","family":"OECD","given":"","non-dropping-particle":"","parse-names":false,"suffix":""}],"container-title":"Promising Practices in Supporting Success for Indigenous Students","id":"ITEM-1","issued":{"date-parts":[["2017","8","9"]]},"publisher":"Organisation for Economic Co-operation and Development","title":"Promising Practices in Supporting Success for Indigenous Students","type":"book"},"suppress-author":1,"uris":["http://www.mendeley.com/documents/?uuid=bb9a85ee-5c8c-3cef-b5d5-dcf536bdf68e"]}],"mendeley":{"formattedCitation":"(2017)","plainTextFormattedCitation":"(2017)","previouslyFormattedCitation":"(2017)"},"properties":{"noteIndex":0},"schema":"https://github.com/citation-style-language/schema/raw/master/csl-citation.json"}</w:instrText>
      </w:r>
      <w:r w:rsidRPr="004253AA">
        <w:fldChar w:fldCharType="separate"/>
      </w:r>
      <w:r w:rsidRPr="004253AA">
        <w:rPr>
          <w:noProof/>
        </w:rPr>
        <w:t>(2017)</w:t>
      </w:r>
      <w:r w:rsidRPr="004253AA">
        <w:fldChar w:fldCharType="end"/>
      </w:r>
      <w:r w:rsidRPr="004253AA">
        <w:t xml:space="preserve"> report, </w:t>
      </w:r>
      <w:r w:rsidRPr="004253AA">
        <w:rPr>
          <w:i/>
        </w:rPr>
        <w:t>Promising Practices in Supporting Success for Indigenous Students,</w:t>
      </w:r>
      <w:r w:rsidRPr="004253AA">
        <w:t xml:space="preserve"> examined the experiences of Indigenous students in Queensland, Aotearoa/New Zealand and four Canadian provinces to identify policies and practices that support Indigenous students’ school engagement, academic success and wellbeing. The focus was on reviewing system and school-level practices. </w:t>
      </w:r>
    </w:p>
    <w:p w14:paraId="36BC32C7" w14:textId="77777777" w:rsidR="004253AA" w:rsidRPr="004253AA" w:rsidRDefault="004253AA" w:rsidP="004253AA">
      <w:r w:rsidRPr="004253AA">
        <w:t xml:space="preserve">Common characteristics of successful schools included inspiring leadership, strong relationships across the school community, committed and capable staff, using multiple modes of student engagement and support, with sustained, deliberative, targeted and monitored effort and systemic support, particularly in relation to school attendance. Working closely with students and having respectful partnerships with parents were significant to all the gains achieved by and for the students. </w:t>
      </w:r>
    </w:p>
    <w:p w14:paraId="6CF4D707" w14:textId="0C65DF31" w:rsidR="004253AA" w:rsidRPr="004253AA" w:rsidRDefault="004253AA" w:rsidP="004253AA">
      <w:r w:rsidRPr="004253AA">
        <w:t xml:space="preserve">Additional factors associated with student achievement were summarised as ‘high-quality teaching, including high expectations for all students, respectful relationships with students and relevant and responsive curriculum delivery’ </w:t>
      </w:r>
      <w:r w:rsidRPr="004253AA">
        <w:fldChar w:fldCharType="begin" w:fldLock="1"/>
      </w:r>
      <w:r w:rsidR="005F5266">
        <w:instrText>ADDIN CSL_CITATION {"citationItems":[{"id":"ITEM-1","itemData":{"DOI":"10.1787/9789264279421-en","ISBN":"9789264279414","abstract":"Indigenous peoples are diverse, within and across nations. However, the Indigenous peoples have experienced colonisation processes that have undermined Indigenous young people's access to their identity, language and culture. At the same time, Indigenous children have not generally had access to the same quality of education that other children in their country have had access to. These two forces in combination have undermined the educational opportunities and outcomes of successive generations of Indigenous children and young people, at times with catastrophic effect. The six Canadian provinces and territories that participated in this study, along with New Zealand and Queensland (Australia), are actively seeking to better meet the educational needs and aspirations of Indigenous students and their families. The report seeks to identify promising strategies, policies, programmes and practices that support improved learning outcomes for Indigenous students and to build an empirical evidence base on Indigenous students in education. The study investigates four areas in Indigenous education: well-being, participation, engagement and achievement in education. These outcomes are inter-connected and mutually reinforcing, and each is essential for the success of every student. ISbn 978-92-64-27941-4 91 2017 09 1 P","author":[{"dropping-particle":"","family":"OECD","given":"","non-dropping-particle":"","parse-names":false,"suffix":""}],"container-title":"Promising Practices in Supporting Success for Indigenous Students","id":"ITEM-1","issued":{"date-parts":[["2017","8","9"]]},"publisher":"Organisation for Economic Co-operation and Development","title":"Promising Practices in Supporting Success for Indigenous Students","type":"book"},"locator":"117","uris":["http://www.mendeley.com/documents/?uuid=bb9a85ee-5c8c-3cef-b5d5-dcf536bdf68e"]}],"mendeley":{"formattedCitation":"(OECD, 2017, p. 117)","plainTextFormattedCitation":"(OECD, 2017, p. 117)","previouslyFormattedCitation":"(OECD, 2017, p. 117)"},"properties":{"noteIndex":0},"schema":"https://github.com/citation-style-language/schema/raw/master/csl-citation.json"}</w:instrText>
      </w:r>
      <w:r w:rsidRPr="004253AA">
        <w:fldChar w:fldCharType="separate"/>
      </w:r>
      <w:r w:rsidR="006537A1" w:rsidRPr="006537A1">
        <w:rPr>
          <w:noProof/>
        </w:rPr>
        <w:t>(OECD, 2017, p. 117)</w:t>
      </w:r>
      <w:r w:rsidRPr="004253AA">
        <w:fldChar w:fldCharType="end"/>
      </w:r>
      <w:r w:rsidRPr="004253AA">
        <w:t>.</w:t>
      </w:r>
    </w:p>
    <w:p w14:paraId="07EA267A" w14:textId="77777777" w:rsidR="004253AA" w:rsidRPr="004253AA" w:rsidRDefault="004253AA" w:rsidP="0097435D">
      <w:pPr>
        <w:pStyle w:val="NormalBeforeList"/>
      </w:pPr>
      <w:r w:rsidRPr="004253AA">
        <w:lastRenderedPageBreak/>
        <w:t xml:space="preserve">Munn, O’Rourke and Bodkin-Andrews </w:t>
      </w:r>
      <w:r w:rsidRPr="004253AA">
        <w:fldChar w:fldCharType="begin" w:fldLock="1"/>
      </w:r>
      <w:r w:rsidRPr="004253AA">
        <w:instrText>ADDIN CSL_CITATION {"citationItems":[{"id":"ITEM-1","itemData":{"DOI":"10.1017/jie.2013.6","ISSN":"20497784","abstract":"This article reports on a large mixed methods research project that investigated the conditions of success for Aboriginal school students. The article presents the qualitative case study component of the research. It details the work of four schools identified as successful for Aboriginal students with respect to social and academic outcomes, and showed what was common and contextually different in their relationships with community and their approaches to curriculum and pedagogy. The article shows there were eight common themes that emerged in the analysis of the schools’ approaches, and these themes are considered key indicators of the ‘seeding success’.","author":[{"dropping-particle":"","family":"Munns","given":"Geoff","non-dropping-particle":"","parse-names":false,"suffix":""},{"dropping-particle":"","family":"O'Rourke","given":"Virginia","non-dropping-particle":"","parse-names":false,"suffix":""},{"dropping-particle":"","family":"Bodkin-Andrews","given":"Gawaian","non-dropping-particle":"","parse-names":false,"suffix":""}],"container-title":"Australian Journal of Indigenous Education","id":"ITEM-1","issue":"1","issued":{"date-parts":[["2013","8","18"]]},"page":"1-11","publisher":"Cambridge University Press","title":"Seeding success: Schools that work for aboriginal students","type":"article-journal","volume":"42"},"suppress-author":1,"uris":["http://www.mendeley.com/documents/?uuid=447e00aa-ddef-303d-8716-4ffaec17e268"]}],"mendeley":{"formattedCitation":"(2013)","plainTextFormattedCitation":"(2013)","previouslyFormattedCitation":"(2013)"},"properties":{"noteIndex":0},"schema":"https://github.com/citation-style-language/schema/raw/master/csl-citation.json"}</w:instrText>
      </w:r>
      <w:r w:rsidRPr="004253AA">
        <w:fldChar w:fldCharType="separate"/>
      </w:r>
      <w:r w:rsidRPr="004253AA">
        <w:rPr>
          <w:noProof/>
        </w:rPr>
        <w:t>(2013)</w:t>
      </w:r>
      <w:r w:rsidRPr="004253AA">
        <w:fldChar w:fldCharType="end"/>
      </w:r>
      <w:r w:rsidRPr="004253AA">
        <w:t xml:space="preserve"> undertook a large mixed methods research project in 52 NSW schools where Aboriginal students were a minority, in order to investigate the conditions of success for Aboriginal students. The qualitative component of the research examined the four schools that were identified through the quantitative analysis as being the most successful in enhancing Aboriginal students’ social and academic outcomes. The key themes relating to the schools’ ways of working to support Aboriginal students’ success were:</w:t>
      </w:r>
    </w:p>
    <w:p w14:paraId="3CD2BE68" w14:textId="77777777" w:rsidR="004253AA" w:rsidRPr="004253AA" w:rsidRDefault="004253AA" w:rsidP="0097435D">
      <w:pPr>
        <w:pStyle w:val="NumberBulletLevel1"/>
        <w:numPr>
          <w:ilvl w:val="0"/>
          <w:numId w:val="35"/>
        </w:numPr>
      </w:pPr>
      <w:r w:rsidRPr="004253AA">
        <w:t>Strong relationships across the whole community (social justice perspective)</w:t>
      </w:r>
    </w:p>
    <w:p w14:paraId="7BDF7C6F" w14:textId="77777777" w:rsidR="004253AA" w:rsidRPr="004253AA" w:rsidRDefault="004253AA" w:rsidP="0097435D">
      <w:pPr>
        <w:pStyle w:val="NumberBulletLevel1"/>
      </w:pPr>
      <w:r w:rsidRPr="004253AA">
        <w:t>Aboriginal cultural spaces are central to the work of the schools (culturally inclusive curricula)</w:t>
      </w:r>
    </w:p>
    <w:p w14:paraId="47B5BAAA" w14:textId="77777777" w:rsidR="004253AA" w:rsidRPr="004253AA" w:rsidRDefault="004253AA" w:rsidP="0097435D">
      <w:pPr>
        <w:pStyle w:val="NumberBulletLevel1"/>
      </w:pPr>
      <w:r w:rsidRPr="004253AA">
        <w:t>Aboriginal people are central to the work of the schools (social justice perspective)</w:t>
      </w:r>
    </w:p>
    <w:p w14:paraId="21C6EDD7" w14:textId="77777777" w:rsidR="004253AA" w:rsidRPr="004253AA" w:rsidRDefault="004253AA" w:rsidP="0097435D">
      <w:pPr>
        <w:pStyle w:val="NumberBulletLevel1"/>
      </w:pPr>
      <w:r w:rsidRPr="004253AA">
        <w:t>Aboriginal perspectives and values are prioritised and embedded in school and classroom curriculum (culturally inclusive curricula)</w:t>
      </w:r>
    </w:p>
    <w:p w14:paraId="679F2207" w14:textId="77777777" w:rsidR="004253AA" w:rsidRPr="004253AA" w:rsidRDefault="004253AA" w:rsidP="0097435D">
      <w:pPr>
        <w:pStyle w:val="NumberBulletLevel1"/>
      </w:pPr>
      <w:r w:rsidRPr="004253AA">
        <w:t>Specific focus on quality teaching and this is considered from an Aboriginal perspective (culturally differentiated quality teaching)</w:t>
      </w:r>
    </w:p>
    <w:p w14:paraId="5EE946F9" w14:textId="77777777" w:rsidR="004253AA" w:rsidRPr="004253AA" w:rsidRDefault="004253AA" w:rsidP="0097435D">
      <w:pPr>
        <w:pStyle w:val="NumberBulletLevel1"/>
      </w:pPr>
      <w:r w:rsidRPr="004253AA">
        <w:t xml:space="preserve">Conscious shift from a wellbeing community mindset (primarily focused on looking after students’ wellbeing), to a learning community mindset (building student </w:t>
      </w:r>
      <w:r w:rsidRPr="004253AA">
        <w:lastRenderedPageBreak/>
        <w:t>wellbeing through a serious concentration on learning; culturally differentiated quality teaching)</w:t>
      </w:r>
    </w:p>
    <w:p w14:paraId="3654B5E5" w14:textId="77777777" w:rsidR="004253AA" w:rsidRPr="004253AA" w:rsidRDefault="004253AA" w:rsidP="0097435D">
      <w:pPr>
        <w:pStyle w:val="NumberBulletLevel1"/>
      </w:pPr>
      <w:r w:rsidRPr="004253AA">
        <w:t>Targeted support for Aboriginal students (social justice perspective)</w:t>
      </w:r>
    </w:p>
    <w:p w14:paraId="6AD2DA32" w14:textId="77777777" w:rsidR="004253AA" w:rsidRPr="004253AA" w:rsidRDefault="004253AA" w:rsidP="0097435D">
      <w:pPr>
        <w:pStyle w:val="NumberBulletLevel1"/>
      </w:pPr>
      <w:r w:rsidRPr="004253AA">
        <w:t>Relationships between teachers and students work towards Aboriginal students as important, responsible and able to achieve (social justice perspective).</w:t>
      </w:r>
    </w:p>
    <w:p w14:paraId="36099F5C" w14:textId="0EDA8346" w:rsidR="004253AA" w:rsidRPr="004253AA" w:rsidRDefault="004253AA" w:rsidP="004253AA">
      <w:pPr>
        <w:autoSpaceDE/>
        <w:autoSpaceDN/>
        <w:adjustRightInd/>
        <w:spacing w:after="60"/>
        <w:ind w:left="360"/>
        <w:jc w:val="right"/>
        <w:rPr>
          <w:rFonts w:eastAsia="Times New Roman" w:cs="Times New Roman"/>
          <w:szCs w:val="24"/>
          <w:lang w:eastAsia="en-AU"/>
        </w:rPr>
      </w:pPr>
      <w:r w:rsidRPr="004253AA">
        <w:rPr>
          <w:rFonts w:eastAsia="Times New Roman" w:cs="Times New Roman"/>
          <w:szCs w:val="24"/>
          <w:lang w:eastAsia="en-AU"/>
        </w:rPr>
        <w:fldChar w:fldCharType="begin" w:fldLock="1"/>
      </w:r>
      <w:r w:rsidR="005F5266">
        <w:rPr>
          <w:rFonts w:eastAsia="Times New Roman" w:cs="Times New Roman"/>
          <w:szCs w:val="24"/>
          <w:lang w:eastAsia="en-AU"/>
        </w:rPr>
        <w:instrText>ADDIN CSL_CITATION {"citationItems":[{"id":"ITEM-1","itemData":{"DOI":"10.1017/jie.2013.6","ISSN":"20497784","abstract":"This article reports on a large mixed methods research project that investigated the conditions of success for Aboriginal school students. The article presents the qualitative case study component of the research. It details the work of four schools identified as successful for Aboriginal students with respect to social and academic outcomes, and showed what was common and contextually different in their relationships with community and their approaches to curriculum and pedagogy. The article shows there were eight common themes that emerged in the analysis of the schools’ approaches, and these themes are considered key indicators of the ‘seeding success’.","author":[{"dropping-particle":"","family":"Munns","given":"Geoff","non-dropping-particle":"","parse-names":false,"suffix":""},{"dropping-particle":"","family":"O'Rourke","given":"Virginia","non-dropping-particle":"","parse-names":false,"suffix":""},{"dropping-particle":"","family":"Bodkin-Andrews","given":"Gawaian","non-dropping-particle":"","parse-names":false,"suffix":""}],"container-title":"Australian Journal of Indigenous Education","id":"ITEM-1","issue":"1","issued":{"date-parts":[["2013","8","18"]]},"page":"1-11","publisher":"Cambridge University Press","title":"Seeding success: Schools that work for aboriginal students","type":"article-journal","volume":"42"},"locator":"2","uris":["http://www.mendeley.com/documents/?uuid=447e00aa-ddef-303d-8716-4ffaec17e268"]}],"mendeley":{"formattedCitation":"(Munns et al., 2013, p. 2)","plainTextFormattedCitation":"(Munns et al., 2013, p. 2)","previouslyFormattedCitation":"(Munns et al., 2013, p. 2)"},"properties":{"noteIndex":0},"schema":"https://github.com/citation-style-language/schema/raw/master/csl-citation.json"}</w:instrText>
      </w:r>
      <w:r w:rsidRPr="004253AA">
        <w:rPr>
          <w:rFonts w:eastAsia="Times New Roman" w:cs="Times New Roman"/>
          <w:szCs w:val="24"/>
          <w:lang w:eastAsia="en-AU"/>
        </w:rPr>
        <w:fldChar w:fldCharType="separate"/>
      </w:r>
      <w:r w:rsidR="006537A1" w:rsidRPr="006537A1">
        <w:rPr>
          <w:rFonts w:eastAsia="Times New Roman" w:cs="Times New Roman"/>
          <w:noProof/>
          <w:szCs w:val="24"/>
          <w:lang w:eastAsia="en-AU"/>
        </w:rPr>
        <w:t>(Munns et al., 2013, p. 2)</w:t>
      </w:r>
      <w:r w:rsidRPr="004253AA">
        <w:rPr>
          <w:rFonts w:eastAsia="Times New Roman" w:cs="Times New Roman"/>
          <w:szCs w:val="24"/>
          <w:lang w:eastAsia="en-AU"/>
        </w:rPr>
        <w:fldChar w:fldCharType="end"/>
      </w:r>
    </w:p>
    <w:p w14:paraId="2A33552E" w14:textId="77777777" w:rsidR="004253AA" w:rsidRPr="004253AA" w:rsidRDefault="004253AA" w:rsidP="0097435D">
      <w:pPr>
        <w:pStyle w:val="NormalAfterList"/>
      </w:pPr>
      <w:r w:rsidRPr="004253AA">
        <w:t xml:space="preserve">Zyngier and colleagues </w:t>
      </w:r>
      <w:r w:rsidRPr="004253AA">
        <w:fldChar w:fldCharType="begin" w:fldLock="1"/>
      </w:r>
      <w:r w:rsidRPr="004253AA">
        <w:instrText>ADDIN CSL_CITATION {"citationItems":[{"id":"ITEM-1","itemData":{"abstract":"The focus of this review is on programs organised for schools by providers external to the education system for students who are at risk of not completing both compulsory and the non‐compulsory years of schooling and/or who are at risk of low academic achievement. The nature of such risks faced by students and the responses of education institutions to them—and the efficacy of such programs—are also considered. The review is guided by the Victorian DEECD policy and research environment, in particular the Effective Strategies to Increase School Completion Report (Lamb &amp; Rice, 2008) and A Guide to Help Schools Increase School Completion (Rice &amp; Lamb, 2008) and the subsequent policy advice contained within Pathways to Re‐Engagement through Flexible Learning Options: A Policy Direction for Consultation (DEECD, 2010).","author":[{"dropping-particle":"","family":"Zyngier","given":"David","non-dropping-particle":"","parse-names":false,"suffix":""},{"dropping-particle":"","family":"Black","given":"Rosalyn","non-dropping-particle":"","parse-names":false,"suffix":""},{"dropping-particle":"","family":"Brubaker","given":"Nathan","non-dropping-particle":"","parse-names":false,"suffix":""},{"dropping-particle":"","family":"Pruyn","given":"Marc","non-dropping-particle":"","parse-names":false,"suffix":""}],"id":"ITEM-1","issued":{"date-parts":[["2014"]]},"publisher":"Monash University Faculty of Education","title":"The Contribution that Alternate, Pull-out and Externally-Provided Programs within Schools Make toward Student Learning, Well-Being and Pathways","type":"report"},"suppress-author":1,"uris":["http://www.mendeley.com/documents/?uuid=09054b6d-537d-30fc-ae35-1fd22b3e7e76"]}],"mendeley":{"formattedCitation":"(2014)","plainTextFormattedCitation":"(2014)","previouslyFormattedCitation":"(2014)"},"properties":{"noteIndex":0},"schema":"https://github.com/citation-style-language/schema/raw/master/csl-citation.json"}</w:instrText>
      </w:r>
      <w:r w:rsidRPr="004253AA">
        <w:fldChar w:fldCharType="separate"/>
      </w:r>
      <w:r w:rsidRPr="004253AA">
        <w:rPr>
          <w:noProof/>
        </w:rPr>
        <w:t>(2014)</w:t>
      </w:r>
      <w:r w:rsidRPr="004253AA">
        <w:fldChar w:fldCharType="end"/>
      </w:r>
      <w:r w:rsidRPr="004253AA">
        <w:t xml:space="preserve"> reviewed ‘pull-out’ programs that were organised in schools by external providers, withdrawing ‘at risk’ students from the mainstream curriculum to support their school completion and achievement. This systematic review of the literature also drew on the programs documented in the Learning Choices database. The review found that effective programs provide strong social support, intellectual challenge, and are attuned to immediate and longer-term needs of young people. The authors recommended that effective programs need to be integrated into mainstream offerings and not be targeted to remediating the skills of just a few students. </w:t>
      </w:r>
    </w:p>
    <w:p w14:paraId="0E578780" w14:textId="77777777" w:rsidR="004253AA" w:rsidRPr="004253AA" w:rsidRDefault="004253AA" w:rsidP="004253AA">
      <w:r w:rsidRPr="004253AA">
        <w:t xml:space="preserve">Lamb and Rice’s </w:t>
      </w:r>
      <w:r w:rsidRPr="004253AA">
        <w:fldChar w:fldCharType="begin" w:fldLock="1"/>
      </w:r>
      <w:r w:rsidRPr="004253AA">
        <w:instrText>ADDIN CSL_CITATION {"citationItems":[{"id":"ITEM-1","itemData":{"abstract":"This report sets out the findings from a project undertaken to identify effective intervention strategies that schools can use to help improve student engagement and increase rates of school completion for students at risk of early leaving. The authors outline some of the issues around early leaving, and provide information on how effective strategies are identified and information collected. Aspects of the programs are discussed, as well as what makes them successful in schools, how to measure potential impact, and challenges that schools face in working to increase student engagement and retention. The report concludes with an estimate of the costs associated with implementing a range of interventions and intervention models, and recommendations for policy and practice.","author":[{"dropping-particle":"","family":"Lamb","given":"S.","non-dropping-particle":"","parse-names":false,"suffix":""},{"dropping-particle":"","family":"Rice","given":"S.","non-dropping-particle":"","parse-names":false,"suffix":""}],"id":"ITEM-1","issued":{"date-parts":[["2008"]]},"number-of-pages":"1-70","publisher-place":"Melbourne","title":"Effective Strategies to Increase School Completion Report: Report to the Victorian Department of Education and Early Childhood Development","type":"report"},"suppress-author":1,"uris":["http://www.mendeley.com/documents/?uuid=5604d59d-2cd7-3e3f-a5d1-83a37f398036"]}],"mendeley":{"formattedCitation":"(2008)","plainTextFormattedCitation":"(2008)","previouslyFormattedCitation":"(2008)"},"properties":{"noteIndex":0},"schema":"https://github.com/citation-style-language/schema/raw/master/csl-citation.json"}</w:instrText>
      </w:r>
      <w:r w:rsidRPr="004253AA">
        <w:fldChar w:fldCharType="separate"/>
      </w:r>
      <w:r w:rsidRPr="004253AA">
        <w:rPr>
          <w:noProof/>
        </w:rPr>
        <w:t>(2008)</w:t>
      </w:r>
      <w:r w:rsidRPr="004253AA">
        <w:fldChar w:fldCharType="end"/>
      </w:r>
      <w:r w:rsidRPr="004253AA">
        <w:t xml:space="preserve"> review of international empirical research and data from 25 Victorian schools sought to identify effective strategies to increase school engagement and completion. Key strategies identified included mentoring, pathway planning and careers guidance, attention to student welfare, </w:t>
      </w:r>
      <w:r w:rsidRPr="004253AA">
        <w:lastRenderedPageBreak/>
        <w:t xml:space="preserve">social skills, and targeted skills development to boost achievement. Importantly, the focus on students was found to work best in tandem with family support, case management and whole school initiatives to personalise education, including relevant curriculum offerings in vocational education and training, early intervention for literacy/numeracy development, and applied and project-based learning. Effective programs were found to set high expectations for student attendance and behaviour, supported with pastoral care. </w:t>
      </w:r>
    </w:p>
    <w:p w14:paraId="4EF5FF68" w14:textId="77777777" w:rsidR="004253AA" w:rsidRPr="004253AA" w:rsidRDefault="004253AA" w:rsidP="0097435D">
      <w:pPr>
        <w:pStyle w:val="NormalBeforeList"/>
      </w:pPr>
      <w:r w:rsidRPr="004253AA">
        <w:t xml:space="preserve">Lamb and Rice (2008) suggest that the most effective programs: </w:t>
      </w:r>
    </w:p>
    <w:p w14:paraId="4E5424AD" w14:textId="77777777" w:rsidR="004253AA" w:rsidRPr="004253AA" w:rsidRDefault="004253AA" w:rsidP="0097435D">
      <w:pPr>
        <w:pStyle w:val="BulletLevel1"/>
      </w:pPr>
      <w:r w:rsidRPr="004253AA">
        <w:t>Foster connectedness between students, parents, the school and the community</w:t>
      </w:r>
    </w:p>
    <w:p w14:paraId="0D0FF045" w14:textId="77777777" w:rsidR="004253AA" w:rsidRPr="004253AA" w:rsidRDefault="004253AA" w:rsidP="0097435D">
      <w:pPr>
        <w:pStyle w:val="BulletLevel1"/>
      </w:pPr>
      <w:r w:rsidRPr="004253AA">
        <w:t>Increase the trust placed in students</w:t>
      </w:r>
    </w:p>
    <w:p w14:paraId="37813E5D" w14:textId="77777777" w:rsidR="004253AA" w:rsidRPr="004253AA" w:rsidRDefault="004253AA" w:rsidP="0097435D">
      <w:pPr>
        <w:pStyle w:val="BulletLevel1"/>
      </w:pPr>
      <w:r w:rsidRPr="004253AA">
        <w:t>Provide tasks for students with immediate, tangible benefits</w:t>
      </w:r>
    </w:p>
    <w:p w14:paraId="74425192" w14:textId="77777777" w:rsidR="004253AA" w:rsidRPr="004253AA" w:rsidRDefault="004253AA" w:rsidP="0097435D">
      <w:pPr>
        <w:pStyle w:val="BulletLevel1"/>
      </w:pPr>
      <w:r w:rsidRPr="004253AA">
        <w:t>Make spaces within schools and curricula for diverse student needs</w:t>
      </w:r>
    </w:p>
    <w:p w14:paraId="2F403B70" w14:textId="77777777" w:rsidR="004253AA" w:rsidRPr="004253AA" w:rsidRDefault="004253AA" w:rsidP="0097435D">
      <w:pPr>
        <w:pStyle w:val="BulletLevel1"/>
      </w:pPr>
      <w:r w:rsidRPr="004253AA">
        <w:t>Address poor achievement</w:t>
      </w:r>
    </w:p>
    <w:p w14:paraId="4E34F2A8" w14:textId="77777777" w:rsidR="004253AA" w:rsidRPr="004253AA" w:rsidRDefault="004253AA" w:rsidP="0097435D">
      <w:pPr>
        <w:pStyle w:val="BulletLevel1"/>
      </w:pPr>
      <w:r w:rsidRPr="004253AA">
        <w:t>Address students’ practical personal obstacles to staying at school.</w:t>
      </w:r>
    </w:p>
    <w:p w14:paraId="604DEEFF" w14:textId="05554F27" w:rsidR="004253AA" w:rsidRPr="004253AA" w:rsidRDefault="004253AA" w:rsidP="004253AA">
      <w:pPr>
        <w:autoSpaceDE/>
        <w:autoSpaceDN/>
        <w:adjustRightInd/>
        <w:spacing w:before="200"/>
        <w:rPr>
          <w:rFonts w:eastAsia="Times New Roman" w:cs="Times New Roman"/>
          <w:szCs w:val="24"/>
          <w:lang w:eastAsia="en-AU"/>
        </w:rPr>
      </w:pPr>
      <w:r w:rsidRPr="004253AA">
        <w:rPr>
          <w:rFonts w:eastAsia="Times New Roman" w:cs="Times New Roman"/>
          <w:szCs w:val="24"/>
          <w:lang w:eastAsia="en-AU"/>
        </w:rPr>
        <w:t xml:space="preserve">A number of studies </w:t>
      </w:r>
      <w:r w:rsidRPr="004253AA">
        <w:rPr>
          <w:rFonts w:eastAsia="Times New Roman" w:cs="Times New Roman"/>
          <w:szCs w:val="24"/>
          <w:lang w:eastAsia="en-AU"/>
        </w:rPr>
        <w:fldChar w:fldCharType="begin" w:fldLock="1"/>
      </w:r>
      <w:r w:rsidR="005F5266">
        <w:rPr>
          <w:rFonts w:eastAsia="Times New Roman" w:cs="Times New Roman"/>
          <w:szCs w:val="24"/>
          <w:lang w:eastAsia="en-AU"/>
        </w:rPr>
        <w:instrText>ADDIN CSL_CITATION {"citationItems":[{"id":"ITEM-1","itemData":{"author":[{"dropping-particle":"","family":"Holdsworth","given":"Roger","non-dropping-particle":"","parse-names":false,"suffix":""}],"id":"ITEM-1","issued":{"date-parts":[["2011"]]},"publisher":"Dusseldorp Skills Forum","title":"Learning choices national scan: Programs and schools catering for young people at risk of not completing their education - Results and Analysis","type":"report"},"prefix":"e.g. ","uris":["http://www.mendeley.com/documents/?uuid=e9517cb4-b4e9-42e5-9a0b-fe06404e042b"]},{"id":"ITEM-2","itemData":{"abstract":"The research found: • There are three broad structural categories of flexible learning programs: programs operating within mainstream schools, programs operating within TAFE or ACE, and separate (stand alone) programs. • Nationally there are over 900 flexible learning programs, educating over 70,000 students each year. • About one-third of programs offer credentials at both junior and senior secondary level. Almost half offer only junior secondary credentials and almost one-fifth only senior secondary credentials. About half of the programs also offer accredited VET certificates across a wide range of industries. • Almost all programs indicate they target young people who are at risk of non-completion and early school leavers, reinforcing their shared mission of providing education opportunities for young people who may otherwise miss out on crucial secondary schooling. • The website assists young people (and their parents, youth workers and teachers) to find a program that suits them, and enables flexible learning programs to learn about and from each other. Good practice in flexible learning programs The research analysed publicly available documentation from more than 20 purposely selected programs, as well as conducting detailed fieldwork (observation on-site and interviews with various stakeholders) in eight of those programs. This generated insight in how they work and the outcomes they achieve, and led to the development of a model to understand flexible learning programs and support successful flexible learning provision: the Framework of Quality Flexible Learning Programs [FQFLP]. The model has four key dimensions representing the work of flexible learning programs: Valued Outcomes, Actions, Principles and Conditions. The report argues: • All the dimensions of the Framework for Quality Flexible Learning Programs are of relevance across all flexible learning programs for marginalised young people. That is, all programs engage in specific actions, informed by their explicit or implicit principles, aimed at achieving valued outcomes, and enabled (or constrained) by certain conditions. • Rather than mandating exactly what a flexible learning program should look like, the Framework for Quality Flexible Learning Programs enables programs to apply it to their own specific context and purposes. Diversity among flexible learning programs means they may place different weightings on the specific aspects that are part of those dimensions (see below) and e…","author":[{"dropping-particle":"","family":"Riele","given":"Kitty","non-dropping-particle":"te","parse-names":false,"suffix":""}],"id":"ITEM-2","issued":{"date-parts":[["2014"]]},"number-of-pages":"108","publisher":"Victoria Institute for Education, Diversity and Lifelong Learning","publisher-place":"Melbourne","title":"Putting the Jigsaw Together: Flexible learning programs in Australia. Final Report.","type":"report"},"uris":["http://www.mendeley.com/documents/?uuid=c06a2d36-0361-35fb-a12c-618b3ac8c3f3"]},{"id":"ITEM-3","itemData":{"abstract":"This report by Kitty te Riele analyses over 400 inclusive and flexible learning programs, with 33,000 young people enrolled in 1200 locations across Australia. The report also draws on an in-depth analysis of reports and information from 33 specific programs as well as existing research publications about enabling all young people to complete their education. The report shows that many young people around Australia are benefiting significantly from the provision of innovative and flexible learning programs. However, it also indicates that more data is needed on outcomes.","author":[{"dropping-particle":"","family":"Riele","given":"Kitty","non-dropping-particle":"te","parse-names":false,"suffix":""}],"id":"ITEM-3","issued":{"date-parts":[["2012"]]},"publisher":"Dusseldorp Skills Forum","title":"Learning Choices: A Map for the Future","type":"report"},"uris":["http://www.mendeley.com/documents/?uuid=2af54658-8219-3e99-88bd-88f482e8f48d"]},{"id":"ITEM-4","itemData":{"abstract":"The focus of this review is on programs organised for schools by providers external to the education system for students who are at risk of not completing both compulsory and the non‐compulsory years of schooling and/or who are at risk of low academic achievement. The nature of such risks faced by students and the responses of education institutions to them—and the efficacy of such programs—are also considered. The review is guided by the Victorian DEECD policy and research environment, in particular the Effective Strategies to Increase School Completion Report (Lamb &amp; Rice, 2008) and A Guide to Help Schools Increase School Completion (Rice &amp; Lamb, 2008) and the subsequent policy advice contained within Pathways to Re‐Engagement through Flexible Learning Options: A Policy Direction for Consultation (DEECD, 2010).","author":[{"dropping-particle":"","family":"Zyngier","given":"David","non-dropping-particle":"","parse-names":false,"suffix":""},{"dropping-particle":"","family":"Black","given":"Rosalyn","non-dropping-particle":"","parse-names":false,"suffix":""},{"dropping-particle":"","family":"Brubaker","given":"Nathan","non-dropping-particle":"","parse-names":false,"suffix":""},{"dropping-particle":"","family":"Pruyn","given":"Marc","non-dropping-particle":"","parse-names":false,"suffix":""}],"id":"ITEM-4","issued":{"date-parts":[["2014"]]},"publisher":"Monash University Faculty of Education","title":"The Contribution that Alternate, Pull-out and Externally-Provided Programs within Schools Make toward Student Learning, Well-Being and Pathways","type":"report"},"uris":["http://www.mendeley.com/documents/?uuid=09054b6d-537d-30fc-ae35-1fd22b3e7e76"]}],"mendeley":{"formattedCitation":"(e.g. Holdsworth, 2011; te Riele, 2012, 2014; Zyngier et al., 2014)","plainTextFormattedCitation":"(e.g. Holdsworth, 2011; te Riele, 2012, 2014; Zyngier et al., 2014)","previouslyFormattedCitation":"(e.g. Holdsworth, 2011; te Riele, 2012, 2014; Zyngier et al., 2014)"},"properties":{"noteIndex":0},"schema":"https://github.com/citation-style-language/schema/raw/master/csl-citation.json"}</w:instrText>
      </w:r>
      <w:r w:rsidRPr="004253AA">
        <w:rPr>
          <w:rFonts w:eastAsia="Times New Roman" w:cs="Times New Roman"/>
          <w:szCs w:val="24"/>
          <w:lang w:eastAsia="en-AU"/>
        </w:rPr>
        <w:fldChar w:fldCharType="separate"/>
      </w:r>
      <w:r w:rsidR="006537A1" w:rsidRPr="006537A1">
        <w:rPr>
          <w:rFonts w:eastAsia="Times New Roman" w:cs="Times New Roman"/>
          <w:noProof/>
          <w:szCs w:val="24"/>
          <w:lang w:eastAsia="en-AU"/>
        </w:rPr>
        <w:t>(e.g. Holdsworth, 2011; te Riele, 2012, 2014; Zyngier et al., 2014)</w:t>
      </w:r>
      <w:r w:rsidRPr="004253AA">
        <w:rPr>
          <w:rFonts w:eastAsia="Times New Roman" w:cs="Times New Roman"/>
          <w:szCs w:val="24"/>
          <w:lang w:eastAsia="en-AU"/>
        </w:rPr>
        <w:fldChar w:fldCharType="end"/>
      </w:r>
      <w:r w:rsidRPr="004253AA">
        <w:rPr>
          <w:rFonts w:eastAsia="Times New Roman" w:cs="Times New Roman"/>
          <w:szCs w:val="24"/>
          <w:lang w:eastAsia="en-AU"/>
        </w:rPr>
        <w:t xml:space="preserve"> recommend multi-faceted and integrated approaches to student engagement and achievement, </w:t>
      </w:r>
      <w:r w:rsidRPr="004253AA">
        <w:rPr>
          <w:rFonts w:eastAsia="Times New Roman" w:cs="Times New Roman"/>
          <w:szCs w:val="24"/>
          <w:lang w:eastAsia="en-AU"/>
        </w:rPr>
        <w:lastRenderedPageBreak/>
        <w:t>and emphasise the importance of locally driven programs. There are diverse approaches that are equally successful, on the basis that programs are designed and flexibly implemented to meet the needs of the specific student group, in the specific context of the school and its community. This body of research also underlines the importance of well-prepared and committed teachers with appropriate support systems, especially access to professional networks and development resources.</w:t>
      </w:r>
    </w:p>
    <w:p w14:paraId="28D68FEB" w14:textId="5B3FFE4E" w:rsidR="004253AA" w:rsidRDefault="004253AA" w:rsidP="004253AA">
      <w:r w:rsidRPr="004253AA">
        <w:t xml:space="preserve">Martin </w:t>
      </w:r>
      <w:r w:rsidRPr="004253AA">
        <w:rPr>
          <w:rFonts w:eastAsia="Times New Roman" w:cs="Times New Roman"/>
          <w:szCs w:val="24"/>
          <w:lang w:eastAsia="en-AU"/>
        </w:rPr>
        <w:fldChar w:fldCharType="begin" w:fldLock="1"/>
      </w:r>
      <w:r w:rsidRPr="004253AA">
        <w:instrText>ADDIN CSL_CITATION {"citationItems":[{"id":"ITEM-1","itemData":{"DOI":"10.1017/S1326011100004142","ISSN":"20497784","abstract":"This article explores an integrative framework for a motivational psychology for the education of Indigenous students. Drawing on and adapting Graham’s (1994) taxonomy for motivational psychology, it is suggested that enhancing the educational outcomes of Indigenous students involves addressing factors relevant to the self (positive identity, academic self-concept, and academic resilience), cognitive and affective factors (that facilitate motivation, engagement, achievement, and enjoyment of school), socialisation and child-rearing antecedents (the role of the family), failure dynamics (fear of failure and shame), the role of significant others and their contexts (peers, community, teachers, schools, and the scope for pastoral pedagogy), and the issue of young people’s pathways and transitions. Values, attitudes, and approaches to school and schoolwork that are common across Aboriginal and non-Aboriginal students and the role of positive psychology are also explored as a means of contributing to a better general understanding of human behaviour.","author":[{"dropping-particle":"","family":"Martin","given":"Andrew J.","non-dropping-particle":"","parse-names":false,"suffix":""}],"container-title":"Australian Journal of Indigenous Education","id":"ITEM-1","issued":{"date-parts":[["2006","7","22"]]},"page":"30-43","publisher":"Cambridge University Press","title":"A Motivational Psychology for the Education of Indigenous Australian Students","type":"article-journal","volume":"35"},"suppress-author":1,"uris":["http://www.mendeley.com/documents/?uuid=d47689ec-4d46-3dd7-919a-2ce419cef510"]}],"mendeley":{"formattedCitation":"(2006)","plainTextFormattedCitation":"(2006)","previouslyFormattedCitation":"(2006)"},"properties":{"noteIndex":0},"schema":"https://github.com/citation-style-language/schema/raw/master/csl-citation.json"}</w:instrText>
      </w:r>
      <w:r w:rsidRPr="004253AA">
        <w:rPr>
          <w:rFonts w:eastAsia="Times New Roman" w:cs="Times New Roman"/>
          <w:szCs w:val="24"/>
          <w:lang w:eastAsia="en-AU"/>
        </w:rPr>
        <w:fldChar w:fldCharType="separate"/>
      </w:r>
      <w:r w:rsidRPr="004253AA">
        <w:rPr>
          <w:noProof/>
        </w:rPr>
        <w:t>(2006)</w:t>
      </w:r>
      <w:r w:rsidRPr="004253AA">
        <w:rPr>
          <w:rFonts w:eastAsia="Times New Roman" w:cs="Times New Roman"/>
          <w:szCs w:val="24"/>
          <w:lang w:eastAsia="en-AU"/>
        </w:rPr>
        <w:fldChar w:fldCharType="end"/>
      </w:r>
      <w:r w:rsidRPr="004253AA">
        <w:t xml:space="preserve"> provides a strong analysis of key themes and strategies in available literature relating to the participation and achievement of Indigenous youth in school education. Martin’s analysis focused specifically on psychological factors and influences relating to student motivation and engagement. A summary of these findings is provided in </w:t>
      </w:r>
      <w:r w:rsidR="00F61FF3">
        <w:rPr>
          <w:rFonts w:eastAsia="Times New Roman" w:cs="Times New Roman"/>
          <w:szCs w:val="24"/>
          <w:lang w:eastAsia="en-AU"/>
        </w:rPr>
        <w:t xml:space="preserve">the tables </w:t>
      </w:r>
      <w:r w:rsidRPr="004253AA">
        <w:t>below.</w:t>
      </w:r>
    </w:p>
    <w:p w14:paraId="2BC746A7" w14:textId="77777777" w:rsidR="00F61FF3" w:rsidRPr="004253AA" w:rsidRDefault="00F61FF3" w:rsidP="00F61FF3">
      <w:pPr>
        <w:pStyle w:val="Heading4"/>
      </w:pPr>
      <w:r>
        <w:t>Self</w:t>
      </w:r>
    </w:p>
    <w:tbl>
      <w:tblPr>
        <w:tblStyle w:val="LirataTable2"/>
        <w:tblW w:w="5000" w:type="pct"/>
        <w:tblLook w:val="04A0" w:firstRow="1" w:lastRow="0" w:firstColumn="1" w:lastColumn="0" w:noHBand="0" w:noVBand="1"/>
      </w:tblPr>
      <w:tblGrid>
        <w:gridCol w:w="2263"/>
        <w:gridCol w:w="7365"/>
      </w:tblGrid>
      <w:tr w:rsidR="00F61FF3" w14:paraId="3AFA8CC0" w14:textId="77777777" w:rsidTr="00AE677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75" w:type="pct"/>
          </w:tcPr>
          <w:p w14:paraId="16EE3CD4" w14:textId="77777777" w:rsidR="00F61FF3" w:rsidRPr="00D008ED" w:rsidRDefault="00F61FF3" w:rsidP="00AE677F">
            <w:pPr>
              <w:pStyle w:val="Tabletext"/>
            </w:pPr>
            <w:bookmarkStart w:id="26" w:name="ColumnTitle_4"/>
            <w:r>
              <w:t>Sub-theme</w:t>
            </w:r>
          </w:p>
        </w:tc>
        <w:tc>
          <w:tcPr>
            <w:tcW w:w="3825" w:type="pct"/>
          </w:tcPr>
          <w:p w14:paraId="4CA0416B" w14:textId="77777777" w:rsidR="00F61FF3" w:rsidRPr="00D008ED" w:rsidRDefault="00F61FF3" w:rsidP="00AE677F">
            <w:pPr>
              <w:pStyle w:val="Tabletext"/>
              <w:cnfStyle w:val="100000000000" w:firstRow="1" w:lastRow="0" w:firstColumn="0" w:lastColumn="0" w:oddVBand="0" w:evenVBand="0" w:oddHBand="0" w:evenHBand="0" w:firstRowFirstColumn="0" w:firstRowLastColumn="0" w:lastRowFirstColumn="0" w:lastRowLastColumn="0"/>
            </w:pPr>
            <w:r>
              <w:t>Key elements/Strategies</w:t>
            </w:r>
          </w:p>
        </w:tc>
      </w:tr>
      <w:bookmarkEnd w:id="26"/>
      <w:tr w:rsidR="00F61FF3" w14:paraId="39B86D70" w14:textId="77777777" w:rsidTr="00AE677F">
        <w:tc>
          <w:tcPr>
            <w:cnfStyle w:val="001000000000" w:firstRow="0" w:lastRow="0" w:firstColumn="1" w:lastColumn="0" w:oddVBand="0" w:evenVBand="0" w:oddHBand="0" w:evenHBand="0" w:firstRowFirstColumn="0" w:firstRowLastColumn="0" w:lastRowFirstColumn="0" w:lastRowLastColumn="0"/>
            <w:tcW w:w="1175" w:type="pct"/>
          </w:tcPr>
          <w:p w14:paraId="38F66449" w14:textId="77777777" w:rsidR="00F61FF3" w:rsidRPr="00D008ED" w:rsidRDefault="00F61FF3" w:rsidP="00AE677F">
            <w:pPr>
              <w:pStyle w:val="Tabletext"/>
            </w:pPr>
            <w:r w:rsidRPr="008905F8">
              <w:t>Positive identity as an Aboriginal</w:t>
            </w:r>
          </w:p>
        </w:tc>
        <w:tc>
          <w:tcPr>
            <w:tcW w:w="3825" w:type="pct"/>
          </w:tcPr>
          <w:p w14:paraId="5F7229BF" w14:textId="77777777" w:rsidR="00F61FF3" w:rsidRPr="00EC152D" w:rsidRDefault="00F61FF3" w:rsidP="00AE677F">
            <w:pPr>
              <w:pStyle w:val="Tabletext"/>
              <w:cnfStyle w:val="000000000000" w:firstRow="0" w:lastRow="0" w:firstColumn="0" w:lastColumn="0" w:oddVBand="0" w:evenVBand="0" w:oddHBand="0" w:evenHBand="0" w:firstRowFirstColumn="0" w:firstRowLastColumn="0" w:lastRowFirstColumn="0" w:lastRowLastColumn="0"/>
            </w:pPr>
            <w:r w:rsidRPr="008905F8">
              <w:t>Encouraging pride in culture, teachers understand cultural background and history of culture, professional development of teachers, Aboriginal Studies/perspectives in curriculum, drawing on expertise of Indigenous community, mindful of Anglo-European bias in materials, use of culturally familiar and relevant materials</w:t>
            </w:r>
          </w:p>
        </w:tc>
      </w:tr>
      <w:tr w:rsidR="00F61FF3" w14:paraId="7FB5FBE4" w14:textId="77777777" w:rsidTr="00AE67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pct"/>
          </w:tcPr>
          <w:p w14:paraId="734B2E7C" w14:textId="77777777" w:rsidR="00F61FF3" w:rsidRPr="00D008ED" w:rsidRDefault="00F61FF3" w:rsidP="00AE677F">
            <w:pPr>
              <w:pStyle w:val="Tabletext"/>
            </w:pPr>
            <w:r w:rsidRPr="008905F8">
              <w:t>Positive identity as student and academic self-concept</w:t>
            </w:r>
          </w:p>
        </w:tc>
        <w:tc>
          <w:tcPr>
            <w:tcW w:w="3825" w:type="pct"/>
          </w:tcPr>
          <w:p w14:paraId="26435238" w14:textId="77777777" w:rsidR="00F61FF3" w:rsidRPr="002528BF" w:rsidRDefault="00F61FF3" w:rsidP="00AE677F">
            <w:pPr>
              <w:pStyle w:val="Tabletext"/>
              <w:cnfStyle w:val="000000010000" w:firstRow="0" w:lastRow="0" w:firstColumn="0" w:lastColumn="0" w:oddVBand="0" w:evenVBand="0" w:oddHBand="0" w:evenHBand="1" w:firstRowFirstColumn="0" w:firstRowLastColumn="0" w:lastRowFirstColumn="0" w:lastRowLastColumn="0"/>
            </w:pPr>
            <w:r w:rsidRPr="008905F8">
              <w:t>Sense of belonging at school and in class, good relationship with teachers, supportive and positive expectations, relevant curriculum, support from peers, parents and community</w:t>
            </w:r>
          </w:p>
        </w:tc>
      </w:tr>
      <w:tr w:rsidR="00F61FF3" w14:paraId="60FF7B01" w14:textId="77777777" w:rsidTr="00AE677F">
        <w:tc>
          <w:tcPr>
            <w:cnfStyle w:val="001000000000" w:firstRow="0" w:lastRow="0" w:firstColumn="1" w:lastColumn="0" w:oddVBand="0" w:evenVBand="0" w:oddHBand="0" w:evenHBand="0" w:firstRowFirstColumn="0" w:firstRowLastColumn="0" w:lastRowFirstColumn="0" w:lastRowLastColumn="0"/>
            <w:tcW w:w="1175" w:type="pct"/>
          </w:tcPr>
          <w:p w14:paraId="038D59F6" w14:textId="77777777" w:rsidR="00F61FF3" w:rsidRPr="00D008ED" w:rsidRDefault="00F61FF3" w:rsidP="00AE677F">
            <w:pPr>
              <w:pStyle w:val="Tabletext"/>
            </w:pPr>
            <w:r w:rsidRPr="008905F8">
              <w:t>Academic resilience</w:t>
            </w:r>
          </w:p>
        </w:tc>
        <w:tc>
          <w:tcPr>
            <w:tcW w:w="3825" w:type="pct"/>
          </w:tcPr>
          <w:p w14:paraId="60C0D6DB" w14:textId="77777777" w:rsidR="00F61FF3" w:rsidRPr="002528BF" w:rsidRDefault="00F61FF3" w:rsidP="00AE677F">
            <w:pPr>
              <w:pStyle w:val="Tabletext"/>
              <w:cnfStyle w:val="000000000000" w:firstRow="0" w:lastRow="0" w:firstColumn="0" w:lastColumn="0" w:oddVBand="0" w:evenVBand="0" w:oddHBand="0" w:evenHBand="0" w:firstRowFirstColumn="0" w:firstRowLastColumn="0" w:lastRowFirstColumn="0" w:lastRowLastColumn="0"/>
            </w:pPr>
            <w:r w:rsidRPr="008905F8">
              <w:t>The 5Cs: Confidence, Control, Commitment, Coordination, and Composure</w:t>
            </w:r>
          </w:p>
        </w:tc>
      </w:tr>
    </w:tbl>
    <w:p w14:paraId="441EC156" w14:textId="77777777" w:rsidR="00F61FF3" w:rsidRDefault="00F61FF3" w:rsidP="00F61FF3">
      <w:pPr>
        <w:pStyle w:val="Heading4"/>
      </w:pPr>
      <w:r>
        <w:t>Cognitive and affective</w:t>
      </w:r>
    </w:p>
    <w:tbl>
      <w:tblPr>
        <w:tblStyle w:val="LirataTable2"/>
        <w:tblW w:w="5000" w:type="pct"/>
        <w:tblLook w:val="04A0" w:firstRow="1" w:lastRow="0" w:firstColumn="1" w:lastColumn="0" w:noHBand="0" w:noVBand="1"/>
      </w:tblPr>
      <w:tblGrid>
        <w:gridCol w:w="2263"/>
        <w:gridCol w:w="7365"/>
      </w:tblGrid>
      <w:tr w:rsidR="00F61FF3" w14:paraId="19A718C3" w14:textId="77777777" w:rsidTr="00AE677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75" w:type="pct"/>
          </w:tcPr>
          <w:p w14:paraId="6AEBD043" w14:textId="77777777" w:rsidR="00F61FF3" w:rsidRPr="00D008ED" w:rsidRDefault="00F61FF3" w:rsidP="00AE677F">
            <w:pPr>
              <w:pStyle w:val="Tabletext"/>
            </w:pPr>
            <w:bookmarkStart w:id="27" w:name="ColumnTitle_410"/>
            <w:r>
              <w:t>Sub-theme</w:t>
            </w:r>
          </w:p>
        </w:tc>
        <w:tc>
          <w:tcPr>
            <w:tcW w:w="3825" w:type="pct"/>
          </w:tcPr>
          <w:p w14:paraId="73A19A3D" w14:textId="77777777" w:rsidR="00F61FF3" w:rsidRPr="00D008ED" w:rsidRDefault="00F61FF3" w:rsidP="00AE677F">
            <w:pPr>
              <w:pStyle w:val="Tabletext"/>
              <w:cnfStyle w:val="100000000000" w:firstRow="1" w:lastRow="0" w:firstColumn="0" w:lastColumn="0" w:oddVBand="0" w:evenVBand="0" w:oddHBand="0" w:evenHBand="0" w:firstRowFirstColumn="0" w:firstRowLastColumn="0" w:lastRowFirstColumn="0" w:lastRowLastColumn="0"/>
            </w:pPr>
            <w:r>
              <w:t>Key elements/Strategies</w:t>
            </w:r>
          </w:p>
        </w:tc>
      </w:tr>
      <w:bookmarkEnd w:id="27"/>
      <w:tr w:rsidR="00F61FF3" w14:paraId="0260C3CD" w14:textId="77777777" w:rsidTr="00AE677F">
        <w:tc>
          <w:tcPr>
            <w:cnfStyle w:val="001000000000" w:firstRow="0" w:lastRow="0" w:firstColumn="1" w:lastColumn="0" w:oddVBand="0" w:evenVBand="0" w:oddHBand="0" w:evenHBand="0" w:firstRowFirstColumn="0" w:firstRowLastColumn="0" w:lastRowFirstColumn="0" w:lastRowLastColumn="0"/>
            <w:tcW w:w="1175" w:type="pct"/>
          </w:tcPr>
          <w:p w14:paraId="3A6DBB65" w14:textId="77777777" w:rsidR="00F61FF3" w:rsidRPr="00D008ED" w:rsidRDefault="00F61FF3" w:rsidP="00AE677F">
            <w:pPr>
              <w:pStyle w:val="Tabletext"/>
            </w:pPr>
            <w:r w:rsidRPr="008905F8">
              <w:t>Academic achievement facilitators</w:t>
            </w:r>
          </w:p>
        </w:tc>
        <w:tc>
          <w:tcPr>
            <w:tcW w:w="3825" w:type="pct"/>
          </w:tcPr>
          <w:p w14:paraId="1EBAE145" w14:textId="77777777" w:rsidR="00F61FF3" w:rsidRPr="00EC152D" w:rsidRDefault="00F61FF3" w:rsidP="00AE677F">
            <w:pPr>
              <w:pStyle w:val="Tabletext"/>
              <w:cnfStyle w:val="000000000000" w:firstRow="0" w:lastRow="0" w:firstColumn="0" w:lastColumn="0" w:oddVBand="0" w:evenVBand="0" w:oddHBand="0" w:evenHBand="0" w:firstRowFirstColumn="0" w:firstRowLastColumn="0" w:lastRowFirstColumn="0" w:lastRowLastColumn="0"/>
            </w:pPr>
            <w:r w:rsidRPr="008905F8">
              <w:t>Parental/caregiver encouragement and support, positive peer influence, quality pedagogy, inclusion at school</w:t>
            </w:r>
          </w:p>
        </w:tc>
      </w:tr>
      <w:tr w:rsidR="00F61FF3" w14:paraId="549F262E" w14:textId="77777777" w:rsidTr="00AE67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pct"/>
          </w:tcPr>
          <w:p w14:paraId="554437A2" w14:textId="77777777" w:rsidR="00F61FF3" w:rsidRPr="00D008ED" w:rsidRDefault="00F61FF3" w:rsidP="00AE677F">
            <w:pPr>
              <w:pStyle w:val="Tabletext"/>
            </w:pPr>
            <w:r w:rsidRPr="008905F8">
              <w:t>Academic motivation/ engagement facilitators</w:t>
            </w:r>
          </w:p>
        </w:tc>
        <w:tc>
          <w:tcPr>
            <w:tcW w:w="3825" w:type="pct"/>
          </w:tcPr>
          <w:p w14:paraId="3517297B" w14:textId="77777777" w:rsidR="00F61FF3" w:rsidRPr="002528BF" w:rsidRDefault="00F61FF3" w:rsidP="00AE677F">
            <w:pPr>
              <w:pStyle w:val="Tabletext"/>
              <w:cnfStyle w:val="000000010000" w:firstRow="0" w:lastRow="0" w:firstColumn="0" w:lastColumn="0" w:oddVBand="0" w:evenVBand="0" w:oddHBand="0" w:evenHBand="1" w:firstRowFirstColumn="0" w:firstRowLastColumn="0" w:lastRowFirstColumn="0" w:lastRowLastColumn="0"/>
            </w:pPr>
            <w:r w:rsidRPr="008905F8">
              <w:t>Self-reliance, confidence, task orientation, parental/caregiver support, positive peer influence, valuing of school, enjoyment of school, effective schooling</w:t>
            </w:r>
          </w:p>
        </w:tc>
      </w:tr>
      <w:tr w:rsidR="00F61FF3" w14:paraId="63151B6B" w14:textId="77777777" w:rsidTr="00AE677F">
        <w:tc>
          <w:tcPr>
            <w:cnfStyle w:val="001000000000" w:firstRow="0" w:lastRow="0" w:firstColumn="1" w:lastColumn="0" w:oddVBand="0" w:evenVBand="0" w:oddHBand="0" w:evenHBand="0" w:firstRowFirstColumn="0" w:firstRowLastColumn="0" w:lastRowFirstColumn="0" w:lastRowLastColumn="0"/>
            <w:tcW w:w="1175" w:type="pct"/>
          </w:tcPr>
          <w:p w14:paraId="78888C06" w14:textId="77777777" w:rsidR="00F61FF3" w:rsidRPr="00D008ED" w:rsidRDefault="00F61FF3" w:rsidP="00AE677F">
            <w:pPr>
              <w:pStyle w:val="Tabletext"/>
            </w:pPr>
            <w:r w:rsidRPr="008905F8">
              <w:lastRenderedPageBreak/>
              <w:t>Attendance facilitators</w:t>
            </w:r>
          </w:p>
        </w:tc>
        <w:tc>
          <w:tcPr>
            <w:tcW w:w="3825" w:type="pct"/>
          </w:tcPr>
          <w:p w14:paraId="2970AFCD" w14:textId="77777777" w:rsidR="00F61FF3" w:rsidRPr="002528BF" w:rsidRDefault="00F61FF3" w:rsidP="00AE677F">
            <w:pPr>
              <w:pStyle w:val="Tabletext"/>
              <w:cnfStyle w:val="000000000000" w:firstRow="0" w:lastRow="0" w:firstColumn="0" w:lastColumn="0" w:oddVBand="0" w:evenVBand="0" w:oddHBand="0" w:evenHBand="0" w:firstRowFirstColumn="0" w:firstRowLastColumn="0" w:lastRowFirstColumn="0" w:lastRowLastColumn="0"/>
            </w:pPr>
            <w:r w:rsidRPr="008905F8">
              <w:t>Interesting and fun schoolwork, supportive network, mentoring, role modelling, well trained staff, flexible learning plans, relevance, achievability of work, transport, addressing health and welfare, safe and secure environment, fluency in language of instruction, affective state conducive to attention and concentration</w:t>
            </w:r>
          </w:p>
        </w:tc>
      </w:tr>
      <w:tr w:rsidR="00F61FF3" w14:paraId="18541B66" w14:textId="77777777" w:rsidTr="00AE67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pct"/>
          </w:tcPr>
          <w:p w14:paraId="3BC9D0CE" w14:textId="77777777" w:rsidR="00F61FF3" w:rsidRPr="00D008ED" w:rsidRDefault="00F61FF3" w:rsidP="00AE677F">
            <w:pPr>
              <w:pStyle w:val="Tabletext"/>
            </w:pPr>
            <w:r w:rsidRPr="008905F8">
              <w:t>Learning styles</w:t>
            </w:r>
          </w:p>
        </w:tc>
        <w:tc>
          <w:tcPr>
            <w:tcW w:w="3825" w:type="pct"/>
          </w:tcPr>
          <w:p w14:paraId="485C4F1E" w14:textId="77777777" w:rsidR="00F61FF3" w:rsidRPr="002528BF" w:rsidRDefault="00F61FF3" w:rsidP="00AE677F">
            <w:pPr>
              <w:pStyle w:val="Tabletext"/>
              <w:cnfStyle w:val="000000010000" w:firstRow="0" w:lastRow="0" w:firstColumn="0" w:lastColumn="0" w:oddVBand="0" w:evenVBand="0" w:oddHBand="0" w:evenHBand="1" w:firstRowFirstColumn="0" w:firstRowLastColumn="0" w:lastRowFirstColumn="0" w:lastRowLastColumn="0"/>
            </w:pPr>
            <w:r w:rsidRPr="008905F8">
              <w:t>Group orientations, cooperative learning, spontaneous, personal, listening, indirect questioning, spatial and visual, observation and trial</w:t>
            </w:r>
          </w:p>
        </w:tc>
      </w:tr>
    </w:tbl>
    <w:p w14:paraId="6DABE84D" w14:textId="77777777" w:rsidR="00F61FF3" w:rsidRDefault="00F61FF3" w:rsidP="00F61FF3">
      <w:pPr>
        <w:pStyle w:val="Heading4"/>
      </w:pPr>
      <w:r>
        <w:t>Failure dynamics</w:t>
      </w:r>
    </w:p>
    <w:tbl>
      <w:tblPr>
        <w:tblStyle w:val="LirataTable2"/>
        <w:tblW w:w="5000" w:type="pct"/>
        <w:tblLook w:val="04A0" w:firstRow="1" w:lastRow="0" w:firstColumn="1" w:lastColumn="0" w:noHBand="0" w:noVBand="1"/>
      </w:tblPr>
      <w:tblGrid>
        <w:gridCol w:w="2263"/>
        <w:gridCol w:w="7365"/>
      </w:tblGrid>
      <w:tr w:rsidR="00F61FF3" w14:paraId="452082EF" w14:textId="77777777" w:rsidTr="00AE677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75" w:type="pct"/>
          </w:tcPr>
          <w:p w14:paraId="76FBC06A" w14:textId="77777777" w:rsidR="00F61FF3" w:rsidRPr="00D008ED" w:rsidRDefault="00F61FF3" w:rsidP="00AE677F">
            <w:pPr>
              <w:pStyle w:val="Tabletext"/>
            </w:pPr>
            <w:bookmarkStart w:id="28" w:name="ColumnTitle_5"/>
            <w:r>
              <w:t>Sub-theme</w:t>
            </w:r>
          </w:p>
        </w:tc>
        <w:tc>
          <w:tcPr>
            <w:tcW w:w="3825" w:type="pct"/>
          </w:tcPr>
          <w:p w14:paraId="331198D2" w14:textId="77777777" w:rsidR="00F61FF3" w:rsidRPr="00D008ED" w:rsidRDefault="00F61FF3" w:rsidP="00AE677F">
            <w:pPr>
              <w:pStyle w:val="Tabletext"/>
              <w:cnfStyle w:val="100000000000" w:firstRow="1" w:lastRow="0" w:firstColumn="0" w:lastColumn="0" w:oddVBand="0" w:evenVBand="0" w:oddHBand="0" w:evenHBand="0" w:firstRowFirstColumn="0" w:firstRowLastColumn="0" w:lastRowFirstColumn="0" w:lastRowLastColumn="0"/>
            </w:pPr>
            <w:r>
              <w:t>Key elements/Strategies</w:t>
            </w:r>
          </w:p>
        </w:tc>
      </w:tr>
      <w:bookmarkEnd w:id="28"/>
      <w:tr w:rsidR="00F61FF3" w14:paraId="444EA2C7" w14:textId="77777777" w:rsidTr="00AE677F">
        <w:tc>
          <w:tcPr>
            <w:cnfStyle w:val="001000000000" w:firstRow="0" w:lastRow="0" w:firstColumn="1" w:lastColumn="0" w:oddVBand="0" w:evenVBand="0" w:oddHBand="0" w:evenHBand="0" w:firstRowFirstColumn="0" w:firstRowLastColumn="0" w:lastRowFirstColumn="0" w:lastRowLastColumn="0"/>
            <w:tcW w:w="1175" w:type="pct"/>
          </w:tcPr>
          <w:p w14:paraId="0B4BF214" w14:textId="77777777" w:rsidR="00F61FF3" w:rsidRPr="00D008ED" w:rsidRDefault="00F61FF3" w:rsidP="00AE677F">
            <w:pPr>
              <w:pStyle w:val="Tabletext"/>
            </w:pPr>
            <w:r w:rsidRPr="008905F8">
              <w:t>Fear of failure and shame</w:t>
            </w:r>
          </w:p>
        </w:tc>
        <w:tc>
          <w:tcPr>
            <w:tcW w:w="3825" w:type="pct"/>
          </w:tcPr>
          <w:p w14:paraId="7B92A847" w14:textId="77777777" w:rsidR="00F61FF3" w:rsidRPr="00EC152D" w:rsidRDefault="00F61FF3" w:rsidP="00AE677F">
            <w:pPr>
              <w:pStyle w:val="Tabletext"/>
              <w:cnfStyle w:val="000000000000" w:firstRow="0" w:lastRow="0" w:firstColumn="0" w:lastColumn="0" w:oddVBand="0" w:evenVBand="0" w:oddHBand="0" w:evenHBand="0" w:firstRowFirstColumn="0" w:firstRowLastColumn="0" w:lastRowFirstColumn="0" w:lastRowLastColumn="0"/>
            </w:pPr>
            <w:r w:rsidRPr="008905F8">
              <w:t>Careful with criticism, not singling students out, constructive and courageous view of mistakes, reducing link between worth of person and academic failure, cooperative learning climate</w:t>
            </w:r>
          </w:p>
        </w:tc>
      </w:tr>
    </w:tbl>
    <w:p w14:paraId="17C79738" w14:textId="77777777" w:rsidR="00F61FF3" w:rsidRDefault="00F61FF3" w:rsidP="00F61FF3">
      <w:pPr>
        <w:pStyle w:val="Heading4"/>
      </w:pPr>
      <w:r>
        <w:t>Socialisation and child-rearing</w:t>
      </w:r>
    </w:p>
    <w:tbl>
      <w:tblPr>
        <w:tblStyle w:val="LirataTable2"/>
        <w:tblW w:w="5000" w:type="pct"/>
        <w:tblLook w:val="04A0" w:firstRow="1" w:lastRow="0" w:firstColumn="1" w:lastColumn="0" w:noHBand="0" w:noVBand="1"/>
      </w:tblPr>
      <w:tblGrid>
        <w:gridCol w:w="2263"/>
        <w:gridCol w:w="7365"/>
      </w:tblGrid>
      <w:tr w:rsidR="00F61FF3" w14:paraId="43DAD87F" w14:textId="77777777" w:rsidTr="00AE677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75" w:type="pct"/>
          </w:tcPr>
          <w:p w14:paraId="5F00FA89" w14:textId="77777777" w:rsidR="00F61FF3" w:rsidRPr="00D008ED" w:rsidRDefault="00F61FF3" w:rsidP="00AE677F">
            <w:pPr>
              <w:pStyle w:val="Tabletext"/>
            </w:pPr>
            <w:bookmarkStart w:id="29" w:name="ColumnTitle_6"/>
            <w:r>
              <w:t>Sub-theme</w:t>
            </w:r>
          </w:p>
        </w:tc>
        <w:tc>
          <w:tcPr>
            <w:tcW w:w="3825" w:type="pct"/>
          </w:tcPr>
          <w:p w14:paraId="439846A4" w14:textId="77777777" w:rsidR="00F61FF3" w:rsidRPr="00D008ED" w:rsidRDefault="00F61FF3" w:rsidP="00AE677F">
            <w:pPr>
              <w:pStyle w:val="Tabletext"/>
              <w:cnfStyle w:val="100000000000" w:firstRow="1" w:lastRow="0" w:firstColumn="0" w:lastColumn="0" w:oddVBand="0" w:evenVBand="0" w:oddHBand="0" w:evenHBand="0" w:firstRowFirstColumn="0" w:firstRowLastColumn="0" w:lastRowFirstColumn="0" w:lastRowLastColumn="0"/>
            </w:pPr>
            <w:r>
              <w:t>Key elements/Strategies</w:t>
            </w:r>
          </w:p>
        </w:tc>
      </w:tr>
      <w:bookmarkEnd w:id="29"/>
      <w:tr w:rsidR="00F61FF3" w14:paraId="016FE4C9" w14:textId="77777777" w:rsidTr="00AE677F">
        <w:tc>
          <w:tcPr>
            <w:cnfStyle w:val="001000000000" w:firstRow="0" w:lastRow="0" w:firstColumn="1" w:lastColumn="0" w:oddVBand="0" w:evenVBand="0" w:oddHBand="0" w:evenHBand="0" w:firstRowFirstColumn="0" w:firstRowLastColumn="0" w:lastRowFirstColumn="0" w:lastRowLastColumn="0"/>
            <w:tcW w:w="1175" w:type="pct"/>
          </w:tcPr>
          <w:p w14:paraId="3DB04E96" w14:textId="77777777" w:rsidR="00F61FF3" w:rsidRPr="00D008ED" w:rsidRDefault="00F61FF3" w:rsidP="00AE677F">
            <w:pPr>
              <w:pStyle w:val="Tabletext"/>
            </w:pPr>
            <w:r w:rsidRPr="008905F8">
              <w:t>Role of family</w:t>
            </w:r>
          </w:p>
        </w:tc>
        <w:tc>
          <w:tcPr>
            <w:tcW w:w="3825" w:type="pct"/>
          </w:tcPr>
          <w:p w14:paraId="2FC3B127" w14:textId="77777777" w:rsidR="00F61FF3" w:rsidRPr="00EC152D" w:rsidRDefault="00F61FF3" w:rsidP="00AE677F">
            <w:pPr>
              <w:pStyle w:val="Tabletext"/>
              <w:cnfStyle w:val="000000000000" w:firstRow="0" w:lastRow="0" w:firstColumn="0" w:lastColumn="0" w:oddVBand="0" w:evenVBand="0" w:oddHBand="0" w:evenHBand="0" w:firstRowFirstColumn="0" w:firstRowLastColumn="0" w:lastRowFirstColumn="0" w:lastRowLastColumn="0"/>
            </w:pPr>
            <w:r w:rsidRPr="008905F8">
              <w:t>Optimistic expectations for student, encouragement and support of student, positive academic goals, valuing of school and education, nurturance of child, supportive autonomy. Strong school-home links (a) recognising parents’/caregivers’ educational disadvantage, few educational resources at home, lack of skills to help child, parents’/caregivers’ lack of confidence to approach teacher and (b) increasing parents’/caregivers’ knowledge of the education system, knowledge of child’s progress, cooperation on school activities and projects of substance</w:t>
            </w:r>
          </w:p>
        </w:tc>
      </w:tr>
    </w:tbl>
    <w:p w14:paraId="3CA8AEAA" w14:textId="77777777" w:rsidR="00F61FF3" w:rsidRDefault="00F61FF3" w:rsidP="00F61FF3">
      <w:pPr>
        <w:pStyle w:val="Heading4"/>
      </w:pPr>
      <w:r>
        <w:t>Pathways and transitions</w:t>
      </w:r>
    </w:p>
    <w:tbl>
      <w:tblPr>
        <w:tblStyle w:val="LirataTable2"/>
        <w:tblW w:w="5000" w:type="pct"/>
        <w:tblLook w:val="04A0" w:firstRow="1" w:lastRow="0" w:firstColumn="1" w:lastColumn="0" w:noHBand="0" w:noVBand="1"/>
      </w:tblPr>
      <w:tblGrid>
        <w:gridCol w:w="2263"/>
        <w:gridCol w:w="7365"/>
      </w:tblGrid>
      <w:tr w:rsidR="00F61FF3" w14:paraId="5F6EA665" w14:textId="77777777" w:rsidTr="00AE677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75" w:type="pct"/>
          </w:tcPr>
          <w:p w14:paraId="2E4179B7" w14:textId="77777777" w:rsidR="00F61FF3" w:rsidRPr="00D008ED" w:rsidRDefault="00F61FF3" w:rsidP="00AE677F">
            <w:pPr>
              <w:pStyle w:val="Tabletext"/>
            </w:pPr>
            <w:bookmarkStart w:id="30" w:name="ColumnTitle_7"/>
            <w:r>
              <w:t>Sub-theme</w:t>
            </w:r>
          </w:p>
        </w:tc>
        <w:tc>
          <w:tcPr>
            <w:tcW w:w="3825" w:type="pct"/>
          </w:tcPr>
          <w:p w14:paraId="20E72B23" w14:textId="77777777" w:rsidR="00F61FF3" w:rsidRPr="00D008ED" w:rsidRDefault="00F61FF3" w:rsidP="00AE677F">
            <w:pPr>
              <w:pStyle w:val="Tabletext"/>
              <w:cnfStyle w:val="100000000000" w:firstRow="1" w:lastRow="0" w:firstColumn="0" w:lastColumn="0" w:oddVBand="0" w:evenVBand="0" w:oddHBand="0" w:evenHBand="0" w:firstRowFirstColumn="0" w:firstRowLastColumn="0" w:lastRowFirstColumn="0" w:lastRowLastColumn="0"/>
            </w:pPr>
            <w:r>
              <w:t>Key elements/Strategies</w:t>
            </w:r>
          </w:p>
        </w:tc>
      </w:tr>
      <w:bookmarkEnd w:id="30"/>
      <w:tr w:rsidR="00F61FF3" w14:paraId="318402F1" w14:textId="77777777" w:rsidTr="00AE677F">
        <w:tc>
          <w:tcPr>
            <w:cnfStyle w:val="001000000000" w:firstRow="0" w:lastRow="0" w:firstColumn="1" w:lastColumn="0" w:oddVBand="0" w:evenVBand="0" w:oddHBand="0" w:evenHBand="0" w:firstRowFirstColumn="0" w:firstRowLastColumn="0" w:lastRowFirstColumn="0" w:lastRowLastColumn="0"/>
            <w:tcW w:w="1175" w:type="pct"/>
          </w:tcPr>
          <w:p w14:paraId="32F251E0" w14:textId="77777777" w:rsidR="00F61FF3" w:rsidRPr="00D008ED" w:rsidRDefault="00F61FF3" w:rsidP="00AE677F">
            <w:pPr>
              <w:pStyle w:val="Tabletext"/>
            </w:pPr>
            <w:r w:rsidRPr="008905F8">
              <w:t>Educational transition</w:t>
            </w:r>
          </w:p>
        </w:tc>
        <w:tc>
          <w:tcPr>
            <w:tcW w:w="3825" w:type="pct"/>
          </w:tcPr>
          <w:p w14:paraId="153BC868" w14:textId="77777777" w:rsidR="00F61FF3" w:rsidRPr="00EC152D" w:rsidRDefault="00F61FF3" w:rsidP="00AE677F">
            <w:pPr>
              <w:pStyle w:val="Tabletext"/>
              <w:cnfStyle w:val="000000000000" w:firstRow="0" w:lastRow="0" w:firstColumn="0" w:lastColumn="0" w:oddVBand="0" w:evenVBand="0" w:oddHBand="0" w:evenHBand="0" w:firstRowFirstColumn="0" w:firstRowLastColumn="0" w:lastRowFirstColumn="0" w:lastRowLastColumn="0"/>
            </w:pPr>
            <w:r w:rsidRPr="008905F8">
              <w:t>Fully briefing staff on students’ backgrounds, professional development to help deal with Indigenous students and issues, fully briefing students about high school, developing inclusive and embracing school climate, facilitating teacher-student relationships (approachability, availability, helpfulness), early intervention with literacy and numeracy difficulties, good school-home links, supportive parents/caregivers and peers, confidence of student, commitment and determination of student, maximise opportunities to succeed, peer support/mentoring, positive role models, positive expectations by all stakeholders</w:t>
            </w:r>
          </w:p>
        </w:tc>
      </w:tr>
    </w:tbl>
    <w:p w14:paraId="3071A421" w14:textId="77777777" w:rsidR="00F61FF3" w:rsidRDefault="00F61FF3" w:rsidP="00F61FF3">
      <w:pPr>
        <w:pStyle w:val="Heading4"/>
      </w:pPr>
      <w:r>
        <w:t>Significant others and their contexts</w:t>
      </w:r>
    </w:p>
    <w:tbl>
      <w:tblPr>
        <w:tblStyle w:val="LirataTable2"/>
        <w:tblW w:w="5000" w:type="pct"/>
        <w:tblLook w:val="04A0" w:firstRow="1" w:lastRow="0" w:firstColumn="1" w:lastColumn="0" w:noHBand="0" w:noVBand="1"/>
      </w:tblPr>
      <w:tblGrid>
        <w:gridCol w:w="2263"/>
        <w:gridCol w:w="7365"/>
      </w:tblGrid>
      <w:tr w:rsidR="00F61FF3" w14:paraId="38A45EAA" w14:textId="77777777" w:rsidTr="00AE677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75" w:type="pct"/>
          </w:tcPr>
          <w:p w14:paraId="12B251E5" w14:textId="77777777" w:rsidR="00F61FF3" w:rsidRPr="00D008ED" w:rsidRDefault="00F61FF3" w:rsidP="00AE677F">
            <w:pPr>
              <w:pStyle w:val="Tabletext"/>
            </w:pPr>
            <w:bookmarkStart w:id="31" w:name="ColumnTitle_8"/>
            <w:r>
              <w:t>Sub-theme</w:t>
            </w:r>
          </w:p>
        </w:tc>
        <w:tc>
          <w:tcPr>
            <w:tcW w:w="3825" w:type="pct"/>
          </w:tcPr>
          <w:p w14:paraId="5DFC71BE" w14:textId="77777777" w:rsidR="00F61FF3" w:rsidRPr="00D008ED" w:rsidRDefault="00F61FF3" w:rsidP="00AE677F">
            <w:pPr>
              <w:pStyle w:val="Tabletext"/>
              <w:cnfStyle w:val="100000000000" w:firstRow="1" w:lastRow="0" w:firstColumn="0" w:lastColumn="0" w:oddVBand="0" w:evenVBand="0" w:oddHBand="0" w:evenHBand="0" w:firstRowFirstColumn="0" w:firstRowLastColumn="0" w:lastRowFirstColumn="0" w:lastRowLastColumn="0"/>
            </w:pPr>
            <w:r>
              <w:t>Key elements/Strategies</w:t>
            </w:r>
          </w:p>
        </w:tc>
      </w:tr>
      <w:bookmarkEnd w:id="31"/>
      <w:tr w:rsidR="00F61FF3" w14:paraId="06A9BFAD" w14:textId="77777777" w:rsidTr="00F61FF3">
        <w:trPr>
          <w:cantSplit/>
        </w:trPr>
        <w:tc>
          <w:tcPr>
            <w:cnfStyle w:val="001000000000" w:firstRow="0" w:lastRow="0" w:firstColumn="1" w:lastColumn="0" w:oddVBand="0" w:evenVBand="0" w:oddHBand="0" w:evenHBand="0" w:firstRowFirstColumn="0" w:firstRowLastColumn="0" w:lastRowFirstColumn="0" w:lastRowLastColumn="0"/>
            <w:tcW w:w="1175" w:type="pct"/>
          </w:tcPr>
          <w:p w14:paraId="14D07507" w14:textId="77777777" w:rsidR="00F61FF3" w:rsidRPr="00D008ED" w:rsidRDefault="00F61FF3" w:rsidP="00AE677F">
            <w:pPr>
              <w:pStyle w:val="Tabletext"/>
            </w:pPr>
            <w:r w:rsidRPr="008905F8">
              <w:t>Effective schools</w:t>
            </w:r>
          </w:p>
        </w:tc>
        <w:tc>
          <w:tcPr>
            <w:tcW w:w="3825" w:type="pct"/>
          </w:tcPr>
          <w:p w14:paraId="1C265C25" w14:textId="77777777" w:rsidR="00F61FF3" w:rsidRPr="00EC152D" w:rsidRDefault="00F61FF3" w:rsidP="00AE677F">
            <w:pPr>
              <w:pStyle w:val="Tabletext"/>
              <w:cnfStyle w:val="000000000000" w:firstRow="0" w:lastRow="0" w:firstColumn="0" w:lastColumn="0" w:oddVBand="0" w:evenVBand="0" w:oddHBand="0" w:evenHBand="0" w:firstRowFirstColumn="0" w:firstRowLastColumn="0" w:lastRowFirstColumn="0" w:lastRowLastColumn="0"/>
            </w:pPr>
            <w:r w:rsidRPr="008905F8">
              <w:t>Good leadership (particularly), respect and value individuality of student, link effectively with families/home and community, create a welcoming environment for students, demanding but accommodating academic curriculum, high tolerance, supportive and innovative teaching strategies, facilitate positive teacher-student relationships, affirm cultural heritage of students</w:t>
            </w:r>
          </w:p>
        </w:tc>
      </w:tr>
      <w:tr w:rsidR="00F61FF3" w14:paraId="7A48F25A" w14:textId="77777777" w:rsidTr="00AE67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pct"/>
          </w:tcPr>
          <w:p w14:paraId="392B0738" w14:textId="77777777" w:rsidR="00F61FF3" w:rsidRPr="00D008ED" w:rsidRDefault="00F61FF3" w:rsidP="00AE677F">
            <w:pPr>
              <w:pStyle w:val="Tabletext"/>
            </w:pPr>
            <w:r w:rsidRPr="008905F8">
              <w:t>Effective teachers</w:t>
            </w:r>
          </w:p>
        </w:tc>
        <w:tc>
          <w:tcPr>
            <w:tcW w:w="3825" w:type="pct"/>
          </w:tcPr>
          <w:p w14:paraId="42C0D219" w14:textId="77777777" w:rsidR="00F61FF3" w:rsidRPr="00EC152D" w:rsidRDefault="00F61FF3" w:rsidP="00AE677F">
            <w:pPr>
              <w:pStyle w:val="Tabletext"/>
              <w:cnfStyle w:val="000000010000" w:firstRow="0" w:lastRow="0" w:firstColumn="0" w:lastColumn="0" w:oddVBand="0" w:evenVBand="0" w:oddHBand="0" w:evenHBand="1" w:firstRowFirstColumn="0" w:firstRowLastColumn="0" w:lastRowFirstColumn="0" w:lastRowLastColumn="0"/>
            </w:pPr>
            <w:r w:rsidRPr="008905F8">
              <w:t>Possess specific (a) personal characteristics (warmth, friendliness, high but realistic standards), (b) attitudes and values (confidence in students, positive attitude towards Aboriginality, respect for Indigenous culture), (c) knowledge and skills (knowledge of content, students, effective means of facilitating content acquisition), (d) strategies for effective teaching (individualised approaches, handling group dynamics, facilitating cooperation, appropriate remedial instruction), and (e) roles (being a student of Indigenous culture, innovator of teaching techniques, an agent of social change, school-home liaison, community involvement)</w:t>
            </w:r>
          </w:p>
        </w:tc>
      </w:tr>
      <w:tr w:rsidR="00F61FF3" w14:paraId="6ACE93FA" w14:textId="77777777" w:rsidTr="00AE677F">
        <w:tc>
          <w:tcPr>
            <w:cnfStyle w:val="001000000000" w:firstRow="0" w:lastRow="0" w:firstColumn="1" w:lastColumn="0" w:oddVBand="0" w:evenVBand="0" w:oddHBand="0" w:evenHBand="0" w:firstRowFirstColumn="0" w:firstRowLastColumn="0" w:lastRowFirstColumn="0" w:lastRowLastColumn="0"/>
            <w:tcW w:w="1175" w:type="pct"/>
          </w:tcPr>
          <w:p w14:paraId="5B866EC4" w14:textId="77777777" w:rsidR="00F61FF3" w:rsidRPr="00D008ED" w:rsidRDefault="00F61FF3" w:rsidP="00AE677F">
            <w:pPr>
              <w:pStyle w:val="Tabletext"/>
            </w:pPr>
            <w:r w:rsidRPr="008905F8">
              <w:lastRenderedPageBreak/>
              <w:t>Good relationships</w:t>
            </w:r>
          </w:p>
        </w:tc>
        <w:tc>
          <w:tcPr>
            <w:tcW w:w="3825" w:type="pct"/>
          </w:tcPr>
          <w:p w14:paraId="4F5429A6" w14:textId="77777777" w:rsidR="00F61FF3" w:rsidRPr="00EC152D" w:rsidRDefault="00F61FF3" w:rsidP="00AE677F">
            <w:pPr>
              <w:pStyle w:val="Tabletext"/>
              <w:cnfStyle w:val="000000000000" w:firstRow="0" w:lastRow="0" w:firstColumn="0" w:lastColumn="0" w:oddVBand="0" w:evenVBand="0" w:oddHBand="0" w:evenHBand="0" w:firstRowFirstColumn="0" w:firstRowLastColumn="0" w:lastRowFirstColumn="0" w:lastRowLastColumn="0"/>
            </w:pPr>
            <w:r w:rsidRPr="008905F8">
              <w:t>(a) Between teacher and student – caring teacher, acceptance by teacher, teacher high in warmth, teacher supportive of student autonomy, getting to know students, developing trust and respect, developing teachers’ cultural knowledge; (b) between student and school – connections between school and Indigenous community, inclusion of Aboriginal Studies, Indigenous teachers; (c) between student and pedagogy – challenging and interesting work, effective helping strategies, positive expectations of teachers for students, teacher satisfaction, respectful ideological view of Indigenous culture, collaborative school planning, and effective early intervention</w:t>
            </w:r>
          </w:p>
        </w:tc>
      </w:tr>
      <w:tr w:rsidR="00F61FF3" w14:paraId="54A270FB" w14:textId="77777777" w:rsidTr="00AE67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pct"/>
          </w:tcPr>
          <w:p w14:paraId="120FD363" w14:textId="77777777" w:rsidR="00F61FF3" w:rsidRPr="00D008ED" w:rsidRDefault="00F61FF3" w:rsidP="00AE677F">
            <w:pPr>
              <w:pStyle w:val="Tabletext"/>
            </w:pPr>
            <w:r w:rsidRPr="008905F8">
              <w:t>Pastoral pedagogy</w:t>
            </w:r>
          </w:p>
        </w:tc>
        <w:tc>
          <w:tcPr>
            <w:tcW w:w="3825" w:type="pct"/>
          </w:tcPr>
          <w:p w14:paraId="042D304B" w14:textId="77777777" w:rsidR="00F61FF3" w:rsidRPr="00EC152D" w:rsidRDefault="00F61FF3" w:rsidP="00AE677F">
            <w:pPr>
              <w:pStyle w:val="Tabletext"/>
              <w:cnfStyle w:val="000000010000" w:firstRow="0" w:lastRow="0" w:firstColumn="0" w:lastColumn="0" w:oddVBand="0" w:evenVBand="0" w:oddHBand="0" w:evenHBand="1" w:firstRowFirstColumn="0" w:firstRowLastColumn="0" w:lastRowFirstColumn="0" w:lastRowLastColumn="0"/>
            </w:pPr>
            <w:r w:rsidRPr="008905F8">
              <w:t>Three key relationships in the classroom: (a) ‘Substantive relationship’ – subject matter important, interesting, arouses curiosity, authentic etc.; (b) ‘Interpersonal relationship’ – warmth, positive expectations, getting to know students, respecting individuals etc. (c) ‘Pedagogical relationship’ – teaching that engages, variety in methods, arouses curiosity, clear explanations, not too rushed etc.</w:t>
            </w:r>
          </w:p>
        </w:tc>
      </w:tr>
    </w:tbl>
    <w:p w14:paraId="76D52ED0" w14:textId="77777777" w:rsidR="00F61FF3" w:rsidRDefault="00F61FF3" w:rsidP="00F61FF3">
      <w:pPr>
        <w:pStyle w:val="Heading4"/>
      </w:pPr>
      <w:r>
        <w:t>Contribution to general principles of behaviour</w:t>
      </w:r>
    </w:p>
    <w:tbl>
      <w:tblPr>
        <w:tblStyle w:val="LirataTable2"/>
        <w:tblW w:w="5000" w:type="pct"/>
        <w:tblLook w:val="04A0" w:firstRow="1" w:lastRow="0" w:firstColumn="1" w:lastColumn="0" w:noHBand="0" w:noVBand="1"/>
      </w:tblPr>
      <w:tblGrid>
        <w:gridCol w:w="2263"/>
        <w:gridCol w:w="7365"/>
      </w:tblGrid>
      <w:tr w:rsidR="00F61FF3" w14:paraId="77CC039E" w14:textId="77777777" w:rsidTr="00AE677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75" w:type="pct"/>
          </w:tcPr>
          <w:p w14:paraId="6B71D566" w14:textId="77777777" w:rsidR="00F61FF3" w:rsidRPr="00D008ED" w:rsidRDefault="00F61FF3" w:rsidP="00AE677F">
            <w:pPr>
              <w:pStyle w:val="Tabletext"/>
            </w:pPr>
            <w:bookmarkStart w:id="32" w:name="ColumnTitle_9"/>
            <w:r>
              <w:t>Sub-theme</w:t>
            </w:r>
          </w:p>
        </w:tc>
        <w:tc>
          <w:tcPr>
            <w:tcW w:w="3825" w:type="pct"/>
          </w:tcPr>
          <w:p w14:paraId="0914A35E" w14:textId="77777777" w:rsidR="00F61FF3" w:rsidRPr="00D008ED" w:rsidRDefault="00F61FF3" w:rsidP="00AE677F">
            <w:pPr>
              <w:pStyle w:val="Tabletext"/>
              <w:cnfStyle w:val="100000000000" w:firstRow="1" w:lastRow="0" w:firstColumn="0" w:lastColumn="0" w:oddVBand="0" w:evenVBand="0" w:oddHBand="0" w:evenHBand="0" w:firstRowFirstColumn="0" w:firstRowLastColumn="0" w:lastRowFirstColumn="0" w:lastRowLastColumn="0"/>
            </w:pPr>
            <w:r>
              <w:t>Key elements/Strategies</w:t>
            </w:r>
          </w:p>
        </w:tc>
      </w:tr>
      <w:bookmarkEnd w:id="32"/>
      <w:tr w:rsidR="00F61FF3" w14:paraId="15788694" w14:textId="77777777" w:rsidTr="00AE677F">
        <w:tc>
          <w:tcPr>
            <w:cnfStyle w:val="001000000000" w:firstRow="0" w:lastRow="0" w:firstColumn="1" w:lastColumn="0" w:oddVBand="0" w:evenVBand="0" w:oddHBand="0" w:evenHBand="0" w:firstRowFirstColumn="0" w:firstRowLastColumn="0" w:lastRowFirstColumn="0" w:lastRowLastColumn="0"/>
            <w:tcW w:w="1175" w:type="pct"/>
          </w:tcPr>
          <w:p w14:paraId="68B3C69F" w14:textId="77777777" w:rsidR="00F61FF3" w:rsidRPr="00D008ED" w:rsidRDefault="00F61FF3" w:rsidP="00AE677F">
            <w:pPr>
              <w:pStyle w:val="Tabletext"/>
            </w:pPr>
            <w:r w:rsidRPr="008905F8">
              <w:t>Positive Psychology</w:t>
            </w:r>
          </w:p>
        </w:tc>
        <w:tc>
          <w:tcPr>
            <w:tcW w:w="3825" w:type="pct"/>
          </w:tcPr>
          <w:p w14:paraId="53D7B646" w14:textId="77777777" w:rsidR="00F61FF3" w:rsidRPr="00EC152D" w:rsidRDefault="00F61FF3" w:rsidP="00AE677F">
            <w:pPr>
              <w:pStyle w:val="Tabletext"/>
              <w:cnfStyle w:val="000000000000" w:firstRow="0" w:lastRow="0" w:firstColumn="0" w:lastColumn="0" w:oddVBand="0" w:evenVBand="0" w:oddHBand="0" w:evenHBand="0" w:firstRowFirstColumn="0" w:firstRowLastColumn="0" w:lastRowFirstColumn="0" w:lastRowLastColumn="0"/>
            </w:pPr>
            <w:r w:rsidRPr="008905F8">
              <w:t>Avoid unbalanced deficit approach, identify and build on strengths (‘broaden and build theory’ of positive emotion), encouraging pride of Indigenous heritage, proactive rather than reactive approaches to areas of need, foster catalysts in the school (intrapersonal such as self-esteem, motivation, positive attitude, interest in schoolwork).</w:t>
            </w:r>
          </w:p>
        </w:tc>
      </w:tr>
    </w:tbl>
    <w:p w14:paraId="4A5BF7B2" w14:textId="7AA51985" w:rsidR="004253AA" w:rsidRPr="004253AA" w:rsidRDefault="004253AA" w:rsidP="00F61FF3">
      <w:pPr>
        <w:spacing w:before="360"/>
        <w:rPr>
          <w:lang w:eastAsia="en-AU"/>
        </w:rPr>
      </w:pPr>
      <w:r w:rsidRPr="004253AA">
        <w:rPr>
          <w:lang w:val="en-US" w:eastAsia="en-AU"/>
        </w:rPr>
        <w:t xml:space="preserve">While access to a positive school learning environment is critical for student achievement, at the same time the research evidence indicates that student characteristics have a significant influence on outcomes </w:t>
      </w:r>
      <w:r w:rsidRPr="004253AA">
        <w:rPr>
          <w:lang w:val="en-US" w:eastAsia="en-AU"/>
        </w:rPr>
        <w:fldChar w:fldCharType="begin" w:fldLock="1"/>
      </w:r>
      <w:r w:rsidR="005F5266">
        <w:rPr>
          <w:lang w:val="en-US" w:eastAsia="en-AU"/>
        </w:rPr>
        <w:instrText>ADDIN CSL_CITATION {"citationItems":[{"id":"ITEM-1","itemData":{"author":[{"dropping-particle":"","family":"Hattie","given":"J.","non-dropping-particle":"","parse-names":false,"suffix":""}],"id":"ITEM-1","issued":{"date-parts":[["2009"]]},"publisher":"Routledge","publisher-place":"London","title":"Visible Learning: A synthesis of over 800 meta-analyses relating to achievement","type":"book"},"uris":["http://www.mendeley.com/documents/?uuid=9bc91794-d003-466e-b724-49219cf0b1c9"]}],"mendeley":{"formattedCitation":"(Hattie, 2009)","plainTextFormattedCitation":"(Hattie, 2009)","previouslyFormattedCitation":"(Hattie, 2009)"},"properties":{"noteIndex":0},"schema":"https://github.com/citation-style-language/schema/raw/master/csl-citation.json"}</w:instrText>
      </w:r>
      <w:r w:rsidRPr="004253AA">
        <w:rPr>
          <w:lang w:val="en-US" w:eastAsia="en-AU"/>
        </w:rPr>
        <w:fldChar w:fldCharType="separate"/>
      </w:r>
      <w:r w:rsidR="006537A1" w:rsidRPr="006537A1">
        <w:rPr>
          <w:noProof/>
          <w:lang w:val="en-US" w:eastAsia="en-AU"/>
        </w:rPr>
        <w:t>(Hattie, 2009)</w:t>
      </w:r>
      <w:r w:rsidRPr="004253AA">
        <w:rPr>
          <w:lang w:val="en-US" w:eastAsia="en-AU"/>
        </w:rPr>
        <w:fldChar w:fldCharType="end"/>
      </w:r>
      <w:r w:rsidRPr="004253AA">
        <w:rPr>
          <w:lang w:val="en-US" w:eastAsia="en-AU"/>
        </w:rPr>
        <w:t>.</w:t>
      </w:r>
      <w:r w:rsidRPr="004253AA">
        <w:t xml:space="preserve"> </w:t>
      </w:r>
      <w:r w:rsidRPr="004253AA">
        <w:rPr>
          <w:lang w:val="en-US" w:eastAsia="en-AU"/>
        </w:rPr>
        <w:t xml:space="preserve">Student ability is strongly influenced by prior learning, attitudes and physical influences formed outside schooling in family and community contexts. Research suggests that the key to improving educational achievement, for all learners, is high quality individualised instruction and tailored support that is responsive to students’ diverse backgrounds. The Productivity Commission’s </w:t>
      </w:r>
      <w:r w:rsidRPr="004253AA">
        <w:rPr>
          <w:lang w:val="en-US" w:eastAsia="en-AU"/>
        </w:rPr>
        <w:fldChar w:fldCharType="begin" w:fldLock="1"/>
      </w:r>
      <w:r w:rsidRPr="004253AA">
        <w:rPr>
          <w:lang w:val="en-US" w:eastAsia="en-AU"/>
        </w:rPr>
        <w:instrText>ADDIN CSL_CITATION {"citationItems":[{"id":"ITEM-1","itemData":{"author":[{"dropping-particle":"","family":"Australian Government Productivity Commission","given":"","non-dropping-particle":"","parse-names":false,"suffix":""}],"id":"ITEM-1","issued":{"date-parts":[["2016"]]},"publisher-place":"Canberra","title":"Overcoming Indigenous Disadvantage: Key Indicators 2016","type":"report"},"suppress-author":1,"uris":["http://www.mendeley.com/documents/?uuid=3abbdd04-29f0-456e-96ae-b46e11299db2"]}],"mendeley":{"formattedCitation":"(2016)","plainTextFormattedCitation":"(2016)","previouslyFormattedCitation":"(2016)"},"properties":{"noteIndex":0},"schema":"https://github.com/citation-style-language/schema/raw/master/csl-citation.json"}</w:instrText>
      </w:r>
      <w:r w:rsidRPr="004253AA">
        <w:rPr>
          <w:lang w:val="en-US" w:eastAsia="en-AU"/>
        </w:rPr>
        <w:fldChar w:fldCharType="separate"/>
      </w:r>
      <w:r w:rsidRPr="004253AA">
        <w:rPr>
          <w:noProof/>
          <w:lang w:val="en-US" w:eastAsia="en-AU"/>
        </w:rPr>
        <w:t>(2016)</w:t>
      </w:r>
      <w:r w:rsidRPr="004253AA">
        <w:rPr>
          <w:lang w:val="en-US" w:eastAsia="en-AU"/>
        </w:rPr>
        <w:fldChar w:fldCharType="end"/>
      </w:r>
      <w:r w:rsidRPr="004253AA">
        <w:rPr>
          <w:lang w:val="en-US" w:eastAsia="en-AU"/>
        </w:rPr>
        <w:t xml:space="preserve"> analysis of Indigenous school achievement found that schools which adopted an individualised case management approach to sup</w:t>
      </w:r>
      <w:r w:rsidRPr="004253AA">
        <w:rPr>
          <w:lang w:val="en-US" w:eastAsia="en-AU"/>
        </w:rPr>
        <w:lastRenderedPageBreak/>
        <w:t>porting the specific needs of Aboriginal and Torres Strait Islander students achieved the greatest success in lifting Indigenous school achievement and student performance.</w:t>
      </w:r>
    </w:p>
    <w:p w14:paraId="2A6081CA" w14:textId="4FB99FF8" w:rsidR="00706A75" w:rsidRDefault="00706A75" w:rsidP="00706A75">
      <w:pPr>
        <w:pStyle w:val="Heading2"/>
      </w:pPr>
      <w:bookmarkStart w:id="33" w:name="_Toc90650037"/>
      <w:r>
        <w:t>Key themes</w:t>
      </w:r>
      <w:bookmarkEnd w:id="33"/>
    </w:p>
    <w:p w14:paraId="046CC6F1" w14:textId="77777777" w:rsidR="00706A75" w:rsidRPr="00706A75" w:rsidRDefault="00706A75" w:rsidP="00706A75">
      <w:pPr>
        <w:rPr>
          <w:lang w:eastAsia="en-AU"/>
        </w:rPr>
      </w:pPr>
      <w:bookmarkStart w:id="34" w:name="_Toc9497569"/>
      <w:r w:rsidRPr="00706A75">
        <w:rPr>
          <w:lang w:eastAsia="en-AU"/>
        </w:rPr>
        <w:t>In this section, some of the key themes highlighted above are explored with further reference to previous studies.</w:t>
      </w:r>
    </w:p>
    <w:p w14:paraId="5C18C9BD" w14:textId="77777777" w:rsidR="00706A75" w:rsidRPr="00706A75" w:rsidRDefault="00706A75" w:rsidP="00706A75">
      <w:pPr>
        <w:pStyle w:val="Heading3"/>
      </w:pPr>
      <w:r w:rsidRPr="00706A75">
        <w:t>Disengagement and alternatives</w:t>
      </w:r>
      <w:bookmarkEnd w:id="34"/>
    </w:p>
    <w:p w14:paraId="3E004EB9" w14:textId="781E5989" w:rsidR="00706A75" w:rsidRPr="00706A75" w:rsidRDefault="00706A75" w:rsidP="00706A75">
      <w:pPr>
        <w:rPr>
          <w:lang w:eastAsia="en-AU"/>
        </w:rPr>
      </w:pPr>
      <w:r w:rsidRPr="00706A75">
        <w:rPr>
          <w:rFonts w:cs="Avenir-Roman"/>
        </w:rPr>
        <w:t xml:space="preserve">Increasing school attendance is often identified as a to be a key focus for many educational programs aimed at engaging or reengaging Indigenous youth in school education. </w:t>
      </w:r>
      <w:r w:rsidRPr="00706A75">
        <w:rPr>
          <w:lang w:eastAsia="en-AU"/>
        </w:rPr>
        <w:t xml:space="preserve">In investigating the causes of secondary students’ academic disengagement, Bodkin-Andrews, Dillon and Craven </w:t>
      </w:r>
      <w:r w:rsidRPr="00706A75">
        <w:rPr>
          <w:lang w:eastAsia="en-AU"/>
        </w:rPr>
        <w:fldChar w:fldCharType="begin" w:fldLock="1"/>
      </w:r>
      <w:r w:rsidRPr="00706A75">
        <w:rPr>
          <w:lang w:eastAsia="en-AU"/>
        </w:rPr>
        <w:instrText>ADDIN CSL_CITATION {"citationItems":[{"id":"ITEM-1","itemData":{"DOI":"10.1375/S1326011100000892","ISSN":"20497784","abstract":"The notion of academic disengagement, regardless of its specific conceptualisation (e.g., cognitive, affective, or behavioural) is one that has received considerable attention within the educational and social psychological literature, especially with regard to disadvantaged minority groups. Akhough such research has done much to identify the complexity of factors as to why some minority groups may disengage from the schooling system (extending well beyond rightfully maligned deficit models), there is a still a need to empirically identify factors that may lesson the risk of disengagement. This investigation tested the causal impact of secondary students' academic self-concept on patterns of school disengagement (once prior measures of disengagement had been accounted for) for both Indigenous and non-Indigenous Australian secondary students across two time waves of data. The results suggest that a heightened sense of academic self-concept is causally, yet differentially, related to varying patterns of disengagement for both Indigenous and non-Indigenous students. The implications of this research suggest that academic self-concept may be a key variable to unlocking trends of school disengagement that have been noted for Indigenous Australian students, although more effort should be made to increase the strength and importance of academic self-concepts for Indigenous students.","author":[{"dropping-particle":"","family":"Bodkin-Andrews","given":"G.","non-dropping-particle":"","parse-names":false,"suffix":""},{"dropping-particle":"","family":"Dillon","given":"Anthony","non-dropping-particle":"","parse-names":false,"suffix":""},{"dropping-particle":"","family":"Craven","given":"Rhonda G.","non-dropping-particle":"","parse-names":false,"suffix":""}],"container-title":"Australian Journal of Indigenous Education","id":"ITEM-1","issue":"1","issued":{"date-parts":[["2010","7","22"]]},"page":"24-39","publisher":"Cambridge University Press","title":"Bangawarra'gumada — Strengthening the Spirit: Causal Modelling of Academic Self-Concept and Patterns of Disengagement for Indigenous and Non-Indigenous Australian Students","type":"article-journal","volume":"39"},"suppress-author":1,"uris":["http://www.mendeley.com/documents/?uuid=2d581822-1d4c-34ef-9e59-0e416f51486e"]}],"mendeley":{"formattedCitation":"(2010)","plainTextFormattedCitation":"(2010)","previouslyFormattedCitation":"(2010)"},"properties":{"noteIndex":0},"schema":"https://github.com/citation-style-language/schema/raw/master/csl-citation.json"}</w:instrText>
      </w:r>
      <w:r w:rsidRPr="00706A75">
        <w:rPr>
          <w:lang w:eastAsia="en-AU"/>
        </w:rPr>
        <w:fldChar w:fldCharType="separate"/>
      </w:r>
      <w:r w:rsidRPr="00706A75">
        <w:rPr>
          <w:noProof/>
          <w:lang w:eastAsia="en-AU"/>
        </w:rPr>
        <w:t>(2010)</w:t>
      </w:r>
      <w:r w:rsidRPr="00706A75">
        <w:rPr>
          <w:lang w:eastAsia="en-AU"/>
        </w:rPr>
        <w:fldChar w:fldCharType="end"/>
      </w:r>
      <w:r w:rsidRPr="00706A75">
        <w:rPr>
          <w:lang w:eastAsia="en-AU"/>
        </w:rPr>
        <w:t xml:space="preserve"> identified a causal link between a heightened sense of academic self-concept and patterns of disengagement for both Indigenous and non-Indigenous students. High self-esteem and self-regulation are associated with Aboriginal young people’s good psychosocial functioning </w:t>
      </w:r>
      <w:r w:rsidRPr="00706A75">
        <w:rPr>
          <w:lang w:eastAsia="en-AU"/>
        </w:rPr>
        <w:fldChar w:fldCharType="begin" w:fldLock="1"/>
      </w:r>
      <w:r w:rsidR="005F5266">
        <w:rPr>
          <w:lang w:eastAsia="en-AU"/>
        </w:rPr>
        <w:instrText>ADDIN CSL_CITATION {"citationItems":[{"id":"ITEM-1","itemData":{"DOI":"10.1371/journal.pone.0102820","ISSN":"1932-6203","abstract":"We investigate whether the profile of factors protecting psychosocial functioning of high risk exposed Australian Aboriginal youth are the same as those promoting psychosocial functioning in low risk exposed youth. Data on 1,021 youth aged 12–17 years were drawn from the Western Australian Aboriginal Child Health Survey (WAACHS 2000–2002), a population representative survey of the health and well-being of Aboriginal children, their families and community contexts. A person-centered approach was used to define four groups of youth cross-classified according to level of risk exposure (high/low) and psychosocial functioning (good/poor). Multivariate logistic regression was used to model the influence of individual, family, cultural and community factors on psychosocial outcomes separately for youth in high and low family-risk contexts. Results showed that in high family risk contexts, prosocial friendship and low area-level socioeconomic status uniquely protected psychosocial functioning. However, in low family risk contexts the perception of racism increased the likelihood of poor psychosocial functioning. For youth in both high and low risk contexts, higher self-esteem and self-regulation were associated with good psychosocial functioning although the relationship was non-linear. These findings demonstrate that an empirical resilience framework of analysis can identify potent protective processes operating uniquely in contexts of high risk and is the first to describe distinct profiles of risk, protective and promotive factors within high and low risk exposed Australian Aboriginal youth.","author":[{"dropping-particle":"","family":"Hopkins","given":"Katrina D.","non-dropping-particle":"","parse-names":false,"suffix":""},{"dropping-particle":"","family":"Zubrick","given":"Stephen R.","non-dropping-particle":"","parse-names":false,"suffix":""},{"dropping-particle":"","family":"Taylor","given":"Catherine L.","non-dropping-particle":"","parse-names":false,"suffix":""}],"container-title":"PLoS ONE","editor":[{"dropping-particle":"","family":"Eriksson","given":"Kimmo","non-dropping-particle":"","parse-names":false,"suffix":""}],"id":"ITEM-1","issue":"7","issued":{"date-parts":[["2014","7","28"]]},"page":"e102820","publisher":"Public Library of Science","title":"Resilience amongst Australian Aboriginal Youth: An Ecological Analysis of Factors Associated with Psychosocial Functioning in High and Low Family Risk Contexts","type":"article-journal","volume":"9"},"uris":["http://www.mendeley.com/documents/?uuid=252bf733-dc40-3566-b839-dc94d10c55f2"]}],"mendeley":{"formattedCitation":"(Hopkins, Zubrick, &amp; Taylor, 2014)","plainTextFormattedCitation":"(Hopkins, Zubrick, &amp; Taylor, 2014)","previouslyFormattedCitation":"(Hopkins, Zubrick, &amp; Taylor, 2014)"},"properties":{"noteIndex":0},"schema":"https://github.com/citation-style-language/schema/raw/master/csl-citation.json"}</w:instrText>
      </w:r>
      <w:r w:rsidRPr="00706A75">
        <w:rPr>
          <w:lang w:eastAsia="en-AU"/>
        </w:rPr>
        <w:fldChar w:fldCharType="separate"/>
      </w:r>
      <w:r w:rsidR="006537A1" w:rsidRPr="006537A1">
        <w:rPr>
          <w:noProof/>
          <w:lang w:eastAsia="en-AU"/>
        </w:rPr>
        <w:t>(Hopkins, Zubrick, &amp; Taylor, 2014)</w:t>
      </w:r>
      <w:r w:rsidRPr="00706A75">
        <w:rPr>
          <w:lang w:eastAsia="en-AU"/>
        </w:rPr>
        <w:fldChar w:fldCharType="end"/>
      </w:r>
      <w:r w:rsidRPr="00706A75">
        <w:rPr>
          <w:lang w:eastAsia="en-AU"/>
        </w:rPr>
        <w:t>.</w:t>
      </w:r>
    </w:p>
    <w:p w14:paraId="2CD8DABC" w14:textId="77777777" w:rsidR="00706A75" w:rsidRPr="00706A75" w:rsidRDefault="00706A75" w:rsidP="00706A75">
      <w:pPr>
        <w:rPr>
          <w:rFonts w:cs="Avenir-Roman"/>
        </w:rPr>
      </w:pPr>
      <w:r w:rsidRPr="00706A75">
        <w:rPr>
          <w:rFonts w:cs="Avenir-Roman"/>
        </w:rPr>
        <w:t xml:space="preserve">Results of Briggs’ </w:t>
      </w:r>
      <w:r w:rsidRPr="00706A75">
        <w:rPr>
          <w:rFonts w:cs="Avenir-Roman"/>
        </w:rPr>
        <w:fldChar w:fldCharType="begin" w:fldLock="1"/>
      </w:r>
      <w:r w:rsidRPr="00706A75">
        <w:rPr>
          <w:rFonts w:cs="Avenir-Roman"/>
        </w:rPr>
        <w:instrText>ADDIN CSL_CITATION {"citationItems":[{"id":"ITEM-1","itemData":{"DOI":"10.1017/jie.2016.14","ISSN":"20497784","abstract":"This paper aims to provide some insight into the links between attendance, retention and engagement of Indigenous senior students in an urban environment. A study of 58 students from two urban high schools during the period 2009–14 was undertaken. The study used data from a variety of school records, as well as informal interviews with students. It is argued that while the broader comprehensive statistical studies are useful there is a need to have some more, in depth, localised studies in urban schools. Results of the study support the link between absences and student disengagement. There was a clear positive link between retention to Year 12 and superior attendance. In many individual instances, the links between attendance, retention and engagement were complex. There was also a need to place emphasis on alternative paths for some of the disengaged group rather than just trying to improve attendance. These paths included employment opportunities, Technical and Further Education (TAFE) and post school traineeships or apprenticeships. This paper points to the need for further longitudinal studies in urban high schools to study the long-term life outcomes for Indigenous students.","author":[{"dropping-particle":"","family":"Briggs","given":"Allan","non-dropping-particle":"","parse-names":false,"suffix":""}],"container-title":"Australian Journal of Indigenous Education","id":"ITEM-1","issue":"1","issued":{"date-parts":[["2017","8","10"]]},"page":"34-43","publisher":"Cambridge University Press","title":"Links between Senior High School Indigenous Attendance, Retention and Engagement: Observations at Two Urban High Schools","type":"article-journal","volume":"46"},"suppress-author":1,"uris":["http://www.mendeley.com/documents/?uuid=1828899e-3c84-3afe-bf88-20ed0d7a4735"]}],"mendeley":{"formattedCitation":"(2017)","plainTextFormattedCitation":"(2017)","previouslyFormattedCitation":"(2017)"},"properties":{"noteIndex":0},"schema":"https://github.com/citation-style-language/schema/raw/master/csl-citation.json"}</w:instrText>
      </w:r>
      <w:r w:rsidRPr="00706A75">
        <w:rPr>
          <w:rFonts w:cs="Avenir-Roman"/>
        </w:rPr>
        <w:fldChar w:fldCharType="separate"/>
      </w:r>
      <w:r w:rsidRPr="00706A75">
        <w:rPr>
          <w:rFonts w:cs="Avenir-Roman"/>
          <w:noProof/>
        </w:rPr>
        <w:t>(2017)</w:t>
      </w:r>
      <w:r w:rsidRPr="00706A75">
        <w:rPr>
          <w:rFonts w:cs="Avenir-Roman"/>
        </w:rPr>
        <w:fldChar w:fldCharType="end"/>
      </w:r>
      <w:r w:rsidRPr="00706A75">
        <w:rPr>
          <w:rFonts w:cs="Avenir-Roman"/>
        </w:rPr>
        <w:t xml:space="preserve"> study into the links between attendance, retention and engagement of Indigenous senior students in an urban environment support the link between absences and student disengagement. A clear positive association was found between retention to Year 12 and superior attendance, </w:t>
      </w:r>
      <w:r w:rsidRPr="00706A75">
        <w:rPr>
          <w:rFonts w:cs="Avenir-Roman"/>
        </w:rPr>
        <w:lastRenderedPageBreak/>
        <w:t>although the need for suitable alternate pathways for some students, rather than increased attendance was noted.</w:t>
      </w:r>
    </w:p>
    <w:p w14:paraId="164C3BBC" w14:textId="4779BB7D" w:rsidR="00706A75" w:rsidRPr="00706A75" w:rsidRDefault="00706A75" w:rsidP="00706A75">
      <w:pPr>
        <w:rPr>
          <w:lang w:eastAsia="en-AU"/>
        </w:rPr>
      </w:pPr>
      <w:r w:rsidRPr="00706A75">
        <w:rPr>
          <w:lang w:eastAsia="en-AU"/>
        </w:rPr>
        <w:t xml:space="preserve">te Riele </w:t>
      </w:r>
      <w:r w:rsidRPr="00706A75">
        <w:rPr>
          <w:lang w:eastAsia="en-AU"/>
        </w:rPr>
        <w:fldChar w:fldCharType="begin" w:fldLock="1"/>
      </w:r>
      <w:r w:rsidR="006537A1">
        <w:rPr>
          <w:lang w:eastAsia="en-AU"/>
        </w:rPr>
        <w:instrText>ADDIN CSL_CITATION {"citationItems":[{"id":"ITEM-1","itemData":{"abstract":"The research found: • There are three broad structural categories of flexible learning programs: programs operating within mainstream schools, programs operating within TAFE or ACE, and separate (stand alone) programs. • Nationally there are over 900 flexible learning programs, educating over 70,000 students each year. • About one-third of programs offer credentials at both junior and senior secondary level. Almost half offer only junior secondary credentials and almost one-fifth only senior secondary credentials. About half of the programs also offer accredited VET certificates across a wide range of industries. • Almost all programs indicate they target young people who are at risk of non-completion and early school leavers, reinforcing their shared mission of providing education opportunities for young people who may otherwise miss out on crucial secondary schooling. • The website assists young people (and their parents, youth workers and teachers) to find a program that suits them, and enables flexible learning programs to learn about and from each other. Good practice in flexible learning programs The research analysed publicly available documentation from more than 20 purposely selected programs, as well as conducting detailed fieldwork (observation on-site and interviews with various stakeholders) in eight of those programs. This generated insight in how they work and the outcomes they achieve, and led to the development of a model to understand flexible learning programs and support successful flexible learning provision: the Framework of Quality Flexible Learning Programs [FQFLP]. The model has four key dimensions representing the work of flexible learning programs: Valued Outcomes, Actions, Principles and Conditions. The report argues: • All the dimensions of the Framework for Quality Flexible Learning Programs are of relevance across all flexible learning programs for marginalised young people. That is, all programs engage in specific actions, informed by their explicit or implicit principles, aimed at achieving valued outcomes, and enabled (or constrained) by certain conditions. • Rather than mandating exactly what a flexible learning program should look like, the Framework for Quality Flexible Learning Programs enables programs to apply it to their own specific context and purposes. Diversity among flexible learning programs means they may place different weightings on the specific aspects that are part of those dimensions (see below) and e…","author":[{"dropping-particle":"","family":"Riele","given":"Kitty","non-dropping-particle":"te","parse-names":false,"suffix":""}],"id":"ITEM-1","issued":{"date-parts":[["2014"]]},"number-of-pages":"108","publisher":"Victoria Institute for Education, Diversity and Lifelong Learning","publisher-place":"Melbourne","title":"Putting the Jigsaw Together: Flexible learning programs in Australia. Final Report.","type":"report"},"suppress-author":1,"uris":["http://www.mendeley.com/documents/?uuid=c06a2d36-0361-35fb-a12c-618b3ac8c3f3"]}],"mendeley":{"formattedCitation":"(2014)","plainTextFormattedCitation":"(2014)","previouslyFormattedCitation":"(2014)"},"properties":{"noteIndex":0},"schema":"https://github.com/citation-style-language/schema/raw/master/csl-citation.json"}</w:instrText>
      </w:r>
      <w:r w:rsidRPr="00706A75">
        <w:rPr>
          <w:lang w:eastAsia="en-AU"/>
        </w:rPr>
        <w:fldChar w:fldCharType="separate"/>
      </w:r>
      <w:r w:rsidRPr="00706A75">
        <w:rPr>
          <w:noProof/>
          <w:lang w:eastAsia="en-AU"/>
        </w:rPr>
        <w:t>(2014)</w:t>
      </w:r>
      <w:r w:rsidRPr="00706A75">
        <w:rPr>
          <w:lang w:eastAsia="en-AU"/>
        </w:rPr>
        <w:fldChar w:fldCharType="end"/>
      </w:r>
      <w:r w:rsidRPr="00706A75">
        <w:rPr>
          <w:lang w:eastAsia="en-AU"/>
        </w:rPr>
        <w:t xml:space="preserve"> reported on national research on 900+ flexible learning programs in schools and TAFEs (62%) and stand-alone programs (38%) serving 70,000+ students. Flexible learning programs re-engage secondary students at risk of non-completion and early leavers, achieving valued outcomes in student credentials and career pathways, wellbeing and personal growth. The most common learning focus areas are literacy and numeracy, life skills and mentoring, conducted within broader programs of student-centred curriculum. Many focus on pathways to employment, offer accredited and non-accredited vocational studies and formal school certificate studies. Although attending a flexible learning program does not necessarily close off university pathways, going on to university is atypical for flexible learning program graduates </w:t>
      </w:r>
      <w:r w:rsidRPr="00706A75">
        <w:rPr>
          <w:lang w:eastAsia="en-AU"/>
        </w:rPr>
        <w:fldChar w:fldCharType="begin" w:fldLock="1"/>
      </w:r>
      <w:r w:rsidR="005F5266">
        <w:rPr>
          <w:lang w:eastAsia="en-AU"/>
        </w:rPr>
        <w:instrText>ADDIN CSL_CITATION {"citationItems":[{"id":"ITEM-1","itemData":{"abstract":"This report by Kitty te Riele analyses over 400 inclusive and flexible learning programs, with 33,000 young people enrolled in 1200 locations across Australia. The report also draws on an in-depth analysis of reports and information from 33 specific programs as well as existing research publications about enabling all young people to complete their education. The report shows that many young people around Australia are benefiting significantly from the provision of innovative and flexible learning programs. However, it also indicates that more data is needed on outcomes.","author":[{"dropping-particle":"","family":"Riele","given":"Kitty","non-dropping-particle":"te","parse-names":false,"suffix":""}],"id":"ITEM-1","issued":{"date-parts":[["2012"]]},"publisher":"Dusseldorp Skills Forum","title":"Learning Choices: A Map for the Future","type":"report"},"uris":["http://www.mendeley.com/documents/?uuid=2af54658-8219-3e99-88bd-88f482e8f48d"]}],"mendeley":{"formattedCitation":"(te Riele, 2012)","plainTextFormattedCitation":"(te Riele, 2012)","previouslyFormattedCitation":"(te Riele, 2012)"},"properties":{"noteIndex":0},"schema":"https://github.com/citation-style-language/schema/raw/master/csl-citation.json"}</w:instrText>
      </w:r>
      <w:r w:rsidRPr="00706A75">
        <w:rPr>
          <w:lang w:eastAsia="en-AU"/>
        </w:rPr>
        <w:fldChar w:fldCharType="separate"/>
      </w:r>
      <w:r w:rsidR="006537A1" w:rsidRPr="006537A1">
        <w:rPr>
          <w:noProof/>
          <w:lang w:eastAsia="en-AU"/>
        </w:rPr>
        <w:t>(te Riele, 2012)</w:t>
      </w:r>
      <w:r w:rsidRPr="00706A75">
        <w:rPr>
          <w:lang w:eastAsia="en-AU"/>
        </w:rPr>
        <w:fldChar w:fldCharType="end"/>
      </w:r>
      <w:r w:rsidRPr="00706A75">
        <w:rPr>
          <w:lang w:eastAsia="en-AU"/>
        </w:rPr>
        <w:t>. The majority of flexible learning programs are co-educational, with only 3% specifically for girls.</w:t>
      </w:r>
    </w:p>
    <w:p w14:paraId="059C622F" w14:textId="77777777" w:rsidR="00706A75" w:rsidRPr="00706A75" w:rsidRDefault="00706A75" w:rsidP="00706A75">
      <w:pPr>
        <w:pStyle w:val="Heading3"/>
      </w:pPr>
      <w:bookmarkStart w:id="35" w:name="_Toc9497571"/>
      <w:r w:rsidRPr="00706A75">
        <w:t>Relationships/connection</w:t>
      </w:r>
      <w:bookmarkEnd w:id="35"/>
    </w:p>
    <w:p w14:paraId="5B6F521B" w14:textId="1488CB23" w:rsidR="00706A75" w:rsidRPr="00706A75" w:rsidRDefault="00706A75" w:rsidP="00706A75">
      <w:r w:rsidRPr="00706A75">
        <w:t xml:space="preserve">The OECD’s </w:t>
      </w:r>
      <w:r w:rsidRPr="00706A75">
        <w:fldChar w:fldCharType="begin" w:fldLock="1"/>
      </w:r>
      <w:r w:rsidR="006537A1">
        <w:instrText>ADDIN CSL_CITATION {"citationItems":[{"id":"ITEM-1","itemData":{"DOI":"10.1787/9789264279421-en","ISBN":"9789264279414","abstract":"Indigenous peoples are diverse, within and across nations. However, the Indigenous peoples have experienced colonisation processes that have undermined Indigenous young people's access to their identity, language and culture. At the same time, Indigenous children have not generally had access to the same quality of education that other children in their country have had access to. These two forces in combination have undermined the educational opportunities and outcomes of successive generations of Indigenous children and young people, at times with catastrophic effect. The six Canadian provinces and territories that participated in this study, along with New Zealand and Queensland (Australia), are actively seeking to better meet the educational needs and aspirations of Indigenous students and their families. The report seeks to identify promising strategies, policies, programmes and practices that support improved learning outcomes for Indigenous students and to build an empirical evidence base on Indigenous students in education. The study investigates four areas in Indigenous education: well-being, participation, engagement and achievement in education. These outcomes are inter-connected and mutually reinforcing, and each is essential for the success of every student. ISbn 978-92-64-27941-4 91 2017 09 1 P","author":[{"dropping-particle":"","family":"OECD","given":"","non-dropping-particle":"","parse-names":false,"suffix":""}],"container-title":"Promising Practices in Supporting Success for Indigenous Students","id":"ITEM-1","issued":{"date-parts":[["2017","8","9"]]},"publisher":"Organisation for Economic Co-operation and Development","title":"Promising Practices in Supporting Success for Indigenous Students","type":"book"},"suppress-author":1,"uris":["http://www.mendeley.com/documents/?uuid=bb9a85ee-5c8c-3cef-b5d5-dcf536bdf68e"]}],"mendeley":{"formattedCitation":"(2017)","plainTextFormattedCitation":"(2017)","previouslyFormattedCitation":"(2017)"},"properties":{"noteIndex":0},"schema":"https://github.com/citation-style-language/schema/raw/master/csl-citation.json"}</w:instrText>
      </w:r>
      <w:r w:rsidRPr="00706A75">
        <w:fldChar w:fldCharType="separate"/>
      </w:r>
      <w:r w:rsidRPr="00706A75">
        <w:rPr>
          <w:noProof/>
        </w:rPr>
        <w:t>(2017)</w:t>
      </w:r>
      <w:r w:rsidRPr="00706A75">
        <w:fldChar w:fldCharType="end"/>
      </w:r>
      <w:r w:rsidRPr="00706A75">
        <w:t xml:space="preserve"> </w:t>
      </w:r>
      <w:r w:rsidRPr="00706A75">
        <w:rPr>
          <w:i/>
        </w:rPr>
        <w:t>Promising Practices in Supporting Success for Indigenous Students</w:t>
      </w:r>
      <w:r w:rsidRPr="00706A75">
        <w:t xml:space="preserve"> report highlights community engagement as crucial to achieving strong outcomes in student wellbeing in cognitive, social, affective and physical dimensions and Indigenous relational and cultural dimensions. ‘Schools that have </w:t>
      </w:r>
      <w:r w:rsidRPr="00706A75">
        <w:lastRenderedPageBreak/>
        <w:t xml:space="preserve">achieved sustained improvements for Indigenous students recognise the key role of Indigenous parents, leaders and other community members and have actively built relationships with these important people in their students’ lives’ </w:t>
      </w:r>
      <w:r w:rsidRPr="00706A75">
        <w:fldChar w:fldCharType="begin" w:fldLock="1"/>
      </w:r>
      <w:r w:rsidR="005F5266">
        <w:instrText>ADDIN CSL_CITATION {"citationItems":[{"id":"ITEM-1","itemData":{"DOI":"10.1787/9789264279421-en","ISBN":"9789264279414","abstract":"Indigenous peoples are diverse, within and across nations. However, the Indigenous peoples have experienced colonisation processes that have undermined Indigenous young people's access to their identity, language and culture. At the same time, Indigenous children have not generally had access to the same quality of education that other children in their country have had access to. These two forces in combination have undermined the educational opportunities and outcomes of successive generations of Indigenous children and young people, at times with catastrophic effect. The six Canadian provinces and territories that participated in this study, along with New Zealand and Queensland (Australia), are actively seeking to better meet the educational needs and aspirations of Indigenous students and their families. The report seeks to identify promising strategies, policies, programmes and practices that support improved learning outcomes for Indigenous students and to build an empirical evidence base on Indigenous students in education. The study investigates four areas in Indigenous education: well-being, participation, engagement and achievement in education. These outcomes are inter-connected and mutually reinforcing, and each is essential for the success of every student. ISbn 978-92-64-27941-4 91 2017 09 1 P","author":[{"dropping-particle":"","family":"OECD","given":"","non-dropping-particle":"","parse-names":false,"suffix":""}],"container-title":"Promising Practices in Supporting Success for Indigenous Students","id":"ITEM-1","issued":{"date-parts":[["2017","8","9"]]},"publisher":"Organisation for Economic Co-operation and Development","title":"Promising Practices in Supporting Success for Indigenous Students","type":"book"},"locator":"16","uris":["http://www.mendeley.com/documents/?uuid=bb9a85ee-5c8c-3cef-b5d5-dcf536bdf68e"]}],"mendeley":{"formattedCitation":"(OECD, 2017, p. 16)","plainTextFormattedCitation":"(OECD, 2017, p. 16)","previouslyFormattedCitation":"(OECD, 2017, p. 16)"},"properties":{"noteIndex":0},"schema":"https://github.com/citation-style-language/schema/raw/master/csl-citation.json"}</w:instrText>
      </w:r>
      <w:r w:rsidRPr="00706A75">
        <w:fldChar w:fldCharType="separate"/>
      </w:r>
      <w:r w:rsidR="006537A1" w:rsidRPr="006537A1">
        <w:rPr>
          <w:noProof/>
        </w:rPr>
        <w:t>(OECD, 2017, p. 16)</w:t>
      </w:r>
      <w:r w:rsidRPr="00706A75">
        <w:fldChar w:fldCharType="end"/>
      </w:r>
      <w:r w:rsidRPr="00706A75">
        <w:t>. Establishing schools as community hubs, connected with local community organisations such as health and mental health services was identified as a promising strategy to support students’ and families’ wellbeing.</w:t>
      </w:r>
    </w:p>
    <w:p w14:paraId="58ADB604" w14:textId="77777777" w:rsidR="00706A75" w:rsidRPr="00706A75" w:rsidRDefault="00706A75" w:rsidP="00706A75">
      <w:r w:rsidRPr="00706A75">
        <w:t>These and other learner-centred, inclusive pedagogical approaches, flexible assessment methods and the involvement of Elders and Indigenous support staff were all found to contribute to students’ academic outcomes.</w:t>
      </w:r>
    </w:p>
    <w:p w14:paraId="1B2C99FD" w14:textId="77777777" w:rsidR="00706A75" w:rsidRPr="00706A75" w:rsidRDefault="00706A75" w:rsidP="0097435D">
      <w:pPr>
        <w:pStyle w:val="NormalBeforeList"/>
      </w:pPr>
      <w:r w:rsidRPr="00706A75">
        <w:t xml:space="preserve">Gray and Hackling </w:t>
      </w:r>
      <w:r w:rsidRPr="00706A75">
        <w:fldChar w:fldCharType="begin" w:fldLock="1"/>
      </w:r>
      <w:r w:rsidRPr="00706A75">
        <w:instrText>ADDIN CSL_CITATION {"citationItems":[{"id":"ITEM-1","itemData":{"abstract":"Non-completion of senior secondary schooling continues to be a matter of concern for policy makers and practitioners in Australia today. Despite the efforts of governments to improve participation and retention rates, 30% of students drop out of school before completing Year 12. Further, some students remain at school, just biding their time until graduation. Within this context, we investigate whether the wellbeing of the students is a key factor in supporting senior students in deciding to continue at school. The article reports on the first phase of a two-year study of factors impacting on quality retention and participation of 250 Year 11 students from two school communities. This initial phase focuses on the senior students' perspective of their wellbeing in Year 11, and includes our development of a suite of scales to measure the impact of students' social connectedness and academic engagement on academic achievement and retention. Data from the survey of students are enriched through student focus groups. The article identifies critical dimensions of what students regard as a healthy senior school culture; that is, a culture conducive to a positive and productive experience in terms of their retention, participation and achievement. Implications for school and system policy and governance are proposed. (Contains 6 tables, 1 figure and 1 endnote.)","author":[{"dropping-particle":"","family":"Gray","given":"Jan","non-dropping-particle":"","parse-names":false,"suffix":""},{"dropping-particle":"","family":"Hackling","given":"Mark","non-dropping-particle":"","parse-names":false,"suffix":""}],"container-title":"Australian Educational Researcher","id":"ITEM-1","issue":"2","issued":{"date-parts":[["2009"]]},"page":"119-145","title":"Wellbeing and Retention: A Senior Secondary Student Perspective","type":"article-journal","volume":"36"},"suppress-author":1,"uris":["http://www.mendeley.com/documents/?uuid=f50587d6-2552-360e-aeec-6e43449bd298"]}],"mendeley":{"formattedCitation":"(2009)","plainTextFormattedCitation":"(2009)","previouslyFormattedCitation":"(2009)"},"properties":{"noteIndex":0},"schema":"https://github.com/citation-style-language/schema/raw/master/csl-citation.json"}</w:instrText>
      </w:r>
      <w:r w:rsidRPr="00706A75">
        <w:fldChar w:fldCharType="separate"/>
      </w:r>
      <w:r w:rsidRPr="00706A75">
        <w:rPr>
          <w:noProof/>
        </w:rPr>
        <w:t>(2009)</w:t>
      </w:r>
      <w:r w:rsidRPr="00706A75">
        <w:fldChar w:fldCharType="end"/>
      </w:r>
      <w:r w:rsidRPr="00706A75">
        <w:t xml:space="preserve"> conducted research in two government schools in Western Australia, both of which were regarded as successfully retaining and engaging ‘complex’ cohorts of senior students. Based on a survey and focus groups with Year 11 students, and school achievement and retention data, this study identified three main factors associated with supportive school culture:</w:t>
      </w:r>
    </w:p>
    <w:p w14:paraId="191C2CEB" w14:textId="77777777" w:rsidR="00706A75" w:rsidRPr="00706A75" w:rsidRDefault="00706A75" w:rsidP="0097435D">
      <w:pPr>
        <w:pStyle w:val="BulletLevel1"/>
      </w:pPr>
      <w:r w:rsidRPr="00706A75">
        <w:t>Respect – mutual, acceptance, belonging, intellectual challenge, appropriate curriculum</w:t>
      </w:r>
    </w:p>
    <w:p w14:paraId="68F3FB13" w14:textId="77777777" w:rsidR="00706A75" w:rsidRPr="00706A75" w:rsidRDefault="00706A75" w:rsidP="0097435D">
      <w:pPr>
        <w:pStyle w:val="BulletLevel1"/>
      </w:pPr>
      <w:r w:rsidRPr="00706A75">
        <w:t>Relationship – confidence, support, involvement, young adult environment, pedagogy, guidance</w:t>
      </w:r>
    </w:p>
    <w:p w14:paraId="72F40195" w14:textId="77777777" w:rsidR="00706A75" w:rsidRPr="00706A75" w:rsidRDefault="00706A75" w:rsidP="0097435D">
      <w:pPr>
        <w:pStyle w:val="BulletLevel1"/>
      </w:pPr>
      <w:r w:rsidRPr="00706A75">
        <w:lastRenderedPageBreak/>
        <w:t>Responsibility – independent learning, balance, flexibility, discipline, opportunities.</w:t>
      </w:r>
    </w:p>
    <w:p w14:paraId="15EDB0BC" w14:textId="77777777" w:rsidR="00706A75" w:rsidRPr="00706A75" w:rsidRDefault="00706A75" w:rsidP="0097435D">
      <w:pPr>
        <w:pStyle w:val="NormalAfterList"/>
      </w:pPr>
      <w:r w:rsidRPr="00706A75">
        <w:t>Students who were ‘doing well’ academically indicated high self-efficacy, satisfaction with subject choices and had a sense of belonging at school. ‘Struggling’ students were less confident and had a weak sense of belonging and while they were satisfied with their subject choices, they were uncertain about their decision to stay on through the senior years.</w:t>
      </w:r>
    </w:p>
    <w:p w14:paraId="5AA1DCA9" w14:textId="77777777" w:rsidR="00706A75" w:rsidRPr="00706A75" w:rsidRDefault="00706A75" w:rsidP="00706A75">
      <w:pPr>
        <w:rPr>
          <w:lang w:eastAsia="en-AU"/>
        </w:rPr>
      </w:pPr>
      <w:r w:rsidRPr="00706A75">
        <w:rPr>
          <w:lang w:eastAsia="en-AU"/>
        </w:rPr>
        <w:t xml:space="preserve">Sarra and colleagues </w:t>
      </w:r>
      <w:r w:rsidRPr="00706A75">
        <w:rPr>
          <w:lang w:eastAsia="en-AU"/>
        </w:rPr>
        <w:fldChar w:fldCharType="begin" w:fldLock="1"/>
      </w:r>
      <w:r w:rsidRPr="00706A75">
        <w:rPr>
          <w:lang w:eastAsia="en-AU"/>
        </w:rPr>
        <w:instrText>ADDIN CSL_CITATION {"citationItems":[{"id":"ITEM-1","itemData":{"DOI":"10.1017/jie.2018.10","ISSN":"20497784","abstract":"Enacting high expectations for all students in the classroom is a complex undertaking. Underlying, out-of-awareness assumptions may lead to actions, behaviours or pedagogic choices that do not support these high expectations beliefs and intentions. For Indigenous education, this is compounded by public and professional discourses around deficit positioning, and by historical conditioning, where many Indigenous students do not see achieving in school as part of their cultural identity. High expectations are usually considered as a performance agenda — in terms of effort, learning and achievement. In this paper, we introduce the concept of high-expectations relationships where viewing and enacting high expectations through a relational lens equips educators with strategies to support such performance outcomes. We describe this relational lens where fair, socially just relating establishes a relational space of trust, thus enabling both student motivation and the firm, critically reflective relating necessary for quality learning. Using the voices of educators, we describe how high-expectations relationships can promote collegiate staff environments, strong teacher–student relationships and trusting and supportive relationships with parents and carers. We show how these positive educational attributes of any school community, seeded through a focus on high-expectations relationships, work to support the performance outcomes of a high-expectations educational agenda.","author":[{"dropping-particle":"","family":"Sarra","given":"Chris","non-dropping-particle":"","parse-names":false,"suffix":""},{"dropping-particle":"","family":"Spillman","given":"David","non-dropping-particle":"","parse-names":false,"suffix":""},{"dropping-particle":"","family":"Jackson","given":"Cathy","non-dropping-particle":"","parse-names":false,"suffix":""},{"dropping-particle":"","family":"Davis","given":"John","non-dropping-particle":"","parse-names":false,"suffix":""},{"dropping-particle":"","family":"Bray","given":"John","non-dropping-particle":"","parse-names":false,"suffix":""}],"container-title":"Australian Journal of Indigenous Education","id":"ITEM-1","issued":{"date-parts":[["2018"]]},"page":"1-14","publisher":"Cambridge University Press","title":"High-Expectations Relationships: A Foundation for Enacting High Expectations in all Australian Schools","type":"article-newspaper"},"suppress-author":1,"uris":["http://www.mendeley.com/documents/?uuid=60e2521e-6cd9-3b5e-a098-9e62781a63a2"]}],"mendeley":{"formattedCitation":"(2018)","plainTextFormattedCitation":"(2018)","previouslyFormattedCitation":"(2018)"},"properties":{"noteIndex":0},"schema":"https://github.com/citation-style-language/schema/raw/master/csl-citation.json"}</w:instrText>
      </w:r>
      <w:r w:rsidRPr="00706A75">
        <w:rPr>
          <w:lang w:eastAsia="en-AU"/>
        </w:rPr>
        <w:fldChar w:fldCharType="separate"/>
      </w:r>
      <w:r w:rsidRPr="00706A75">
        <w:rPr>
          <w:noProof/>
          <w:lang w:eastAsia="en-AU"/>
        </w:rPr>
        <w:t>(2018)</w:t>
      </w:r>
      <w:r w:rsidRPr="00706A75">
        <w:rPr>
          <w:lang w:eastAsia="en-AU"/>
        </w:rPr>
        <w:fldChar w:fldCharType="end"/>
      </w:r>
      <w:r w:rsidRPr="00706A75">
        <w:rPr>
          <w:lang w:eastAsia="en-AU"/>
        </w:rPr>
        <w:t xml:space="preserve"> considered the role that </w:t>
      </w:r>
      <w:r w:rsidRPr="00706A75">
        <w:rPr>
          <w:i/>
          <w:lang w:eastAsia="en-AU"/>
        </w:rPr>
        <w:t>high expectations relationships</w:t>
      </w:r>
      <w:r w:rsidRPr="00706A75">
        <w:rPr>
          <w:lang w:eastAsia="en-AU"/>
        </w:rPr>
        <w:t xml:space="preserve"> can have in promoting collegiate staff environments, strong teacher-student relationships, and trusting and supportive relationships with parents and carers. High expectations relationships was a concept used to refer to viewing high expectations through a relational lens where a relational space of trust can be built that enables both motivation and a jointly reflective approach to support quality learning. </w:t>
      </w:r>
    </w:p>
    <w:p w14:paraId="0E9B1A5C" w14:textId="7C778A15" w:rsidR="00706A75" w:rsidRPr="00706A75" w:rsidRDefault="00706A75" w:rsidP="00706A75">
      <w:pPr>
        <w:rPr>
          <w:lang w:eastAsia="en-AU"/>
        </w:rPr>
      </w:pPr>
      <w:r w:rsidRPr="00706A75">
        <w:rPr>
          <w:lang w:eastAsia="en-AU"/>
        </w:rPr>
        <w:t xml:space="preserve">Teachers’ belief in all students as competent learners, shared decision-making and actions to ensure safe, respectful and equitable learning spaces exemplify inclusive processes of resilience building </w:t>
      </w:r>
      <w:r w:rsidRPr="00706A75">
        <w:rPr>
          <w:lang w:eastAsia="en-AU"/>
        </w:rPr>
        <w:fldChar w:fldCharType="begin" w:fldLock="1"/>
      </w:r>
      <w:r w:rsidR="005F5266">
        <w:rPr>
          <w:lang w:eastAsia="en-AU"/>
        </w:rPr>
        <w:instrText>ADDIN CSL_CITATION {"citationItems":[{"id":"ITEM-1","itemData":{"DOI":"10.1177/0044118X14566118","ISSN":"0044-118X","abstract":"In an education system marred by inequity, urban schools in the United States are faced with the challenge of helping students from marginalized groups succeed. While many strategies have been tried, most are built on deficit-based models that blame students and teachers for a lack of achievement and ignore the role of power within the school setting. Building on the body of research on school climate, critical pedagogy, and empowering settings, the present study developed a model of student empowerment using a case study of an ethnically diverse urban high school in the midwestern United States. Participant observation, focus groups, and interviews were utilized to identify classroom and school characteristics related to student empowerment. Students reported equitable teacher–student relationships, integrated student leadership, and shared decision making. Similarly, school staff reported high staff empowerment and sense of community. The Student Empowerment Model is a useful framework for school improv...","author":[{"dropping-particle":"","family":"Kirk","given":"Chris Michael","non-dropping-particle":"","parse-names":false,"suffix":""},{"dropping-particle":"","family":"Lewis","given":"Rhonda K.","non-dropping-particle":"","parse-names":false,"suffix":""},{"dropping-particle":"","family":"Brown","given":"Kyrah","non-dropping-particle":"","parse-names":false,"suffix":""},{"dropping-particle":"","family":"Karibo","given":"Brittany","non-dropping-particle":"","parse-names":false,"suffix":""},{"dropping-particle":"","family":"Scott","given":"Angela","non-dropping-particle":"","parse-names":false,"suffix":""},{"dropping-particle":"","family":"Park","given":"Elle","non-dropping-particle":"","parse-names":false,"suffix":""}],"container-title":"Youth &amp; Society","id":"ITEM-1","issue":"6","issued":{"date-parts":[["2017","9","13"]]},"page":"827-847","publisher":"SAGE PublicationsSage CA: Los Angeles, CA","title":"The Empowering Schools Project","type":"article-journal","volume":"49"},"uris":["http://www.mendeley.com/documents/?uuid=4dee00a1-b484-3f5e-a81f-139112b49e57"]}],"mendeley":{"formattedCitation":"(Kirk et al., 2017)","plainTextFormattedCitation":"(Kirk et al., 2017)","previouslyFormattedCitation":"(Kirk et al., 2017)"},"properties":{"noteIndex":0},"schema":"https://github.com/citation-style-language/schema/raw/master/csl-citation.json"}</w:instrText>
      </w:r>
      <w:r w:rsidRPr="00706A75">
        <w:rPr>
          <w:lang w:eastAsia="en-AU"/>
        </w:rPr>
        <w:fldChar w:fldCharType="separate"/>
      </w:r>
      <w:r w:rsidR="006537A1" w:rsidRPr="006537A1">
        <w:rPr>
          <w:noProof/>
          <w:lang w:eastAsia="en-AU"/>
        </w:rPr>
        <w:t>(Kirk et al., 2017)</w:t>
      </w:r>
      <w:r w:rsidRPr="00706A75">
        <w:rPr>
          <w:lang w:eastAsia="en-AU"/>
        </w:rPr>
        <w:fldChar w:fldCharType="end"/>
      </w:r>
      <w:r w:rsidRPr="00706A75">
        <w:rPr>
          <w:lang w:eastAsia="en-AU"/>
        </w:rPr>
        <w:t xml:space="preserve">. Students’ sense of belonging in school is a key factor in resilience that is enhanced through a collaborative culture encouraging students’ participation and decision-making and thereby strengthening their self-esteem, </w:t>
      </w:r>
      <w:r w:rsidRPr="00706A75">
        <w:rPr>
          <w:lang w:eastAsia="en-AU"/>
        </w:rPr>
        <w:lastRenderedPageBreak/>
        <w:t xml:space="preserve">self-efficacy and relational confidence </w:t>
      </w:r>
      <w:r w:rsidRPr="00706A75">
        <w:rPr>
          <w:lang w:eastAsia="en-AU"/>
        </w:rPr>
        <w:fldChar w:fldCharType="begin" w:fldLock="1"/>
      </w:r>
      <w:r w:rsidR="005F5266">
        <w:rPr>
          <w:lang w:eastAsia="en-AU"/>
        </w:rPr>
        <w:instrText>ADDIN CSL_CITATION {"citationItems":[{"id":"ITEM-1","itemData":{"DOI":"10.1007/978-1-4614-0586-3_23","author":[{"dropping-particle":"","family":"Henderson","given":"Nan","non-dropping-particle":"","parse-names":false,"suffix":""}],"container-title":"The Social Ecology of Resilience","id":"ITEM-1","issued":{"date-parts":[["2012"]]},"page":"297-306","publisher":"Springer New York","publisher-place":"New York, NY","title":"Resilience in Schools and Curriculum Design","type":"chapter"},"uris":["http://www.mendeley.com/documents/?uuid=7a6ed49a-56a5-300b-825d-99eae3d725c4"]}],"mendeley":{"formattedCitation":"(Henderson, 2012)","plainTextFormattedCitation":"(Henderson, 2012)","previouslyFormattedCitation":"(Henderson, 2012)"},"properties":{"noteIndex":0},"schema":"https://github.com/citation-style-language/schema/raw/master/csl-citation.json"}</w:instrText>
      </w:r>
      <w:r w:rsidRPr="00706A75">
        <w:rPr>
          <w:lang w:eastAsia="en-AU"/>
        </w:rPr>
        <w:fldChar w:fldCharType="separate"/>
      </w:r>
      <w:r w:rsidR="006537A1" w:rsidRPr="006537A1">
        <w:rPr>
          <w:noProof/>
          <w:lang w:eastAsia="en-AU"/>
        </w:rPr>
        <w:t>(Henderson, 2012)</w:t>
      </w:r>
      <w:r w:rsidRPr="00706A75">
        <w:rPr>
          <w:lang w:eastAsia="en-AU"/>
        </w:rPr>
        <w:fldChar w:fldCharType="end"/>
      </w:r>
      <w:r w:rsidRPr="00706A75">
        <w:rPr>
          <w:lang w:eastAsia="en-AU"/>
        </w:rPr>
        <w:t xml:space="preserve">. Students’ social connectedness was associated with engagement and retention beyond Year 11 </w:t>
      </w:r>
      <w:r w:rsidRPr="00706A75">
        <w:rPr>
          <w:lang w:eastAsia="en-AU"/>
        </w:rPr>
        <w:fldChar w:fldCharType="begin" w:fldLock="1"/>
      </w:r>
      <w:r w:rsidR="005F5266">
        <w:rPr>
          <w:lang w:eastAsia="en-AU"/>
        </w:rPr>
        <w:instrText>ADDIN CSL_CITATION {"citationItems":[{"id":"ITEM-1","itemData":{"abstract":"Non-completion of senior secondary schooling continues to be a matter of concern for policy makers and practitioners in Australia today. Despite the efforts of governments to improve participation and retention rates, 30% of students drop out of school before completing Year 12. Further, some students remain at school, just biding their time until graduation. Within this context, we investigate whether the wellbeing of the students is a key factor in supporting senior students in deciding to continue at school. The article reports on the first phase of a two-year study of factors impacting on quality retention and participation of 250 Year 11 students from two school communities. This initial phase focuses on the senior students' perspective of their wellbeing in Year 11, and includes our development of a suite of scales to measure the impact of students' social connectedness and academic engagement on academic achievement and retention. Data from the survey of students are enriched through student focus groups. The article identifies critical dimensions of what students regard as a healthy senior school culture; that is, a culture conducive to a positive and productive experience in terms of their retention, participation and achievement. Implications for school and system policy and governance are proposed. (Contains 6 tables, 1 figure and 1 endnote.)","author":[{"dropping-particle":"","family":"Gray","given":"Jan","non-dropping-particle":"","parse-names":false,"suffix":""},{"dropping-particle":"","family":"Hackling","given":"Mark","non-dropping-particle":"","parse-names":false,"suffix":""}],"container-title":"Australian Educational Researcher","id":"ITEM-1","issue":"2","issued":{"date-parts":[["2009"]]},"page":"119-145","title":"Wellbeing and Retention: A Senior Secondary Student Perspective","type":"article-journal","volume":"36"},"uris":["http://www.mendeley.com/documents/?uuid=f50587d6-2552-360e-aeec-6e43449bd298"]}],"mendeley":{"formattedCitation":"(Gray &amp; Hackling, 2009)","plainTextFormattedCitation":"(Gray &amp; Hackling, 2009)","previouslyFormattedCitation":"(Gray &amp; Hackling, 2009)"},"properties":{"noteIndex":0},"schema":"https://github.com/citation-style-language/schema/raw/master/csl-citation.json"}</w:instrText>
      </w:r>
      <w:r w:rsidRPr="00706A75">
        <w:rPr>
          <w:lang w:eastAsia="en-AU"/>
        </w:rPr>
        <w:fldChar w:fldCharType="separate"/>
      </w:r>
      <w:r w:rsidR="006537A1" w:rsidRPr="006537A1">
        <w:rPr>
          <w:noProof/>
          <w:lang w:eastAsia="en-AU"/>
        </w:rPr>
        <w:t>(Gray &amp; Hackling, 2009)</w:t>
      </w:r>
      <w:r w:rsidRPr="00706A75">
        <w:rPr>
          <w:lang w:eastAsia="en-AU"/>
        </w:rPr>
        <w:fldChar w:fldCharType="end"/>
      </w:r>
      <w:r w:rsidRPr="00706A75">
        <w:rPr>
          <w:lang w:eastAsia="en-AU"/>
        </w:rPr>
        <w:t xml:space="preserve">. </w:t>
      </w:r>
    </w:p>
    <w:p w14:paraId="6F4F0287" w14:textId="77777777" w:rsidR="00706A75" w:rsidRPr="00706A75" w:rsidRDefault="00706A75" w:rsidP="00706A75">
      <w:pPr>
        <w:pStyle w:val="Heading3"/>
      </w:pPr>
      <w:bookmarkStart w:id="36" w:name="_Toc9497572"/>
      <w:r w:rsidRPr="00706A75">
        <w:t>Cultural recognition</w:t>
      </w:r>
      <w:bookmarkEnd w:id="36"/>
    </w:p>
    <w:p w14:paraId="4520DD58" w14:textId="69D66FEB" w:rsidR="00706A75" w:rsidRPr="00706A75" w:rsidRDefault="00706A75" w:rsidP="00706A75">
      <w:r w:rsidRPr="00706A75">
        <w:t xml:space="preserve">The </w:t>
      </w:r>
      <w:r w:rsidRPr="00706A75">
        <w:rPr>
          <w:i/>
        </w:rPr>
        <w:t xml:space="preserve">Promising Practices in Supporting Success for Indigenous Students </w:t>
      </w:r>
      <w:r w:rsidRPr="00706A75">
        <w:t xml:space="preserve">report </w:t>
      </w:r>
      <w:r w:rsidRPr="00706A75">
        <w:fldChar w:fldCharType="begin" w:fldLock="1"/>
      </w:r>
      <w:r w:rsidR="005F5266">
        <w:instrText>ADDIN CSL_CITATION {"citationItems":[{"id":"ITEM-1","itemData":{"DOI":"10.1787/9789264279421-en","ISBN":"9789264279414","abstract":"Indigenous peoples are diverse, within and across nations. However, the Indigenous peoples have experienced colonisation processes that have undermined Indigenous young people's access to their identity, language and culture. At the same time, Indigenous children have not generally had access to the same quality of education that other children in their country have had access to. These two forces in combination have undermined the educational opportunities and outcomes of successive generations of Indigenous children and young people, at times with catastrophic effect. The six Canadian provinces and territories that participated in this study, along with New Zealand and Queensland (Australia), are actively seeking to better meet the educational needs and aspirations of Indigenous students and their families. The report seeks to identify promising strategies, policies, programmes and practices that support improved learning outcomes for Indigenous students and to build an empirical evidence base on Indigenous students in education. The study investigates four areas in Indigenous education: well-being, participation, engagement and achievement in education. These outcomes are inter-connected and mutually reinforcing, and each is essential for the success of every student. ISbn 978-92-64-27941-4 91 2017 09 1 P","author":[{"dropping-particle":"","family":"OECD","given":"","non-dropping-particle":"","parse-names":false,"suffix":""}],"container-title":"Promising Practices in Supporting Success for Indigenous Students","id":"ITEM-1","issued":{"date-parts":[["2017","8","9"]]},"publisher":"Organisation for Economic Co-operation and Development","title":"Promising Practices in Supporting Success for Indigenous Students","type":"book"},"uris":["http://www.mendeley.com/documents/?uuid=bb9a85ee-5c8c-3cef-b5d5-dcf536bdf68e"]}],"mendeley":{"formattedCitation":"(OECD, 2017)","plainTextFormattedCitation":"(OECD, 2017)","previouslyFormattedCitation":"(OECD, 2017)"},"properties":{"noteIndex":0},"schema":"https://github.com/citation-style-language/schema/raw/master/csl-citation.json"}</w:instrText>
      </w:r>
      <w:r w:rsidRPr="00706A75">
        <w:fldChar w:fldCharType="separate"/>
      </w:r>
      <w:r w:rsidR="006537A1" w:rsidRPr="006537A1">
        <w:rPr>
          <w:noProof/>
        </w:rPr>
        <w:t>(OECD, 2017)</w:t>
      </w:r>
      <w:r w:rsidRPr="00706A75">
        <w:fldChar w:fldCharType="end"/>
      </w:r>
      <w:r w:rsidRPr="00706A75">
        <w:t xml:space="preserve"> identified that wellbeing and engagement should be supported by practices of cultural recognition embedded in relationships, curriculum materials and teachers’ knowledge of First Nations history and culture. This was considered important to students feeling they are known and belong in school. Key strategies for student engagement are centred on incorporating and visibly valuing Indigenous cultural symbols and practices such as talking circles, culturally-based inquiry, including Indigenous science and mathematics, community and land-based activities, life skills and mentoring.</w:t>
      </w:r>
    </w:p>
    <w:p w14:paraId="18D84CD1" w14:textId="45BB487C" w:rsidR="00706A75" w:rsidRPr="00706A75" w:rsidRDefault="00706A75" w:rsidP="00706A75">
      <w:r w:rsidRPr="00706A75">
        <w:t xml:space="preserve">The report </w:t>
      </w:r>
      <w:r w:rsidRPr="00706A75">
        <w:fldChar w:fldCharType="begin" w:fldLock="1"/>
      </w:r>
      <w:r w:rsidR="005F5266">
        <w:instrText>ADDIN CSL_CITATION {"citationItems":[{"id":"ITEM-1","itemData":{"DOI":"10.1787/9789264279421-en","ISBN":"9789264279414","abstract":"Indigenous peoples are diverse, within and across nations. However, the Indigenous peoples have experienced colonisation processes that have undermined Indigenous young people's access to their identity, language and culture. At the same time, Indigenous children have not generally had access to the same quality of education that other children in their country have had access to. These two forces in combination have undermined the educational opportunities and outcomes of successive generations of Indigenous children and young people, at times with catastrophic effect. The six Canadian provinces and territories that participated in this study, along with New Zealand and Queensland (Australia), are actively seeking to better meet the educational needs and aspirations of Indigenous students and their families. The report seeks to identify promising strategies, policies, programmes and practices that support improved learning outcomes for Indigenous students and to build an empirical evidence base on Indigenous students in education. The study investigates four areas in Indigenous education: well-being, participation, engagement and achievement in education. These outcomes are inter-connected and mutually reinforcing, and each is essential for the success of every student. ISbn 978-92-64-27941-4 91 2017 09 1 P","author":[{"dropping-particle":"","family":"OECD","given":"","non-dropping-particle":"","parse-names":false,"suffix":""}],"container-title":"Promising Practices in Supporting Success for Indigenous Students","id":"ITEM-1","issued":{"date-parts":[["2017","8","9"]]},"publisher":"Organisation for Economic Co-operation and Development","title":"Promising Practices in Supporting Success for Indigenous Students","type":"book"},"uris":["http://www.mendeley.com/documents/?uuid=bb9a85ee-5c8c-3cef-b5d5-dcf536bdf68e"]}],"mendeley":{"formattedCitation":"(OECD, 2017)","plainTextFormattedCitation":"(OECD, 2017)","previouslyFormattedCitation":"(OECD, 2017)"},"properties":{"noteIndex":0},"schema":"https://github.com/citation-style-language/schema/raw/master/csl-citation.json"}</w:instrText>
      </w:r>
      <w:r w:rsidRPr="00706A75">
        <w:fldChar w:fldCharType="separate"/>
      </w:r>
      <w:r w:rsidR="006537A1" w:rsidRPr="006537A1">
        <w:rPr>
          <w:noProof/>
        </w:rPr>
        <w:t>(OECD, 2017)</w:t>
      </w:r>
      <w:r w:rsidRPr="00706A75">
        <w:fldChar w:fldCharType="end"/>
      </w:r>
      <w:r w:rsidRPr="00706A75">
        <w:t xml:space="preserve"> recognised the importance of Indigenous teachers as role models who can communicate with students in their home languages. However, there was noted to be a need for expansion of Indigenous staff across all jurisdictions as a matter of priority. Ensuring Indigenous staff and students feel comfortable in the school is essential. Providing a dedicated room is a valued practice in many schools and providing a mentor or graduate coach can support and enhance students’ motivation. This was a feature of one high-performing Canadian </w:t>
      </w:r>
      <w:r w:rsidRPr="00706A75">
        <w:lastRenderedPageBreak/>
        <w:t>high school in Alberta where staff had regular contact with First Nation communities and the Indigenous support worker closely liaised with families.</w:t>
      </w:r>
    </w:p>
    <w:p w14:paraId="3D07AB38" w14:textId="6B2E7238" w:rsidR="00706A75" w:rsidRPr="00706A75" w:rsidRDefault="00706A75" w:rsidP="00706A75">
      <w:pPr>
        <w:rPr>
          <w:lang w:eastAsia="en-AU"/>
        </w:rPr>
      </w:pPr>
      <w:r w:rsidRPr="00706A75">
        <w:rPr>
          <w:lang w:eastAsia="en-AU"/>
        </w:rPr>
        <w:t xml:space="preserve">Hopkins, Zubrick and Taylor </w:t>
      </w:r>
      <w:r w:rsidRPr="00706A75">
        <w:rPr>
          <w:lang w:eastAsia="en-AU"/>
        </w:rPr>
        <w:fldChar w:fldCharType="begin" w:fldLock="1"/>
      </w:r>
      <w:r w:rsidRPr="00706A75">
        <w:rPr>
          <w:lang w:eastAsia="en-AU"/>
        </w:rPr>
        <w:instrText>ADDIN CSL_CITATION {"citationItems":[{"id":"ITEM-1","itemData":{"DOI":"10.1371/journal.pone.0102820","ISSN":"1932-6203","abstract":"We investigate whether the profile of factors protecting psychosocial functioning of high risk exposed Australian Aboriginal youth are the same as those promoting psychosocial functioning in low risk exposed youth. Data on 1,021 youth aged 12–17 years were drawn from the Western Australian Aboriginal Child Health Survey (WAACHS 2000–2002), a population representative survey of the health and well-being of Aboriginal children, their families and community contexts. A person-centered approach was used to define four groups of youth cross-classified according to level of risk exposure (high/low) and psychosocial functioning (good/poor). Multivariate logistic regression was used to model the influence of individual, family, cultural and community factors on psychosocial outcomes separately for youth in high and low family-risk contexts. Results showed that in high family risk contexts, prosocial friendship and low area-level socioeconomic status uniquely protected psychosocial functioning. However, in low family risk contexts the perception of racism increased the likelihood of poor psychosocial functioning. For youth in both high and low risk contexts, higher self-esteem and self-regulation were associated with good psychosocial functioning although the relationship was non-linear. These findings demonstrate that an empirical resilience framework of analysis can identify potent protective processes operating uniquely in contexts of high risk and is the first to describe distinct profiles of risk, protective and promotive factors within high and low risk exposed Australian Aboriginal youth.","author":[{"dropping-particle":"","family":"Hopkins","given":"Katrina D.","non-dropping-particle":"","parse-names":false,"suffix":""},{"dropping-particle":"","family":"Zubrick","given":"Stephen R.","non-dropping-particle":"","parse-names":false,"suffix":""},{"dropping-particle":"","family":"Taylor","given":"Catherine L.","non-dropping-particle":"","parse-names":false,"suffix":""}],"container-title":"PLoS ONE","editor":[{"dropping-particle":"","family":"Eriksson","given":"Kimmo","non-dropping-particle":"","parse-names":false,"suffix":""}],"id":"ITEM-1","issue":"7","issued":{"date-parts":[["2014","7","28"]]},"page":"e102820","publisher":"Public Library of Science","title":"Resilience amongst Australian Aboriginal Youth: An Ecological Analysis of Factors Associated with Psychosocial Functioning in High and Low Family Risk Contexts","type":"article-journal","volume":"9"},"suppress-author":1,"uris":["http://www.mendeley.com/documents/?uuid=252bf733-dc40-3566-b839-dc94d10c55f2"]}],"mendeley":{"formattedCitation":"(2014)","plainTextFormattedCitation":"(2014)","previouslyFormattedCitation":"(2014)"},"properties":{"noteIndex":0},"schema":"https://github.com/citation-style-language/schema/raw/master/csl-citation.json"}</w:instrText>
      </w:r>
      <w:r w:rsidRPr="00706A75">
        <w:rPr>
          <w:lang w:eastAsia="en-AU"/>
        </w:rPr>
        <w:fldChar w:fldCharType="separate"/>
      </w:r>
      <w:r w:rsidRPr="00706A75">
        <w:rPr>
          <w:noProof/>
          <w:lang w:eastAsia="en-AU"/>
        </w:rPr>
        <w:t>(2014)</w:t>
      </w:r>
      <w:r w:rsidRPr="00706A75">
        <w:rPr>
          <w:lang w:eastAsia="en-AU"/>
        </w:rPr>
        <w:fldChar w:fldCharType="end"/>
      </w:r>
      <w:r w:rsidRPr="00706A75">
        <w:rPr>
          <w:lang w:eastAsia="en-AU"/>
        </w:rPr>
        <w:t xml:space="preserve"> found that the psychosocial functioning of Aboriginal youth in ‘low risk’ families was significantly impacted by exposure to racism. As interpersonal and institutional racism are commonly experienced in school contexts </w:t>
      </w:r>
      <w:r w:rsidRPr="00706A75">
        <w:rPr>
          <w:lang w:eastAsia="en-AU"/>
        </w:rPr>
        <w:fldChar w:fldCharType="begin" w:fldLock="1"/>
      </w:r>
      <w:r w:rsidR="005F5266">
        <w:rPr>
          <w:lang w:eastAsia="en-AU"/>
        </w:rPr>
        <w:instrText>ADDIN CSL_CITATION {"citationItems":[{"id":"ITEM-1","itemData":{"abstract":"The Institute for Citizenship and Globalisation at Deakin University has worked in partnership with the Foundation for Young Australians to conduct this research project into the impact of racism upon the health and wellbeing of young Australians. The research has been carried out in eighteen Australian secondary schools in Victoria, New South Wales, Northern Territory and Queensland. Students aged 15-18 were surveyed and interviewed in both the government and Catholic education systems in order to ascertain the experience of racism and racist behaviours among Australian youth and their impact on health and wellbeing. The scope of the research brief included the nature of the racist experience, its setting, the individual and institutional responses and its reporting. The research also aimed to examine the impact of the experience of racism upon the health and wellbeing of Australian youth. A glossary of terms is included in Appendix 1 to assist with the reading of this Report.","author":[{"dropping-particle":"","family":"Mansouri","given":"F.","non-dropping-particle":"","parse-names":false,"suffix":""},{"dropping-particle":"","family":"Jenkins","given":"L.","non-dropping-particle":"","parse-names":false,"suffix":""},{"dropping-particle":"","family":"Morgan","given":"L.","non-dropping-particle":"","parse-names":false,"suffix":""},{"dropping-particle":"","family":"Taouk","given":"M.","non-dropping-particle":"","parse-names":false,"suffix":""}],"id":"ITEM-1","issued":{"date-parts":[["2009","1","1"]]},"publisher":"The Foundation for Young Australians","title":"The impact of racise upon the health and wellbeing of young australians at a glance","type":"report"},"uris":["http://www.mendeley.com/documents/?uuid=c1909d5e-39d6-3c28-82ad-c2f049a5efff"]}],"mendeley":{"formattedCitation":"(Mansouri, Jenkins, Morgan, &amp; Taouk, 2009)","plainTextFormattedCitation":"(Mansouri, Jenkins, Morgan, &amp; Taouk, 2009)","previouslyFormattedCitation":"(Mansouri, Jenkins, Morgan, &amp; Taouk, 2009)"},"properties":{"noteIndex":0},"schema":"https://github.com/citation-style-language/schema/raw/master/csl-citation.json"}</w:instrText>
      </w:r>
      <w:r w:rsidRPr="00706A75">
        <w:rPr>
          <w:lang w:eastAsia="en-AU"/>
        </w:rPr>
        <w:fldChar w:fldCharType="separate"/>
      </w:r>
      <w:r w:rsidR="006537A1" w:rsidRPr="006537A1">
        <w:rPr>
          <w:noProof/>
          <w:lang w:eastAsia="en-AU"/>
        </w:rPr>
        <w:t>(Mansouri, Jenkins, Morgan, &amp; Taouk, 2009)</w:t>
      </w:r>
      <w:r w:rsidRPr="00706A75">
        <w:rPr>
          <w:lang w:eastAsia="en-AU"/>
        </w:rPr>
        <w:fldChar w:fldCharType="end"/>
      </w:r>
      <w:r w:rsidRPr="00706A75">
        <w:rPr>
          <w:lang w:eastAsia="en-AU"/>
        </w:rPr>
        <w:t xml:space="preserve">, promoting the resilience of Aboriginal and minority youth may be enhanced in schools that have adopted anti-racism strategies </w:t>
      </w:r>
      <w:r w:rsidRPr="00706A75">
        <w:rPr>
          <w:lang w:eastAsia="en-AU"/>
        </w:rPr>
        <w:fldChar w:fldCharType="begin" w:fldLock="1"/>
      </w:r>
      <w:r w:rsidR="005F5266">
        <w:rPr>
          <w:lang w:eastAsia="en-AU"/>
        </w:rPr>
        <w:instrText>ADDIN CSL_CITATION {"citationItems":[{"id":"ITEM-1","itemData":{"author":[{"dropping-particle":"","family":"Nissim","given":"Rivkah","non-dropping-particle":"","parse-names":false,"suffix":""}],"id":"ITEM-1","issued":{"date-parts":[["2014"]]},"publisher":"University of Sydney: Sydney Social Justice Network","title":"Building resilience in the face of racism: options for anti-racism strategies","type":"report"},"uris":["http://www.mendeley.com/documents/?uuid=170027c2-bce2-35fa-af7f-8bff5e11652f"]}],"mendeley":{"formattedCitation":"(Nissim, 2014)","plainTextFormattedCitation":"(Nissim, 2014)","previouslyFormattedCitation":"(Nissim, 2014)"},"properties":{"noteIndex":0},"schema":"https://github.com/citation-style-language/schema/raw/master/csl-citation.json"}</w:instrText>
      </w:r>
      <w:r w:rsidRPr="00706A75">
        <w:rPr>
          <w:lang w:eastAsia="en-AU"/>
        </w:rPr>
        <w:fldChar w:fldCharType="separate"/>
      </w:r>
      <w:r w:rsidR="006537A1" w:rsidRPr="006537A1">
        <w:rPr>
          <w:noProof/>
          <w:lang w:eastAsia="en-AU"/>
        </w:rPr>
        <w:t>(Nissim, 2014)</w:t>
      </w:r>
      <w:r w:rsidRPr="00706A75">
        <w:rPr>
          <w:lang w:eastAsia="en-AU"/>
        </w:rPr>
        <w:fldChar w:fldCharType="end"/>
      </w:r>
      <w:r w:rsidRPr="00706A75">
        <w:rPr>
          <w:lang w:eastAsia="en-AU"/>
        </w:rPr>
        <w:t xml:space="preserve">, including provision of culturally relevant content and pedagogies and community connectedness </w:t>
      </w:r>
      <w:r w:rsidRPr="00706A75">
        <w:rPr>
          <w:lang w:eastAsia="en-AU"/>
        </w:rPr>
        <w:fldChar w:fldCharType="begin" w:fldLock="1"/>
      </w:r>
      <w:r w:rsidR="005F5266">
        <w:rPr>
          <w:lang w:eastAsia="en-AU"/>
        </w:rPr>
        <w:instrText>ADDIN CSL_CITATION {"citationItems":[{"id":"ITEM-1","itemData":{"DOI":"10.1177/070674371105600203","ISSN":"0706-7437","PMID":"21333035","abstract":"The notions of resilience that have emerged in developmental psychology and psychiatry in recent years require systematic rethinking to address the distinctive cultures, geographic and social settings, and histories of adversity of indigenous peoples. In Canada, the overriding social realities of indigenous peoples include their historical rootedness to a specific place (with traditional lands, communities, and transactions with the environment) and the profound displacements caused by colonization and subsequent loss of autonomy, political oppression, and bureaucratic control. We report observations from an ongoing collaborative project on resilience in Inuit, Métis, Mi'kmaq, and Mohawk communities that suggests the value of incorporating indigenous constructs in resilience research. These constructs are expressed through specific stories and metaphors grounded in local culture and language; however, they can be framed more generally in terms of processes that include: regulating emotion and supporting adaptation through relational, ecocentric, and cosmocentric concepts of self and personhood; revisioning collective history in ways that valorize collective identity; revitalizing language and culture as resources for narrative self-fashioning, social positioning, and healing; and renewing individual and collective agency through political activism, empowerment, and reconciliation. Each of these sources of resilience can be understood in dynamic terms as emerging from interactions between individuals, their communities, and the larger regional, national, and global systems that locate and sustain indigenous agency and identity. This social-ecological view of resilience has important implications for mental health promotion, policy, and clinical practice.","author":[{"dropping-particle":"","family":"Kirmayer","given":"Laurence J","non-dropping-particle":"","parse-names":false,"suffix":""},{"dropping-particle":"","family":"Dandeneau","given":"Stéphane","non-dropping-particle":"","parse-names":false,"suffix":""},{"dropping-particle":"","family":"Marshall","given":"Elizabeth","non-dropping-particle":"","parse-names":false,"suffix":""},{"dropping-particle":"","family":"Phillips","given":"Morgan Kahentonni","non-dropping-particle":"","parse-names":false,"suffix":""},{"dropping-particle":"","family":"Williamson","given":"Karla Jessen","non-dropping-particle":"","parse-names":false,"suffix":""}],"container-title":"The Canadian Journal of Psychiatry","id":"ITEM-1","issue":"2","issued":{"date-parts":[["2011","2"]]},"page":"84-91","title":"Rethinking Resilience from Indigenous Perspectives","type":"article-journal","volume":"56"},"uris":["http://www.mendeley.com/documents/?uuid=4d5b88d7-35e4-3410-9d03-063fd9898a4e"]}],"mendeley":{"formattedCitation":"(Kirmayer, Dandeneau, Marshall, Phillips, &amp; Williamson, 2011)","plainTextFormattedCitation":"(Kirmayer, Dandeneau, Marshall, Phillips, &amp; Williamson, 2011)","previouslyFormattedCitation":"(Kirmayer, Dandeneau, Marshall, Phillips, &amp; Williamson, 2011)"},"properties":{"noteIndex":0},"schema":"https://github.com/citation-style-language/schema/raw/master/csl-citation.json"}</w:instrText>
      </w:r>
      <w:r w:rsidRPr="00706A75">
        <w:rPr>
          <w:lang w:eastAsia="en-AU"/>
        </w:rPr>
        <w:fldChar w:fldCharType="separate"/>
      </w:r>
      <w:r w:rsidR="006537A1" w:rsidRPr="006537A1">
        <w:rPr>
          <w:noProof/>
          <w:lang w:eastAsia="en-AU"/>
        </w:rPr>
        <w:t>(Kirmayer, Dandeneau, Marshall, Phillips, &amp; Williamson, 2011)</w:t>
      </w:r>
      <w:r w:rsidRPr="00706A75">
        <w:rPr>
          <w:lang w:eastAsia="en-AU"/>
        </w:rPr>
        <w:fldChar w:fldCharType="end"/>
      </w:r>
      <w:r w:rsidRPr="00706A75">
        <w:rPr>
          <w:lang w:eastAsia="en-AU"/>
        </w:rPr>
        <w:t xml:space="preserve">. Acknowledging and challenging racism are resilience agents in this context </w:t>
      </w:r>
      <w:r w:rsidRPr="00706A75">
        <w:rPr>
          <w:lang w:eastAsia="en-AU"/>
        </w:rPr>
        <w:fldChar w:fldCharType="begin" w:fldLock="1"/>
      </w:r>
      <w:r w:rsidR="005F5266">
        <w:rPr>
          <w:lang w:eastAsia="en-AU"/>
        </w:rPr>
        <w:instrText>ADDIN CSL_CITATION {"citationItems":[{"id":"ITEM-1","itemData":{"abstract":"Within the Australian research setting, a strong research base has emerged to articulate both the nature and impact of racism from the perspectives of Aboriginal and Torres Strait Islander peoples. It may be argued though that quantitative approaches to this research have been limited by simplistic measures that fail to capture the complexity of racism today. This limitation may have important implications for the identification of factors that could provide a buffer against the detrimental effects of racism, and thus promote a stronger and positive sense of resilience and engagement for Aboriginal and Torres Strait Islander youth. It is the purpose of this paper to summarise two studies that have sought to understand the impact of racism on Aboriginal and Torres Strait Islander student outcomes (e.g. achievement, engagement, aspirations) and to identify factors that may limit or negate the effects of racism. Using a mixture of both quantitative and qualitative research methodologies, the results identified a) a measure of racism that held strong psychometric properties for the Aboriginal and Torres Strait Islander students; b) that each dimension of racism revealed a range of significant and negative associations with educational outcomes; and c) multiple strategies to help combat racism and its negative effects.","author":[{"dropping-particle":"","family":"Bodkin-Andrews","given":"G.","non-dropping-particle":"","parse-names":false,"suffix":""},{"dropping-particle":"","family":"Craven","given":"R.","non-dropping-particle":"","parse-names":false,"suffix":""}],"id":"ITEM-1","issued":{"date-parts":[["2014"]]},"publisher":"Australian Council for Educational Research","title":"Bubalamai Bawa Gumada (Healing the Wounds of the Heart): The Search for Resilience Against Racism for Aboriginal Australian Students","type":"report"},"uris":["http://www.mendeley.com/documents/?uuid=4f202182-b140-3e97-96b5-3e96f41d7941"]}],"mendeley":{"formattedCitation":"(Bodkin-Andrews &amp; Craven, 2014)","plainTextFormattedCitation":"(Bodkin-Andrews &amp; Craven, 2014)","previouslyFormattedCitation":"(Bodkin-Andrews &amp; Craven, 2014)"},"properties":{"noteIndex":0},"schema":"https://github.com/citation-style-language/schema/raw/master/csl-citation.json"}</w:instrText>
      </w:r>
      <w:r w:rsidRPr="00706A75">
        <w:rPr>
          <w:lang w:eastAsia="en-AU"/>
        </w:rPr>
        <w:fldChar w:fldCharType="separate"/>
      </w:r>
      <w:r w:rsidR="006537A1" w:rsidRPr="006537A1">
        <w:rPr>
          <w:noProof/>
          <w:lang w:eastAsia="en-AU"/>
        </w:rPr>
        <w:t>(Bodkin-Andrews &amp; Craven, 2014)</w:t>
      </w:r>
      <w:r w:rsidRPr="00706A75">
        <w:rPr>
          <w:lang w:eastAsia="en-AU"/>
        </w:rPr>
        <w:fldChar w:fldCharType="end"/>
      </w:r>
      <w:r w:rsidRPr="00706A75">
        <w:rPr>
          <w:lang w:eastAsia="en-AU"/>
        </w:rPr>
        <w:t>.</w:t>
      </w:r>
    </w:p>
    <w:p w14:paraId="6A404D25" w14:textId="77777777" w:rsidR="00706A75" w:rsidRPr="00706A75" w:rsidRDefault="00706A75" w:rsidP="00706A75">
      <w:pPr>
        <w:rPr>
          <w:lang w:eastAsia="en-AU"/>
        </w:rPr>
      </w:pPr>
      <w:r w:rsidRPr="00706A75">
        <w:rPr>
          <w:lang w:eastAsia="en-AU"/>
        </w:rPr>
        <w:t xml:space="preserve">There is some evidence that contextual factors are more impactful than individual factors for ethno-racial minority youth. For example, Ungar and Liebenberg’s </w:t>
      </w:r>
      <w:r w:rsidRPr="00706A75">
        <w:rPr>
          <w:lang w:eastAsia="en-AU"/>
        </w:rPr>
        <w:fldChar w:fldCharType="begin" w:fldLock="1"/>
      </w:r>
      <w:r w:rsidRPr="00706A75">
        <w:rPr>
          <w:lang w:eastAsia="en-AU"/>
        </w:rPr>
        <w:instrText>ADDIN CSL_CITATION {"citationItems":[{"id":"ITEM-1","itemData":{"DOI":"10.1177/0143034312472761","ISSN":"0143-0343","author":[{"dropping-particle":"","family":"Ungar","given":"Michael","non-dropping-particle":"","parse-names":false,"suffix":""},{"dropping-particle":"","family":"Liebenberg","given":"Linda","non-dropping-particle":"","parse-names":false,"suffix":""}],"container-title":"School Psychology International","id":"ITEM-1","issue":"5","issued":{"date-parts":[["2013","10","17"]]},"page":"514-526","title":"Ethnocultural factors, resilience, and school engagement","type":"article-journal","volume":"34"},"suppress-author":1,"uris":["http://www.mendeley.com/documents/?uuid=bed50140-38bd-3a6c-b0a9-506b81058e11"]}],"mendeley":{"formattedCitation":"(2013)","plainTextFormattedCitation":"(2013)","previouslyFormattedCitation":"(2013)"},"properties":{"noteIndex":0},"schema":"https://github.com/citation-style-language/schema/raw/master/csl-citation.json"}</w:instrText>
      </w:r>
      <w:r w:rsidRPr="00706A75">
        <w:rPr>
          <w:lang w:eastAsia="en-AU"/>
        </w:rPr>
        <w:fldChar w:fldCharType="separate"/>
      </w:r>
      <w:r w:rsidRPr="00706A75">
        <w:rPr>
          <w:noProof/>
          <w:lang w:eastAsia="en-AU"/>
        </w:rPr>
        <w:t>(2013)</w:t>
      </w:r>
      <w:r w:rsidRPr="00706A75">
        <w:rPr>
          <w:lang w:eastAsia="en-AU"/>
        </w:rPr>
        <w:fldChar w:fldCharType="end"/>
      </w:r>
      <w:r w:rsidRPr="00706A75">
        <w:rPr>
          <w:lang w:eastAsia="en-AU"/>
        </w:rPr>
        <w:t xml:space="preserve"> study with Canadian youth found that cultural adherence and involvement in one’s community had greater impact than individual or relational factors. </w:t>
      </w:r>
    </w:p>
    <w:p w14:paraId="3FDC816C" w14:textId="77777777" w:rsidR="00706A75" w:rsidRPr="00706A75" w:rsidRDefault="00706A75" w:rsidP="00706A75">
      <w:pPr>
        <w:pStyle w:val="Heading3"/>
      </w:pPr>
      <w:bookmarkStart w:id="37" w:name="_Toc9497573"/>
      <w:r w:rsidRPr="00706A75">
        <w:lastRenderedPageBreak/>
        <w:t>Mentoring</w:t>
      </w:r>
      <w:bookmarkEnd w:id="37"/>
    </w:p>
    <w:p w14:paraId="095DE52E" w14:textId="5EE351BD" w:rsidR="00706A75" w:rsidRPr="00706A75" w:rsidRDefault="00706A75" w:rsidP="00706A75">
      <w:r w:rsidRPr="00706A75">
        <w:t xml:space="preserve">Ware </w:t>
      </w:r>
      <w:r w:rsidRPr="00706A75">
        <w:fldChar w:fldCharType="begin" w:fldLock="1"/>
      </w:r>
      <w:r w:rsidR="006537A1">
        <w:instrText>ADDIN CSL_CITATION {"citationItems":[{"id":"ITEM-1","itemData":{"author":[{"dropping-particle":"","family":"Ware","given":"Vicki-Ann","non-dropping-particle":"","parse-names":false,"suffix":""}],"id":"ITEM-1","issued":{"date-parts":[["2013"]]},"publisher":"Australian Institute of Health and Welfare; Australian Institute of Family Studies.","publisher-place":"Canberra","title":"Mentoring programs for Indigenous youth at risk. Resource sheet no. 22. Produced for the Closing the Gap Clearinghouse","type":"report"},"suppress-author":1,"uris":["http://www.mendeley.com/documents/?uuid=4ad9360e-dbb1-43d3-acc6-b70eb911d2ee"]}],"mendeley":{"formattedCitation":"(2013)","plainTextFormattedCitation":"(2013)","previouslyFormattedCitation":"(2013)"},"properties":{"noteIndex":0},"schema":"https://github.com/citation-style-language/schema/raw/master/csl-citation.json"}</w:instrText>
      </w:r>
      <w:r w:rsidRPr="00706A75">
        <w:fldChar w:fldCharType="separate"/>
      </w:r>
      <w:r w:rsidRPr="00706A75">
        <w:rPr>
          <w:noProof/>
        </w:rPr>
        <w:t>(2013)</w:t>
      </w:r>
      <w:r w:rsidRPr="00706A75">
        <w:fldChar w:fldCharType="end"/>
      </w:r>
      <w:r w:rsidRPr="00706A75">
        <w:t xml:space="preserve"> found that formal mentoring can have a positive impact on the behavioural, academic and vocational outcomes of at-risk youth. Benefits range from improved self-esteem to increased school engagement and reduced participation in antisocial behaviour</w:t>
      </w:r>
    </w:p>
    <w:p w14:paraId="722DBA20" w14:textId="77777777" w:rsidR="00706A75" w:rsidRPr="00706A75" w:rsidRDefault="00706A75" w:rsidP="00706A75">
      <w:pPr>
        <w:rPr>
          <w:rFonts w:cs="Calibri"/>
        </w:rPr>
      </w:pPr>
      <w:r w:rsidRPr="00706A75">
        <w:rPr>
          <w:rFonts w:cs="Calibri"/>
        </w:rPr>
        <w:t xml:space="preserve">Under the Indigenous Advancement Strategy (IAS), formal mentoring has been provided to Aboriginal and Torres Strait Islander youth either through mentoring specific programs such as those delivered by AIME or as part of an Academy program. School-based academies such as the Clontarf Foundation and Role Models and Leaders Australia have been funded to provide mentoring in addition to other wrap around activities to youth at risk of disengagement. </w:t>
      </w:r>
    </w:p>
    <w:p w14:paraId="5F4A421A" w14:textId="77777777" w:rsidR="00706A75" w:rsidRPr="00706A75" w:rsidRDefault="00706A75" w:rsidP="00706A75">
      <w:pPr>
        <w:rPr>
          <w:rFonts w:cs="Calibri"/>
        </w:rPr>
      </w:pPr>
      <w:r w:rsidRPr="00706A75">
        <w:rPr>
          <w:rFonts w:cs="Calibri"/>
        </w:rPr>
        <w:t xml:space="preserve">AIME has been the most comprehensively evaluated Indigenous mentoring program in Australia. KPMG’s </w:t>
      </w:r>
      <w:r w:rsidRPr="00706A75">
        <w:rPr>
          <w:rFonts w:cs="Calibri"/>
        </w:rPr>
        <w:fldChar w:fldCharType="begin" w:fldLock="1"/>
      </w:r>
      <w:r w:rsidRPr="00706A75">
        <w:rPr>
          <w:rFonts w:cs="Calibri"/>
        </w:rPr>
        <w:instrText>ADDIN CSL_CITATION {"citationItems":[{"id":"ITEM-1","itemData":{"author":[{"dropping-particle":"","family":"KPMG","given":"","non-dropping-particle":"","parse-names":false,"suffix":""}],"id":"ITEM-1","issued":{"date-parts":[["2018"]]},"title":"Economic evaluation of AIME Mentoring","type":"report"},"suppress-author":1,"uris":["http://www.mendeley.com/documents/?uuid=32501429-2bf4-4172-94db-84178fb580c1"]}],"mendeley":{"formattedCitation":"(2018)","plainTextFormattedCitation":"(2018)","previouslyFormattedCitation":"(2018)"},"properties":{"noteIndex":0},"schema":"https://github.com/citation-style-language/schema/raw/master/csl-citation.json"}</w:instrText>
      </w:r>
      <w:r w:rsidRPr="00706A75">
        <w:rPr>
          <w:rFonts w:cs="Calibri"/>
        </w:rPr>
        <w:fldChar w:fldCharType="separate"/>
      </w:r>
      <w:r w:rsidRPr="00706A75">
        <w:rPr>
          <w:rFonts w:cs="Calibri"/>
          <w:noProof/>
        </w:rPr>
        <w:t>(2018)</w:t>
      </w:r>
      <w:r w:rsidRPr="00706A75">
        <w:rPr>
          <w:rFonts w:cs="Calibri"/>
        </w:rPr>
        <w:fldChar w:fldCharType="end"/>
      </w:r>
      <w:r w:rsidRPr="00706A75">
        <w:rPr>
          <w:rFonts w:cs="Calibri"/>
        </w:rPr>
        <w:t xml:space="preserve"> recent economic evaluation of the AIME Program demonstrated its impact in generating positive economic and social returns for participants and the broader community. The evaluation directly attributed to the AIME Program the attainment of higher levels of education (school, VET, and university progression and attainment) for participating mentees. It also had a direct benefit to mentors in terms of developing valuable and transferrable skills through their involvement in the program. </w:t>
      </w:r>
    </w:p>
    <w:p w14:paraId="3ED6CF9D" w14:textId="77777777" w:rsidR="00706A75" w:rsidRPr="00706A75" w:rsidRDefault="00706A75" w:rsidP="00706A75">
      <w:pPr>
        <w:rPr>
          <w:rFonts w:cs="Calibri"/>
        </w:rPr>
      </w:pPr>
      <w:r w:rsidRPr="00706A75">
        <w:rPr>
          <w:rFonts w:cs="Calibri"/>
        </w:rPr>
        <w:lastRenderedPageBreak/>
        <w:t xml:space="preserve">Harwood and colleagues </w:t>
      </w:r>
      <w:r w:rsidRPr="00706A75">
        <w:rPr>
          <w:rFonts w:cs="Calibri"/>
        </w:rPr>
        <w:fldChar w:fldCharType="begin" w:fldLock="1"/>
      </w:r>
      <w:r w:rsidRPr="00706A75">
        <w:rPr>
          <w:rFonts w:cs="Calibri"/>
        </w:rPr>
        <w:instrText>ADDIN CSL_CITATION {"citationItems":[{"id":"ITEM-1","itemData":{"DOI":"10.1007/s13384-015-0174-3","ISSN":"22105328","abstract":"A strong feature of the widening participation agenda is improving the aspirations of groups that are underrepresented in higher education. This paper seeks to reposition the utility of this as a focal point of educational interventions by showcasing the success of a mentoring program that takes a different approach. The Australian Indigenous Mentoring Experience (AIME) significantly and positively impacts Australian Indigenous high school students’ aspirations to finish school and continue to further study, training or employment. AIME is not read as a classic intervention program for raising aspirations. Instead, AIME builds upon the cultural wealth of participants and adopts an approach that seeks to inspire individuals rather than remediate them. The paper draws on survey data and fieldwork to present an example case study for resisting the assumption that young people’s aspirations are deficit and in need of ‘improving’. The paper describes how AIME works within young people’s ‘windows of aspiration’ to positively impact their engagement in school and further education, training and employment.","author":[{"dropping-particle":"","family":"Harwood","given":"Valerie","non-dropping-particle":"","parse-names":false,"suffix":""},{"dropping-particle":"","family":"McMahon","given":"Samantha","non-dropping-particle":"","parse-names":false,"suffix":""},{"dropping-particle":"","family":"O’Shea","given":"Sarah","non-dropping-particle":"","parse-names":false,"suffix":""},{"dropping-particle":"","family":"Bodkin-Andrews","given":"Gawaian","non-dropping-particle":"","parse-names":false,"suffix":""},{"dropping-particle":"","family":"Priestly","given":"Amy","non-dropping-particle":"","parse-names":false,"suffix":""}],"container-title":"Australian Educational Researcher","id":"ITEM-1","issue":"2","issued":{"date-parts":[["2015","4","20"]]},"page":"217-236","title":"Recognising aspiration: the AIME program’s effectiveness in inspiring Indigenous young people’s participation in schooling and opportunities for further education and employment","type":"article-journal","volume":"42"},"suppress-author":1,"uris":["http://www.mendeley.com/documents/?uuid=5af1c01a-3729-3071-9119-1736b87c6d5a"]}],"mendeley":{"formattedCitation":"(2015)","plainTextFormattedCitation":"(2015)","previouslyFormattedCitation":"(2015)"},"properties":{"noteIndex":0},"schema":"https://github.com/citation-style-language/schema/raw/master/csl-citation.json"}</w:instrText>
      </w:r>
      <w:r w:rsidRPr="00706A75">
        <w:rPr>
          <w:rFonts w:cs="Calibri"/>
        </w:rPr>
        <w:fldChar w:fldCharType="separate"/>
      </w:r>
      <w:r w:rsidRPr="00706A75">
        <w:rPr>
          <w:rFonts w:cs="Calibri"/>
          <w:noProof/>
        </w:rPr>
        <w:t>(2015)</w:t>
      </w:r>
      <w:r w:rsidRPr="00706A75">
        <w:rPr>
          <w:rFonts w:cs="Calibri"/>
        </w:rPr>
        <w:fldChar w:fldCharType="end"/>
      </w:r>
      <w:r w:rsidRPr="00706A75">
        <w:rPr>
          <w:rFonts w:cs="Calibri"/>
        </w:rPr>
        <w:t xml:space="preserve"> evaluation of the AIME Outreach program reported positive results for participants (mentees). The Outreach program is based on the recruitment of university students as mentors who provide advice and personal support to Indigenous school mentees from years 7 to 12. The evaluation reported that the program had been effective in strengthening participant’s school and post-school aspirations, sense of engagement, and sense of identity. The achievements and impact of the AIME Program were found to be comparable to those of the AIME Core Program, as measured by school progression rates, school completion rates and evaluation survey results. Outcomes from both programs were better than the national average at the time. </w:t>
      </w:r>
    </w:p>
    <w:p w14:paraId="51E790A7" w14:textId="2078DEDC" w:rsidR="00706A75" w:rsidRPr="00706A75" w:rsidRDefault="00706A75" w:rsidP="00706A75">
      <w:pPr>
        <w:rPr>
          <w:lang w:val="en"/>
        </w:rPr>
      </w:pPr>
      <w:r w:rsidRPr="00706A75">
        <w:rPr>
          <w:lang w:val="en"/>
        </w:rPr>
        <w:t xml:space="preserve">Ware </w:t>
      </w:r>
      <w:r w:rsidRPr="00706A75">
        <w:rPr>
          <w:lang w:val="en"/>
        </w:rPr>
        <w:fldChar w:fldCharType="begin" w:fldLock="1"/>
      </w:r>
      <w:r w:rsidR="006537A1">
        <w:rPr>
          <w:lang w:val="en"/>
        </w:rPr>
        <w:instrText>ADDIN CSL_CITATION {"citationItems":[{"id":"ITEM-1","itemData":{"author":[{"dropping-particle":"","family":"Ware","given":"Vicki-Ann","non-dropping-particle":"","parse-names":false,"suffix":""}],"id":"ITEM-1","issued":{"date-parts":[["2013"]]},"publisher":"Australian Institute of Health and Welfare; Australian Institute of Family Studies.","publisher-place":"Canberra","title":"Mentoring programs for Indigenous youth at risk. Resource sheet no. 22. Produced for the Closing the Gap Clearinghouse","type":"report"},"suppress-author":1,"uris":["http://www.mendeley.com/documents/?uuid=4ad9360e-dbb1-43d3-acc6-b70eb911d2ee"]}],"mendeley":{"formattedCitation":"(2013)","plainTextFormattedCitation":"(2013)","previouslyFormattedCitation":"(2013)"},"properties":{"noteIndex":0},"schema":"https://github.com/citation-style-language/schema/raw/master/csl-citation.json"}</w:instrText>
      </w:r>
      <w:r w:rsidRPr="00706A75">
        <w:rPr>
          <w:lang w:val="en"/>
        </w:rPr>
        <w:fldChar w:fldCharType="separate"/>
      </w:r>
      <w:r w:rsidRPr="00706A75">
        <w:rPr>
          <w:noProof/>
          <w:lang w:val="en"/>
        </w:rPr>
        <w:t>(2013)</w:t>
      </w:r>
      <w:r w:rsidRPr="00706A75">
        <w:rPr>
          <w:lang w:val="en"/>
        </w:rPr>
        <w:fldChar w:fldCharType="end"/>
      </w:r>
      <w:r w:rsidRPr="00706A75">
        <w:rPr>
          <w:lang w:val="en"/>
        </w:rPr>
        <w:t xml:space="preserve"> identified several factors as critical to the effective functioning of formal mentoring for Aboriginal and Torres Strait Islander students. </w:t>
      </w:r>
    </w:p>
    <w:p w14:paraId="3BA52F9C" w14:textId="77777777" w:rsidR="00706A75" w:rsidRPr="00706A75" w:rsidRDefault="00706A75" w:rsidP="0097435D">
      <w:pPr>
        <w:pStyle w:val="NormalBeforeList"/>
        <w:rPr>
          <w:lang w:val="en"/>
        </w:rPr>
      </w:pPr>
      <w:r w:rsidRPr="00706A75">
        <w:rPr>
          <w:lang w:val="en"/>
        </w:rPr>
        <w:t>At the level of program design and implementation, what works includes:</w:t>
      </w:r>
    </w:p>
    <w:p w14:paraId="4B203E73" w14:textId="77777777" w:rsidR="00706A75" w:rsidRPr="00706A75" w:rsidRDefault="00706A75" w:rsidP="0097435D">
      <w:pPr>
        <w:pStyle w:val="BulletLevel1"/>
        <w:rPr>
          <w:lang w:val="en"/>
        </w:rPr>
      </w:pPr>
      <w:r w:rsidRPr="00706A75">
        <w:rPr>
          <w:lang w:val="en"/>
        </w:rPr>
        <w:t>Starting mentoring before young people exhibit antisocial or criminal behaviour.</w:t>
      </w:r>
    </w:p>
    <w:p w14:paraId="2F08A642" w14:textId="77777777" w:rsidR="00706A75" w:rsidRPr="00706A75" w:rsidRDefault="00706A75" w:rsidP="0097435D">
      <w:pPr>
        <w:pStyle w:val="BulletLevel1"/>
        <w:rPr>
          <w:lang w:val="en"/>
        </w:rPr>
      </w:pPr>
      <w:r w:rsidRPr="00706A75">
        <w:rPr>
          <w:lang w:val="en"/>
        </w:rPr>
        <w:t>Obtaining Indigenous community input into planning and delivery of mentoring programs</w:t>
      </w:r>
    </w:p>
    <w:p w14:paraId="79DEFBB4" w14:textId="77777777" w:rsidR="00706A75" w:rsidRPr="00706A75" w:rsidRDefault="00706A75" w:rsidP="0097435D">
      <w:pPr>
        <w:pStyle w:val="BulletLevel1"/>
        <w:rPr>
          <w:lang w:val="en"/>
        </w:rPr>
      </w:pPr>
      <w:r w:rsidRPr="00706A75">
        <w:rPr>
          <w:lang w:val="en"/>
        </w:rPr>
        <w:lastRenderedPageBreak/>
        <w:t>Integrating mentoring programs with broader youth services (such as counselling, health and employment)</w:t>
      </w:r>
    </w:p>
    <w:p w14:paraId="7A6B1E66" w14:textId="77777777" w:rsidR="00706A75" w:rsidRPr="00706A75" w:rsidRDefault="00706A75" w:rsidP="0097435D">
      <w:pPr>
        <w:pStyle w:val="BulletLevel1"/>
        <w:rPr>
          <w:lang w:val="en"/>
        </w:rPr>
      </w:pPr>
      <w:r w:rsidRPr="00706A75">
        <w:rPr>
          <w:lang w:val="en"/>
        </w:rPr>
        <w:t>Culturally tailoring mentoring to the diverse backgrounds of students and their communities.</w:t>
      </w:r>
    </w:p>
    <w:p w14:paraId="7A7A328D" w14:textId="77777777" w:rsidR="00706A75" w:rsidRPr="00706A75" w:rsidRDefault="00706A75" w:rsidP="0097435D">
      <w:pPr>
        <w:pStyle w:val="NormalBetweenLists"/>
        <w:rPr>
          <w:lang w:val="en"/>
        </w:rPr>
      </w:pPr>
      <w:r w:rsidRPr="00706A75">
        <w:rPr>
          <w:lang w:val="en"/>
        </w:rPr>
        <w:t>Within the mentoring relationship, what works includes:</w:t>
      </w:r>
    </w:p>
    <w:p w14:paraId="3CF24309" w14:textId="77777777" w:rsidR="00706A75" w:rsidRPr="00706A75" w:rsidRDefault="00706A75" w:rsidP="0097435D">
      <w:pPr>
        <w:pStyle w:val="BulletLevel1"/>
        <w:rPr>
          <w:lang w:val="en"/>
        </w:rPr>
      </w:pPr>
      <w:r w:rsidRPr="00706A75">
        <w:rPr>
          <w:lang w:val="en"/>
        </w:rPr>
        <w:t>Long-term, respectful and mutually fulfilling relationships between mentors and mentees</w:t>
      </w:r>
    </w:p>
    <w:p w14:paraId="350274D4" w14:textId="77777777" w:rsidR="00706A75" w:rsidRPr="00706A75" w:rsidRDefault="00706A75" w:rsidP="0097435D">
      <w:pPr>
        <w:pStyle w:val="BulletLevel1"/>
        <w:rPr>
          <w:lang w:val="en"/>
        </w:rPr>
      </w:pPr>
      <w:r w:rsidRPr="00706A75">
        <w:rPr>
          <w:lang w:val="en"/>
        </w:rPr>
        <w:t>Parental involvement in the mentorship relationship, which can improve parent-child relationships</w:t>
      </w:r>
    </w:p>
    <w:p w14:paraId="3A48CA93" w14:textId="77777777" w:rsidR="00706A75" w:rsidRPr="00706A75" w:rsidRDefault="00706A75" w:rsidP="0097435D">
      <w:pPr>
        <w:pStyle w:val="BulletLevel1"/>
        <w:rPr>
          <w:lang w:val="en"/>
        </w:rPr>
      </w:pPr>
      <w:r w:rsidRPr="00706A75">
        <w:rPr>
          <w:lang w:val="en"/>
        </w:rPr>
        <w:t xml:space="preserve">The use of one-on-one models that account for mentor competence </w:t>
      </w:r>
    </w:p>
    <w:p w14:paraId="15902FEA" w14:textId="77777777" w:rsidR="00706A75" w:rsidRPr="00706A75" w:rsidRDefault="00706A75" w:rsidP="0097435D">
      <w:pPr>
        <w:pStyle w:val="BulletLevel1"/>
        <w:rPr>
          <w:lang w:val="en"/>
        </w:rPr>
      </w:pPr>
      <w:r w:rsidRPr="00706A75">
        <w:rPr>
          <w:lang w:val="en"/>
        </w:rPr>
        <w:t>Consistent regular contact and mentors who have experienced similar challenges to the mentee.</w:t>
      </w:r>
    </w:p>
    <w:p w14:paraId="578AD48F" w14:textId="77777777" w:rsidR="00706A75" w:rsidRPr="00706A75" w:rsidRDefault="00706A75" w:rsidP="0097435D">
      <w:pPr>
        <w:pStyle w:val="NormalAfterList"/>
      </w:pPr>
      <w:r w:rsidRPr="00706A75">
        <w:t xml:space="preserve">The effectiveness of gender-specific mentoring strategies, such as for Aboriginal and Torres Strait Islander girls, has yet to be comprehensively measured. </w:t>
      </w:r>
    </w:p>
    <w:p w14:paraId="040966C4" w14:textId="22D82FE3" w:rsidR="00706A75" w:rsidRPr="00706A75" w:rsidRDefault="00706A75" w:rsidP="00706A75">
      <w:r w:rsidRPr="00706A75">
        <w:rPr>
          <w:lang w:eastAsia="en-AU"/>
        </w:rPr>
        <w:t xml:space="preserve">Holdsworth </w:t>
      </w:r>
      <w:r w:rsidRPr="00706A75">
        <w:rPr>
          <w:lang w:eastAsia="en-AU"/>
        </w:rPr>
        <w:fldChar w:fldCharType="begin" w:fldLock="1"/>
      </w:r>
      <w:r w:rsidR="006537A1">
        <w:rPr>
          <w:lang w:eastAsia="en-AU"/>
        </w:rPr>
        <w:instrText>ADDIN CSL_CITATION {"citationItems":[{"id":"ITEM-1","itemData":{"author":[{"dropping-particle":"","family":"Holdsworth","given":"Roger","non-dropping-particle":"","parse-names":false,"suffix":""}],"id":"ITEM-1","issued":{"date-parts":[["2011"]]},"publisher":"Dusseldorp Skills Forum","title":"Learning choices national scan: Programs and schools catering for young people at risk of not completing their education - Results and Analysis","type":"report"},"suppress-author":1,"uris":["http://www.mendeley.com/documents/?uuid=e9517cb4-b4e9-42e5-9a0b-fe06404e042b"]}],"mendeley":{"formattedCitation":"(2011)","plainTextFormattedCitation":"(2011)","previouslyFormattedCitation":"(2011)"},"properties":{"noteIndex":0},"schema":"https://github.com/citation-style-language/schema/raw/master/csl-citation.json"}</w:instrText>
      </w:r>
      <w:r w:rsidRPr="00706A75">
        <w:rPr>
          <w:lang w:eastAsia="en-AU"/>
        </w:rPr>
        <w:fldChar w:fldCharType="separate"/>
      </w:r>
      <w:r w:rsidRPr="00706A75">
        <w:rPr>
          <w:noProof/>
          <w:lang w:eastAsia="en-AU"/>
        </w:rPr>
        <w:t>(2011)</w:t>
      </w:r>
      <w:r w:rsidRPr="00706A75">
        <w:rPr>
          <w:lang w:eastAsia="en-AU"/>
        </w:rPr>
        <w:fldChar w:fldCharType="end"/>
      </w:r>
      <w:r w:rsidRPr="00706A75">
        <w:rPr>
          <w:lang w:eastAsia="en-AU"/>
        </w:rPr>
        <w:t xml:space="preserve"> reported that mentoring featured in sixty percent of Australian school-based programs aiming to support students at risk of non-completion. </w:t>
      </w:r>
      <w:r w:rsidRPr="00706A75">
        <w:t xml:space="preserve">The need for further Indigenous mentors was highlighted in the media recently with a report questioning the need for further evaluation of the Australian Indigenous Education Scholarship (AIES) program and the </w:t>
      </w:r>
      <w:r w:rsidRPr="00706A75">
        <w:lastRenderedPageBreak/>
        <w:t xml:space="preserve">associated dropout rates due to a lack of support for young Indigenous students </w:t>
      </w:r>
      <w:r w:rsidRPr="00706A75">
        <w:fldChar w:fldCharType="begin" w:fldLock="1"/>
      </w:r>
      <w:r w:rsidR="005F5266">
        <w:instrText>ADDIN CSL_CITATION {"citationItems":[{"id":"ITEM-1","itemData":{"author":[{"dropping-particle":"","family":"Hose","given":"Nick","non-dropping-particle":"","parse-names":false,"suffix":""},{"dropping-particle":"","family":"Brennan","given":"Bridget","non-dropping-particle":"","parse-names":false,"suffix":""},{"dropping-particle":"","family":"Higgins","given":"Isabella","non-dropping-particle":"","parse-names":false,"suffix":""}],"container-title":"ABC News","id":"ITEM-1","issued":{"date-parts":[["2018","11","25"]]},"title":"When an exciting opportunity at an elite boarding school turns into a 'distressing experience'","type":"article-newspaper"},"uris":["http://www.mendeley.com/documents/?uuid=e80b1144-1673-37dc-a5e1-aaa07d61add6"]}],"mendeley":{"formattedCitation":"(Hose, Brennan, &amp; Higgins, 2018)","plainTextFormattedCitation":"(Hose, Brennan, &amp; Higgins, 2018)","previouslyFormattedCitation":"(Hose, Brennan, &amp; Higgins, 2018)"},"properties":{"noteIndex":0},"schema":"https://github.com/citation-style-language/schema/raw/master/csl-citation.json"}</w:instrText>
      </w:r>
      <w:r w:rsidRPr="00706A75">
        <w:fldChar w:fldCharType="separate"/>
      </w:r>
      <w:r w:rsidR="006537A1" w:rsidRPr="006537A1">
        <w:rPr>
          <w:noProof/>
        </w:rPr>
        <w:t>(Hose, Brennan, &amp; Higgins, 2018)</w:t>
      </w:r>
      <w:r w:rsidRPr="00706A75">
        <w:fldChar w:fldCharType="end"/>
      </w:r>
      <w:r w:rsidRPr="00706A75">
        <w:t>.</w:t>
      </w:r>
    </w:p>
    <w:p w14:paraId="77B8277F" w14:textId="62FAAB68" w:rsidR="00706A75" w:rsidRPr="00706A75" w:rsidRDefault="00706A75" w:rsidP="00706A75">
      <w:pPr>
        <w:rPr>
          <w:lang w:eastAsia="en-AU"/>
        </w:rPr>
      </w:pPr>
      <w:r w:rsidRPr="00706A75">
        <w:rPr>
          <w:lang w:eastAsia="en-AU"/>
        </w:rPr>
        <w:t xml:space="preserve">Ware </w:t>
      </w:r>
      <w:r w:rsidRPr="00706A75">
        <w:rPr>
          <w:lang w:eastAsia="en-AU"/>
        </w:rPr>
        <w:fldChar w:fldCharType="begin" w:fldLock="1"/>
      </w:r>
      <w:r w:rsidR="006537A1">
        <w:rPr>
          <w:lang w:eastAsia="en-AU"/>
        </w:rPr>
        <w:instrText>ADDIN CSL_CITATION {"citationItems":[{"id":"ITEM-1","itemData":{"author":[{"dropping-particle":"","family":"Ware","given":"Vicki-Ann","non-dropping-particle":"","parse-names":false,"suffix":""}],"id":"ITEM-1","issued":{"date-parts":[["2013"]]},"publisher":"Australian Institute of Health and Welfare; Australian Institute of Family Studies.","publisher-place":"Canberra","title":"Mentoring programs for Indigenous youth at risk. Resource sheet no. 22. Produced for the Closing the Gap Clearinghouse","type":"report"},"suppress-author":1,"uris":["http://www.mendeley.com/documents/?uuid=4ad9360e-dbb1-43d3-acc6-b70eb911d2ee"]}],"mendeley":{"formattedCitation":"(2013)","plainTextFormattedCitation":"(2013)","previouslyFormattedCitation":"(2013)"},"properties":{"noteIndex":0},"schema":"https://github.com/citation-style-language/schema/raw/master/csl-citation.json"}</w:instrText>
      </w:r>
      <w:r w:rsidRPr="00706A75">
        <w:rPr>
          <w:lang w:eastAsia="en-AU"/>
        </w:rPr>
        <w:fldChar w:fldCharType="separate"/>
      </w:r>
      <w:r w:rsidRPr="00706A75">
        <w:rPr>
          <w:noProof/>
          <w:lang w:eastAsia="en-AU"/>
        </w:rPr>
        <w:t>(2013)</w:t>
      </w:r>
      <w:r w:rsidRPr="00706A75">
        <w:rPr>
          <w:lang w:eastAsia="en-AU"/>
        </w:rPr>
        <w:fldChar w:fldCharType="end"/>
      </w:r>
      <w:r w:rsidRPr="00706A75">
        <w:rPr>
          <w:lang w:eastAsia="en-AU"/>
        </w:rPr>
        <w:t xml:space="preserve"> provides a detailed overview of the characteristics of mentoring programs that work, and suggests that mentoring is particularly relevant to the Indigenous context as it is believed to fit well with Indigenous teaching and learning styles, as well as strengthening connections with community.</w:t>
      </w:r>
    </w:p>
    <w:p w14:paraId="6ED0191D" w14:textId="77777777" w:rsidR="00706A75" w:rsidRPr="00706A75" w:rsidRDefault="00706A75" w:rsidP="00706A75">
      <w:r w:rsidRPr="00706A75">
        <w:t xml:space="preserve">Using a mixed-methods, exploratory longitudinal study design, Crooks and colleagues </w:t>
      </w:r>
      <w:r w:rsidRPr="00706A75">
        <w:fldChar w:fldCharType="begin" w:fldLock="1"/>
      </w:r>
      <w:r w:rsidRPr="00706A75">
        <w:instrText>ADDIN CSL_CITATION {"citationItems":[{"id":"ITEM-1","itemData":{"DOI":"10.1007/s10935-016-0457-0","ISSN":"1573-6547","PMID":"27848172","abstract":"First Nations, Métis, and Inuit (FNMI) youth are disproportionately affected by a range of negative health outcomes including poor emotional and psychosocial well-being. At the same time, there is increasing awareness of culturally-specific protective factors for these youth, such as cultural connectedness and identity. This article reports the findings of a mixed-methods, exploratory longitudinal study on the effects of a culturally-relevant school-based mentoring program for FNMI youth that focuses on promoting mental well-being and the development of cultural identity. Participants included a cohort of FNMI adolescents whom we tracked across the transition from elementary to secondary school. We utilized data from annual surveys (n = 105) and a subset of youth whom we interviewed (n = 28). Quantitative analyses compared youth who participated in 1 or 2 years of mentoring programs with those who did not participate. At Wave 3, the 2-year mentoring group demonstrated better mental health and improved cultural identity, accounting for Wave 1 functioning. These results were maintained when sex and school climate were accounted for in the models. Sex did not emerge as a significant moderator; however, post hoc analyses with simple slopes indicated that the mentoring program benefited girls more than boys for both outcomes. Interview data were coded and themed through a multi-phase process, and revealed that the mentoring program helped participants develop their intrapersonal and interpersonal skills, and enhanced their cultural and healthy relationships knowledge base. Collectively, the quantitative and qualitative components of this study identify multiple years of culturally-relevant mentoring as a promising approach for promoting well-being among FNMI youth.","author":[{"dropping-particle":"V","family":"Crooks","given":"Claire","non-dropping-particle":"","parse-names":false,"suffix":""},{"dropping-particle":"","family":"Exner-Cortens","given":"Deinera","non-dropping-particle":"","parse-names":false,"suffix":""},{"dropping-particle":"","family":"Burm","given":"Sarah","non-dropping-particle":"","parse-names":false,"suffix":""},{"dropping-particle":"","family":"Lapointe","given":"Alicia","non-dropping-particle":"","parse-names":false,"suffix":""},{"dropping-particle":"","family":"Chiodo","given":"Debbie","non-dropping-particle":"","parse-names":false,"suffix":""}],"container-title":"The journal of primary prevention","id":"ITEM-1","issue":"1-2","issued":{"date-parts":[["2017"]]},"page":"87-104","title":"Two Years of Relationship-Focused Mentoring for First Nations, Métis, and Inuit Adolescents: Promoting Positive Mental Health.","type":"article-journal","volume":"38"},"suppress-author":1,"uris":["http://www.mendeley.com/documents/?uuid=35f24681-09b3-38b5-a677-ba31957676ff"]}],"mendeley":{"formattedCitation":"(2017)","plainTextFormattedCitation":"(2017)","previouslyFormattedCitation":"(2017)"},"properties":{"noteIndex":0},"schema":"https://github.com/citation-style-language/schema/raw/master/csl-citation.json"}</w:instrText>
      </w:r>
      <w:r w:rsidRPr="00706A75">
        <w:fldChar w:fldCharType="separate"/>
      </w:r>
      <w:r w:rsidRPr="00706A75">
        <w:rPr>
          <w:noProof/>
        </w:rPr>
        <w:t>(2017)</w:t>
      </w:r>
      <w:r w:rsidRPr="00706A75">
        <w:fldChar w:fldCharType="end"/>
      </w:r>
      <w:r w:rsidRPr="00706A75">
        <w:t xml:space="preserve"> found that a culturally-relevant school-based relationship-focused mentoring program for First Nations, Métis, and Inuit youth led to better mental health and improved cultural identity. The mentoring program focused upon promoting mental wellbeing and the development of cultural identity. These positive findings were maintained even when sex and school climate were accounted for. Post hoc analyses indicated that girls benefited from the mentoring program more than boys. Overall, the results indicated that the mentoring program helped participants develop their intrapersonal and interpersonal skills, and enhanced their cultural and healthy relationships knowledge base, and was found to be a promising approach to supporting wellbeing among Indigenous youth.</w:t>
      </w:r>
    </w:p>
    <w:p w14:paraId="40604F9E" w14:textId="30478623" w:rsidR="00706A75" w:rsidRPr="00706A75" w:rsidRDefault="00706A75" w:rsidP="00706A75">
      <w:pPr>
        <w:rPr>
          <w:lang w:eastAsia="en-AU"/>
        </w:rPr>
      </w:pPr>
      <w:r w:rsidRPr="00706A75">
        <w:rPr>
          <w:lang w:eastAsia="en-AU"/>
        </w:rPr>
        <w:lastRenderedPageBreak/>
        <w:t xml:space="preserve">The Mentoring Pilot project used mentoring approaches to improve literacy and numeracy achievement, attendance and retention for identified at-risk Indigenous students </w:t>
      </w:r>
      <w:r w:rsidRPr="00706A75">
        <w:rPr>
          <w:lang w:eastAsia="en-AU"/>
        </w:rPr>
        <w:fldChar w:fldCharType="begin" w:fldLock="1"/>
      </w:r>
      <w:r w:rsidR="005F5266">
        <w:rPr>
          <w:lang w:eastAsia="en-AU"/>
        </w:rPr>
        <w:instrText>ADDIN CSL_CITATION {"citationItems":[{"id":"ITEM-1","itemData":{"abstract":"Abstract: Back in 1989, the National Aboriginal and Torres Strait Islander Education Policy declared twenty-one National Goals which were agreed by the Commonwealth, state and territory education ministers of the day. One of those goals was to attain the successful completion of Year Twelve or equivalent at the same rates as for other Australian students. Sixteen years later, Year Nine Indigenous students are more than three times as likely as non-Indigenous students to leave school before completing Year Twelve, according to the Longitudinal Studies of Australian Youth. By anyone's standards, this is hardly an indication of successful goal achievement. The slight improvement in retention rates that were reported in the National Report to Parliament on Indigenous Education and Training 2002 indicate movement in a positive direction. There have been a number of focused attempts to assist Indigenous student to remain at school until the completion of Year Twelve and to obtain a secondary school certificate before moving to further education or to employment. The National Indigenous Literacy and Numeracy Strategy addresses the Year Twelve completion goal, in part, in the first of its six key elements, Achieving Attendance. A project that more specifically addresses the retention of Indigenous students at school is the Mentoring Pilot Project. This project uses mentoring approaches to improve literacy, numeracy, attendance and retention for identified at-risk Indigenous students. The project aims also to expose participants to a range of possible pathways to future education or careers. Students in Years Eight, Nine and Ten are targeted at the point where retention for Indigenous students begins to decline at a more rapid rate than for their non-Indigenous counterparts. Students with a range of abilities, attitudes and aspirations are targeted, with mentors providing guidance and information on a range of future vocational and educational possibilities. Other school-based projects to increase the attendance and retention rates of Indigenous students.","author":[{"dropping-particle":"","family":"Purdie","given":"N.","non-dropping-particle":"","parse-names":false,"suffix":""},{"dropping-particle":"","family":"Stone","given":"A.","non-dropping-particle":"","parse-names":false,"suffix":""}],"container-title":"Teacher","id":"ITEM-1","issued":{"date-parts":[["2005"]]},"page":"22-25","title":"The sky's the limit: Indigenous students and school completion","type":"article-journal","volume":"158"},"uris":["http://www.mendeley.com/documents/?uuid=1e445bb4-a07a-4908-9a3f-dffe292a9aa0"]}],"mendeley":{"formattedCitation":"(Purdie &amp; Stone, 2005)","plainTextFormattedCitation":"(Purdie &amp; Stone, 2005)","previouslyFormattedCitation":"(Purdie &amp; Stone, 2005)"},"properties":{"noteIndex":0},"schema":"https://github.com/citation-style-language/schema/raw/master/csl-citation.json"}</w:instrText>
      </w:r>
      <w:r w:rsidRPr="00706A75">
        <w:rPr>
          <w:lang w:eastAsia="en-AU"/>
        </w:rPr>
        <w:fldChar w:fldCharType="separate"/>
      </w:r>
      <w:r w:rsidR="006537A1" w:rsidRPr="006537A1">
        <w:rPr>
          <w:noProof/>
          <w:lang w:eastAsia="en-AU"/>
        </w:rPr>
        <w:t>(Purdie &amp; Stone, 2005)</w:t>
      </w:r>
      <w:r w:rsidRPr="00706A75">
        <w:rPr>
          <w:lang w:eastAsia="en-AU"/>
        </w:rPr>
        <w:fldChar w:fldCharType="end"/>
      </w:r>
      <w:r w:rsidRPr="00706A75">
        <w:rPr>
          <w:lang w:eastAsia="en-AU"/>
        </w:rPr>
        <w:t xml:space="preserve">. Students in Years 8, 9 and 10 are targeted in the program, as this is where retention for Indigenous students begins to decline at a more rapid rate than for their non-Indigenous peers. Mentors provide guidance and information on a range of future educational and vocational options as well as school-based projects which aim to increase attendance and retention rates. </w:t>
      </w:r>
    </w:p>
    <w:p w14:paraId="49DB3165" w14:textId="77777777" w:rsidR="00706A75" w:rsidRPr="00706A75" w:rsidRDefault="00706A75" w:rsidP="00706A75">
      <w:pPr>
        <w:pStyle w:val="Heading3"/>
      </w:pPr>
      <w:bookmarkStart w:id="38" w:name="_Toc9497574"/>
      <w:r w:rsidRPr="00706A75">
        <w:t>Resilience</w:t>
      </w:r>
      <w:bookmarkEnd w:id="38"/>
    </w:p>
    <w:p w14:paraId="7902D717" w14:textId="2F485D13" w:rsidR="00706A75" w:rsidRPr="00706A75" w:rsidRDefault="00706A75" w:rsidP="00706A75">
      <w:pPr>
        <w:rPr>
          <w:lang w:eastAsia="en-AU"/>
        </w:rPr>
      </w:pPr>
      <w:r w:rsidRPr="00706A75">
        <w:rPr>
          <w:lang w:eastAsia="en-AU"/>
        </w:rPr>
        <w:t xml:space="preserve">Resilience is commonly defined as young people’s positive adaptation manifesting in ‘good outcomes’ despite adversity </w:t>
      </w:r>
      <w:r w:rsidRPr="00706A75">
        <w:rPr>
          <w:lang w:eastAsia="en-AU"/>
        </w:rPr>
        <w:fldChar w:fldCharType="begin" w:fldLock="1"/>
      </w:r>
      <w:r w:rsidR="005F5266">
        <w:rPr>
          <w:lang w:eastAsia="en-AU"/>
        </w:rPr>
        <w:instrText>ADDIN CSL_CITATION {"citationItems":[{"id":"ITEM-1","itemData":{"ISBN":"978-1-4625-1716-9 (Hardcover); 978-1-4625-1726-8 (Digital (undefined format))","abstract":"The capacity for overcoming adversity is not rare. Rather, resilience arises from common processes that allow many individuals to adapt, recover, or thrive, even in dire circumstances. From pioneering investigator Ann S. Masten, this book synthesizes the best current knowledge on resilience in children and adolescents. Masten illuminates how adaptive capacities develop and explores what practitioners and researchers can do to foster resilience. Coverage encompasses the genetics and neurobiology of resilience, as well as the theories and data surrounding major contexts of development (families, schools, and culture) and their potential to support or undermine resilience. Complex concepts are carefully defined and illustrated with real-world examples—including moving cases of resilience from the United States and around the world. The volume reviews evidence from three major domains of research: studies of children experiencing a variety of common adversities, socioeconomically disadvantaged children, and those exposed to mass-trauma calamities of disaster, war, and political conflict. Identifying a short list of key protective factors and adaptive systems in early childhood and beyond, Masten provides a cogent framework for designing programs to promote resilience. Closing chapters discuss prevention strategies built around strength-focused models and goals, and examine controversies and new directions in the field. The volume includes a glossary and suggestions for further reading grouped by topic. Researchers and students in developmental science and child clinical psychology, as well as mental health professionals and educators working with children and families, will find this a unique and indispensable resource. (PsycINFO Database Record (c) 2017 APA, all rights reserved)","author":[{"dropping-particle":"","family":"Masten","given":"Ann","non-dropping-particle":"","parse-names":false,"suffix":""}],"container-title":"Ordinary magic: Resilience in development.","id":"ITEM-1","issued":{"date-parts":[["2014"]]},"number-of-pages":"xiv, 370-xiv, 370","publisher":"Guilford Press","publisher-place":"New York, NY, US","title":"Ordinary magic: Resilience in development.","type":"book"},"prefix":"e.g. high levels of stress and life difficulties; ","uris":["http://www.mendeley.com/documents/?uuid=6c73c2e5-d0ed-4c7e-b6d0-107c363cd984"]}],"mendeley":{"formattedCitation":"(e.g. high levels of stress and life difficulties; Masten, 2014)","plainTextFormattedCitation":"(e.g. high levels of stress and life difficulties; Masten, 2014)","previouslyFormattedCitation":"(e.g. high levels of stress and life difficulties; Masten, 2014)"},"properties":{"noteIndex":0},"schema":"https://github.com/citation-style-language/schema/raw/master/csl-citation.json"}</w:instrText>
      </w:r>
      <w:r w:rsidRPr="00706A75">
        <w:rPr>
          <w:lang w:eastAsia="en-AU"/>
        </w:rPr>
        <w:fldChar w:fldCharType="separate"/>
      </w:r>
      <w:r w:rsidR="006537A1" w:rsidRPr="006537A1">
        <w:rPr>
          <w:noProof/>
          <w:lang w:eastAsia="en-AU"/>
        </w:rPr>
        <w:t>(e.g. high levels of stress and life difficulties; Masten, 2014)</w:t>
      </w:r>
      <w:r w:rsidRPr="00706A75">
        <w:rPr>
          <w:lang w:eastAsia="en-AU"/>
        </w:rPr>
        <w:fldChar w:fldCharType="end"/>
      </w:r>
      <w:r w:rsidRPr="00706A75">
        <w:rPr>
          <w:lang w:eastAsia="en-AU"/>
        </w:rPr>
        <w:t xml:space="preserve">. Resilience studies have identified a broad range of protective factors and buffering or promotive processes at the individual level as well as those embedded in the young person’s ecological context, such as those activated by families, communities, youth services and schools </w:t>
      </w:r>
      <w:r w:rsidRPr="00706A75">
        <w:rPr>
          <w:lang w:eastAsia="en-AU"/>
        </w:rPr>
        <w:fldChar w:fldCharType="begin" w:fldLock="1"/>
      </w:r>
      <w:r w:rsidR="005F5266">
        <w:rPr>
          <w:lang w:eastAsia="en-AU"/>
        </w:rPr>
        <w:instrText>ADDIN CSL_CITATION {"citationItems":[{"id":"ITEM-1","itemData":{"DOI":"10.1177/0143034312472758","ISSN":"0143-0343","abstract":"Children and adolescents worldwide experience a variety of adversities that have the potential to disrupt typical development. However, some of these individuals exhibit resilience, evidencing normal development in the face of adversity. Here we review research on these constructs of risk, adversity, and resilience; synthesize international research on factors that may serve to protect children and adolescents from the negative effects of adversity at the individual, family, school, community, and cultural levels; and provide future implications for research on this topic, highlighting the unique contributions of the subsequent articles in this special issue, each of which contributes to an understanding of resilience processes in non-Western populations. Although some general trends in resilience and protection may extend beyond national borders, resilience is also strongly influenced by culture and context; therefore, it is important to advance a research agenda that recognizes the unique protective inf...","author":[{"dropping-particle":"","family":"Noltemeyer","given":"Amity L.","non-dropping-particle":"","parse-names":false,"suffix":""},{"dropping-particle":"","family":"Bush","given":"Kevin R.","non-dropping-particle":"","parse-names":false,"suffix":""}],"container-title":"School Psychology International","id":"ITEM-1","issue":"5","issued":{"date-parts":[["2013","10","17"]]},"page":"474-487","publisher":"SAGE PublicationsSage UK: London, England","title":"Adversity and resilience: A synthesis of international research","type":"article-journal","volume":"34"},"uris":["http://www.mendeley.com/documents/?uuid=7c3b6cea-2276-3995-a56d-a44a2975a06e"]}],"mendeley":{"formattedCitation":"(Noltemeyer &amp; Bush, 2013)","plainTextFormattedCitation":"(Noltemeyer &amp; Bush, 2013)","previouslyFormattedCitation":"(Noltemeyer &amp; Bush, 2013)"},"properties":{"noteIndex":0},"schema":"https://github.com/citation-style-language/schema/raw/master/csl-citation.json"}</w:instrText>
      </w:r>
      <w:r w:rsidRPr="00706A75">
        <w:rPr>
          <w:lang w:eastAsia="en-AU"/>
        </w:rPr>
        <w:fldChar w:fldCharType="separate"/>
      </w:r>
      <w:r w:rsidR="006537A1" w:rsidRPr="006537A1">
        <w:rPr>
          <w:noProof/>
          <w:lang w:eastAsia="en-AU"/>
        </w:rPr>
        <w:t>(Noltemeyer &amp; Bush, 2013)</w:t>
      </w:r>
      <w:r w:rsidRPr="00706A75">
        <w:rPr>
          <w:lang w:eastAsia="en-AU"/>
        </w:rPr>
        <w:fldChar w:fldCharType="end"/>
      </w:r>
      <w:r w:rsidRPr="00706A75">
        <w:rPr>
          <w:lang w:eastAsia="en-AU"/>
        </w:rPr>
        <w:t xml:space="preserve">. </w:t>
      </w:r>
    </w:p>
    <w:p w14:paraId="7D0280AB" w14:textId="675C2C22" w:rsidR="00706A75" w:rsidRPr="00706A75" w:rsidRDefault="00706A75" w:rsidP="0097435D">
      <w:pPr>
        <w:pStyle w:val="NormalBeforeList"/>
      </w:pPr>
      <w:r w:rsidRPr="00706A75">
        <w:t xml:space="preserve">Factors and processes are highly contextual, yet ‘global’ factors and processes have also been identified. For example, Ungar </w:t>
      </w:r>
      <w:r w:rsidRPr="00706A75">
        <w:fldChar w:fldCharType="begin" w:fldLock="1"/>
      </w:r>
      <w:r w:rsidR="005F5266">
        <w:instrText>ADDIN CSL_CITATION {"citationItems":[{"id":"ITEM-1","itemData":{"DOI":"10.1093/bjsw/bcl343","ISSN":"0045-3102","abstract":"Findings from a 14 site mixed methods study of over 1500 youth globally support four propositions that underlie a more culturally and contextually embedded understanding of resilience: 1) there are global, as well as culturally and contextually specific aspects to young people's lives that contribute to their resilience; 2) aspects of resilience exert differing amounts of influence on a child's life depending on the specific culture and context in which resilience is realized; 3) aspects of children's lives that contribute to resilience are related to one another in patterns that reflect a child's culture and context; 4) tensions between individuals and their cultures and contexts are resolved in ways that reflect highly specific relationships between aspects of resilience. The implications of this cultural and contextual understanding of resilience to interventions with at-risk populations are discussed.","author":[{"dropping-particle":"","family":"Ungar","given":"Michael","non-dropping-particle":"","parse-names":false,"suffix":""}],"container-title":"British Journal of Social Work","id":"ITEM-1","issue":"2","issued":{"date-parts":[["2006","11","8"]]},"page":"218-235","publisher":"Narnia","title":"Resilience across cultures","type":"article-journal","volume":"38"},"uris":["http://www.mendeley.com/documents/?uuid=7a7c9cff-d6b9-4756-baf1-98e380632517"]}],"mendeley":{"formattedCitation":"(Ungar, 2006)","plainTextFormattedCitation":"(Ungar, 2006)","previouslyFormattedCitation":"(Ungar, 2006)"},"properties":{"noteIndex":0},"schema":"https://github.com/citation-style-language/schema/raw/master/csl-citation.json"}</w:instrText>
      </w:r>
      <w:r w:rsidRPr="00706A75">
        <w:fldChar w:fldCharType="separate"/>
      </w:r>
      <w:r w:rsidR="006537A1" w:rsidRPr="006537A1">
        <w:rPr>
          <w:noProof/>
        </w:rPr>
        <w:t>(Ungar, 2006)</w:t>
      </w:r>
      <w:r w:rsidRPr="00706A75">
        <w:fldChar w:fldCharType="end"/>
      </w:r>
      <w:r w:rsidRPr="00706A75">
        <w:t xml:space="preserve"> reported that the International Resilience Project </w:t>
      </w:r>
      <w:r w:rsidRPr="00706A75">
        <w:lastRenderedPageBreak/>
        <w:t xml:space="preserve">in 14 diverse, mainly non-Western contexts on 5 continents, found 7 clusters of common resilience factors: </w:t>
      </w:r>
    </w:p>
    <w:p w14:paraId="640F0EF0" w14:textId="77777777" w:rsidR="00706A75" w:rsidRPr="00706A75" w:rsidRDefault="00706A75" w:rsidP="0097435D">
      <w:pPr>
        <w:pStyle w:val="NumberBulletLevel1"/>
        <w:numPr>
          <w:ilvl w:val="0"/>
          <w:numId w:val="36"/>
        </w:numPr>
      </w:pPr>
      <w:r w:rsidRPr="00706A75">
        <w:t>Access to material resources (e.g. food, housing, basic resources for development)</w:t>
      </w:r>
    </w:p>
    <w:p w14:paraId="30BCFFE7" w14:textId="77777777" w:rsidR="00706A75" w:rsidRPr="00706A75" w:rsidRDefault="00706A75" w:rsidP="0097435D">
      <w:pPr>
        <w:pStyle w:val="NumberBulletLevel1"/>
      </w:pPr>
      <w:r w:rsidRPr="00706A75">
        <w:t>Meaningful and supportive relationships</w:t>
      </w:r>
    </w:p>
    <w:p w14:paraId="5DB21E47" w14:textId="77777777" w:rsidR="00706A75" w:rsidRPr="00706A75" w:rsidRDefault="00706A75" w:rsidP="0097435D">
      <w:pPr>
        <w:pStyle w:val="NumberBulletLevel1"/>
      </w:pPr>
      <w:r w:rsidRPr="00706A75">
        <w:t>Positive identity (i.e., sense of purpose and recognition of personal and social strengths)</w:t>
      </w:r>
    </w:p>
    <w:p w14:paraId="15407013" w14:textId="77777777" w:rsidR="00706A75" w:rsidRPr="00706A75" w:rsidRDefault="00706A75" w:rsidP="0097435D">
      <w:pPr>
        <w:pStyle w:val="NumberBulletLevel1"/>
      </w:pPr>
      <w:r w:rsidRPr="00706A75">
        <w:t>Having some power and control (to make decisions and act for change)</w:t>
      </w:r>
    </w:p>
    <w:p w14:paraId="64183A0E" w14:textId="77777777" w:rsidR="00706A75" w:rsidRPr="00706A75" w:rsidRDefault="00706A75" w:rsidP="0097435D">
      <w:pPr>
        <w:pStyle w:val="NumberBulletLevel1"/>
      </w:pPr>
      <w:r w:rsidRPr="00706A75">
        <w:t>Cultural adherence (i.e., engagement in local cultural practices)</w:t>
      </w:r>
    </w:p>
    <w:p w14:paraId="10780AEC" w14:textId="77777777" w:rsidR="00706A75" w:rsidRPr="00706A75" w:rsidRDefault="00706A75" w:rsidP="0097435D">
      <w:pPr>
        <w:pStyle w:val="NumberBulletLevel1"/>
      </w:pPr>
      <w:r w:rsidRPr="00706A75">
        <w:t>Social justice (i.e., sense of being treated fairly, finding meaningful experiences with social equality)</w:t>
      </w:r>
    </w:p>
    <w:p w14:paraId="6847BF6C" w14:textId="77777777" w:rsidR="00706A75" w:rsidRPr="00706A75" w:rsidRDefault="00706A75" w:rsidP="0097435D">
      <w:pPr>
        <w:pStyle w:val="NumberBulletLevel1"/>
      </w:pPr>
      <w:r w:rsidRPr="00706A75">
        <w:t>Cohesion (feeling part of something bigger or a sense of social or spiritual responsibility).</w:t>
      </w:r>
    </w:p>
    <w:p w14:paraId="23877B36" w14:textId="5BF0B4BB" w:rsidR="00706A75" w:rsidRPr="00706A75" w:rsidRDefault="00706A75" w:rsidP="0097435D">
      <w:pPr>
        <w:pStyle w:val="NormalAfterList"/>
      </w:pPr>
      <w:r w:rsidRPr="00706A75">
        <w:t xml:space="preserve">Research on resilience building in school contexts has emphasised interrelated factors of young people’s capacities and agency, teacher responsiveness and inclusive school culture. Protective factors include students’ sense of belonging, positive relationships, meaningful participation and problem-solving skills </w:t>
      </w:r>
      <w:r w:rsidRPr="00706A75">
        <w:fldChar w:fldCharType="begin" w:fldLock="1"/>
      </w:r>
      <w:r w:rsidR="005F5266">
        <w:instrText>ADDIN CSL_CITATION {"citationItems":[{"id":"ITEM-1","itemData":{"DOI":"10.5330/psc.n.2010-12.76","ISSN":"1096-2409","abstract":"Four decades of research on resilience in young people provide compelling data and models for applications in the school context. Resilience theory and findings are highly congruent with Strengths-Based School Counseling (SBSC) as formulated by Galassi and Akos (2007). In this article, resilience is defined in relation to competence in developmental tasks and risks to positive development, with reference to key promotive and protective roles of schools and school personnel. Implications of a resilience framework for schools are delineated, including positive approaches to mission statements, models of change, measuring positive progress, and mobilizing powerful systems for changing the direction of human development. New horizons of research on resilience are described, along with the potential of integrating SBSC and resilience-based frameworks in transformative efforts to promote the successful development of young people. [ABSTRACT FROM AUTHOR]]]&gt;&amp;#xD;&lt;![CDATA[Copyright of Professional School Counseling is the property of American School Counselor Association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author":[{"dropping-particle":"","family":"Masten","given":"Ann","non-dropping-particle":"","parse-names":false,"suffix":""},{"dropping-particle":"","family":"Herbers","given":"Janette","non-dropping-particle":"","parse-names":false,"suffix":""},{"dropping-particle":"","family":"Cutuli","given":"J.","non-dropping-particle":"","parse-names":false,"suffix":""},{"dropping-particle":"","family":"Lafavor","given":"Theresa","non-dropping-particle":"","parse-names":false,"suffix":""}],"container-title":"Professional School Counseling","id":"ITEM-1","issue":"2","issued":{"date-parts":[["2008"]]},"page":"76-84","title":"Promoting Competence and Resilience in the School Context","type":"article-journal","volume":"12"},"uris":["http://www.mendeley.com/documents/?uuid=9140d75c-db32-33fa-aff5-851e977288db"]}],"mendeley":{"formattedCitation":"(Masten, Herbers, Cutuli, &amp; Lafavor, 2008)","plainTextFormattedCitation":"(Masten, Herbers, Cutuli, &amp; Lafavor, 2008)","previouslyFormattedCitation":"(Masten, Herbers, Cutuli, &amp; Lafavor, 2008)"},"properties":{"noteIndex":0},"schema":"https://github.com/citation-style-language/schema/raw/master/csl-citation.json"}</w:instrText>
      </w:r>
      <w:r w:rsidRPr="00706A75">
        <w:fldChar w:fldCharType="separate"/>
      </w:r>
      <w:r w:rsidR="006537A1" w:rsidRPr="006537A1">
        <w:rPr>
          <w:noProof/>
        </w:rPr>
        <w:t>(Masten, Herbers, Cutuli, &amp; Lafavor, 2008)</w:t>
      </w:r>
      <w:r w:rsidRPr="00706A75">
        <w:fldChar w:fldCharType="end"/>
      </w:r>
      <w:r w:rsidRPr="00706A75">
        <w:t xml:space="preserve">. </w:t>
      </w:r>
    </w:p>
    <w:p w14:paraId="1F8E8C74" w14:textId="77777777" w:rsidR="00706A75" w:rsidRPr="00706A75" w:rsidRDefault="00706A75" w:rsidP="00706A75">
      <w:pPr>
        <w:rPr>
          <w:lang w:eastAsia="en-AU"/>
        </w:rPr>
      </w:pPr>
      <w:r w:rsidRPr="00706A75">
        <w:rPr>
          <w:lang w:eastAsia="en-AU"/>
        </w:rPr>
        <w:lastRenderedPageBreak/>
        <w:t xml:space="preserve">Pedagogical and social support are also factors in academic resilience. According to Martin and colleagues </w:t>
      </w:r>
      <w:r w:rsidRPr="00706A75">
        <w:rPr>
          <w:lang w:eastAsia="en-AU"/>
        </w:rPr>
        <w:fldChar w:fldCharType="begin" w:fldLock="1"/>
      </w:r>
      <w:r w:rsidRPr="00706A75">
        <w:rPr>
          <w:lang w:eastAsia="en-AU"/>
        </w:rPr>
        <w:instrText>ADDIN CSL_CITATION {"citationItems":[{"id":"ITEM-1","itemData":{"DOI":"10.1348/000709910X486376","ISSN":"00070998","author":[{"dropping-particle":"","family":"Martin","given":"Andrew J.","non-dropping-particle":"","parse-names":false,"suffix":""},{"dropping-particle":"","family":"Colmar","given":"Susan H.","non-dropping-particle":"","parse-names":false,"suffix":""},{"dropping-particle":"","family":"Davey","given":"Louise A.","non-dropping-particle":"","parse-names":false,"suffix":""},{"dropping-particle":"","family":"Marsh","given":"Herbert W.","non-dropping-particle":"","parse-names":false,"suffix":""}],"container-title":"British Journal of Educational Psychology","id":"ITEM-1","issue":"3","issued":{"date-parts":[["2010","9"]]},"page":"473-496","title":"Longitudinal modelling of academic buoyancy and motivation: Do the 5Cs hold up over time?","type":"article-journal","volume":"80"},"suppress-author":1,"uris":["http://www.mendeley.com/documents/?uuid=e0f9528b-4b13-38db-a216-5253c2225023"]}],"mendeley":{"formattedCitation":"(2010)","plainTextFormattedCitation":"(2010)","previouslyFormattedCitation":"(2010)"},"properties":{"noteIndex":0},"schema":"https://github.com/citation-style-language/schema/raw/master/csl-citation.json"}</w:instrText>
      </w:r>
      <w:r w:rsidRPr="00706A75">
        <w:rPr>
          <w:lang w:eastAsia="en-AU"/>
        </w:rPr>
        <w:fldChar w:fldCharType="separate"/>
      </w:r>
      <w:r w:rsidRPr="00706A75">
        <w:rPr>
          <w:noProof/>
          <w:lang w:eastAsia="en-AU"/>
        </w:rPr>
        <w:t>(2010)</w:t>
      </w:r>
      <w:r w:rsidRPr="00706A75">
        <w:rPr>
          <w:lang w:eastAsia="en-AU"/>
        </w:rPr>
        <w:fldChar w:fldCharType="end"/>
      </w:r>
      <w:r w:rsidRPr="00706A75">
        <w:rPr>
          <w:lang w:eastAsia="en-AU"/>
        </w:rPr>
        <w:t>, interventions for building academic ‘buoyancy’ for navigating everyday ups and downs of school life and academic resilience (in the face of more prolonged and complex pressures) should focus on strengthening students’ control, confidence, coordination (planning), composure (lowering anxieties) and commitment (persistence).</w:t>
      </w:r>
    </w:p>
    <w:p w14:paraId="3AAEFCB5" w14:textId="77777777" w:rsidR="00706A75" w:rsidRPr="00706A75" w:rsidRDefault="00706A75" w:rsidP="00706A75">
      <w:pPr>
        <w:pStyle w:val="Heading3"/>
      </w:pPr>
      <w:bookmarkStart w:id="39" w:name="_Toc9497575"/>
      <w:r w:rsidRPr="00706A75">
        <w:t>Wellbeing</w:t>
      </w:r>
      <w:bookmarkEnd w:id="39"/>
    </w:p>
    <w:p w14:paraId="662178EE" w14:textId="77777777" w:rsidR="00706A75" w:rsidRPr="00706A75" w:rsidRDefault="00706A75" w:rsidP="00706A75">
      <w:pPr>
        <w:rPr>
          <w:lang w:eastAsia="en-AU"/>
        </w:rPr>
      </w:pPr>
      <w:r w:rsidRPr="00706A75">
        <w:rPr>
          <w:lang w:eastAsia="en-AU"/>
        </w:rPr>
        <w:t xml:space="preserve">As a fairly recent strategic focus or pedagogical movement, wellbeing is associated with schools’ health promotion and welfare initiatives. While specific outcomes relating to health are identified in school curricula, individual wellbeing is taken to be more idiosyncratic and concerned with students’ holistic development in social, emotional, cognitive, physical and spiritual domains. McCallum and Price </w:t>
      </w:r>
      <w:r w:rsidRPr="00706A75">
        <w:rPr>
          <w:lang w:eastAsia="en-AU"/>
        </w:rPr>
        <w:fldChar w:fldCharType="begin" w:fldLock="1"/>
      </w:r>
      <w:r w:rsidRPr="00706A75">
        <w:rPr>
          <w:lang w:eastAsia="en-AU"/>
        </w:rPr>
        <w:instrText>ADDIN CSL_CITATION {"citationItems":[{"id":"ITEM-1","itemData":{"ISBN":"9781138793835","abstract":"Cover; Title; Copyright; Dedication; CONTENTS; Preface; Acknowledgements; 1 Wellbeing in education; 2 Wellbeing for all; 3 Wellbeing in disability education; 4 Wellbeing in alternative education; 5 Technology and wellbeing; 6 Teacher wellbeing; 7 Leading and empowering lifelong wellbeing: Well educators, well learners, well communities; Index.","editor":[{"dropping-particle":"","family":"McCallum","given":"Faye","non-dropping-particle":"","parse-names":false,"suffix":""},{"dropping-particle":"","family":"Price","given":"Deborah","non-dropping-particle":"","parse-names":false,"suffix":""}],"id":"ITEM-1","issued":{"date-parts":[["2016"]]},"publisher":"Routledge","publisher-place":"New York","title":"Nuturing wellbeing development in education : from little things, big things grow","type":"book"},"suppress-author":1,"uris":["http://www.mendeley.com/documents/?uuid=3721e84c-9043-3fb6-a889-64a8241f997c"]}],"mendeley":{"formattedCitation":"(2016)","plainTextFormattedCitation":"(2016)","previouslyFormattedCitation":"(2016)"},"properties":{"noteIndex":0},"schema":"https://github.com/citation-style-language/schema/raw/master/csl-citation.json"}</w:instrText>
      </w:r>
      <w:r w:rsidRPr="00706A75">
        <w:rPr>
          <w:lang w:eastAsia="en-AU"/>
        </w:rPr>
        <w:fldChar w:fldCharType="separate"/>
      </w:r>
      <w:r w:rsidRPr="00706A75">
        <w:rPr>
          <w:noProof/>
          <w:lang w:eastAsia="en-AU"/>
        </w:rPr>
        <w:t>(2016)</w:t>
      </w:r>
      <w:r w:rsidRPr="00706A75">
        <w:rPr>
          <w:lang w:eastAsia="en-AU"/>
        </w:rPr>
        <w:fldChar w:fldCharType="end"/>
      </w:r>
      <w:r w:rsidRPr="00706A75">
        <w:rPr>
          <w:lang w:eastAsia="en-AU"/>
        </w:rPr>
        <w:t xml:space="preserve"> argue for a broad ‘positive and proactive’ approach to wellbeing education that addresses individual, collective and environmental elements. For individual students’ wellbeing, the aim is to provide the opportunity, access, choices, resources and capacities to aspire to their unique sense of wellbeing. </w:t>
      </w:r>
    </w:p>
    <w:p w14:paraId="2D291FC0" w14:textId="75972DC1" w:rsidR="00706A75" w:rsidRPr="00706A75" w:rsidRDefault="00706A75" w:rsidP="00706A75">
      <w:pPr>
        <w:rPr>
          <w:lang w:eastAsia="en-AU"/>
        </w:rPr>
      </w:pPr>
      <w:r w:rsidRPr="00706A75">
        <w:rPr>
          <w:lang w:eastAsia="en-AU"/>
        </w:rPr>
        <w:t xml:space="preserve">The Australian Alliance for Children and Youth </w:t>
      </w:r>
      <w:r w:rsidRPr="00706A75">
        <w:rPr>
          <w:lang w:eastAsia="en-AU"/>
        </w:rPr>
        <w:fldChar w:fldCharType="begin" w:fldLock="1"/>
      </w:r>
      <w:r w:rsidR="005F5266">
        <w:rPr>
          <w:lang w:eastAsia="en-AU"/>
        </w:rPr>
        <w:instrText>ADDIN CSL_CITATION {"citationItems":[{"id":"ITEM-1","itemData":{"author":[{"dropping-particle":"","family":"ARACY","given":"","non-dropping-particle":"","parse-names":false,"suffix":""}],"id":"ITEM-1","issued":{"date-parts":[["2018"]]},"publisher":"Australian Research Alliance for Children and Youth (ARACY)","publisher-place":"Canberra","title":"Report Card 2018: The Wellbeing of young Australians","type":"report"},"uris":["http://www.mendeley.com/documents/?uuid=c86deb5e-e5b7-3512-9554-3f26e4933175"]}],"mendeley":{"formattedCitation":"(ARACY, 2018)","plainTextFormattedCitation":"(ARACY, 2018)","previouslyFormattedCitation":"(ARACY, 2018)"},"properties":{"noteIndex":0},"schema":"https://github.com/citation-style-language/schema/raw/master/csl-citation.json"}</w:instrText>
      </w:r>
      <w:r w:rsidRPr="00706A75">
        <w:rPr>
          <w:lang w:eastAsia="en-AU"/>
        </w:rPr>
        <w:fldChar w:fldCharType="separate"/>
      </w:r>
      <w:r w:rsidR="006537A1" w:rsidRPr="006537A1">
        <w:rPr>
          <w:noProof/>
          <w:lang w:eastAsia="en-AU"/>
        </w:rPr>
        <w:t>(ARACY, 2018)</w:t>
      </w:r>
      <w:r w:rsidRPr="00706A75">
        <w:rPr>
          <w:lang w:eastAsia="en-AU"/>
        </w:rPr>
        <w:fldChar w:fldCharType="end"/>
      </w:r>
      <w:r w:rsidRPr="00706A75">
        <w:rPr>
          <w:lang w:eastAsia="en-AU"/>
        </w:rPr>
        <w:t xml:space="preserve"> developed measures of wellbeing through consultation with young people and their families on what they considered most </w:t>
      </w:r>
      <w:r w:rsidRPr="00706A75">
        <w:rPr>
          <w:lang w:eastAsia="en-AU"/>
        </w:rPr>
        <w:lastRenderedPageBreak/>
        <w:t>crucial for ‘a good life’. ARACY’s wellbeing indicators include safety, material necessities, learning (as measured by achievement in literacy, numeracy and science), participation and social support, positive personal and cultural identity.</w:t>
      </w:r>
    </w:p>
    <w:p w14:paraId="1DB3C1B3" w14:textId="0BC72EEC" w:rsidR="00706A75" w:rsidRDefault="00706A75" w:rsidP="00706A75">
      <w:r w:rsidRPr="00706A75">
        <w:rPr>
          <w:lang w:eastAsia="en-AU"/>
        </w:rPr>
        <w:t xml:space="preserve">A recent report on </w:t>
      </w:r>
      <w:r w:rsidRPr="00706A75">
        <w:t xml:space="preserve">young Indigenous people’s health and wellbeing </w:t>
      </w:r>
      <w:r w:rsidRPr="00706A75">
        <w:fldChar w:fldCharType="begin" w:fldLock="1"/>
      </w:r>
      <w:r w:rsidR="005F5266">
        <w:instrText>ADDIN CSL_CITATION {"citationItems":[{"id":"ITEM-1","itemData":{"author":[{"dropping-particle":"","family":"Australian Institute of Health and Welfare","given":"","non-dropping-particle":"","parse-names":false,"suffix":""}],"id":"ITEM-1","issued":{"date-parts":[["2018"]]},"publisher":"Australian Institute of Health and Welfare","publisher-place":"Canberra","title":"Aboriginal and Torres Strait Islander adolescent and youth wellbeing and health 2018 in brief","type":"report"},"uris":["http://www.mendeley.com/documents/?uuid=d339555f-8a0c-4795-84ea-f3fd40c5da70"]}],"mendeley":{"formattedCitation":"(Australian Institute of Health and Welfare, 2018)","plainTextFormattedCitation":"(Australian Institute of Health and Welfare, 2018)","previouslyFormattedCitation":"(AIHW, 2018)"},"properties":{"noteIndex":0},"schema":"https://github.com/citation-style-language/schema/raw/master/csl-citation.json"}</w:instrText>
      </w:r>
      <w:r w:rsidRPr="00706A75">
        <w:fldChar w:fldCharType="separate"/>
      </w:r>
      <w:r w:rsidR="005F5266" w:rsidRPr="005F5266">
        <w:rPr>
          <w:noProof/>
        </w:rPr>
        <w:t>(Australian Institute of Health and Welfare, 2018)</w:t>
      </w:r>
      <w:r w:rsidRPr="00706A75">
        <w:fldChar w:fldCharType="end"/>
      </w:r>
      <w:r w:rsidRPr="00706A75">
        <w:t xml:space="preserve"> highlighted education, language, positive identity and cultural capital as important aspects of Indigenous youth wellbeing.</w:t>
      </w:r>
    </w:p>
    <w:p w14:paraId="54A146E8" w14:textId="7CE5527E" w:rsidR="00706A75" w:rsidRDefault="00706A75" w:rsidP="00706A75">
      <w:pPr>
        <w:pStyle w:val="Heading2"/>
      </w:pPr>
      <w:bookmarkStart w:id="40" w:name="_Toc90650038"/>
      <w:r>
        <w:t>Summary</w:t>
      </w:r>
      <w:bookmarkEnd w:id="40"/>
    </w:p>
    <w:p w14:paraId="4E159C1C" w14:textId="77777777" w:rsidR="00706A75" w:rsidRPr="00706A75" w:rsidRDefault="00706A75" w:rsidP="00706A75">
      <w:pPr>
        <w:rPr>
          <w:lang w:eastAsia="en-AU"/>
        </w:rPr>
      </w:pPr>
      <w:r w:rsidRPr="00706A75">
        <w:rPr>
          <w:lang w:eastAsia="en-AU"/>
        </w:rPr>
        <w:t xml:space="preserve">This literature review highlights the limited evaluation to date of engagement and mentoring support programs for Aboriginal and Torres Strait Islander students. Previous evaluation of factors that are believed to impact upon student capacity building is limited to the Smith Family’s Girls at the Centre program, the New South Wales Department’s funded Clontarf Academies and the AIME Mentoring Program,. </w:t>
      </w:r>
    </w:p>
    <w:p w14:paraId="049AAB01" w14:textId="14FD69C9" w:rsidR="006537A1" w:rsidRDefault="00706A75" w:rsidP="00706A75">
      <w:pPr>
        <w:rPr>
          <w:lang w:eastAsia="en-AU"/>
        </w:rPr>
      </w:pPr>
      <w:r w:rsidRPr="00706A75">
        <w:t>The reviewed research literature provides a general indication of the some of the key factors likely to support Indigenous students’ school engagement, academic success and wellbeing. These factors include inspiring leadership, strong relationships, committed and capable staff, multiple modes of student en</w:t>
      </w:r>
      <w:r w:rsidRPr="00706A75">
        <w:lastRenderedPageBreak/>
        <w:t xml:space="preserve">gagement, and systemic supports, particularly relating to attendance. The Girls Academy evaluation examined these factors </w:t>
      </w:r>
      <w:r w:rsidRPr="00706A75">
        <w:rPr>
          <w:lang w:eastAsia="en-AU"/>
        </w:rPr>
        <w:t>when considering the relevance, effectiveness, efficiency, impact, sustainability, and barriers and enablers of the Girls Academy program.</w:t>
      </w:r>
      <w:r w:rsidR="006537A1">
        <w:rPr>
          <w:lang w:eastAsia="en-AU"/>
        </w:rPr>
        <w:br w:type="page"/>
      </w:r>
    </w:p>
    <w:p w14:paraId="1504224B" w14:textId="34071F69" w:rsidR="00AA3CAE" w:rsidRPr="00BB410C" w:rsidRDefault="00AA3CAE" w:rsidP="006412ED">
      <w:pPr>
        <w:pStyle w:val="Heading1"/>
      </w:pPr>
      <w:bookmarkStart w:id="41" w:name="_Toc515460028"/>
      <w:bookmarkStart w:id="42" w:name="_Toc90650039"/>
      <w:r w:rsidRPr="00BB410C">
        <w:lastRenderedPageBreak/>
        <w:t>References</w:t>
      </w:r>
      <w:bookmarkEnd w:id="41"/>
      <w:bookmarkEnd w:id="42"/>
    </w:p>
    <w:p w14:paraId="055EB3AC" w14:textId="06F1BE9D" w:rsidR="005F5266" w:rsidRPr="005F5266" w:rsidRDefault="006537A1" w:rsidP="005F5266">
      <w:pPr>
        <w:widowControl w:val="0"/>
        <w:spacing w:after="120" w:line="240" w:lineRule="auto"/>
        <w:ind w:left="480" w:hanging="480"/>
        <w:rPr>
          <w:rFonts w:cs="Calibri"/>
          <w:noProof/>
          <w:sz w:val="20"/>
          <w:szCs w:val="24"/>
        </w:rPr>
      </w:pPr>
      <w:r>
        <w:rPr>
          <w:rFonts w:cs="Calibri"/>
          <w:szCs w:val="20"/>
        </w:rPr>
        <w:fldChar w:fldCharType="begin" w:fldLock="1"/>
      </w:r>
      <w:r>
        <w:rPr>
          <w:rFonts w:cs="Calibri"/>
          <w:szCs w:val="20"/>
        </w:rPr>
        <w:instrText xml:space="preserve">ADDIN Mendeley Bibliography CSL_BIBLIOGRAPHY </w:instrText>
      </w:r>
      <w:r>
        <w:rPr>
          <w:rFonts w:cs="Calibri"/>
          <w:szCs w:val="20"/>
        </w:rPr>
        <w:fldChar w:fldCharType="separate"/>
      </w:r>
      <w:r w:rsidR="005F5266" w:rsidRPr="005F5266">
        <w:rPr>
          <w:rFonts w:cs="Calibri"/>
          <w:noProof/>
          <w:sz w:val="20"/>
          <w:szCs w:val="24"/>
        </w:rPr>
        <w:t xml:space="preserve">ARACY. (2018). </w:t>
      </w:r>
      <w:r w:rsidR="005F5266" w:rsidRPr="005F5266">
        <w:rPr>
          <w:rFonts w:cs="Calibri"/>
          <w:i/>
          <w:iCs/>
          <w:noProof/>
          <w:sz w:val="20"/>
          <w:szCs w:val="24"/>
        </w:rPr>
        <w:t>Report Card 2018: The Wellbeing of young Australians</w:t>
      </w:r>
      <w:r w:rsidR="005F5266" w:rsidRPr="005F5266">
        <w:rPr>
          <w:rFonts w:cs="Calibri"/>
          <w:noProof/>
          <w:sz w:val="20"/>
          <w:szCs w:val="24"/>
        </w:rPr>
        <w:t>. Canberra: Australian Research Alliance for Children and Youth (ARACY). Retrieved from https://www.aracy.org.au/the-nest-in-action/report-card-the-wellbeing-of-young-australians</w:t>
      </w:r>
    </w:p>
    <w:p w14:paraId="1D1F939F" w14:textId="77777777" w:rsidR="005F5266" w:rsidRPr="005F5266" w:rsidRDefault="005F5266" w:rsidP="005F5266">
      <w:pPr>
        <w:widowControl w:val="0"/>
        <w:spacing w:after="120" w:line="240" w:lineRule="auto"/>
        <w:ind w:left="480" w:hanging="480"/>
        <w:rPr>
          <w:rFonts w:cs="Calibri"/>
          <w:noProof/>
          <w:sz w:val="20"/>
          <w:szCs w:val="24"/>
        </w:rPr>
      </w:pPr>
      <w:r w:rsidRPr="005F5266">
        <w:rPr>
          <w:rFonts w:cs="Calibri"/>
          <w:noProof/>
          <w:sz w:val="20"/>
          <w:szCs w:val="24"/>
        </w:rPr>
        <w:t xml:space="preserve">Australian Bureau of Statistics. (2016). </w:t>
      </w:r>
      <w:r w:rsidRPr="005F5266">
        <w:rPr>
          <w:rFonts w:cs="Calibri"/>
          <w:i/>
          <w:iCs/>
          <w:noProof/>
          <w:sz w:val="20"/>
          <w:szCs w:val="24"/>
        </w:rPr>
        <w:t>Census of Population and Housing: Characteristics of Aboriginal and Torres Strait Islander Australians, 2016</w:t>
      </w:r>
      <w:r w:rsidRPr="005F5266">
        <w:rPr>
          <w:rFonts w:cs="Calibri"/>
          <w:noProof/>
          <w:sz w:val="20"/>
          <w:szCs w:val="24"/>
        </w:rPr>
        <w:t>. Retrieved from https://www.abs.gov.au/AUSSTATS/Abs@.Nsf/7d12b0f6763c78caca257061001cc588/5f17e6c26744e1d1ca25823800728282!OpenDocument</w:t>
      </w:r>
    </w:p>
    <w:p w14:paraId="5F6EEED6" w14:textId="77777777" w:rsidR="005F5266" w:rsidRPr="005F5266" w:rsidRDefault="005F5266" w:rsidP="005F5266">
      <w:pPr>
        <w:widowControl w:val="0"/>
        <w:spacing w:after="120" w:line="240" w:lineRule="auto"/>
        <w:ind w:left="480" w:hanging="480"/>
        <w:rPr>
          <w:rFonts w:cs="Calibri"/>
          <w:noProof/>
          <w:sz w:val="20"/>
          <w:szCs w:val="24"/>
        </w:rPr>
      </w:pPr>
      <w:r w:rsidRPr="005F5266">
        <w:rPr>
          <w:rFonts w:cs="Calibri"/>
          <w:noProof/>
          <w:sz w:val="20"/>
          <w:szCs w:val="24"/>
        </w:rPr>
        <w:t xml:space="preserve">Australian Government Productivity Commission. (2016). </w:t>
      </w:r>
      <w:r w:rsidRPr="005F5266">
        <w:rPr>
          <w:rFonts w:cs="Calibri"/>
          <w:i/>
          <w:iCs/>
          <w:noProof/>
          <w:sz w:val="20"/>
          <w:szCs w:val="24"/>
        </w:rPr>
        <w:t>Overcoming Indigenous Disadvantage: Key Indicators 2016</w:t>
      </w:r>
      <w:r w:rsidRPr="005F5266">
        <w:rPr>
          <w:rFonts w:cs="Calibri"/>
          <w:noProof/>
          <w:sz w:val="20"/>
          <w:szCs w:val="24"/>
        </w:rPr>
        <w:t>. Canberra. Retrieved from https://www.pc.gov.au/research/ongoing/overcoming-indigenous-disadvantage/2016/report-documents/oid-2016-overcoming-indigenous-disadvantage-key-indicators-2016-report.pdf</w:t>
      </w:r>
    </w:p>
    <w:p w14:paraId="3DCD6ACC" w14:textId="77777777" w:rsidR="005F5266" w:rsidRPr="005F5266" w:rsidRDefault="005F5266" w:rsidP="005F5266">
      <w:pPr>
        <w:widowControl w:val="0"/>
        <w:spacing w:after="120" w:line="240" w:lineRule="auto"/>
        <w:ind w:left="480" w:hanging="480"/>
        <w:rPr>
          <w:rFonts w:cs="Calibri"/>
          <w:noProof/>
          <w:sz w:val="20"/>
          <w:szCs w:val="24"/>
        </w:rPr>
      </w:pPr>
      <w:r w:rsidRPr="005F5266">
        <w:rPr>
          <w:rFonts w:cs="Calibri"/>
          <w:noProof/>
          <w:sz w:val="20"/>
          <w:szCs w:val="24"/>
        </w:rPr>
        <w:t xml:space="preserve">Australian Institute of Health and Welfare. (2018). </w:t>
      </w:r>
      <w:r w:rsidRPr="005F5266">
        <w:rPr>
          <w:rFonts w:cs="Calibri"/>
          <w:i/>
          <w:iCs/>
          <w:noProof/>
          <w:sz w:val="20"/>
          <w:szCs w:val="24"/>
        </w:rPr>
        <w:t>Aboriginal and Torres Strait Islander adolescent and youth wellbeing and health 2018 in brief</w:t>
      </w:r>
      <w:r w:rsidRPr="005F5266">
        <w:rPr>
          <w:rFonts w:cs="Calibri"/>
          <w:noProof/>
          <w:sz w:val="20"/>
          <w:szCs w:val="24"/>
        </w:rPr>
        <w:t>. Canberra: Australian Institute of Health and Welfare. Retrieved from https://www.aihw.gov.au/getmedia/e9434481-c52b-4a79-9cb5-94f72f04d23e/aihw-ihw-198.pdf.aspx?inline=true</w:t>
      </w:r>
    </w:p>
    <w:p w14:paraId="0C86F2E6" w14:textId="77777777" w:rsidR="005F5266" w:rsidRPr="005F5266" w:rsidRDefault="005F5266" w:rsidP="005F5266">
      <w:pPr>
        <w:widowControl w:val="0"/>
        <w:spacing w:after="120" w:line="240" w:lineRule="auto"/>
        <w:ind w:left="480" w:hanging="480"/>
        <w:rPr>
          <w:rFonts w:cs="Calibri"/>
          <w:noProof/>
          <w:sz w:val="20"/>
          <w:szCs w:val="24"/>
        </w:rPr>
      </w:pPr>
      <w:r w:rsidRPr="005F5266">
        <w:rPr>
          <w:rFonts w:cs="Calibri"/>
          <w:noProof/>
          <w:sz w:val="20"/>
          <w:szCs w:val="24"/>
        </w:rPr>
        <w:t xml:space="preserve">Bodkin-Andrews, G., &amp; Craven, R. (2014). </w:t>
      </w:r>
      <w:r w:rsidRPr="005F5266">
        <w:rPr>
          <w:rFonts w:cs="Calibri"/>
          <w:i/>
          <w:iCs/>
          <w:noProof/>
          <w:sz w:val="20"/>
          <w:szCs w:val="24"/>
        </w:rPr>
        <w:t>Bubalamai Bawa Gumada (Healing the Wounds of the Heart): The Search for Resilience Against Racism for Aboriginal Australian Students</w:t>
      </w:r>
      <w:r w:rsidRPr="005F5266">
        <w:rPr>
          <w:rFonts w:cs="Calibri"/>
          <w:noProof/>
          <w:sz w:val="20"/>
          <w:szCs w:val="24"/>
        </w:rPr>
        <w:t xml:space="preserve">. Australian </w:t>
      </w:r>
      <w:r w:rsidRPr="005F5266">
        <w:rPr>
          <w:rFonts w:cs="Calibri"/>
          <w:noProof/>
          <w:sz w:val="20"/>
          <w:szCs w:val="24"/>
        </w:rPr>
        <w:lastRenderedPageBreak/>
        <w:t>Council for Educational Research. Retrieved from https://www.limenetwork.net.au/resource/bubalamai-bawa-gumada-healing-the-wounds-of-the-heart-the-search-for-resilience-against-racism-for-aboriginal-australian-students/</w:t>
      </w:r>
    </w:p>
    <w:p w14:paraId="30210C6A" w14:textId="77777777" w:rsidR="005F5266" w:rsidRPr="005F5266" w:rsidRDefault="005F5266" w:rsidP="005F5266">
      <w:pPr>
        <w:widowControl w:val="0"/>
        <w:spacing w:after="120" w:line="240" w:lineRule="auto"/>
        <w:ind w:left="480" w:hanging="480"/>
        <w:rPr>
          <w:rFonts w:cs="Calibri"/>
          <w:noProof/>
          <w:sz w:val="20"/>
          <w:szCs w:val="24"/>
        </w:rPr>
      </w:pPr>
      <w:r w:rsidRPr="005F5266">
        <w:rPr>
          <w:rFonts w:cs="Calibri"/>
          <w:noProof/>
          <w:sz w:val="20"/>
          <w:szCs w:val="24"/>
        </w:rPr>
        <w:t xml:space="preserve">Bodkin-Andrews, G., Dillon, A., &amp; Craven, R. G. (2010). Bangawarra’gumada — Strengthening the Spirit: Causal Modelling of Academic Self-Concept and Patterns of Disengagement for Indigenous and Non-Indigenous Australian Students. </w:t>
      </w:r>
      <w:r w:rsidRPr="005F5266">
        <w:rPr>
          <w:rFonts w:cs="Calibri"/>
          <w:i/>
          <w:iCs/>
          <w:noProof/>
          <w:sz w:val="20"/>
          <w:szCs w:val="24"/>
        </w:rPr>
        <w:t>Australian Journal of Indigenous Education</w:t>
      </w:r>
      <w:r w:rsidRPr="005F5266">
        <w:rPr>
          <w:rFonts w:cs="Calibri"/>
          <w:noProof/>
          <w:sz w:val="20"/>
          <w:szCs w:val="24"/>
        </w:rPr>
        <w:t xml:space="preserve">, </w:t>
      </w:r>
      <w:r w:rsidRPr="005F5266">
        <w:rPr>
          <w:rFonts w:cs="Calibri"/>
          <w:i/>
          <w:iCs/>
          <w:noProof/>
          <w:sz w:val="20"/>
          <w:szCs w:val="24"/>
        </w:rPr>
        <w:t>39</w:t>
      </w:r>
      <w:r w:rsidRPr="005F5266">
        <w:rPr>
          <w:rFonts w:cs="Calibri"/>
          <w:noProof/>
          <w:sz w:val="20"/>
          <w:szCs w:val="24"/>
        </w:rPr>
        <w:t>(1), 24–39. https://doi.org/10.1375/S1326011100000892</w:t>
      </w:r>
    </w:p>
    <w:p w14:paraId="7EE61472" w14:textId="77777777" w:rsidR="005F5266" w:rsidRPr="005F5266" w:rsidRDefault="005F5266" w:rsidP="005F5266">
      <w:pPr>
        <w:widowControl w:val="0"/>
        <w:spacing w:after="120" w:line="240" w:lineRule="auto"/>
        <w:ind w:left="480" w:hanging="480"/>
        <w:rPr>
          <w:rFonts w:cs="Calibri"/>
          <w:noProof/>
          <w:sz w:val="20"/>
          <w:szCs w:val="24"/>
        </w:rPr>
      </w:pPr>
      <w:r w:rsidRPr="005F5266">
        <w:rPr>
          <w:rFonts w:cs="Calibri"/>
          <w:noProof/>
          <w:sz w:val="20"/>
          <w:szCs w:val="24"/>
        </w:rPr>
        <w:t xml:space="preserve">Briggs, A. (2017). Links between Senior High School Indigenous Attendance, Retention and Engagement: Observations at Two Urban High Schools. </w:t>
      </w:r>
      <w:r w:rsidRPr="005F5266">
        <w:rPr>
          <w:rFonts w:cs="Calibri"/>
          <w:i/>
          <w:iCs/>
          <w:noProof/>
          <w:sz w:val="20"/>
          <w:szCs w:val="24"/>
        </w:rPr>
        <w:t>Australian Journal of Indigenous Education</w:t>
      </w:r>
      <w:r w:rsidRPr="005F5266">
        <w:rPr>
          <w:rFonts w:cs="Calibri"/>
          <w:noProof/>
          <w:sz w:val="20"/>
          <w:szCs w:val="24"/>
        </w:rPr>
        <w:t xml:space="preserve">, </w:t>
      </w:r>
      <w:r w:rsidRPr="005F5266">
        <w:rPr>
          <w:rFonts w:cs="Calibri"/>
          <w:i/>
          <w:iCs/>
          <w:noProof/>
          <w:sz w:val="20"/>
          <w:szCs w:val="24"/>
        </w:rPr>
        <w:t>46</w:t>
      </w:r>
      <w:r w:rsidRPr="005F5266">
        <w:rPr>
          <w:rFonts w:cs="Calibri"/>
          <w:noProof/>
          <w:sz w:val="20"/>
          <w:szCs w:val="24"/>
        </w:rPr>
        <w:t>(1), 34–43. https://doi.org/10.1017/jie.2016.14</w:t>
      </w:r>
    </w:p>
    <w:p w14:paraId="5BAB66BA" w14:textId="77777777" w:rsidR="005F5266" w:rsidRPr="005F5266" w:rsidRDefault="005F5266" w:rsidP="005F5266">
      <w:pPr>
        <w:widowControl w:val="0"/>
        <w:spacing w:after="120" w:line="240" w:lineRule="auto"/>
        <w:ind w:left="480" w:hanging="480"/>
        <w:rPr>
          <w:rFonts w:cs="Calibri"/>
          <w:noProof/>
          <w:sz w:val="20"/>
          <w:szCs w:val="24"/>
        </w:rPr>
      </w:pPr>
      <w:r w:rsidRPr="005F5266">
        <w:rPr>
          <w:rFonts w:cs="Calibri"/>
          <w:noProof/>
          <w:sz w:val="20"/>
          <w:szCs w:val="24"/>
        </w:rPr>
        <w:t xml:space="preserve">Commonwealth of Australia Department of the Prime Minister and Cabinet. (2019). </w:t>
      </w:r>
      <w:r w:rsidRPr="005F5266">
        <w:rPr>
          <w:rFonts w:cs="Calibri"/>
          <w:i/>
          <w:iCs/>
          <w:noProof/>
          <w:sz w:val="20"/>
          <w:szCs w:val="24"/>
        </w:rPr>
        <w:t>Closing the Gap Prime Minister’s Report 2018</w:t>
      </w:r>
      <w:r w:rsidRPr="005F5266">
        <w:rPr>
          <w:rFonts w:cs="Calibri"/>
          <w:noProof/>
          <w:sz w:val="20"/>
          <w:szCs w:val="24"/>
        </w:rPr>
        <w:t>. Retrieved from https://www.pmc.gov.au/sites/default/files/reports/closing-the-gap-2018/sites/default/files/ctg-report-20183872.pdf?a=1</w:t>
      </w:r>
    </w:p>
    <w:p w14:paraId="5990DD96" w14:textId="77777777" w:rsidR="005F5266" w:rsidRPr="005F5266" w:rsidRDefault="005F5266" w:rsidP="005F5266">
      <w:pPr>
        <w:widowControl w:val="0"/>
        <w:spacing w:after="120" w:line="240" w:lineRule="auto"/>
        <w:ind w:left="480" w:hanging="480"/>
        <w:rPr>
          <w:rFonts w:cs="Calibri"/>
          <w:noProof/>
          <w:sz w:val="20"/>
          <w:szCs w:val="24"/>
        </w:rPr>
      </w:pPr>
      <w:r w:rsidRPr="005F5266">
        <w:rPr>
          <w:rFonts w:cs="Calibri"/>
          <w:noProof/>
          <w:sz w:val="20"/>
          <w:szCs w:val="24"/>
        </w:rPr>
        <w:t xml:space="preserve">Crooks, C. V, Exner-Cortens, D., Burm, S., Lapointe, A., &amp; Chiodo, D. (2017). Two Years of Relationship-Focused Mentoring for First Nations, Métis, and Inuit Adolescents: Promoting Positive Mental Health. </w:t>
      </w:r>
      <w:r w:rsidRPr="005F5266">
        <w:rPr>
          <w:rFonts w:cs="Calibri"/>
          <w:i/>
          <w:iCs/>
          <w:noProof/>
          <w:sz w:val="20"/>
          <w:szCs w:val="24"/>
        </w:rPr>
        <w:t>The Journal of Primary Prevention</w:t>
      </w:r>
      <w:r w:rsidRPr="005F5266">
        <w:rPr>
          <w:rFonts w:cs="Calibri"/>
          <w:noProof/>
          <w:sz w:val="20"/>
          <w:szCs w:val="24"/>
        </w:rPr>
        <w:t xml:space="preserve">, </w:t>
      </w:r>
      <w:r w:rsidRPr="005F5266">
        <w:rPr>
          <w:rFonts w:cs="Calibri"/>
          <w:i/>
          <w:iCs/>
          <w:noProof/>
          <w:sz w:val="20"/>
          <w:szCs w:val="24"/>
        </w:rPr>
        <w:t>38</w:t>
      </w:r>
      <w:r w:rsidRPr="005F5266">
        <w:rPr>
          <w:rFonts w:cs="Calibri"/>
          <w:noProof/>
          <w:sz w:val="20"/>
          <w:szCs w:val="24"/>
        </w:rPr>
        <w:t>(1–2), 87–104. https://doi.org/10.1007/s10935-016-0457-0</w:t>
      </w:r>
    </w:p>
    <w:p w14:paraId="2591B28A" w14:textId="77777777" w:rsidR="005F5266" w:rsidRPr="005F5266" w:rsidRDefault="005F5266" w:rsidP="005F5266">
      <w:pPr>
        <w:widowControl w:val="0"/>
        <w:spacing w:after="120" w:line="240" w:lineRule="auto"/>
        <w:ind w:left="480" w:hanging="480"/>
        <w:rPr>
          <w:rFonts w:cs="Calibri"/>
          <w:noProof/>
          <w:sz w:val="20"/>
          <w:szCs w:val="24"/>
        </w:rPr>
      </w:pPr>
      <w:r w:rsidRPr="005F5266">
        <w:rPr>
          <w:rFonts w:cs="Calibri"/>
          <w:noProof/>
          <w:sz w:val="20"/>
          <w:szCs w:val="24"/>
        </w:rPr>
        <w:t xml:space="preserve">Flouris, A., Crane, P., &amp; Lindeman, M. A. (2016). Youth programmes in remote indigenous communities: context matters. </w:t>
      </w:r>
      <w:r w:rsidRPr="005F5266">
        <w:rPr>
          <w:rFonts w:cs="Calibri"/>
          <w:i/>
          <w:iCs/>
          <w:noProof/>
          <w:sz w:val="20"/>
          <w:szCs w:val="24"/>
        </w:rPr>
        <w:t>Rural Society</w:t>
      </w:r>
      <w:r w:rsidRPr="005F5266">
        <w:rPr>
          <w:rFonts w:cs="Calibri"/>
          <w:noProof/>
          <w:sz w:val="20"/>
          <w:szCs w:val="24"/>
        </w:rPr>
        <w:t xml:space="preserve">, </w:t>
      </w:r>
      <w:r w:rsidRPr="005F5266">
        <w:rPr>
          <w:rFonts w:cs="Calibri"/>
          <w:i/>
          <w:iCs/>
          <w:noProof/>
          <w:sz w:val="20"/>
          <w:szCs w:val="24"/>
        </w:rPr>
        <w:t>25</w:t>
      </w:r>
      <w:r w:rsidRPr="005F5266">
        <w:rPr>
          <w:rFonts w:cs="Calibri"/>
          <w:noProof/>
          <w:sz w:val="20"/>
          <w:szCs w:val="24"/>
        </w:rPr>
        <w:t>(1), 37–54. https://doi.org/10.1080/10371656.2016.1150197</w:t>
      </w:r>
    </w:p>
    <w:p w14:paraId="617B12F3" w14:textId="77777777" w:rsidR="005F5266" w:rsidRPr="005F5266" w:rsidRDefault="005F5266" w:rsidP="005F5266">
      <w:pPr>
        <w:widowControl w:val="0"/>
        <w:spacing w:after="120" w:line="240" w:lineRule="auto"/>
        <w:ind w:left="480" w:hanging="480"/>
        <w:rPr>
          <w:rFonts w:cs="Calibri"/>
          <w:noProof/>
          <w:sz w:val="20"/>
          <w:szCs w:val="24"/>
        </w:rPr>
      </w:pPr>
      <w:r w:rsidRPr="005F5266">
        <w:rPr>
          <w:rFonts w:cs="Calibri"/>
          <w:noProof/>
          <w:sz w:val="20"/>
          <w:szCs w:val="24"/>
        </w:rPr>
        <w:t xml:space="preserve">Gray, J., &amp; Hackling, M. (2009). Wellbeing and Retention: A Senior </w:t>
      </w:r>
      <w:r w:rsidRPr="005F5266">
        <w:rPr>
          <w:rFonts w:cs="Calibri"/>
          <w:noProof/>
          <w:sz w:val="20"/>
          <w:szCs w:val="24"/>
        </w:rPr>
        <w:lastRenderedPageBreak/>
        <w:t xml:space="preserve">Secondary Student Perspective. </w:t>
      </w:r>
      <w:r w:rsidRPr="005F5266">
        <w:rPr>
          <w:rFonts w:cs="Calibri"/>
          <w:i/>
          <w:iCs/>
          <w:noProof/>
          <w:sz w:val="20"/>
          <w:szCs w:val="24"/>
        </w:rPr>
        <w:t>Australian Educational Researcher</w:t>
      </w:r>
      <w:r w:rsidRPr="005F5266">
        <w:rPr>
          <w:rFonts w:cs="Calibri"/>
          <w:noProof/>
          <w:sz w:val="20"/>
          <w:szCs w:val="24"/>
        </w:rPr>
        <w:t xml:space="preserve">, </w:t>
      </w:r>
      <w:r w:rsidRPr="005F5266">
        <w:rPr>
          <w:rFonts w:cs="Calibri"/>
          <w:i/>
          <w:iCs/>
          <w:noProof/>
          <w:sz w:val="20"/>
          <w:szCs w:val="24"/>
        </w:rPr>
        <w:t>36</w:t>
      </w:r>
      <w:r w:rsidRPr="005F5266">
        <w:rPr>
          <w:rFonts w:cs="Calibri"/>
          <w:noProof/>
          <w:sz w:val="20"/>
          <w:szCs w:val="24"/>
        </w:rPr>
        <w:t>(2), 119–145. Retrieved from https://eric.ed.gov/?id=EJ907897</w:t>
      </w:r>
    </w:p>
    <w:p w14:paraId="4992E4AB" w14:textId="77777777" w:rsidR="005F5266" w:rsidRPr="005F5266" w:rsidRDefault="005F5266" w:rsidP="005F5266">
      <w:pPr>
        <w:widowControl w:val="0"/>
        <w:spacing w:after="120" w:line="240" w:lineRule="auto"/>
        <w:ind w:left="480" w:hanging="480"/>
        <w:rPr>
          <w:rFonts w:cs="Calibri"/>
          <w:noProof/>
          <w:sz w:val="20"/>
          <w:szCs w:val="24"/>
        </w:rPr>
      </w:pPr>
      <w:r w:rsidRPr="005F5266">
        <w:rPr>
          <w:rFonts w:cs="Calibri"/>
          <w:noProof/>
          <w:sz w:val="20"/>
          <w:szCs w:val="24"/>
        </w:rPr>
        <w:t xml:space="preserve">Harwood, V., McMahon, S., O’Shea, S., Bodkin-Andrews, G., &amp; Priestly, A. (2015). Recognising aspiration: the AIME program’s effectiveness in inspiring Indigenous young people’s participation in schooling and opportunities for further education and employment. </w:t>
      </w:r>
      <w:r w:rsidRPr="005F5266">
        <w:rPr>
          <w:rFonts w:cs="Calibri"/>
          <w:i/>
          <w:iCs/>
          <w:noProof/>
          <w:sz w:val="20"/>
          <w:szCs w:val="24"/>
        </w:rPr>
        <w:t>Australian Educational Researcher</w:t>
      </w:r>
      <w:r w:rsidRPr="005F5266">
        <w:rPr>
          <w:rFonts w:cs="Calibri"/>
          <w:noProof/>
          <w:sz w:val="20"/>
          <w:szCs w:val="24"/>
        </w:rPr>
        <w:t xml:space="preserve">, </w:t>
      </w:r>
      <w:r w:rsidRPr="005F5266">
        <w:rPr>
          <w:rFonts w:cs="Calibri"/>
          <w:i/>
          <w:iCs/>
          <w:noProof/>
          <w:sz w:val="20"/>
          <w:szCs w:val="24"/>
        </w:rPr>
        <w:t>42</w:t>
      </w:r>
      <w:r w:rsidRPr="005F5266">
        <w:rPr>
          <w:rFonts w:cs="Calibri"/>
          <w:noProof/>
          <w:sz w:val="20"/>
          <w:szCs w:val="24"/>
        </w:rPr>
        <w:t>(2), 217–236. https://doi.org/10.1007/s13384-015-0174-3</w:t>
      </w:r>
    </w:p>
    <w:p w14:paraId="235B5FA5" w14:textId="77777777" w:rsidR="005F5266" w:rsidRPr="005F5266" w:rsidRDefault="005F5266" w:rsidP="005F5266">
      <w:pPr>
        <w:widowControl w:val="0"/>
        <w:spacing w:after="120" w:line="240" w:lineRule="auto"/>
        <w:ind w:left="480" w:hanging="480"/>
        <w:rPr>
          <w:rFonts w:cs="Calibri"/>
          <w:noProof/>
          <w:sz w:val="20"/>
          <w:szCs w:val="24"/>
        </w:rPr>
      </w:pPr>
      <w:r w:rsidRPr="005F5266">
        <w:rPr>
          <w:rFonts w:cs="Calibri"/>
          <w:noProof/>
          <w:sz w:val="20"/>
          <w:szCs w:val="24"/>
        </w:rPr>
        <w:t xml:space="preserve">Hattie, J. (2009). </w:t>
      </w:r>
      <w:r w:rsidRPr="005F5266">
        <w:rPr>
          <w:rFonts w:cs="Calibri"/>
          <w:i/>
          <w:iCs/>
          <w:noProof/>
          <w:sz w:val="20"/>
          <w:szCs w:val="24"/>
        </w:rPr>
        <w:t>Visible Learning: A synthesis of over 800 meta-analyses relating to achievement</w:t>
      </w:r>
      <w:r w:rsidRPr="005F5266">
        <w:rPr>
          <w:rFonts w:cs="Calibri"/>
          <w:noProof/>
          <w:sz w:val="20"/>
          <w:szCs w:val="24"/>
        </w:rPr>
        <w:t>. London: Routledge.</w:t>
      </w:r>
    </w:p>
    <w:p w14:paraId="03710986" w14:textId="77777777" w:rsidR="005F5266" w:rsidRPr="005F5266" w:rsidRDefault="005F5266" w:rsidP="005F5266">
      <w:pPr>
        <w:widowControl w:val="0"/>
        <w:spacing w:after="120" w:line="240" w:lineRule="auto"/>
        <w:ind w:left="480" w:hanging="480"/>
        <w:rPr>
          <w:rFonts w:cs="Calibri"/>
          <w:noProof/>
          <w:sz w:val="20"/>
          <w:szCs w:val="24"/>
        </w:rPr>
      </w:pPr>
      <w:r w:rsidRPr="005F5266">
        <w:rPr>
          <w:rFonts w:cs="Calibri"/>
          <w:noProof/>
          <w:sz w:val="20"/>
          <w:szCs w:val="24"/>
        </w:rPr>
        <w:t xml:space="preserve">Henderson, N. (2012). Resilience in Schools and Curriculum Design. In </w:t>
      </w:r>
      <w:r w:rsidRPr="005F5266">
        <w:rPr>
          <w:rFonts w:cs="Calibri"/>
          <w:i/>
          <w:iCs/>
          <w:noProof/>
          <w:sz w:val="20"/>
          <w:szCs w:val="24"/>
        </w:rPr>
        <w:t>The Social Ecology of Resilience</w:t>
      </w:r>
      <w:r w:rsidRPr="005F5266">
        <w:rPr>
          <w:rFonts w:cs="Calibri"/>
          <w:noProof/>
          <w:sz w:val="20"/>
          <w:szCs w:val="24"/>
        </w:rPr>
        <w:t xml:space="preserve"> (pp. 297–306). New York, NY: Springer New York. https://doi.org/10.1007/978-1-4614-0586-3_23</w:t>
      </w:r>
    </w:p>
    <w:p w14:paraId="2286FF39" w14:textId="77777777" w:rsidR="005F5266" w:rsidRPr="005F5266" w:rsidRDefault="005F5266" w:rsidP="005F5266">
      <w:pPr>
        <w:widowControl w:val="0"/>
        <w:spacing w:after="120" w:line="240" w:lineRule="auto"/>
        <w:ind w:left="480" w:hanging="480"/>
        <w:rPr>
          <w:rFonts w:cs="Calibri"/>
          <w:noProof/>
          <w:sz w:val="20"/>
          <w:szCs w:val="24"/>
        </w:rPr>
      </w:pPr>
      <w:r w:rsidRPr="005F5266">
        <w:rPr>
          <w:rFonts w:cs="Calibri"/>
          <w:noProof/>
          <w:sz w:val="20"/>
          <w:szCs w:val="24"/>
        </w:rPr>
        <w:t xml:space="preserve">Holdsworth, R. (2011). </w:t>
      </w:r>
      <w:r w:rsidRPr="005F5266">
        <w:rPr>
          <w:rFonts w:cs="Calibri"/>
          <w:i/>
          <w:iCs/>
          <w:noProof/>
          <w:sz w:val="20"/>
          <w:szCs w:val="24"/>
        </w:rPr>
        <w:t>Learning choices national scan: Programs and schools catering for young people at risk of not completing their education - Results and Analysis</w:t>
      </w:r>
      <w:r w:rsidRPr="005F5266">
        <w:rPr>
          <w:rFonts w:cs="Calibri"/>
          <w:noProof/>
          <w:sz w:val="20"/>
          <w:szCs w:val="24"/>
        </w:rPr>
        <w:t>. Dusseldorp Skills Forum. Retrieved from https://dusseldorp.org.au/resource/learning-choices-national-scan-2/</w:t>
      </w:r>
    </w:p>
    <w:p w14:paraId="2FF9E142" w14:textId="77777777" w:rsidR="005F5266" w:rsidRPr="005F5266" w:rsidRDefault="005F5266" w:rsidP="005F5266">
      <w:pPr>
        <w:widowControl w:val="0"/>
        <w:spacing w:after="120" w:line="240" w:lineRule="auto"/>
        <w:ind w:left="480" w:hanging="480"/>
        <w:rPr>
          <w:rFonts w:cs="Calibri"/>
          <w:noProof/>
          <w:sz w:val="20"/>
          <w:szCs w:val="24"/>
        </w:rPr>
      </w:pPr>
      <w:r w:rsidRPr="005F5266">
        <w:rPr>
          <w:rFonts w:cs="Calibri"/>
          <w:noProof/>
          <w:sz w:val="20"/>
          <w:szCs w:val="24"/>
        </w:rPr>
        <w:t xml:space="preserve">Hopkins, K. D., Zubrick, S. R., &amp; Taylor, C. L. (2014). Resilience amongst Australian Aboriginal Youth: An Ecological Analysis of Factors Associated with Psychosocial Functioning in High and Low Family Risk Contexts. </w:t>
      </w:r>
      <w:r w:rsidRPr="005F5266">
        <w:rPr>
          <w:rFonts w:cs="Calibri"/>
          <w:i/>
          <w:iCs/>
          <w:noProof/>
          <w:sz w:val="20"/>
          <w:szCs w:val="24"/>
        </w:rPr>
        <w:t>PLoS ONE</w:t>
      </w:r>
      <w:r w:rsidRPr="005F5266">
        <w:rPr>
          <w:rFonts w:cs="Calibri"/>
          <w:noProof/>
          <w:sz w:val="20"/>
          <w:szCs w:val="24"/>
        </w:rPr>
        <w:t xml:space="preserve">, </w:t>
      </w:r>
      <w:r w:rsidRPr="005F5266">
        <w:rPr>
          <w:rFonts w:cs="Calibri"/>
          <w:i/>
          <w:iCs/>
          <w:noProof/>
          <w:sz w:val="20"/>
          <w:szCs w:val="24"/>
        </w:rPr>
        <w:t>9</w:t>
      </w:r>
      <w:r w:rsidRPr="005F5266">
        <w:rPr>
          <w:rFonts w:cs="Calibri"/>
          <w:noProof/>
          <w:sz w:val="20"/>
          <w:szCs w:val="24"/>
        </w:rPr>
        <w:t>(7), e102820. https://doi.org/10.1371/journal.pone.0102820</w:t>
      </w:r>
    </w:p>
    <w:p w14:paraId="2043799E" w14:textId="77777777" w:rsidR="005F5266" w:rsidRPr="005F5266" w:rsidRDefault="005F5266" w:rsidP="005F5266">
      <w:pPr>
        <w:widowControl w:val="0"/>
        <w:spacing w:after="120" w:line="240" w:lineRule="auto"/>
        <w:ind w:left="480" w:hanging="480"/>
        <w:rPr>
          <w:rFonts w:cs="Calibri"/>
          <w:noProof/>
          <w:sz w:val="20"/>
          <w:szCs w:val="24"/>
        </w:rPr>
      </w:pPr>
      <w:r w:rsidRPr="005F5266">
        <w:rPr>
          <w:rFonts w:cs="Calibri"/>
          <w:noProof/>
          <w:sz w:val="20"/>
          <w:szCs w:val="24"/>
        </w:rPr>
        <w:t xml:space="preserve">Hose, N., Brennan, B., &amp; Higgins, I. (2018, November 25). When an exciting opportunity at an elite boarding school turns into a “distressing experience.” </w:t>
      </w:r>
      <w:r w:rsidRPr="005F5266">
        <w:rPr>
          <w:rFonts w:cs="Calibri"/>
          <w:i/>
          <w:iCs/>
          <w:noProof/>
          <w:sz w:val="20"/>
          <w:szCs w:val="24"/>
        </w:rPr>
        <w:t>ABC News</w:t>
      </w:r>
      <w:r w:rsidRPr="005F5266">
        <w:rPr>
          <w:rFonts w:cs="Calibri"/>
          <w:noProof/>
          <w:sz w:val="20"/>
          <w:szCs w:val="24"/>
        </w:rPr>
        <w:t xml:space="preserve">. Retrieved from </w:t>
      </w:r>
      <w:r w:rsidRPr="005F5266">
        <w:rPr>
          <w:rFonts w:cs="Calibri"/>
          <w:noProof/>
          <w:sz w:val="20"/>
          <w:szCs w:val="24"/>
        </w:rPr>
        <w:lastRenderedPageBreak/>
        <w:t>https://www.abc.net.au/news/2018-11-25/indigenous-education-scholarships-come-under-question/10514762</w:t>
      </w:r>
    </w:p>
    <w:p w14:paraId="579D77AA" w14:textId="77777777" w:rsidR="005F5266" w:rsidRPr="005F5266" w:rsidRDefault="005F5266" w:rsidP="005F5266">
      <w:pPr>
        <w:widowControl w:val="0"/>
        <w:spacing w:after="120" w:line="240" w:lineRule="auto"/>
        <w:ind w:left="480" w:hanging="480"/>
        <w:rPr>
          <w:rFonts w:cs="Calibri"/>
          <w:noProof/>
          <w:sz w:val="20"/>
          <w:szCs w:val="24"/>
        </w:rPr>
      </w:pPr>
      <w:r w:rsidRPr="005F5266">
        <w:rPr>
          <w:rFonts w:cs="Calibri"/>
          <w:noProof/>
          <w:sz w:val="20"/>
          <w:szCs w:val="24"/>
        </w:rPr>
        <w:t xml:space="preserve">Kirk, C. M., Lewis, R. K., Brown, K., Karibo, B., Scott, A., &amp; Park, E. (2017). The Empowering Schools Project. </w:t>
      </w:r>
      <w:r w:rsidRPr="005F5266">
        <w:rPr>
          <w:rFonts w:cs="Calibri"/>
          <w:i/>
          <w:iCs/>
          <w:noProof/>
          <w:sz w:val="20"/>
          <w:szCs w:val="24"/>
        </w:rPr>
        <w:t>Youth &amp; Society</w:t>
      </w:r>
      <w:r w:rsidRPr="005F5266">
        <w:rPr>
          <w:rFonts w:cs="Calibri"/>
          <w:noProof/>
          <w:sz w:val="20"/>
          <w:szCs w:val="24"/>
        </w:rPr>
        <w:t xml:space="preserve">, </w:t>
      </w:r>
      <w:r w:rsidRPr="005F5266">
        <w:rPr>
          <w:rFonts w:cs="Calibri"/>
          <w:i/>
          <w:iCs/>
          <w:noProof/>
          <w:sz w:val="20"/>
          <w:szCs w:val="24"/>
        </w:rPr>
        <w:t>49</w:t>
      </w:r>
      <w:r w:rsidRPr="005F5266">
        <w:rPr>
          <w:rFonts w:cs="Calibri"/>
          <w:noProof/>
          <w:sz w:val="20"/>
          <w:szCs w:val="24"/>
        </w:rPr>
        <w:t>(6), 827–847. https://doi.org/10.1177/0044118X14566118</w:t>
      </w:r>
    </w:p>
    <w:p w14:paraId="4F04A9B8" w14:textId="77777777" w:rsidR="005F5266" w:rsidRPr="005F5266" w:rsidRDefault="005F5266" w:rsidP="005F5266">
      <w:pPr>
        <w:widowControl w:val="0"/>
        <w:spacing w:after="120" w:line="240" w:lineRule="auto"/>
        <w:ind w:left="480" w:hanging="480"/>
        <w:rPr>
          <w:rFonts w:cs="Calibri"/>
          <w:noProof/>
          <w:sz w:val="20"/>
          <w:szCs w:val="24"/>
        </w:rPr>
      </w:pPr>
      <w:r w:rsidRPr="005F5266">
        <w:rPr>
          <w:rFonts w:cs="Calibri"/>
          <w:noProof/>
          <w:sz w:val="20"/>
          <w:szCs w:val="24"/>
        </w:rPr>
        <w:t xml:space="preserve">Kirmayer, L. J., Dandeneau, S., Marshall, E., Phillips, M. K., &amp; Williamson, K. J. (2011). Rethinking Resilience from Indigenous Perspectives. </w:t>
      </w:r>
      <w:r w:rsidRPr="005F5266">
        <w:rPr>
          <w:rFonts w:cs="Calibri"/>
          <w:i/>
          <w:iCs/>
          <w:noProof/>
          <w:sz w:val="20"/>
          <w:szCs w:val="24"/>
        </w:rPr>
        <w:t>The Canadian Journal of Psychiatry</w:t>
      </w:r>
      <w:r w:rsidRPr="005F5266">
        <w:rPr>
          <w:rFonts w:cs="Calibri"/>
          <w:noProof/>
          <w:sz w:val="20"/>
          <w:szCs w:val="24"/>
        </w:rPr>
        <w:t xml:space="preserve">, </w:t>
      </w:r>
      <w:r w:rsidRPr="005F5266">
        <w:rPr>
          <w:rFonts w:cs="Calibri"/>
          <w:i/>
          <w:iCs/>
          <w:noProof/>
          <w:sz w:val="20"/>
          <w:szCs w:val="24"/>
        </w:rPr>
        <w:t>56</w:t>
      </w:r>
      <w:r w:rsidRPr="005F5266">
        <w:rPr>
          <w:rFonts w:cs="Calibri"/>
          <w:noProof/>
          <w:sz w:val="20"/>
          <w:szCs w:val="24"/>
        </w:rPr>
        <w:t>(2), 84–91. https://doi.org/10.1177/070674371105600203</w:t>
      </w:r>
    </w:p>
    <w:p w14:paraId="00EFE671" w14:textId="77777777" w:rsidR="005F5266" w:rsidRPr="005F5266" w:rsidRDefault="005F5266" w:rsidP="005F5266">
      <w:pPr>
        <w:widowControl w:val="0"/>
        <w:spacing w:after="120" w:line="240" w:lineRule="auto"/>
        <w:ind w:left="480" w:hanging="480"/>
        <w:rPr>
          <w:rFonts w:cs="Calibri"/>
          <w:noProof/>
          <w:sz w:val="20"/>
          <w:szCs w:val="24"/>
        </w:rPr>
      </w:pPr>
      <w:r w:rsidRPr="005F5266">
        <w:rPr>
          <w:rFonts w:cs="Calibri"/>
          <w:noProof/>
          <w:sz w:val="20"/>
          <w:szCs w:val="24"/>
        </w:rPr>
        <w:t xml:space="preserve">KPMG. (2018). </w:t>
      </w:r>
      <w:r w:rsidRPr="005F5266">
        <w:rPr>
          <w:rFonts w:cs="Calibri"/>
          <w:i/>
          <w:iCs/>
          <w:noProof/>
          <w:sz w:val="20"/>
          <w:szCs w:val="24"/>
        </w:rPr>
        <w:t>Economic evaluation of AIME Mentoring</w:t>
      </w:r>
      <w:r w:rsidRPr="005F5266">
        <w:rPr>
          <w:rFonts w:cs="Calibri"/>
          <w:noProof/>
          <w:sz w:val="20"/>
          <w:szCs w:val="24"/>
        </w:rPr>
        <w:t>.</w:t>
      </w:r>
    </w:p>
    <w:p w14:paraId="0E68346D" w14:textId="77777777" w:rsidR="005F5266" w:rsidRPr="005F5266" w:rsidRDefault="005F5266" w:rsidP="005F5266">
      <w:pPr>
        <w:widowControl w:val="0"/>
        <w:spacing w:after="120" w:line="240" w:lineRule="auto"/>
        <w:ind w:left="480" w:hanging="480"/>
        <w:rPr>
          <w:rFonts w:cs="Calibri"/>
          <w:noProof/>
          <w:sz w:val="20"/>
          <w:szCs w:val="24"/>
        </w:rPr>
      </w:pPr>
      <w:r w:rsidRPr="005F5266">
        <w:rPr>
          <w:rFonts w:cs="Calibri"/>
          <w:noProof/>
          <w:sz w:val="20"/>
          <w:szCs w:val="24"/>
        </w:rPr>
        <w:t xml:space="preserve">Lamb, S., &amp; Rice, S. (2008). </w:t>
      </w:r>
      <w:r w:rsidRPr="005F5266">
        <w:rPr>
          <w:rFonts w:cs="Calibri"/>
          <w:i/>
          <w:iCs/>
          <w:noProof/>
          <w:sz w:val="20"/>
          <w:szCs w:val="24"/>
        </w:rPr>
        <w:t>Effective Strategies to Increase School Completion Report: Report to the Victorian Department of Education and Early Childhood Development</w:t>
      </w:r>
      <w:r w:rsidRPr="005F5266">
        <w:rPr>
          <w:rFonts w:cs="Calibri"/>
          <w:noProof/>
          <w:sz w:val="20"/>
          <w:szCs w:val="24"/>
        </w:rPr>
        <w:t>. Melbourne. Retrieved from http://csmp.manukau.ac.nz/__data/assets/pdf_file/0009/89982/effectivestrategiesreportprint.pdf</w:t>
      </w:r>
    </w:p>
    <w:p w14:paraId="4EAFF5FE" w14:textId="77777777" w:rsidR="005F5266" w:rsidRPr="005F5266" w:rsidRDefault="005F5266" w:rsidP="005F5266">
      <w:pPr>
        <w:widowControl w:val="0"/>
        <w:spacing w:after="120" w:line="240" w:lineRule="auto"/>
        <w:ind w:left="480" w:hanging="480"/>
        <w:rPr>
          <w:rFonts w:cs="Calibri"/>
          <w:noProof/>
          <w:sz w:val="20"/>
          <w:szCs w:val="24"/>
        </w:rPr>
      </w:pPr>
      <w:r w:rsidRPr="005F5266">
        <w:rPr>
          <w:rFonts w:cs="Calibri"/>
          <w:noProof/>
          <w:sz w:val="20"/>
          <w:szCs w:val="24"/>
        </w:rPr>
        <w:t xml:space="preserve">Lea, T., Driscoll, C., &amp; Robinson, P. (2012). </w:t>
      </w:r>
      <w:r w:rsidRPr="005F5266">
        <w:rPr>
          <w:rFonts w:cs="Calibri"/>
          <w:i/>
          <w:iCs/>
          <w:noProof/>
          <w:sz w:val="20"/>
          <w:szCs w:val="24"/>
        </w:rPr>
        <w:t>Evaluation of The Smith Family’s Girls at the Centre Program: Centralian Middle School, Alice Springes</w:t>
      </w:r>
      <w:r w:rsidRPr="005F5266">
        <w:rPr>
          <w:rFonts w:cs="Calibri"/>
          <w:noProof/>
          <w:sz w:val="20"/>
          <w:szCs w:val="24"/>
        </w:rPr>
        <w:t>. Sydney, NSW: University of Sydney. Retrieved from http://learningemergence.net/wp-content/uploads/2012/12/Lea-2012-Evaluation-of-Smith-Family-Girls-inthe-Middle-UoS.pdf</w:t>
      </w:r>
    </w:p>
    <w:p w14:paraId="4F7CDFAF" w14:textId="77777777" w:rsidR="005F5266" w:rsidRPr="005F5266" w:rsidRDefault="005F5266" w:rsidP="005F5266">
      <w:pPr>
        <w:widowControl w:val="0"/>
        <w:spacing w:after="120" w:line="240" w:lineRule="auto"/>
        <w:ind w:left="480" w:hanging="480"/>
        <w:rPr>
          <w:rFonts w:cs="Calibri"/>
          <w:noProof/>
          <w:sz w:val="20"/>
          <w:szCs w:val="24"/>
        </w:rPr>
      </w:pPr>
      <w:r w:rsidRPr="005F5266">
        <w:rPr>
          <w:rFonts w:cs="Calibri"/>
          <w:noProof/>
          <w:sz w:val="20"/>
          <w:szCs w:val="24"/>
        </w:rPr>
        <w:t xml:space="preserve">Management Systems International. (2012). </w:t>
      </w:r>
      <w:r w:rsidRPr="005F5266">
        <w:rPr>
          <w:rFonts w:cs="Calibri"/>
          <w:i/>
          <w:iCs/>
          <w:noProof/>
          <w:sz w:val="20"/>
          <w:szCs w:val="24"/>
        </w:rPr>
        <w:t>Scaling Up—From Vision to Large‐Scale Change: A Management Framework for Practitioners</w:t>
      </w:r>
      <w:r w:rsidRPr="005F5266">
        <w:rPr>
          <w:rFonts w:cs="Calibri"/>
          <w:noProof/>
          <w:sz w:val="20"/>
          <w:szCs w:val="24"/>
        </w:rPr>
        <w:t>. Management Systems International.</w:t>
      </w:r>
    </w:p>
    <w:p w14:paraId="049E2CF8" w14:textId="77777777" w:rsidR="005F5266" w:rsidRPr="005F5266" w:rsidRDefault="005F5266" w:rsidP="005F5266">
      <w:pPr>
        <w:widowControl w:val="0"/>
        <w:spacing w:after="120" w:line="240" w:lineRule="auto"/>
        <w:ind w:left="480" w:hanging="480"/>
        <w:rPr>
          <w:rFonts w:cs="Calibri"/>
          <w:noProof/>
          <w:sz w:val="20"/>
          <w:szCs w:val="24"/>
        </w:rPr>
      </w:pPr>
      <w:r w:rsidRPr="005F5266">
        <w:rPr>
          <w:rFonts w:cs="Calibri"/>
          <w:noProof/>
          <w:sz w:val="20"/>
          <w:szCs w:val="24"/>
        </w:rPr>
        <w:t xml:space="preserve">Mansouri, F., Jenkins, L., Morgan, L., &amp; Taouk, M. (2009). </w:t>
      </w:r>
      <w:r w:rsidRPr="005F5266">
        <w:rPr>
          <w:rFonts w:cs="Calibri"/>
          <w:i/>
          <w:iCs/>
          <w:noProof/>
          <w:sz w:val="20"/>
          <w:szCs w:val="24"/>
        </w:rPr>
        <w:t xml:space="preserve">The impact of racise upon the health and wellbeing of young australians at a </w:t>
      </w:r>
      <w:r w:rsidRPr="005F5266">
        <w:rPr>
          <w:rFonts w:cs="Calibri"/>
          <w:i/>
          <w:iCs/>
          <w:noProof/>
          <w:sz w:val="20"/>
          <w:szCs w:val="24"/>
        </w:rPr>
        <w:lastRenderedPageBreak/>
        <w:t>glance</w:t>
      </w:r>
      <w:r w:rsidRPr="005F5266">
        <w:rPr>
          <w:rFonts w:cs="Calibri"/>
          <w:noProof/>
          <w:sz w:val="20"/>
          <w:szCs w:val="24"/>
        </w:rPr>
        <w:t>. The Foundation for Young Australians. Retrieved from http://dro.deakin.edu.au/view/DU:30021686</w:t>
      </w:r>
    </w:p>
    <w:p w14:paraId="432FEB41" w14:textId="77777777" w:rsidR="005F5266" w:rsidRPr="005F5266" w:rsidRDefault="005F5266" w:rsidP="005F5266">
      <w:pPr>
        <w:widowControl w:val="0"/>
        <w:spacing w:after="120" w:line="240" w:lineRule="auto"/>
        <w:ind w:left="480" w:hanging="480"/>
        <w:rPr>
          <w:rFonts w:cs="Calibri"/>
          <w:noProof/>
          <w:sz w:val="20"/>
          <w:szCs w:val="24"/>
        </w:rPr>
      </w:pPr>
      <w:r w:rsidRPr="005F5266">
        <w:rPr>
          <w:rFonts w:cs="Calibri"/>
          <w:noProof/>
          <w:sz w:val="20"/>
          <w:szCs w:val="24"/>
        </w:rPr>
        <w:t xml:space="preserve">Martin, A. J. (2006). A Motivational Psychology for the Education of Indigenous Australian Students. </w:t>
      </w:r>
      <w:r w:rsidRPr="005F5266">
        <w:rPr>
          <w:rFonts w:cs="Calibri"/>
          <w:i/>
          <w:iCs/>
          <w:noProof/>
          <w:sz w:val="20"/>
          <w:szCs w:val="24"/>
        </w:rPr>
        <w:t>Australian Journal of Indigenous Education</w:t>
      </w:r>
      <w:r w:rsidRPr="005F5266">
        <w:rPr>
          <w:rFonts w:cs="Calibri"/>
          <w:noProof/>
          <w:sz w:val="20"/>
          <w:szCs w:val="24"/>
        </w:rPr>
        <w:t xml:space="preserve">, </w:t>
      </w:r>
      <w:r w:rsidRPr="005F5266">
        <w:rPr>
          <w:rFonts w:cs="Calibri"/>
          <w:i/>
          <w:iCs/>
          <w:noProof/>
          <w:sz w:val="20"/>
          <w:szCs w:val="24"/>
        </w:rPr>
        <w:t>35</w:t>
      </w:r>
      <w:r w:rsidRPr="005F5266">
        <w:rPr>
          <w:rFonts w:cs="Calibri"/>
          <w:noProof/>
          <w:sz w:val="20"/>
          <w:szCs w:val="24"/>
        </w:rPr>
        <w:t>, 30–43. https://doi.org/10.1017/S1326011100004142</w:t>
      </w:r>
    </w:p>
    <w:p w14:paraId="2060E931" w14:textId="77777777" w:rsidR="005F5266" w:rsidRPr="005F5266" w:rsidRDefault="005F5266" w:rsidP="005F5266">
      <w:pPr>
        <w:widowControl w:val="0"/>
        <w:spacing w:after="120" w:line="240" w:lineRule="auto"/>
        <w:ind w:left="480" w:hanging="480"/>
        <w:rPr>
          <w:rFonts w:cs="Calibri"/>
          <w:noProof/>
          <w:sz w:val="20"/>
          <w:szCs w:val="24"/>
        </w:rPr>
      </w:pPr>
      <w:r w:rsidRPr="005F5266">
        <w:rPr>
          <w:rFonts w:cs="Calibri"/>
          <w:noProof/>
          <w:sz w:val="20"/>
          <w:szCs w:val="24"/>
        </w:rPr>
        <w:t xml:space="preserve">Martin, A. J., Colmar, S. H., Davey, L. A., &amp; Marsh, H. W. (2010). Longitudinal modelling of academic buoyancy and motivation: Do the 5Cs hold up over time? </w:t>
      </w:r>
      <w:r w:rsidRPr="005F5266">
        <w:rPr>
          <w:rFonts w:cs="Calibri"/>
          <w:i/>
          <w:iCs/>
          <w:noProof/>
          <w:sz w:val="20"/>
          <w:szCs w:val="24"/>
        </w:rPr>
        <w:t>British Journal of Educational Psychology</w:t>
      </w:r>
      <w:r w:rsidRPr="005F5266">
        <w:rPr>
          <w:rFonts w:cs="Calibri"/>
          <w:noProof/>
          <w:sz w:val="20"/>
          <w:szCs w:val="24"/>
        </w:rPr>
        <w:t xml:space="preserve">, </w:t>
      </w:r>
      <w:r w:rsidRPr="005F5266">
        <w:rPr>
          <w:rFonts w:cs="Calibri"/>
          <w:i/>
          <w:iCs/>
          <w:noProof/>
          <w:sz w:val="20"/>
          <w:szCs w:val="24"/>
        </w:rPr>
        <w:t>80</w:t>
      </w:r>
      <w:r w:rsidRPr="005F5266">
        <w:rPr>
          <w:rFonts w:cs="Calibri"/>
          <w:noProof/>
          <w:sz w:val="20"/>
          <w:szCs w:val="24"/>
        </w:rPr>
        <w:t>(3), 473–496. https://doi.org/10.1348/000709910X486376</w:t>
      </w:r>
    </w:p>
    <w:p w14:paraId="40DEC8B4" w14:textId="77777777" w:rsidR="005F5266" w:rsidRPr="005F5266" w:rsidRDefault="005F5266" w:rsidP="005F5266">
      <w:pPr>
        <w:widowControl w:val="0"/>
        <w:spacing w:after="120" w:line="240" w:lineRule="auto"/>
        <w:ind w:left="480" w:hanging="480"/>
        <w:rPr>
          <w:rFonts w:cs="Calibri"/>
          <w:noProof/>
          <w:sz w:val="20"/>
          <w:szCs w:val="24"/>
        </w:rPr>
      </w:pPr>
      <w:r w:rsidRPr="005F5266">
        <w:rPr>
          <w:rFonts w:cs="Calibri"/>
          <w:noProof/>
          <w:sz w:val="20"/>
          <w:szCs w:val="24"/>
        </w:rPr>
        <w:t xml:space="preserve">Masten, A. (2014). </w:t>
      </w:r>
      <w:r w:rsidRPr="005F5266">
        <w:rPr>
          <w:rFonts w:cs="Calibri"/>
          <w:i/>
          <w:iCs/>
          <w:noProof/>
          <w:sz w:val="20"/>
          <w:szCs w:val="24"/>
        </w:rPr>
        <w:t>Ordinary magic: Resilience in development.</w:t>
      </w:r>
      <w:r w:rsidRPr="005F5266">
        <w:rPr>
          <w:rFonts w:cs="Calibri"/>
          <w:noProof/>
          <w:sz w:val="20"/>
          <w:szCs w:val="24"/>
        </w:rPr>
        <w:t xml:space="preserve"> </w:t>
      </w:r>
      <w:r w:rsidRPr="005F5266">
        <w:rPr>
          <w:rFonts w:cs="Calibri"/>
          <w:i/>
          <w:iCs/>
          <w:noProof/>
          <w:sz w:val="20"/>
          <w:szCs w:val="24"/>
        </w:rPr>
        <w:t>Ordinary magic: Resilience in development.</w:t>
      </w:r>
      <w:r w:rsidRPr="005F5266">
        <w:rPr>
          <w:rFonts w:cs="Calibri"/>
          <w:noProof/>
          <w:sz w:val="20"/>
          <w:szCs w:val="24"/>
        </w:rPr>
        <w:t xml:space="preserve"> New York, NY, US: Guilford Press.</w:t>
      </w:r>
    </w:p>
    <w:p w14:paraId="3DC67B4E" w14:textId="77777777" w:rsidR="005F5266" w:rsidRPr="005F5266" w:rsidRDefault="005F5266" w:rsidP="005F5266">
      <w:pPr>
        <w:widowControl w:val="0"/>
        <w:spacing w:after="120" w:line="240" w:lineRule="auto"/>
        <w:ind w:left="480" w:hanging="480"/>
        <w:rPr>
          <w:rFonts w:cs="Calibri"/>
          <w:noProof/>
          <w:sz w:val="20"/>
          <w:szCs w:val="24"/>
        </w:rPr>
      </w:pPr>
      <w:r w:rsidRPr="005F5266">
        <w:rPr>
          <w:rFonts w:cs="Calibri"/>
          <w:noProof/>
          <w:sz w:val="20"/>
          <w:szCs w:val="24"/>
        </w:rPr>
        <w:t xml:space="preserve">Masten, A., Herbers, J., Cutuli, J., &amp; Lafavor, T. (2008). Promoting Competence and Resilience in the School Context. </w:t>
      </w:r>
      <w:r w:rsidRPr="005F5266">
        <w:rPr>
          <w:rFonts w:cs="Calibri"/>
          <w:i/>
          <w:iCs/>
          <w:noProof/>
          <w:sz w:val="20"/>
          <w:szCs w:val="24"/>
        </w:rPr>
        <w:t>Professional School Counseling</w:t>
      </w:r>
      <w:r w:rsidRPr="005F5266">
        <w:rPr>
          <w:rFonts w:cs="Calibri"/>
          <w:noProof/>
          <w:sz w:val="20"/>
          <w:szCs w:val="24"/>
        </w:rPr>
        <w:t xml:space="preserve">, </w:t>
      </w:r>
      <w:r w:rsidRPr="005F5266">
        <w:rPr>
          <w:rFonts w:cs="Calibri"/>
          <w:i/>
          <w:iCs/>
          <w:noProof/>
          <w:sz w:val="20"/>
          <w:szCs w:val="24"/>
        </w:rPr>
        <w:t>12</w:t>
      </w:r>
      <w:r w:rsidRPr="005F5266">
        <w:rPr>
          <w:rFonts w:cs="Calibri"/>
          <w:noProof/>
          <w:sz w:val="20"/>
          <w:szCs w:val="24"/>
        </w:rPr>
        <w:t>(2), 76–84. https://doi.org/10.5330/psc.n.2010-12.76</w:t>
      </w:r>
    </w:p>
    <w:p w14:paraId="027537FB" w14:textId="77777777" w:rsidR="005F5266" w:rsidRPr="005F5266" w:rsidRDefault="005F5266" w:rsidP="005F5266">
      <w:pPr>
        <w:widowControl w:val="0"/>
        <w:spacing w:after="120" w:line="240" w:lineRule="auto"/>
        <w:ind w:left="480" w:hanging="480"/>
        <w:rPr>
          <w:rFonts w:cs="Calibri"/>
          <w:noProof/>
          <w:sz w:val="20"/>
          <w:szCs w:val="24"/>
        </w:rPr>
      </w:pPr>
      <w:r w:rsidRPr="005F5266">
        <w:rPr>
          <w:rFonts w:cs="Calibri"/>
          <w:noProof/>
          <w:sz w:val="20"/>
          <w:szCs w:val="24"/>
        </w:rPr>
        <w:t xml:space="preserve">McCallum, F., &amp; Price, D. (Eds.). (2016). </w:t>
      </w:r>
      <w:r w:rsidRPr="005F5266">
        <w:rPr>
          <w:rFonts w:cs="Calibri"/>
          <w:i/>
          <w:iCs/>
          <w:noProof/>
          <w:sz w:val="20"/>
          <w:szCs w:val="24"/>
        </w:rPr>
        <w:t>Nuturing wellbeing development in education : from little things, big things grow</w:t>
      </w:r>
      <w:r w:rsidRPr="005F5266">
        <w:rPr>
          <w:rFonts w:cs="Calibri"/>
          <w:noProof/>
          <w:sz w:val="20"/>
          <w:szCs w:val="24"/>
        </w:rPr>
        <w:t>. New York: Routledge.</w:t>
      </w:r>
    </w:p>
    <w:p w14:paraId="65F14716" w14:textId="77777777" w:rsidR="005F5266" w:rsidRPr="005F5266" w:rsidRDefault="005F5266" w:rsidP="005F5266">
      <w:pPr>
        <w:widowControl w:val="0"/>
        <w:spacing w:after="120" w:line="240" w:lineRule="auto"/>
        <w:ind w:left="480" w:hanging="480"/>
        <w:rPr>
          <w:rFonts w:cs="Calibri"/>
          <w:noProof/>
          <w:sz w:val="20"/>
          <w:szCs w:val="24"/>
        </w:rPr>
      </w:pPr>
      <w:r w:rsidRPr="005F5266">
        <w:rPr>
          <w:rFonts w:cs="Calibri"/>
          <w:noProof/>
          <w:sz w:val="20"/>
          <w:szCs w:val="24"/>
        </w:rPr>
        <w:t xml:space="preserve">Munns, G., O’Rourke, V., &amp; Bodkin-Andrews, G. (2013). Seeding success: Schools that work for aboriginal students. </w:t>
      </w:r>
      <w:r w:rsidRPr="005F5266">
        <w:rPr>
          <w:rFonts w:cs="Calibri"/>
          <w:i/>
          <w:iCs/>
          <w:noProof/>
          <w:sz w:val="20"/>
          <w:szCs w:val="24"/>
        </w:rPr>
        <w:t>Australian Journal of Indigenous Education</w:t>
      </w:r>
      <w:r w:rsidRPr="005F5266">
        <w:rPr>
          <w:rFonts w:cs="Calibri"/>
          <w:noProof/>
          <w:sz w:val="20"/>
          <w:szCs w:val="24"/>
        </w:rPr>
        <w:t xml:space="preserve">, </w:t>
      </w:r>
      <w:r w:rsidRPr="005F5266">
        <w:rPr>
          <w:rFonts w:cs="Calibri"/>
          <w:i/>
          <w:iCs/>
          <w:noProof/>
          <w:sz w:val="20"/>
          <w:szCs w:val="24"/>
        </w:rPr>
        <w:t>42</w:t>
      </w:r>
      <w:r w:rsidRPr="005F5266">
        <w:rPr>
          <w:rFonts w:cs="Calibri"/>
          <w:noProof/>
          <w:sz w:val="20"/>
          <w:szCs w:val="24"/>
        </w:rPr>
        <w:t>(1), 1–11. https://doi.org/10.1017/jie.2013.6</w:t>
      </w:r>
    </w:p>
    <w:p w14:paraId="74410BF4" w14:textId="77777777" w:rsidR="005F5266" w:rsidRPr="005F5266" w:rsidRDefault="005F5266" w:rsidP="005F5266">
      <w:pPr>
        <w:widowControl w:val="0"/>
        <w:spacing w:after="120" w:line="240" w:lineRule="auto"/>
        <w:ind w:left="480" w:hanging="480"/>
        <w:rPr>
          <w:rFonts w:cs="Calibri"/>
          <w:noProof/>
          <w:sz w:val="20"/>
          <w:szCs w:val="24"/>
        </w:rPr>
      </w:pPr>
      <w:r w:rsidRPr="005F5266">
        <w:rPr>
          <w:rFonts w:cs="Calibri"/>
          <w:noProof/>
          <w:sz w:val="20"/>
          <w:szCs w:val="24"/>
        </w:rPr>
        <w:t xml:space="preserve">Nissim, R. (2014). </w:t>
      </w:r>
      <w:r w:rsidRPr="005F5266">
        <w:rPr>
          <w:rFonts w:cs="Calibri"/>
          <w:i/>
          <w:iCs/>
          <w:noProof/>
          <w:sz w:val="20"/>
          <w:szCs w:val="24"/>
        </w:rPr>
        <w:t>Building resilience in the face of racism: options for anti-racism strategies</w:t>
      </w:r>
      <w:r w:rsidRPr="005F5266">
        <w:rPr>
          <w:rFonts w:cs="Calibri"/>
          <w:noProof/>
          <w:sz w:val="20"/>
          <w:szCs w:val="24"/>
        </w:rPr>
        <w:t xml:space="preserve">. University of Sydney: Sydney Social </w:t>
      </w:r>
      <w:r w:rsidRPr="005F5266">
        <w:rPr>
          <w:rFonts w:cs="Calibri"/>
          <w:noProof/>
          <w:sz w:val="20"/>
          <w:szCs w:val="24"/>
        </w:rPr>
        <w:lastRenderedPageBreak/>
        <w:t>Justice Network. Retrieved from https://apo.org.au/sites/default/files/resource-files/2014/10/apo-nid41961-1127311.pdf</w:t>
      </w:r>
    </w:p>
    <w:p w14:paraId="7E74953C" w14:textId="77777777" w:rsidR="005F5266" w:rsidRPr="005F5266" w:rsidRDefault="005F5266" w:rsidP="005F5266">
      <w:pPr>
        <w:widowControl w:val="0"/>
        <w:spacing w:after="120" w:line="240" w:lineRule="auto"/>
        <w:ind w:left="480" w:hanging="480"/>
        <w:rPr>
          <w:rFonts w:cs="Calibri"/>
          <w:noProof/>
          <w:sz w:val="20"/>
          <w:szCs w:val="24"/>
        </w:rPr>
      </w:pPr>
      <w:r w:rsidRPr="005F5266">
        <w:rPr>
          <w:rFonts w:cs="Calibri"/>
          <w:noProof/>
          <w:sz w:val="20"/>
          <w:szCs w:val="24"/>
        </w:rPr>
        <w:t xml:space="preserve">Noltemeyer, A. L., &amp; Bush, K. R. (2013). Adversity and resilience: A synthesis of international research. </w:t>
      </w:r>
      <w:r w:rsidRPr="005F5266">
        <w:rPr>
          <w:rFonts w:cs="Calibri"/>
          <w:i/>
          <w:iCs/>
          <w:noProof/>
          <w:sz w:val="20"/>
          <w:szCs w:val="24"/>
        </w:rPr>
        <w:t>School Psychology International</w:t>
      </w:r>
      <w:r w:rsidRPr="005F5266">
        <w:rPr>
          <w:rFonts w:cs="Calibri"/>
          <w:noProof/>
          <w:sz w:val="20"/>
          <w:szCs w:val="24"/>
        </w:rPr>
        <w:t xml:space="preserve">, </w:t>
      </w:r>
      <w:r w:rsidRPr="005F5266">
        <w:rPr>
          <w:rFonts w:cs="Calibri"/>
          <w:i/>
          <w:iCs/>
          <w:noProof/>
          <w:sz w:val="20"/>
          <w:szCs w:val="24"/>
        </w:rPr>
        <w:t>34</w:t>
      </w:r>
      <w:r w:rsidRPr="005F5266">
        <w:rPr>
          <w:rFonts w:cs="Calibri"/>
          <w:noProof/>
          <w:sz w:val="20"/>
          <w:szCs w:val="24"/>
        </w:rPr>
        <w:t>(5), 474–487. https://doi.org/10.1177/0143034312472758</w:t>
      </w:r>
    </w:p>
    <w:p w14:paraId="598E19E7" w14:textId="77777777" w:rsidR="005F5266" w:rsidRPr="005F5266" w:rsidRDefault="005F5266" w:rsidP="005F5266">
      <w:pPr>
        <w:widowControl w:val="0"/>
        <w:spacing w:after="120" w:line="240" w:lineRule="auto"/>
        <w:ind w:left="480" w:hanging="480"/>
        <w:rPr>
          <w:rFonts w:cs="Calibri"/>
          <w:noProof/>
          <w:sz w:val="20"/>
          <w:szCs w:val="24"/>
        </w:rPr>
      </w:pPr>
      <w:r w:rsidRPr="005F5266">
        <w:rPr>
          <w:rFonts w:cs="Calibri"/>
          <w:noProof/>
          <w:sz w:val="20"/>
          <w:szCs w:val="24"/>
        </w:rPr>
        <w:t xml:space="preserve">OECD. (2017). </w:t>
      </w:r>
      <w:r w:rsidRPr="005F5266">
        <w:rPr>
          <w:rFonts w:cs="Calibri"/>
          <w:i/>
          <w:iCs/>
          <w:noProof/>
          <w:sz w:val="20"/>
          <w:szCs w:val="24"/>
        </w:rPr>
        <w:t>Promising Practices in Supporting Success for Indigenous Students</w:t>
      </w:r>
      <w:r w:rsidRPr="005F5266">
        <w:rPr>
          <w:rFonts w:cs="Calibri"/>
          <w:noProof/>
          <w:sz w:val="20"/>
          <w:szCs w:val="24"/>
        </w:rPr>
        <w:t xml:space="preserve">. </w:t>
      </w:r>
      <w:r w:rsidRPr="005F5266">
        <w:rPr>
          <w:rFonts w:cs="Calibri"/>
          <w:i/>
          <w:iCs/>
          <w:noProof/>
          <w:sz w:val="20"/>
          <w:szCs w:val="24"/>
        </w:rPr>
        <w:t>Promising Practices in Supporting Success for Indigenous Students</w:t>
      </w:r>
      <w:r w:rsidRPr="005F5266">
        <w:rPr>
          <w:rFonts w:cs="Calibri"/>
          <w:noProof/>
          <w:sz w:val="20"/>
          <w:szCs w:val="24"/>
        </w:rPr>
        <w:t>. Organisation for Economic Co-operation and Development. https://doi.org/10.1787/9789264279421-en</w:t>
      </w:r>
    </w:p>
    <w:p w14:paraId="3B849D8B" w14:textId="77777777" w:rsidR="005F5266" w:rsidRPr="005F5266" w:rsidRDefault="005F5266" w:rsidP="005F5266">
      <w:pPr>
        <w:widowControl w:val="0"/>
        <w:spacing w:after="120" w:line="240" w:lineRule="auto"/>
        <w:ind w:left="480" w:hanging="480"/>
        <w:rPr>
          <w:rFonts w:cs="Calibri"/>
          <w:noProof/>
          <w:sz w:val="20"/>
          <w:szCs w:val="24"/>
        </w:rPr>
      </w:pPr>
      <w:r w:rsidRPr="005F5266">
        <w:rPr>
          <w:rFonts w:cs="Calibri"/>
          <w:noProof/>
          <w:sz w:val="20"/>
          <w:szCs w:val="24"/>
        </w:rPr>
        <w:t xml:space="preserve">Purdie, N., &amp; Stone, A. (2005). The sky’s the limit: Indigenous students and school completion. </w:t>
      </w:r>
      <w:r w:rsidRPr="005F5266">
        <w:rPr>
          <w:rFonts w:cs="Calibri"/>
          <w:i/>
          <w:iCs/>
          <w:noProof/>
          <w:sz w:val="20"/>
          <w:szCs w:val="24"/>
        </w:rPr>
        <w:t>Teacher</w:t>
      </w:r>
      <w:r w:rsidRPr="005F5266">
        <w:rPr>
          <w:rFonts w:cs="Calibri"/>
          <w:noProof/>
          <w:sz w:val="20"/>
          <w:szCs w:val="24"/>
        </w:rPr>
        <w:t xml:space="preserve">, </w:t>
      </w:r>
      <w:r w:rsidRPr="005F5266">
        <w:rPr>
          <w:rFonts w:cs="Calibri"/>
          <w:i/>
          <w:iCs/>
          <w:noProof/>
          <w:sz w:val="20"/>
          <w:szCs w:val="24"/>
        </w:rPr>
        <w:t>158</w:t>
      </w:r>
      <w:r w:rsidRPr="005F5266">
        <w:rPr>
          <w:rFonts w:cs="Calibri"/>
          <w:noProof/>
          <w:sz w:val="20"/>
          <w:szCs w:val="24"/>
        </w:rPr>
        <w:t>, 22–25.</w:t>
      </w:r>
    </w:p>
    <w:p w14:paraId="699CA32D" w14:textId="77777777" w:rsidR="005F5266" w:rsidRPr="005F5266" w:rsidRDefault="005F5266" w:rsidP="005F5266">
      <w:pPr>
        <w:widowControl w:val="0"/>
        <w:spacing w:after="120" w:line="240" w:lineRule="auto"/>
        <w:ind w:left="480" w:hanging="480"/>
        <w:rPr>
          <w:rFonts w:cs="Calibri"/>
          <w:noProof/>
          <w:sz w:val="20"/>
          <w:szCs w:val="24"/>
        </w:rPr>
      </w:pPr>
      <w:r w:rsidRPr="005F5266">
        <w:rPr>
          <w:rFonts w:cs="Calibri"/>
          <w:noProof/>
          <w:sz w:val="20"/>
          <w:szCs w:val="24"/>
        </w:rPr>
        <w:t xml:space="preserve">PwC. (2018). </w:t>
      </w:r>
      <w:r w:rsidRPr="005F5266">
        <w:rPr>
          <w:rFonts w:cs="Calibri"/>
          <w:i/>
          <w:iCs/>
          <w:noProof/>
          <w:sz w:val="20"/>
          <w:szCs w:val="24"/>
        </w:rPr>
        <w:t>The estimated economic impact of the Girls Academy Program</w:t>
      </w:r>
      <w:r w:rsidRPr="005F5266">
        <w:rPr>
          <w:rFonts w:cs="Calibri"/>
          <w:noProof/>
          <w:sz w:val="20"/>
          <w:szCs w:val="24"/>
        </w:rPr>
        <w:t>. PwC.</w:t>
      </w:r>
    </w:p>
    <w:p w14:paraId="392CF2B4" w14:textId="77777777" w:rsidR="005F5266" w:rsidRPr="005F5266" w:rsidRDefault="005F5266" w:rsidP="005F5266">
      <w:pPr>
        <w:widowControl w:val="0"/>
        <w:spacing w:after="120" w:line="240" w:lineRule="auto"/>
        <w:ind w:left="480" w:hanging="480"/>
        <w:rPr>
          <w:rFonts w:cs="Calibri"/>
          <w:noProof/>
          <w:sz w:val="20"/>
          <w:szCs w:val="24"/>
        </w:rPr>
      </w:pPr>
      <w:r w:rsidRPr="005F5266">
        <w:rPr>
          <w:rFonts w:cs="Calibri"/>
          <w:noProof/>
          <w:sz w:val="20"/>
          <w:szCs w:val="24"/>
        </w:rPr>
        <w:t xml:space="preserve">Sarra, C., Spillman, D., Jackson, C., Davis, J., &amp; Bray, J. (2018). High-Expectations Relationships: A Foundation for Enacting High Expectations in all Australian Schools. </w:t>
      </w:r>
      <w:r w:rsidRPr="005F5266">
        <w:rPr>
          <w:rFonts w:cs="Calibri"/>
          <w:i/>
          <w:iCs/>
          <w:noProof/>
          <w:sz w:val="20"/>
          <w:szCs w:val="24"/>
        </w:rPr>
        <w:t>Australian Journal of Indigenous Education</w:t>
      </w:r>
      <w:r w:rsidRPr="005F5266">
        <w:rPr>
          <w:rFonts w:cs="Calibri"/>
          <w:noProof/>
          <w:sz w:val="20"/>
          <w:szCs w:val="24"/>
        </w:rPr>
        <w:t>, pp. 1–14. https://doi.org/10.1017/jie.2018.10</w:t>
      </w:r>
    </w:p>
    <w:p w14:paraId="0C67B8D0" w14:textId="77777777" w:rsidR="005F5266" w:rsidRPr="005F5266" w:rsidRDefault="005F5266" w:rsidP="005F5266">
      <w:pPr>
        <w:widowControl w:val="0"/>
        <w:spacing w:after="120" w:line="240" w:lineRule="auto"/>
        <w:ind w:left="480" w:hanging="480"/>
        <w:rPr>
          <w:rFonts w:cs="Calibri"/>
          <w:noProof/>
          <w:sz w:val="20"/>
          <w:szCs w:val="24"/>
        </w:rPr>
      </w:pPr>
      <w:r w:rsidRPr="005F5266">
        <w:rPr>
          <w:rFonts w:cs="Calibri"/>
          <w:noProof/>
          <w:sz w:val="20"/>
          <w:szCs w:val="24"/>
        </w:rPr>
        <w:t xml:space="preserve">te Riele, K. (2012). </w:t>
      </w:r>
      <w:r w:rsidRPr="005F5266">
        <w:rPr>
          <w:rFonts w:cs="Calibri"/>
          <w:i/>
          <w:iCs/>
          <w:noProof/>
          <w:sz w:val="20"/>
          <w:szCs w:val="24"/>
        </w:rPr>
        <w:t>Learning Choices: A Map for the Future</w:t>
      </w:r>
      <w:r w:rsidRPr="005F5266">
        <w:rPr>
          <w:rFonts w:cs="Calibri"/>
          <w:noProof/>
          <w:sz w:val="20"/>
          <w:szCs w:val="24"/>
        </w:rPr>
        <w:t>. Dusseldorp Skills Forum. Retrieved from http://dusseldorp.org.au/resource/learning-choices-a-map-for-the-future-2/</w:t>
      </w:r>
    </w:p>
    <w:p w14:paraId="0229B9BD" w14:textId="77777777" w:rsidR="005F5266" w:rsidRPr="005F5266" w:rsidRDefault="005F5266" w:rsidP="005F5266">
      <w:pPr>
        <w:widowControl w:val="0"/>
        <w:spacing w:after="120" w:line="240" w:lineRule="auto"/>
        <w:ind w:left="480" w:hanging="480"/>
        <w:rPr>
          <w:rFonts w:cs="Calibri"/>
          <w:noProof/>
          <w:sz w:val="20"/>
          <w:szCs w:val="24"/>
        </w:rPr>
      </w:pPr>
      <w:r w:rsidRPr="005F5266">
        <w:rPr>
          <w:rFonts w:cs="Calibri"/>
          <w:noProof/>
          <w:sz w:val="20"/>
          <w:szCs w:val="24"/>
        </w:rPr>
        <w:t xml:space="preserve">te Riele, K. (2014). </w:t>
      </w:r>
      <w:r w:rsidRPr="005F5266">
        <w:rPr>
          <w:rFonts w:cs="Calibri"/>
          <w:i/>
          <w:iCs/>
          <w:noProof/>
          <w:sz w:val="20"/>
          <w:szCs w:val="24"/>
        </w:rPr>
        <w:t>Putting the Jigsaw Together: Flexible learning programs in Australia. Final Report.</w:t>
      </w:r>
      <w:r w:rsidRPr="005F5266">
        <w:rPr>
          <w:rFonts w:cs="Calibri"/>
          <w:noProof/>
          <w:sz w:val="20"/>
          <w:szCs w:val="24"/>
        </w:rPr>
        <w:t xml:space="preserve"> Melbourne: Victoria </w:t>
      </w:r>
      <w:r w:rsidRPr="005F5266">
        <w:rPr>
          <w:rFonts w:cs="Calibri"/>
          <w:noProof/>
          <w:sz w:val="20"/>
          <w:szCs w:val="24"/>
        </w:rPr>
        <w:lastRenderedPageBreak/>
        <w:t>Institute for Education, Diversity and Lifelong Learning. Retrieved from http://dusseldorp.org.au/wp-content/uploads/2014/09/Victoria-Institue-1-7-MB2.pdf</w:t>
      </w:r>
    </w:p>
    <w:p w14:paraId="15C747A7" w14:textId="77777777" w:rsidR="005F5266" w:rsidRPr="005F5266" w:rsidRDefault="005F5266" w:rsidP="005F5266">
      <w:pPr>
        <w:widowControl w:val="0"/>
        <w:spacing w:after="120" w:line="240" w:lineRule="auto"/>
        <w:ind w:left="480" w:hanging="480"/>
        <w:rPr>
          <w:rFonts w:cs="Calibri"/>
          <w:noProof/>
          <w:sz w:val="20"/>
          <w:szCs w:val="24"/>
        </w:rPr>
      </w:pPr>
      <w:r w:rsidRPr="005F5266">
        <w:rPr>
          <w:rFonts w:cs="Calibri"/>
          <w:noProof/>
          <w:sz w:val="20"/>
          <w:szCs w:val="24"/>
        </w:rPr>
        <w:t xml:space="preserve">Ungar, M. (2006). Resilience across cultures. </w:t>
      </w:r>
      <w:r w:rsidRPr="005F5266">
        <w:rPr>
          <w:rFonts w:cs="Calibri"/>
          <w:i/>
          <w:iCs/>
          <w:noProof/>
          <w:sz w:val="20"/>
          <w:szCs w:val="24"/>
        </w:rPr>
        <w:t>British Journal of Social Work</w:t>
      </w:r>
      <w:r w:rsidRPr="005F5266">
        <w:rPr>
          <w:rFonts w:cs="Calibri"/>
          <w:noProof/>
          <w:sz w:val="20"/>
          <w:szCs w:val="24"/>
        </w:rPr>
        <w:t xml:space="preserve">, </w:t>
      </w:r>
      <w:r w:rsidRPr="005F5266">
        <w:rPr>
          <w:rFonts w:cs="Calibri"/>
          <w:i/>
          <w:iCs/>
          <w:noProof/>
          <w:sz w:val="20"/>
          <w:szCs w:val="24"/>
        </w:rPr>
        <w:t>38</w:t>
      </w:r>
      <w:r w:rsidRPr="005F5266">
        <w:rPr>
          <w:rFonts w:cs="Calibri"/>
          <w:noProof/>
          <w:sz w:val="20"/>
          <w:szCs w:val="24"/>
        </w:rPr>
        <w:t>(2), 218–235. https://doi.org/10.1093/bjsw/bcl343</w:t>
      </w:r>
    </w:p>
    <w:p w14:paraId="191489CB" w14:textId="77777777" w:rsidR="005F5266" w:rsidRPr="005F5266" w:rsidRDefault="005F5266" w:rsidP="005F5266">
      <w:pPr>
        <w:widowControl w:val="0"/>
        <w:spacing w:after="120" w:line="240" w:lineRule="auto"/>
        <w:ind w:left="480" w:hanging="480"/>
        <w:rPr>
          <w:rFonts w:cs="Calibri"/>
          <w:noProof/>
          <w:sz w:val="20"/>
          <w:szCs w:val="24"/>
        </w:rPr>
      </w:pPr>
      <w:r w:rsidRPr="005F5266">
        <w:rPr>
          <w:rFonts w:cs="Calibri"/>
          <w:noProof/>
          <w:sz w:val="20"/>
          <w:szCs w:val="24"/>
        </w:rPr>
        <w:t xml:space="preserve">Ungar, M., &amp; Liebenberg, L. (2013). Ethnocultural factors, resilience, and school engagement. </w:t>
      </w:r>
      <w:r w:rsidRPr="005F5266">
        <w:rPr>
          <w:rFonts w:cs="Calibri"/>
          <w:i/>
          <w:iCs/>
          <w:noProof/>
          <w:sz w:val="20"/>
          <w:szCs w:val="24"/>
        </w:rPr>
        <w:t>School Psychology International</w:t>
      </w:r>
      <w:r w:rsidRPr="005F5266">
        <w:rPr>
          <w:rFonts w:cs="Calibri"/>
          <w:noProof/>
          <w:sz w:val="20"/>
          <w:szCs w:val="24"/>
        </w:rPr>
        <w:t xml:space="preserve">, </w:t>
      </w:r>
      <w:r w:rsidRPr="005F5266">
        <w:rPr>
          <w:rFonts w:cs="Calibri"/>
          <w:i/>
          <w:iCs/>
          <w:noProof/>
          <w:sz w:val="20"/>
          <w:szCs w:val="24"/>
        </w:rPr>
        <w:t>34</w:t>
      </w:r>
      <w:r w:rsidRPr="005F5266">
        <w:rPr>
          <w:rFonts w:cs="Calibri"/>
          <w:noProof/>
          <w:sz w:val="20"/>
          <w:szCs w:val="24"/>
        </w:rPr>
        <w:t>(5), 514–526. https://doi.org/10.1177/0143034312472761</w:t>
      </w:r>
    </w:p>
    <w:p w14:paraId="43F6FD19" w14:textId="77777777" w:rsidR="005F5266" w:rsidRPr="005F5266" w:rsidRDefault="005F5266" w:rsidP="005F5266">
      <w:pPr>
        <w:widowControl w:val="0"/>
        <w:spacing w:after="120" w:line="240" w:lineRule="auto"/>
        <w:ind w:left="480" w:hanging="480"/>
        <w:rPr>
          <w:rFonts w:cs="Calibri"/>
          <w:noProof/>
          <w:sz w:val="20"/>
          <w:szCs w:val="24"/>
        </w:rPr>
      </w:pPr>
      <w:r w:rsidRPr="005F5266">
        <w:rPr>
          <w:rFonts w:cs="Calibri"/>
          <w:noProof/>
          <w:sz w:val="20"/>
          <w:szCs w:val="24"/>
        </w:rPr>
        <w:t xml:space="preserve">Ware, V.-A. (2013). </w:t>
      </w:r>
      <w:r w:rsidRPr="005F5266">
        <w:rPr>
          <w:rFonts w:cs="Calibri"/>
          <w:i/>
          <w:iCs/>
          <w:noProof/>
          <w:sz w:val="20"/>
          <w:szCs w:val="24"/>
        </w:rPr>
        <w:t>Mentoring programs for Indigenous youth at risk. Resource sheet no. 22. Produced for the Closing the Gap Clearinghouse</w:t>
      </w:r>
      <w:r w:rsidRPr="005F5266">
        <w:rPr>
          <w:rFonts w:cs="Calibri"/>
          <w:noProof/>
          <w:sz w:val="20"/>
          <w:szCs w:val="24"/>
        </w:rPr>
        <w:t>. Canberra: Australian Institute of Health and Welfare; Australian Institute of Family Studies.</w:t>
      </w:r>
    </w:p>
    <w:p w14:paraId="75588571" w14:textId="77777777" w:rsidR="005F5266" w:rsidRPr="005F5266" w:rsidRDefault="005F5266" w:rsidP="005F5266">
      <w:pPr>
        <w:widowControl w:val="0"/>
        <w:spacing w:after="120" w:line="240" w:lineRule="auto"/>
        <w:ind w:left="480" w:hanging="480"/>
        <w:rPr>
          <w:rFonts w:cs="Calibri"/>
          <w:noProof/>
          <w:sz w:val="20"/>
          <w:szCs w:val="24"/>
        </w:rPr>
      </w:pPr>
      <w:r w:rsidRPr="005F5266">
        <w:rPr>
          <w:rFonts w:cs="Calibri"/>
          <w:noProof/>
          <w:sz w:val="20"/>
          <w:szCs w:val="24"/>
        </w:rPr>
        <w:t xml:space="preserve">Yu, K., Rintoul, D., Hao, S., Watkins, I., &amp; Wan, W.-Y. (2017). </w:t>
      </w:r>
      <w:r w:rsidRPr="005F5266">
        <w:rPr>
          <w:rFonts w:cs="Calibri"/>
          <w:i/>
          <w:iCs/>
          <w:noProof/>
          <w:sz w:val="20"/>
          <w:szCs w:val="24"/>
        </w:rPr>
        <w:t>Evaluation of the NSW Clontarf Academies Program</w:t>
      </w:r>
      <w:r w:rsidRPr="005F5266">
        <w:rPr>
          <w:rFonts w:cs="Calibri"/>
          <w:noProof/>
          <w:sz w:val="20"/>
          <w:szCs w:val="24"/>
        </w:rPr>
        <w:t>. Sydney, NSW: Centre for Education Statistics and Evaluation.</w:t>
      </w:r>
    </w:p>
    <w:p w14:paraId="60042654" w14:textId="77777777" w:rsidR="005F5266" w:rsidRPr="005F5266" w:rsidRDefault="005F5266" w:rsidP="005F5266">
      <w:pPr>
        <w:widowControl w:val="0"/>
        <w:spacing w:after="120" w:line="240" w:lineRule="auto"/>
        <w:ind w:left="480" w:hanging="480"/>
        <w:rPr>
          <w:rFonts w:cs="Calibri"/>
          <w:noProof/>
          <w:sz w:val="20"/>
        </w:rPr>
      </w:pPr>
      <w:r w:rsidRPr="005F5266">
        <w:rPr>
          <w:rFonts w:cs="Calibri"/>
          <w:noProof/>
          <w:sz w:val="20"/>
          <w:szCs w:val="24"/>
        </w:rPr>
        <w:t xml:space="preserve">Zyngier, D., Black, R., Brubaker, N., &amp; Pruyn, M. (2014). </w:t>
      </w:r>
      <w:r w:rsidRPr="005F5266">
        <w:rPr>
          <w:rFonts w:cs="Calibri"/>
          <w:i/>
          <w:iCs/>
          <w:noProof/>
          <w:sz w:val="20"/>
          <w:szCs w:val="24"/>
        </w:rPr>
        <w:t>The Contribution that Alternate, Pull-out and Externally-Provided Programs within Schools Make toward Student Learning, Well-Being and Pathways</w:t>
      </w:r>
      <w:r w:rsidRPr="005F5266">
        <w:rPr>
          <w:rFonts w:cs="Calibri"/>
          <w:noProof/>
          <w:sz w:val="20"/>
          <w:szCs w:val="24"/>
        </w:rPr>
        <w:t>. Monash University Faculty of Education. Retrieved from https://research.monash.edu/en/publications/the-contribution-that-alternate-pull-out-and-externally-provided-</w:t>
      </w:r>
    </w:p>
    <w:p w14:paraId="49B3B70D" w14:textId="1C3964C2" w:rsidR="006537A1" w:rsidRDefault="006537A1" w:rsidP="00706A75">
      <w:pPr>
        <w:pStyle w:val="References"/>
        <w:spacing w:line="240" w:lineRule="auto"/>
        <w:rPr>
          <w:rFonts w:cs="Calibri"/>
          <w:szCs w:val="20"/>
        </w:rPr>
      </w:pPr>
      <w:r>
        <w:rPr>
          <w:rFonts w:cs="Calibri"/>
          <w:szCs w:val="20"/>
        </w:rPr>
        <w:fldChar w:fldCharType="end"/>
      </w:r>
    </w:p>
    <w:p w14:paraId="6A3AD59D" w14:textId="41934465" w:rsidR="006537A1" w:rsidRPr="00706A75" w:rsidRDefault="006537A1" w:rsidP="00706A75">
      <w:pPr>
        <w:pStyle w:val="References"/>
        <w:spacing w:line="240" w:lineRule="auto"/>
        <w:rPr>
          <w:rFonts w:cs="Calibri"/>
          <w:szCs w:val="20"/>
        </w:rPr>
        <w:sectPr w:rsidR="006537A1" w:rsidRPr="00706A75" w:rsidSect="00235DBD">
          <w:pgSz w:w="11906" w:h="16838" w:code="9"/>
          <w:pgMar w:top="1361" w:right="1134" w:bottom="1701" w:left="1134" w:header="340" w:footer="454" w:gutter="0"/>
          <w:cols w:space="708"/>
          <w:formProt w:val="0"/>
          <w:docGrid w:linePitch="360"/>
        </w:sectPr>
      </w:pPr>
    </w:p>
    <w:p w14:paraId="22D574D7" w14:textId="77777777" w:rsidR="005B0A5F" w:rsidRDefault="005B0A5F">
      <w:pPr>
        <w:autoSpaceDE/>
        <w:autoSpaceDN/>
        <w:adjustRightInd/>
        <w:rPr>
          <w:rFonts w:ascii="Arial" w:hAnsi="Arial"/>
          <w:sz w:val="20"/>
          <w:szCs w:val="20"/>
        </w:rPr>
      </w:pPr>
    </w:p>
    <w:sectPr w:rsidR="005B0A5F" w:rsidSect="00235DBD">
      <w:headerReference w:type="default" r:id="rId26"/>
      <w:footerReference w:type="default" r:id="rId27"/>
      <w:pgSz w:w="11906" w:h="16838" w:code="9"/>
      <w:pgMar w:top="3828" w:right="1274" w:bottom="1701" w:left="1701" w:header="340" w:footer="454"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74065F" w14:textId="77777777" w:rsidR="008C43EC" w:rsidRDefault="008C43EC" w:rsidP="00502842">
      <w:r>
        <w:separator/>
      </w:r>
    </w:p>
  </w:endnote>
  <w:endnote w:type="continuationSeparator" w:id="0">
    <w:p w14:paraId="24D30156" w14:textId="77777777" w:rsidR="008C43EC" w:rsidRDefault="008C43EC" w:rsidP="005028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Avenir-Roman">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CA7EAA" w14:textId="77777777" w:rsidR="008034D0" w:rsidRDefault="008034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820344" w14:textId="77777777" w:rsidR="00887AF3" w:rsidRPr="00887AF3" w:rsidRDefault="00887AF3" w:rsidP="00950B4D">
    <w:pPr>
      <w:pStyle w:val="Footer"/>
    </w:pPr>
    <w:r w:rsidRPr="00887AF3">
      <w:rPr>
        <w:noProof/>
        <w:lang w:eastAsia="en-AU"/>
      </w:rPr>
      <w:drawing>
        <wp:anchor distT="0" distB="0" distL="114300" distR="114300" simplePos="0" relativeHeight="251681279" behindDoc="1" locked="0" layoutInCell="1" allowOverlap="1" wp14:anchorId="1230C62D" wp14:editId="0CB11B59">
          <wp:simplePos x="0" y="0"/>
          <wp:positionH relativeFrom="page">
            <wp:align>right</wp:align>
          </wp:positionH>
          <wp:positionV relativeFrom="page">
            <wp:align>bottom</wp:align>
          </wp:positionV>
          <wp:extent cx="3772800" cy="990000"/>
          <wp:effectExtent l="0" t="0" r="0" b="635"/>
          <wp:wrapNone/>
          <wp:docPr id="21" name="Picture 2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772800" cy="990000"/>
                  </a:xfrm>
                  <a:prstGeom prst="rect">
                    <a:avLst/>
                  </a:prstGeom>
                </pic:spPr>
              </pic:pic>
            </a:graphicData>
          </a:graphic>
          <wp14:sizeRelH relativeFrom="margin">
            <wp14:pctWidth>0</wp14:pctWidth>
          </wp14:sizeRelH>
          <wp14:sizeRelV relativeFrom="margin">
            <wp14:pctHeight>0</wp14:pctHeight>
          </wp14:sizeRelV>
        </wp:anchor>
      </w:drawing>
    </w:r>
    <w:r w:rsidR="00950B4D">
      <w:t>Document name</w:t>
    </w:r>
    <w:r w:rsidRPr="00887AF3">
      <w:br/>
    </w:r>
    <w:r w:rsidR="00950B4D">
      <w:t>Doc</w:t>
    </w:r>
    <w:r w:rsidRPr="00887AF3">
      <w:t xml:space="preserve"> name line 2</w:t>
    </w:r>
  </w:p>
  <w:p w14:paraId="6AC42297" w14:textId="77777777" w:rsidR="00887AF3" w:rsidRDefault="00887AF3" w:rsidP="00950B4D">
    <w:pPr>
      <w:pStyle w:val="Footer"/>
    </w:pPr>
    <w:r w:rsidRPr="00950B4D">
      <w:t>Page</w:t>
    </w:r>
    <w:r w:rsidRPr="00887AF3">
      <w:t xml:space="preserve"> </w:t>
    </w:r>
    <w:r w:rsidRPr="00887AF3">
      <w:fldChar w:fldCharType="begin"/>
    </w:r>
    <w:r w:rsidRPr="00887AF3">
      <w:instrText xml:space="preserve"> PAGE   \* MERGEFORMAT </w:instrText>
    </w:r>
    <w:r w:rsidRPr="00887AF3">
      <w:fldChar w:fldCharType="separate"/>
    </w:r>
    <w:r w:rsidR="006577D7">
      <w:rPr>
        <w:noProof/>
      </w:rPr>
      <w:t>2</w:t>
    </w:r>
    <w:r w:rsidRPr="00887AF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064F8B" w14:textId="77777777" w:rsidR="008034D0" w:rsidRDefault="008034D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20DDF" w14:textId="77777777" w:rsidR="006577D7" w:rsidRPr="006577D7" w:rsidRDefault="006577D7" w:rsidP="006577D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AF7A4" w14:textId="03261005" w:rsidR="00B30190" w:rsidRPr="006577D7" w:rsidRDefault="008034D0" w:rsidP="003B0F3D">
    <w:pPr>
      <w:pStyle w:val="Footer"/>
      <w:ind w:left="6804"/>
    </w:pPr>
    <w:sdt>
      <w:sdtPr>
        <w:id w:val="894931249"/>
        <w:docPartObj>
          <w:docPartGallery w:val="Page Numbers (Bottom of Page)"/>
          <w:docPartUnique/>
        </w:docPartObj>
      </w:sdtPr>
      <w:sdtEndPr>
        <w:rPr>
          <w:noProof/>
        </w:rPr>
      </w:sdtEndPr>
      <w:sdtContent>
        <w:r w:rsidR="003B0F3D">
          <w:t>Girls academy evaluation</w:t>
        </w:r>
        <w:r w:rsidR="003B0F3D">
          <w:br/>
          <w:t>summary report</w:t>
        </w:r>
        <w:r w:rsidR="003B0F3D">
          <w:br/>
          <w:t xml:space="preserve">page </w:t>
        </w:r>
        <w:r w:rsidR="003B0F3D">
          <w:fldChar w:fldCharType="begin"/>
        </w:r>
        <w:r w:rsidR="003B0F3D">
          <w:instrText xml:space="preserve"> PAGE   \* MERGEFORMAT </w:instrText>
        </w:r>
        <w:r w:rsidR="003B0F3D">
          <w:fldChar w:fldCharType="separate"/>
        </w:r>
        <w:r>
          <w:rPr>
            <w:noProof/>
          </w:rPr>
          <w:t>19</w:t>
        </w:r>
        <w:r w:rsidR="003B0F3D">
          <w:rPr>
            <w:noProof/>
          </w:rPr>
          <w:fldChar w:fldCharType="end"/>
        </w:r>
      </w:sdtContent>
    </w:sdt>
    <w:r w:rsidR="00F61FF3" w:rsidRPr="00887AF3">
      <w:rPr>
        <w:noProof/>
        <w:lang w:eastAsia="en-AU"/>
      </w:rPr>
      <w:drawing>
        <wp:anchor distT="0" distB="0" distL="114300" distR="114300" simplePos="0" relativeHeight="251697152" behindDoc="1" locked="1" layoutInCell="1" allowOverlap="1" wp14:anchorId="16C30306" wp14:editId="56AC2817">
          <wp:simplePos x="0" y="0"/>
          <wp:positionH relativeFrom="page">
            <wp:align>right</wp:align>
          </wp:positionH>
          <wp:positionV relativeFrom="page">
            <wp:align>bottom</wp:align>
          </wp:positionV>
          <wp:extent cx="3772800" cy="990000"/>
          <wp:effectExtent l="0" t="0" r="0" b="635"/>
          <wp:wrapNone/>
          <wp:docPr id="1" name="Picture 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772800" cy="990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016BD" w14:textId="77777777" w:rsidR="00A725AA" w:rsidRPr="00A725AA" w:rsidRDefault="00A725AA" w:rsidP="00A725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94C50C" w14:textId="77777777" w:rsidR="008C43EC" w:rsidRDefault="008C43EC" w:rsidP="00502842">
      <w:r>
        <w:separator/>
      </w:r>
    </w:p>
  </w:footnote>
  <w:footnote w:type="continuationSeparator" w:id="0">
    <w:p w14:paraId="5DE37862" w14:textId="77777777" w:rsidR="008C43EC" w:rsidRDefault="008C43EC" w:rsidP="005028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28E9C" w14:textId="77777777" w:rsidR="008034D0" w:rsidRDefault="008034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DFADC" w14:textId="77777777" w:rsidR="00A57CC5" w:rsidRPr="00003556" w:rsidRDefault="00A57CC5" w:rsidP="00CF5FF5">
    <w:pPr>
      <w:pStyle w:val="Header"/>
    </w:pPr>
    <w:r>
      <w:rPr>
        <w:noProof/>
        <w:lang w:eastAsia="en-AU"/>
      </w:rPr>
      <w:drawing>
        <wp:anchor distT="0" distB="0" distL="114300" distR="114300" simplePos="0" relativeHeight="251662336" behindDoc="1" locked="0" layoutInCell="1" allowOverlap="0" wp14:anchorId="19A00C5A" wp14:editId="76A75692">
          <wp:simplePos x="0" y="0"/>
          <wp:positionH relativeFrom="page">
            <wp:align>left</wp:align>
          </wp:positionH>
          <wp:positionV relativeFrom="page">
            <wp:posOffset>0</wp:posOffset>
          </wp:positionV>
          <wp:extent cx="7584218" cy="10728000"/>
          <wp:effectExtent l="0" t="0" r="10795" b="0"/>
          <wp:wrapNone/>
          <wp:docPr id="20" name="Placeholder">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laceholder">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4218" cy="107280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254C7B" w14:textId="77777777" w:rsidR="00A57CC5" w:rsidRDefault="00C430DC" w:rsidP="00CF5FF5">
    <w:pPr>
      <w:pStyle w:val="Header"/>
    </w:pPr>
    <w:r>
      <w:rPr>
        <w:noProof/>
        <w:lang w:eastAsia="en-AU"/>
      </w:rPr>
      <w:drawing>
        <wp:anchor distT="0" distB="0" distL="114300" distR="114300" simplePos="0" relativeHeight="251695104" behindDoc="1" locked="1" layoutInCell="1" allowOverlap="1" wp14:anchorId="5AE317A6" wp14:editId="4E71663B">
          <wp:simplePos x="0" y="0"/>
          <wp:positionH relativeFrom="page">
            <wp:align>left</wp:align>
          </wp:positionH>
          <wp:positionV relativeFrom="page">
            <wp:align>top</wp:align>
          </wp:positionV>
          <wp:extent cx="7736400" cy="10940400"/>
          <wp:effectExtent l="0" t="0" r="0" b="0"/>
          <wp:wrapNone/>
          <wp:docPr id="22" name="Front cover imag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ront cover image">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a:stretch>
                    <a:fillRect/>
                  </a:stretch>
                </pic:blipFill>
                <pic:spPr>
                  <a:xfrm>
                    <a:off x="0" y="0"/>
                    <a:ext cx="7736400" cy="10940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AFC9FF" w14:textId="77777777" w:rsidR="006577D7" w:rsidRPr="00D927C8" w:rsidRDefault="006577D7" w:rsidP="00D927C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763961" w14:textId="77777777" w:rsidR="006577D7" w:rsidRDefault="006577D7" w:rsidP="00CF5FF5">
    <w:pPr>
      <w:pStyle w:val="Header"/>
    </w:pPr>
    <w:r>
      <w:rPr>
        <w:noProof/>
        <w:lang w:eastAsia="en-AU"/>
      </w:rPr>
      <w:drawing>
        <wp:anchor distT="0" distB="0" distL="114300" distR="114300" simplePos="0" relativeHeight="251661311" behindDoc="1" locked="0" layoutInCell="1" allowOverlap="0" wp14:anchorId="717C8D52" wp14:editId="0172E600">
          <wp:simplePos x="0" y="0"/>
          <wp:positionH relativeFrom="page">
            <wp:posOffset>0</wp:posOffset>
          </wp:positionH>
          <wp:positionV relativeFrom="page">
            <wp:align>top</wp:align>
          </wp:positionV>
          <wp:extent cx="7734697" cy="10940854"/>
          <wp:effectExtent l="0" t="0" r="12700" b="6985"/>
          <wp:wrapNone/>
          <wp:docPr id="35" name="Picture 3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34697" cy="10940854"/>
                  </a:xfrm>
                  <a:prstGeom prst="rect">
                    <a:avLst/>
                  </a:prstGeom>
                </pic:spPr>
              </pic:pic>
            </a:graphicData>
          </a:graphic>
        </wp:anchor>
      </w:drawing>
    </w:r>
    <w:r>
      <w:rPr>
        <w:noProof/>
        <w:lang w:eastAsia="en-AU"/>
      </w:rPr>
      <w:drawing>
        <wp:anchor distT="0" distB="0" distL="114300" distR="114300" simplePos="0" relativeHeight="251681792" behindDoc="1" locked="0" layoutInCell="1" allowOverlap="0" wp14:anchorId="73FFB455" wp14:editId="2FEE381C">
          <wp:simplePos x="0" y="0"/>
          <wp:positionH relativeFrom="page">
            <wp:posOffset>10160</wp:posOffset>
          </wp:positionH>
          <wp:positionV relativeFrom="page">
            <wp:posOffset>10810240</wp:posOffset>
          </wp:positionV>
          <wp:extent cx="7734300" cy="10940415"/>
          <wp:effectExtent l="0" t="0" r="12700" b="6985"/>
          <wp:wrapNone/>
          <wp:docPr id="36" name="Picture 3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734300" cy="10940415"/>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D0469C" w14:textId="3CBC7A00" w:rsidR="00B30190" w:rsidRPr="00E154B1" w:rsidRDefault="00E154B1" w:rsidP="00E154B1">
    <w:pPr>
      <w:pStyle w:val="Header"/>
      <w:spacing w:before="240"/>
      <w:ind w:left="6804"/>
    </w:pPr>
    <w:r w:rsidRPr="00CF5FF5">
      <w:t>Lirata Consulting</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1DA3D7" w14:textId="77777777" w:rsidR="00887AF3" w:rsidRDefault="00887AF3" w:rsidP="00CF5FF5">
    <w:pPr>
      <w:pStyle w:val="Header"/>
    </w:pPr>
    <w:r>
      <w:rPr>
        <w:noProof/>
        <w:lang w:eastAsia="en-AU"/>
      </w:rPr>
      <w:drawing>
        <wp:anchor distT="0" distB="0" distL="114300" distR="114300" simplePos="0" relativeHeight="251666432" behindDoc="1" locked="0" layoutInCell="1" allowOverlap="0" wp14:anchorId="6225A7B4" wp14:editId="60EB6728">
          <wp:simplePos x="0" y="0"/>
          <wp:positionH relativeFrom="page">
            <wp:posOffset>0</wp:posOffset>
          </wp:positionH>
          <wp:positionV relativeFrom="page">
            <wp:align>top</wp:align>
          </wp:positionV>
          <wp:extent cx="7734697" cy="10940854"/>
          <wp:effectExtent l="0" t="0" r="12700" b="6985"/>
          <wp:wrapNone/>
          <wp:docPr id="3" name="Picture 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34697" cy="10940854"/>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7456" behindDoc="1" locked="0" layoutInCell="1" allowOverlap="0" wp14:anchorId="5BB3D5D0" wp14:editId="41E15ED5">
          <wp:simplePos x="0" y="0"/>
          <wp:positionH relativeFrom="page">
            <wp:posOffset>10160</wp:posOffset>
          </wp:positionH>
          <wp:positionV relativeFrom="page">
            <wp:posOffset>10810240</wp:posOffset>
          </wp:positionV>
          <wp:extent cx="7734300" cy="10940415"/>
          <wp:effectExtent l="0" t="0" r="12700" b="6985"/>
          <wp:wrapNone/>
          <wp:docPr id="5" name="Picture 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734300" cy="10940415"/>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4E7BAA" w14:textId="77777777" w:rsidR="00887AF3" w:rsidRPr="00003556" w:rsidRDefault="00887AF3" w:rsidP="00CF5FF5">
    <w:pPr>
      <w:pStyle w:val="Header"/>
    </w:pPr>
    <w:r>
      <w:rPr>
        <w:noProof/>
        <w:lang w:eastAsia="en-AU"/>
      </w:rPr>
      <w:drawing>
        <wp:anchor distT="0" distB="0" distL="114300" distR="114300" simplePos="0" relativeHeight="251664384" behindDoc="1" locked="0" layoutInCell="1" allowOverlap="0" wp14:anchorId="34989494" wp14:editId="4C98BDCA">
          <wp:simplePos x="0" y="0"/>
          <wp:positionH relativeFrom="page">
            <wp:align>left</wp:align>
          </wp:positionH>
          <wp:positionV relativeFrom="page">
            <wp:align>top</wp:align>
          </wp:positionV>
          <wp:extent cx="7584218" cy="10728000"/>
          <wp:effectExtent l="0" t="0" r="0" b="0"/>
          <wp:wrapNone/>
          <wp:docPr id="4" name="Back cover image">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 cover image">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4218" cy="107280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19AC07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7426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E8AA2E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3008CD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D42B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A96EE1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442DF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1EA44B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186E1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ED4CB6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5561E7"/>
    <w:multiLevelType w:val="hybridMultilevel"/>
    <w:tmpl w:val="3670C92E"/>
    <w:lvl w:ilvl="0" w:tplc="63D69CFC">
      <w:numFmt w:val="bullet"/>
      <w:lvlText w:val="•"/>
      <w:lvlJc w:val="left"/>
      <w:pPr>
        <w:ind w:left="720" w:hanging="360"/>
      </w:pPr>
      <w:rPr>
        <w:rFonts w:ascii="ArialMT" w:eastAsia="Calibri" w:hAnsi="ArialMT" w:cs="ArialM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1F544C4"/>
    <w:multiLevelType w:val="hybridMultilevel"/>
    <w:tmpl w:val="742C4FAE"/>
    <w:lvl w:ilvl="0" w:tplc="F2D6B79A">
      <w:start w:val="1"/>
      <w:numFmt w:val="decimal"/>
      <w:pStyle w:val="Recommendationtext"/>
      <w:lvlText w:val="%1."/>
      <w:lvlJc w:val="left"/>
      <w:pPr>
        <w:ind w:left="644" w:hanging="360"/>
      </w:pPr>
    </w:lvl>
    <w:lvl w:ilvl="1" w:tplc="0C090019">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2" w15:restartNumberingAfterBreak="0">
    <w:nsid w:val="04E44987"/>
    <w:multiLevelType w:val="hybridMultilevel"/>
    <w:tmpl w:val="FEF46DAE"/>
    <w:lvl w:ilvl="0" w:tplc="DF684DC2">
      <w:start w:val="1"/>
      <w:numFmt w:val="bullet"/>
      <w:lvlText w:val=""/>
      <w:lvlJc w:val="left"/>
      <w:pPr>
        <w:ind w:left="720" w:hanging="360"/>
      </w:pPr>
      <w:rPr>
        <w:rFonts w:ascii="Symbol" w:eastAsia="Calibri" w:hAnsi="Symbol" w:cs="ArialM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BDF0B85"/>
    <w:multiLevelType w:val="multilevel"/>
    <w:tmpl w:val="38243560"/>
    <w:lvl w:ilvl="0">
      <w:start w:val="1"/>
      <w:numFmt w:val="decimal"/>
      <w:pStyle w:val="NumberedHeading1"/>
      <w:lvlText w:val="%1"/>
      <w:lvlJc w:val="left"/>
      <w:pPr>
        <w:ind w:left="737" w:hanging="737"/>
      </w:pPr>
      <w:rPr>
        <w:rFonts w:hint="default"/>
      </w:rPr>
    </w:lvl>
    <w:lvl w:ilvl="1">
      <w:start w:val="1"/>
      <w:numFmt w:val="decimal"/>
      <w:pStyle w:val="NumberedHeading2"/>
      <w:lvlText w:val="%1.%2"/>
      <w:lvlJc w:val="left"/>
      <w:pPr>
        <w:ind w:left="737" w:hanging="737"/>
      </w:pPr>
      <w:rPr>
        <w:rFonts w:hint="default"/>
      </w:rPr>
    </w:lvl>
    <w:lvl w:ilvl="2">
      <w:start w:val="1"/>
      <w:numFmt w:val="decimal"/>
      <w:pStyle w:val="NumberedHeading3"/>
      <w:lvlText w:val="%1.%2.%3"/>
      <w:lvlJc w:val="left"/>
      <w:pPr>
        <w:ind w:left="737" w:hanging="737"/>
      </w:pPr>
      <w:rPr>
        <w:rFonts w:hint="default"/>
      </w:rPr>
    </w:lvl>
    <w:lvl w:ilvl="3">
      <w:start w:val="1"/>
      <w:numFmt w:val="decimal"/>
      <w:lvlText w:val="(%4)"/>
      <w:lvlJc w:val="left"/>
      <w:pPr>
        <w:ind w:left="737" w:hanging="737"/>
      </w:pPr>
      <w:rPr>
        <w:rFonts w:hint="default"/>
      </w:rPr>
    </w:lvl>
    <w:lvl w:ilvl="4">
      <w:start w:val="1"/>
      <w:numFmt w:val="lowerLetter"/>
      <w:lvlText w:val="(%5)"/>
      <w:lvlJc w:val="left"/>
      <w:pPr>
        <w:ind w:left="737" w:hanging="737"/>
      </w:pPr>
      <w:rPr>
        <w:rFonts w:hint="default"/>
      </w:rPr>
    </w:lvl>
    <w:lvl w:ilvl="5">
      <w:start w:val="1"/>
      <w:numFmt w:val="lowerRoman"/>
      <w:lvlText w:val="(%6)"/>
      <w:lvlJc w:val="left"/>
      <w:pPr>
        <w:ind w:left="737" w:hanging="737"/>
      </w:pPr>
      <w:rPr>
        <w:rFonts w:hint="default"/>
      </w:rPr>
    </w:lvl>
    <w:lvl w:ilvl="6">
      <w:start w:val="1"/>
      <w:numFmt w:val="decimal"/>
      <w:lvlText w:val="%7."/>
      <w:lvlJc w:val="left"/>
      <w:pPr>
        <w:ind w:left="737" w:hanging="737"/>
      </w:pPr>
      <w:rPr>
        <w:rFonts w:hint="default"/>
      </w:rPr>
    </w:lvl>
    <w:lvl w:ilvl="7">
      <w:start w:val="1"/>
      <w:numFmt w:val="lowerLetter"/>
      <w:lvlText w:val="%8."/>
      <w:lvlJc w:val="left"/>
      <w:pPr>
        <w:ind w:left="737" w:hanging="737"/>
      </w:pPr>
      <w:rPr>
        <w:rFonts w:hint="default"/>
      </w:rPr>
    </w:lvl>
    <w:lvl w:ilvl="8">
      <w:start w:val="1"/>
      <w:numFmt w:val="lowerRoman"/>
      <w:lvlText w:val="%9."/>
      <w:lvlJc w:val="left"/>
      <w:pPr>
        <w:ind w:left="737" w:hanging="737"/>
      </w:pPr>
      <w:rPr>
        <w:rFonts w:hint="default"/>
      </w:rPr>
    </w:lvl>
  </w:abstractNum>
  <w:abstractNum w:abstractNumId="14" w15:restartNumberingAfterBreak="0">
    <w:nsid w:val="119B085E"/>
    <w:multiLevelType w:val="hybridMultilevel"/>
    <w:tmpl w:val="3B28E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0655C4"/>
    <w:multiLevelType w:val="hybridMultilevel"/>
    <w:tmpl w:val="574A1A48"/>
    <w:lvl w:ilvl="0" w:tplc="7D0CBC4E">
      <w:start w:val="1"/>
      <w:numFmt w:val="decimal"/>
      <w:pStyle w:val="NumberBulletLevel1"/>
      <w:lvlText w:val="%1."/>
      <w:lvlJc w:val="left"/>
      <w:pPr>
        <w:ind w:left="720" w:hanging="360"/>
      </w:pPr>
    </w:lvl>
    <w:lvl w:ilvl="1" w:tplc="7DC42648">
      <w:start w:val="1"/>
      <w:numFmt w:val="lowerLetter"/>
      <w:pStyle w:val="NumberBulletLevel2"/>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CB61988"/>
    <w:multiLevelType w:val="hybridMultilevel"/>
    <w:tmpl w:val="7CB6CE12"/>
    <w:lvl w:ilvl="0" w:tplc="29B2F326">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2FB36E0"/>
    <w:multiLevelType w:val="hybridMultilevel"/>
    <w:tmpl w:val="ECD670F8"/>
    <w:lvl w:ilvl="0" w:tplc="DF684DC2">
      <w:start w:val="1"/>
      <w:numFmt w:val="bullet"/>
      <w:lvlText w:val=""/>
      <w:lvlJc w:val="left"/>
      <w:pPr>
        <w:ind w:left="720" w:hanging="360"/>
      </w:pPr>
      <w:rPr>
        <w:rFonts w:ascii="Symbol" w:eastAsia="Calibri" w:hAnsi="Symbol" w:cs="ArialM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5031A0C"/>
    <w:multiLevelType w:val="hybridMultilevel"/>
    <w:tmpl w:val="9BA0D51E"/>
    <w:lvl w:ilvl="0" w:tplc="4E463B00">
      <w:start w:val="1"/>
      <w:numFmt w:val="bullet"/>
      <w:pStyle w:val="TableBulletLevel1"/>
      <w:lvlText w:val=""/>
      <w:lvlJc w:val="left"/>
      <w:pPr>
        <w:ind w:left="720" w:hanging="360"/>
      </w:pPr>
      <w:rPr>
        <w:rFonts w:ascii="Symbol" w:hAnsi="Symbol" w:hint="default"/>
      </w:rPr>
    </w:lvl>
    <w:lvl w:ilvl="1" w:tplc="989C34F8">
      <w:start w:val="1"/>
      <w:numFmt w:val="bullet"/>
      <w:pStyle w:val="TableBulletLevel2"/>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77A3B22"/>
    <w:multiLevelType w:val="hybridMultilevel"/>
    <w:tmpl w:val="CCE4BFC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955501E"/>
    <w:multiLevelType w:val="hybridMultilevel"/>
    <w:tmpl w:val="AD262BA0"/>
    <w:lvl w:ilvl="0" w:tplc="DF684DC2">
      <w:start w:val="1"/>
      <w:numFmt w:val="bullet"/>
      <w:lvlText w:val=""/>
      <w:lvlJc w:val="left"/>
      <w:pPr>
        <w:ind w:left="720" w:hanging="360"/>
      </w:pPr>
      <w:rPr>
        <w:rFonts w:ascii="Symbol" w:eastAsia="Calibri" w:hAnsi="Symbol" w:cs="ArialM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B9B5E64"/>
    <w:multiLevelType w:val="hybridMultilevel"/>
    <w:tmpl w:val="C0FAB868"/>
    <w:lvl w:ilvl="0" w:tplc="2EAE4976">
      <w:start w:val="1"/>
      <w:numFmt w:val="bullet"/>
      <w:lvlText w:val=""/>
      <w:lvlJc w:val="left"/>
      <w:pPr>
        <w:ind w:left="720" w:hanging="360"/>
      </w:pPr>
      <w:rPr>
        <w:rFonts w:ascii="Symbol" w:eastAsia="Calibri" w:hAnsi="Symbol" w:cs="ArialMT"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1AB0A7B"/>
    <w:multiLevelType w:val="hybridMultilevel"/>
    <w:tmpl w:val="2D36BC9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3F01E83"/>
    <w:multiLevelType w:val="hybridMultilevel"/>
    <w:tmpl w:val="7D047AB0"/>
    <w:lvl w:ilvl="0" w:tplc="DF684DC2">
      <w:start w:val="1"/>
      <w:numFmt w:val="bullet"/>
      <w:lvlText w:val=""/>
      <w:lvlJc w:val="left"/>
      <w:pPr>
        <w:ind w:left="720" w:hanging="360"/>
      </w:pPr>
      <w:rPr>
        <w:rFonts w:ascii="Symbol" w:eastAsia="Calibri" w:hAnsi="Symbol" w:cs="ArialM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38E266A"/>
    <w:multiLevelType w:val="hybridMultilevel"/>
    <w:tmpl w:val="C7745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39B04F0"/>
    <w:multiLevelType w:val="hybridMultilevel"/>
    <w:tmpl w:val="8E4A3364"/>
    <w:lvl w:ilvl="0" w:tplc="38ACA65C">
      <w:start w:val="1"/>
      <w:numFmt w:val="bullet"/>
      <w:pStyle w:val="BulletLevel1"/>
      <w:lvlText w:val=""/>
      <w:lvlJc w:val="left"/>
      <w:pPr>
        <w:ind w:left="720" w:hanging="360"/>
      </w:pPr>
      <w:rPr>
        <w:rFonts w:ascii="Symbol" w:hAnsi="Symbol" w:hint="default"/>
      </w:rPr>
    </w:lvl>
    <w:lvl w:ilvl="1" w:tplc="DEA635C0">
      <w:start w:val="1"/>
      <w:numFmt w:val="bullet"/>
      <w:pStyle w:val="BulletLevel2"/>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BD02273"/>
    <w:multiLevelType w:val="hybridMultilevel"/>
    <w:tmpl w:val="B53062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4"/>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0"/>
  </w:num>
  <w:num w:numId="14">
    <w:abstractNumId w:val="10"/>
  </w:num>
  <w:num w:numId="15">
    <w:abstractNumId w:val="10"/>
  </w:num>
  <w:num w:numId="16">
    <w:abstractNumId w:val="10"/>
  </w:num>
  <w:num w:numId="17">
    <w:abstractNumId w:val="25"/>
  </w:num>
  <w:num w:numId="18">
    <w:abstractNumId w:val="15"/>
  </w:num>
  <w:num w:numId="19">
    <w:abstractNumId w:val="18"/>
  </w:num>
  <w:num w:numId="20">
    <w:abstractNumId w:val="13"/>
  </w:num>
  <w:num w:numId="21">
    <w:abstractNumId w:val="16"/>
  </w:num>
  <w:num w:numId="22">
    <w:abstractNumId w:val="11"/>
  </w:num>
  <w:num w:numId="23">
    <w:abstractNumId w:val="11"/>
    <w:lvlOverride w:ilvl="0">
      <w:startOverride w:val="1"/>
    </w:lvlOverride>
  </w:num>
  <w:num w:numId="24">
    <w:abstractNumId w:val="22"/>
  </w:num>
  <w:num w:numId="25">
    <w:abstractNumId w:val="21"/>
  </w:num>
  <w:num w:numId="26">
    <w:abstractNumId w:val="23"/>
  </w:num>
  <w:num w:numId="27">
    <w:abstractNumId w:val="12"/>
  </w:num>
  <w:num w:numId="28">
    <w:abstractNumId w:val="20"/>
  </w:num>
  <w:num w:numId="29">
    <w:abstractNumId w:val="17"/>
  </w:num>
  <w:num w:numId="30">
    <w:abstractNumId w:val="14"/>
  </w:num>
  <w:num w:numId="31">
    <w:abstractNumId w:val="19"/>
  </w:num>
  <w:num w:numId="32">
    <w:abstractNumId w:val="26"/>
  </w:num>
  <w:num w:numId="33">
    <w:abstractNumId w:val="15"/>
    <w:lvlOverride w:ilvl="0">
      <w:startOverride w:val="1"/>
    </w:lvlOverride>
  </w:num>
  <w:num w:numId="34">
    <w:abstractNumId w:val="15"/>
    <w:lvlOverride w:ilvl="0">
      <w:startOverride w:val="1"/>
    </w:lvlOverride>
  </w:num>
  <w:num w:numId="35">
    <w:abstractNumId w:val="15"/>
    <w:lvlOverride w:ilvl="0">
      <w:startOverride w:val="1"/>
    </w:lvlOverride>
  </w:num>
  <w:num w:numId="36">
    <w:abstractNumId w:val="15"/>
    <w:lvlOverride w:ilvl="0">
      <w:startOverride w:val="1"/>
    </w:lvlOverride>
  </w:num>
  <w:num w:numId="37">
    <w:abstractNumId w:val="1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7"/>
  <w:removePersonalInformation/>
  <w:removeDateAndTime/>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33F2"/>
    <w:rsid w:val="00003556"/>
    <w:rsid w:val="0001638B"/>
    <w:rsid w:val="00016935"/>
    <w:rsid w:val="00021D2B"/>
    <w:rsid w:val="000333F5"/>
    <w:rsid w:val="000360D6"/>
    <w:rsid w:val="00043C89"/>
    <w:rsid w:val="00052F9D"/>
    <w:rsid w:val="00054736"/>
    <w:rsid w:val="000566B9"/>
    <w:rsid w:val="00057968"/>
    <w:rsid w:val="00066106"/>
    <w:rsid w:val="000938FC"/>
    <w:rsid w:val="0009473C"/>
    <w:rsid w:val="00097DE2"/>
    <w:rsid w:val="000A28BE"/>
    <w:rsid w:val="000B3380"/>
    <w:rsid w:val="000C148A"/>
    <w:rsid w:val="000C35FC"/>
    <w:rsid w:val="000E22D0"/>
    <w:rsid w:val="000E2401"/>
    <w:rsid w:val="000F09DF"/>
    <w:rsid w:val="000F4260"/>
    <w:rsid w:val="000F7D83"/>
    <w:rsid w:val="00105954"/>
    <w:rsid w:val="00105EBC"/>
    <w:rsid w:val="001101BE"/>
    <w:rsid w:val="00110D00"/>
    <w:rsid w:val="0011309B"/>
    <w:rsid w:val="00114543"/>
    <w:rsid w:val="001214E8"/>
    <w:rsid w:val="00124F58"/>
    <w:rsid w:val="00130497"/>
    <w:rsid w:val="00135EDD"/>
    <w:rsid w:val="00137EB4"/>
    <w:rsid w:val="00165561"/>
    <w:rsid w:val="001704A0"/>
    <w:rsid w:val="0019366F"/>
    <w:rsid w:val="00195BD1"/>
    <w:rsid w:val="001C5D82"/>
    <w:rsid w:val="001D4CBF"/>
    <w:rsid w:val="00211DE9"/>
    <w:rsid w:val="0021548F"/>
    <w:rsid w:val="002236DD"/>
    <w:rsid w:val="00231864"/>
    <w:rsid w:val="00231A45"/>
    <w:rsid w:val="00235DBD"/>
    <w:rsid w:val="002406D7"/>
    <w:rsid w:val="00250B88"/>
    <w:rsid w:val="0026168D"/>
    <w:rsid w:val="00262DCB"/>
    <w:rsid w:val="00266B1B"/>
    <w:rsid w:val="00274222"/>
    <w:rsid w:val="00282C33"/>
    <w:rsid w:val="00286480"/>
    <w:rsid w:val="00290F72"/>
    <w:rsid w:val="00291D1E"/>
    <w:rsid w:val="00292421"/>
    <w:rsid w:val="0029662C"/>
    <w:rsid w:val="00297B22"/>
    <w:rsid w:val="002A208A"/>
    <w:rsid w:val="002B1C16"/>
    <w:rsid w:val="002C33DF"/>
    <w:rsid w:val="002C562E"/>
    <w:rsid w:val="002D3CBE"/>
    <w:rsid w:val="002E4DCA"/>
    <w:rsid w:val="002E5DB3"/>
    <w:rsid w:val="002E6989"/>
    <w:rsid w:val="002E7FC1"/>
    <w:rsid w:val="002F7AED"/>
    <w:rsid w:val="002F7FF4"/>
    <w:rsid w:val="00300ED9"/>
    <w:rsid w:val="0030261F"/>
    <w:rsid w:val="00304A88"/>
    <w:rsid w:val="0031737D"/>
    <w:rsid w:val="00317CC6"/>
    <w:rsid w:val="003221A0"/>
    <w:rsid w:val="00336A80"/>
    <w:rsid w:val="00363C6B"/>
    <w:rsid w:val="0037326A"/>
    <w:rsid w:val="00397770"/>
    <w:rsid w:val="003A2FAA"/>
    <w:rsid w:val="003A5E64"/>
    <w:rsid w:val="003B0F3D"/>
    <w:rsid w:val="003B5E18"/>
    <w:rsid w:val="003B78B7"/>
    <w:rsid w:val="003C4E82"/>
    <w:rsid w:val="003C593B"/>
    <w:rsid w:val="003D17AD"/>
    <w:rsid w:val="003D7094"/>
    <w:rsid w:val="003F3DD4"/>
    <w:rsid w:val="00410229"/>
    <w:rsid w:val="0041110C"/>
    <w:rsid w:val="004223FE"/>
    <w:rsid w:val="004253AA"/>
    <w:rsid w:val="0042643D"/>
    <w:rsid w:val="0043190C"/>
    <w:rsid w:val="00431D87"/>
    <w:rsid w:val="00442532"/>
    <w:rsid w:val="00446097"/>
    <w:rsid w:val="00447A76"/>
    <w:rsid w:val="004506B0"/>
    <w:rsid w:val="00451D7C"/>
    <w:rsid w:val="00464ED5"/>
    <w:rsid w:val="00464F23"/>
    <w:rsid w:val="00465F42"/>
    <w:rsid w:val="00466C5C"/>
    <w:rsid w:val="0047357F"/>
    <w:rsid w:val="004769C1"/>
    <w:rsid w:val="0048509C"/>
    <w:rsid w:val="004A347A"/>
    <w:rsid w:val="004A3C50"/>
    <w:rsid w:val="004D260D"/>
    <w:rsid w:val="004D573B"/>
    <w:rsid w:val="004E4854"/>
    <w:rsid w:val="004E7AA1"/>
    <w:rsid w:val="004F0412"/>
    <w:rsid w:val="004F5135"/>
    <w:rsid w:val="004F5368"/>
    <w:rsid w:val="00502842"/>
    <w:rsid w:val="005029EF"/>
    <w:rsid w:val="00502E09"/>
    <w:rsid w:val="00512729"/>
    <w:rsid w:val="005273AA"/>
    <w:rsid w:val="00535001"/>
    <w:rsid w:val="005378E8"/>
    <w:rsid w:val="00543E9A"/>
    <w:rsid w:val="00552E81"/>
    <w:rsid w:val="00560A75"/>
    <w:rsid w:val="00580081"/>
    <w:rsid w:val="005917D1"/>
    <w:rsid w:val="00593C8F"/>
    <w:rsid w:val="0059678B"/>
    <w:rsid w:val="00597606"/>
    <w:rsid w:val="005A4B90"/>
    <w:rsid w:val="005B0A5F"/>
    <w:rsid w:val="005B33F2"/>
    <w:rsid w:val="005C15AB"/>
    <w:rsid w:val="005E3F9D"/>
    <w:rsid w:val="005F220A"/>
    <w:rsid w:val="005F5266"/>
    <w:rsid w:val="00601215"/>
    <w:rsid w:val="006025CB"/>
    <w:rsid w:val="00603695"/>
    <w:rsid w:val="00606D84"/>
    <w:rsid w:val="00615DF3"/>
    <w:rsid w:val="006257C5"/>
    <w:rsid w:val="00625CE2"/>
    <w:rsid w:val="00627F6E"/>
    <w:rsid w:val="00635A44"/>
    <w:rsid w:val="00636D12"/>
    <w:rsid w:val="00637CAA"/>
    <w:rsid w:val="0064048E"/>
    <w:rsid w:val="00640B41"/>
    <w:rsid w:val="006412ED"/>
    <w:rsid w:val="006431C8"/>
    <w:rsid w:val="006537A1"/>
    <w:rsid w:val="006577D7"/>
    <w:rsid w:val="0067300A"/>
    <w:rsid w:val="0069010C"/>
    <w:rsid w:val="00695F40"/>
    <w:rsid w:val="00695FDC"/>
    <w:rsid w:val="006A5C68"/>
    <w:rsid w:val="006A7C09"/>
    <w:rsid w:val="006B1CC6"/>
    <w:rsid w:val="006B2F35"/>
    <w:rsid w:val="006B6649"/>
    <w:rsid w:val="006B7813"/>
    <w:rsid w:val="006C7098"/>
    <w:rsid w:val="006E3C1F"/>
    <w:rsid w:val="006F198A"/>
    <w:rsid w:val="006F1E5A"/>
    <w:rsid w:val="006F3A26"/>
    <w:rsid w:val="006F7B80"/>
    <w:rsid w:val="00706A75"/>
    <w:rsid w:val="00726433"/>
    <w:rsid w:val="00726681"/>
    <w:rsid w:val="00731DF8"/>
    <w:rsid w:val="00746D09"/>
    <w:rsid w:val="0075225D"/>
    <w:rsid w:val="00752444"/>
    <w:rsid w:val="00754EDB"/>
    <w:rsid w:val="00761032"/>
    <w:rsid w:val="00761CF9"/>
    <w:rsid w:val="00777A4F"/>
    <w:rsid w:val="007807E2"/>
    <w:rsid w:val="00783DB7"/>
    <w:rsid w:val="00785577"/>
    <w:rsid w:val="007861AD"/>
    <w:rsid w:val="00790C44"/>
    <w:rsid w:val="00791A81"/>
    <w:rsid w:val="007A49FD"/>
    <w:rsid w:val="007B1D01"/>
    <w:rsid w:val="007C074A"/>
    <w:rsid w:val="007C0F2F"/>
    <w:rsid w:val="007D25DE"/>
    <w:rsid w:val="007D4522"/>
    <w:rsid w:val="007D4F8D"/>
    <w:rsid w:val="007E236F"/>
    <w:rsid w:val="007F09F4"/>
    <w:rsid w:val="007F1923"/>
    <w:rsid w:val="007F1CE6"/>
    <w:rsid w:val="007F64CA"/>
    <w:rsid w:val="007F75D8"/>
    <w:rsid w:val="008034D0"/>
    <w:rsid w:val="00804345"/>
    <w:rsid w:val="00804CFA"/>
    <w:rsid w:val="00810CF9"/>
    <w:rsid w:val="00821E8A"/>
    <w:rsid w:val="0083151E"/>
    <w:rsid w:val="008330BE"/>
    <w:rsid w:val="00840548"/>
    <w:rsid w:val="00847460"/>
    <w:rsid w:val="00853160"/>
    <w:rsid w:val="00855AB4"/>
    <w:rsid w:val="0086538B"/>
    <w:rsid w:val="00872E7D"/>
    <w:rsid w:val="00887AF3"/>
    <w:rsid w:val="00895797"/>
    <w:rsid w:val="00895A04"/>
    <w:rsid w:val="008B0B66"/>
    <w:rsid w:val="008C3150"/>
    <w:rsid w:val="008C33CD"/>
    <w:rsid w:val="008C3B2B"/>
    <w:rsid w:val="008C43EC"/>
    <w:rsid w:val="008E68B4"/>
    <w:rsid w:val="008E6A41"/>
    <w:rsid w:val="00905C73"/>
    <w:rsid w:val="00907AED"/>
    <w:rsid w:val="009159B3"/>
    <w:rsid w:val="00921448"/>
    <w:rsid w:val="00922506"/>
    <w:rsid w:val="0092515F"/>
    <w:rsid w:val="00925BA1"/>
    <w:rsid w:val="00934BC6"/>
    <w:rsid w:val="00936D0B"/>
    <w:rsid w:val="00947C35"/>
    <w:rsid w:val="00950B4D"/>
    <w:rsid w:val="00955380"/>
    <w:rsid w:val="0097299C"/>
    <w:rsid w:val="0097435D"/>
    <w:rsid w:val="00976192"/>
    <w:rsid w:val="009A65DA"/>
    <w:rsid w:val="009B70E2"/>
    <w:rsid w:val="009C52B8"/>
    <w:rsid w:val="009D2592"/>
    <w:rsid w:val="009D35E1"/>
    <w:rsid w:val="009F0BB6"/>
    <w:rsid w:val="009F1033"/>
    <w:rsid w:val="009F25D3"/>
    <w:rsid w:val="009F3570"/>
    <w:rsid w:val="00A109B5"/>
    <w:rsid w:val="00A16389"/>
    <w:rsid w:val="00A21640"/>
    <w:rsid w:val="00A24CAE"/>
    <w:rsid w:val="00A32601"/>
    <w:rsid w:val="00A33518"/>
    <w:rsid w:val="00A41C92"/>
    <w:rsid w:val="00A4387F"/>
    <w:rsid w:val="00A50FE0"/>
    <w:rsid w:val="00A51CAE"/>
    <w:rsid w:val="00A57CC5"/>
    <w:rsid w:val="00A63319"/>
    <w:rsid w:val="00A6488D"/>
    <w:rsid w:val="00A664BD"/>
    <w:rsid w:val="00A718EE"/>
    <w:rsid w:val="00A725AA"/>
    <w:rsid w:val="00A75E6F"/>
    <w:rsid w:val="00A77D54"/>
    <w:rsid w:val="00A83569"/>
    <w:rsid w:val="00AA3CAE"/>
    <w:rsid w:val="00AA6B41"/>
    <w:rsid w:val="00AB29A9"/>
    <w:rsid w:val="00AB54E5"/>
    <w:rsid w:val="00AC25D4"/>
    <w:rsid w:val="00AC2FCF"/>
    <w:rsid w:val="00AC7413"/>
    <w:rsid w:val="00AE0945"/>
    <w:rsid w:val="00B06DAA"/>
    <w:rsid w:val="00B1065E"/>
    <w:rsid w:val="00B109E9"/>
    <w:rsid w:val="00B14B6A"/>
    <w:rsid w:val="00B1672C"/>
    <w:rsid w:val="00B21A31"/>
    <w:rsid w:val="00B23F2C"/>
    <w:rsid w:val="00B30190"/>
    <w:rsid w:val="00B35796"/>
    <w:rsid w:val="00B41A1F"/>
    <w:rsid w:val="00B50457"/>
    <w:rsid w:val="00B50A0F"/>
    <w:rsid w:val="00B73446"/>
    <w:rsid w:val="00B91D02"/>
    <w:rsid w:val="00B94E70"/>
    <w:rsid w:val="00BA476F"/>
    <w:rsid w:val="00BC44F8"/>
    <w:rsid w:val="00BD0F57"/>
    <w:rsid w:val="00BE7C68"/>
    <w:rsid w:val="00BF361B"/>
    <w:rsid w:val="00C04DB4"/>
    <w:rsid w:val="00C355F8"/>
    <w:rsid w:val="00C4141B"/>
    <w:rsid w:val="00C41A48"/>
    <w:rsid w:val="00C41A60"/>
    <w:rsid w:val="00C430DC"/>
    <w:rsid w:val="00C50F52"/>
    <w:rsid w:val="00C50FB5"/>
    <w:rsid w:val="00C61BB7"/>
    <w:rsid w:val="00C77DCE"/>
    <w:rsid w:val="00C82818"/>
    <w:rsid w:val="00CA136B"/>
    <w:rsid w:val="00CA1B81"/>
    <w:rsid w:val="00CA2F3C"/>
    <w:rsid w:val="00CA49F3"/>
    <w:rsid w:val="00CA4A27"/>
    <w:rsid w:val="00CC04C6"/>
    <w:rsid w:val="00CC54FC"/>
    <w:rsid w:val="00CC5E11"/>
    <w:rsid w:val="00CE02FF"/>
    <w:rsid w:val="00CF5FF5"/>
    <w:rsid w:val="00D141B9"/>
    <w:rsid w:val="00D233F9"/>
    <w:rsid w:val="00D25C07"/>
    <w:rsid w:val="00D26B02"/>
    <w:rsid w:val="00D44AD3"/>
    <w:rsid w:val="00D51425"/>
    <w:rsid w:val="00D52C5E"/>
    <w:rsid w:val="00D56E0E"/>
    <w:rsid w:val="00D64D05"/>
    <w:rsid w:val="00D81E09"/>
    <w:rsid w:val="00D85459"/>
    <w:rsid w:val="00D87AD1"/>
    <w:rsid w:val="00D93C88"/>
    <w:rsid w:val="00DB2D7D"/>
    <w:rsid w:val="00DB429F"/>
    <w:rsid w:val="00DF0FA6"/>
    <w:rsid w:val="00E00C35"/>
    <w:rsid w:val="00E027D7"/>
    <w:rsid w:val="00E04983"/>
    <w:rsid w:val="00E11DB9"/>
    <w:rsid w:val="00E137C6"/>
    <w:rsid w:val="00E154B1"/>
    <w:rsid w:val="00E219A4"/>
    <w:rsid w:val="00E24E47"/>
    <w:rsid w:val="00E40168"/>
    <w:rsid w:val="00E441AF"/>
    <w:rsid w:val="00E47230"/>
    <w:rsid w:val="00E47FAC"/>
    <w:rsid w:val="00E56750"/>
    <w:rsid w:val="00E61D37"/>
    <w:rsid w:val="00E631EE"/>
    <w:rsid w:val="00E64F17"/>
    <w:rsid w:val="00E70677"/>
    <w:rsid w:val="00E74848"/>
    <w:rsid w:val="00E83346"/>
    <w:rsid w:val="00E864BA"/>
    <w:rsid w:val="00E94F2A"/>
    <w:rsid w:val="00E958D4"/>
    <w:rsid w:val="00EA2945"/>
    <w:rsid w:val="00EC5FE3"/>
    <w:rsid w:val="00EC7CCB"/>
    <w:rsid w:val="00ED03C6"/>
    <w:rsid w:val="00ED661E"/>
    <w:rsid w:val="00EE5BED"/>
    <w:rsid w:val="00F01A8E"/>
    <w:rsid w:val="00F0337A"/>
    <w:rsid w:val="00F03B5B"/>
    <w:rsid w:val="00F04439"/>
    <w:rsid w:val="00F126D6"/>
    <w:rsid w:val="00F255FD"/>
    <w:rsid w:val="00F31853"/>
    <w:rsid w:val="00F42A78"/>
    <w:rsid w:val="00F47FDD"/>
    <w:rsid w:val="00F52E07"/>
    <w:rsid w:val="00F61FF3"/>
    <w:rsid w:val="00F62E43"/>
    <w:rsid w:val="00F675D7"/>
    <w:rsid w:val="00F970A5"/>
    <w:rsid w:val="00FA3F7C"/>
    <w:rsid w:val="00FA5E45"/>
    <w:rsid w:val="00FB2E98"/>
    <w:rsid w:val="00FC209C"/>
    <w:rsid w:val="00FE38D5"/>
    <w:rsid w:val="00FE4C08"/>
    <w:rsid w:val="00FF4065"/>
    <w:rsid w:val="00FF7F4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EC7C346"/>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semiHidden="1" w:qFormat="1"/>
    <w:lsdException w:name="FollowedHyperlink" w:semiHidden="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8"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6A75"/>
    <w:pPr>
      <w:autoSpaceDE w:val="0"/>
      <w:autoSpaceDN w:val="0"/>
      <w:adjustRightInd w:val="0"/>
      <w:spacing w:after="200" w:line="264" w:lineRule="auto"/>
    </w:pPr>
    <w:rPr>
      <w:rFonts w:ascii="Calibri" w:hAnsi="Calibri" w:cs="ArialMT"/>
      <w:sz w:val="22"/>
      <w:szCs w:val="18"/>
    </w:rPr>
  </w:style>
  <w:style w:type="paragraph" w:styleId="Heading1">
    <w:name w:val="heading 1"/>
    <w:basedOn w:val="Normal"/>
    <w:next w:val="Normal"/>
    <w:link w:val="Heading1Char"/>
    <w:autoRedefine/>
    <w:uiPriority w:val="2"/>
    <w:qFormat/>
    <w:rsid w:val="00921448"/>
    <w:pPr>
      <w:keepNext/>
      <w:keepLines/>
      <w:autoSpaceDE/>
      <w:autoSpaceDN/>
      <w:adjustRightInd/>
      <w:spacing w:before="480" w:line="240" w:lineRule="auto"/>
      <w:outlineLvl w:val="0"/>
    </w:pPr>
    <w:rPr>
      <w:rFonts w:ascii="Arial" w:eastAsiaTheme="majorEastAsia" w:hAnsi="Arial" w:cstheme="majorBidi"/>
      <w:bCs/>
      <w:caps/>
      <w:color w:val="365F91" w:themeColor="accent1" w:themeShade="BF"/>
      <w:sz w:val="40"/>
      <w:szCs w:val="28"/>
      <w:lang w:eastAsia="en-AU"/>
    </w:rPr>
  </w:style>
  <w:style w:type="paragraph" w:styleId="Heading2">
    <w:name w:val="heading 2"/>
    <w:basedOn w:val="Heading1"/>
    <w:next w:val="Normal"/>
    <w:link w:val="Heading2Char"/>
    <w:uiPriority w:val="2"/>
    <w:unhideWhenUsed/>
    <w:qFormat/>
    <w:rsid w:val="00921448"/>
    <w:pPr>
      <w:pBdr>
        <w:bottom w:val="single" w:sz="4" w:space="1" w:color="365F91" w:themeColor="accent1" w:themeShade="BF"/>
      </w:pBdr>
      <w:spacing w:before="360" w:after="120"/>
      <w:outlineLvl w:val="1"/>
    </w:pPr>
    <w:rPr>
      <w:rFonts w:cs="Arial"/>
      <w:bCs w:val="0"/>
      <w:iCs/>
      <w:caps w:val="0"/>
      <w:sz w:val="32"/>
    </w:rPr>
  </w:style>
  <w:style w:type="paragraph" w:styleId="Heading3">
    <w:name w:val="heading 3"/>
    <w:basedOn w:val="Heading2"/>
    <w:next w:val="Normal"/>
    <w:link w:val="Heading3Char"/>
    <w:uiPriority w:val="2"/>
    <w:unhideWhenUsed/>
    <w:qFormat/>
    <w:rsid w:val="00887AF3"/>
    <w:pPr>
      <w:pBdr>
        <w:bottom w:val="none" w:sz="0" w:space="0" w:color="auto"/>
      </w:pBdr>
      <w:spacing w:before="240" w:after="60"/>
      <w:outlineLvl w:val="2"/>
    </w:pPr>
    <w:rPr>
      <w:b/>
      <w:bCs/>
      <w:sz w:val="24"/>
      <w:szCs w:val="26"/>
    </w:rPr>
  </w:style>
  <w:style w:type="paragraph" w:styleId="Heading4">
    <w:name w:val="heading 4"/>
    <w:basedOn w:val="Heading3"/>
    <w:next w:val="Normal"/>
    <w:link w:val="Heading4Char"/>
    <w:uiPriority w:val="2"/>
    <w:unhideWhenUsed/>
    <w:qFormat/>
    <w:rsid w:val="00887AF3"/>
    <w:pPr>
      <w:outlineLvl w:val="3"/>
    </w:pPr>
    <w:rPr>
      <w:rFonts w:cstheme="majorBidi"/>
      <w:b w:val="0"/>
      <w:i/>
      <w:iCs w:val="0"/>
      <w:color w:val="auto"/>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Footer"/>
    <w:link w:val="HeaderChar"/>
    <w:uiPriority w:val="99"/>
    <w:rsid w:val="00110D00"/>
  </w:style>
  <w:style w:type="character" w:customStyle="1" w:styleId="HeaderChar">
    <w:name w:val="Header Char"/>
    <w:basedOn w:val="DefaultParagraphFont"/>
    <w:link w:val="Header"/>
    <w:uiPriority w:val="99"/>
    <w:rsid w:val="00110D00"/>
    <w:rPr>
      <w:rFonts w:cs="ArialMT"/>
      <w:caps/>
      <w:sz w:val="16"/>
      <w:szCs w:val="18"/>
    </w:rPr>
  </w:style>
  <w:style w:type="paragraph" w:styleId="Footer">
    <w:name w:val="footer"/>
    <w:basedOn w:val="Normal"/>
    <w:link w:val="FooterChar"/>
    <w:uiPriority w:val="99"/>
    <w:rsid w:val="00110D00"/>
    <w:pPr>
      <w:spacing w:after="0" w:line="200" w:lineRule="exact"/>
    </w:pPr>
    <w:rPr>
      <w:rFonts w:ascii="Arial" w:hAnsi="Arial"/>
      <w:caps/>
      <w:sz w:val="16"/>
    </w:rPr>
  </w:style>
  <w:style w:type="character" w:customStyle="1" w:styleId="FooterChar">
    <w:name w:val="Footer Char"/>
    <w:basedOn w:val="DefaultParagraphFont"/>
    <w:link w:val="Footer"/>
    <w:uiPriority w:val="99"/>
    <w:rsid w:val="00110D00"/>
    <w:rPr>
      <w:rFonts w:cs="ArialMT"/>
      <w:caps/>
      <w:sz w:val="16"/>
      <w:szCs w:val="18"/>
    </w:rPr>
  </w:style>
  <w:style w:type="character" w:styleId="PlaceholderText">
    <w:name w:val="Placeholder Text"/>
    <w:basedOn w:val="DefaultParagraphFont"/>
    <w:uiPriority w:val="99"/>
    <w:semiHidden/>
    <w:rsid w:val="00535001"/>
    <w:rPr>
      <w:color w:val="808080"/>
    </w:rPr>
  </w:style>
  <w:style w:type="table" w:styleId="TableGrid">
    <w:name w:val="Table Grid"/>
    <w:basedOn w:val="TableNormal"/>
    <w:uiPriority w:val="59"/>
    <w:rsid w:val="006C70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D85459"/>
    <w:rPr>
      <w:rFonts w:ascii="Lucida Grande" w:hAnsi="Lucida Grande" w:cs="Lucida Grande"/>
    </w:rPr>
  </w:style>
  <w:style w:type="character" w:customStyle="1" w:styleId="BalloonTextChar">
    <w:name w:val="Balloon Text Char"/>
    <w:basedOn w:val="DefaultParagraphFont"/>
    <w:link w:val="BalloonText"/>
    <w:uiPriority w:val="99"/>
    <w:semiHidden/>
    <w:rsid w:val="00D85459"/>
    <w:rPr>
      <w:rFonts w:ascii="Lucida Grande" w:hAnsi="Lucida Grande" w:cs="Lucida Grande"/>
      <w:sz w:val="18"/>
      <w:szCs w:val="18"/>
    </w:rPr>
  </w:style>
  <w:style w:type="character" w:customStyle="1" w:styleId="Heading1Char">
    <w:name w:val="Heading 1 Char"/>
    <w:basedOn w:val="DefaultParagraphFont"/>
    <w:link w:val="Heading1"/>
    <w:uiPriority w:val="2"/>
    <w:rsid w:val="00921448"/>
    <w:rPr>
      <w:rFonts w:eastAsiaTheme="majorEastAsia" w:cstheme="majorBidi"/>
      <w:bCs/>
      <w:caps/>
      <w:color w:val="365F91" w:themeColor="accent1" w:themeShade="BF"/>
      <w:sz w:val="40"/>
      <w:szCs w:val="28"/>
      <w:lang w:eastAsia="en-AU"/>
    </w:rPr>
  </w:style>
  <w:style w:type="character" w:customStyle="1" w:styleId="Heading2Char">
    <w:name w:val="Heading 2 Char"/>
    <w:basedOn w:val="DefaultParagraphFont"/>
    <w:link w:val="Heading2"/>
    <w:uiPriority w:val="2"/>
    <w:rsid w:val="00921448"/>
    <w:rPr>
      <w:rFonts w:eastAsiaTheme="majorEastAsia" w:cs="Arial"/>
      <w:iCs/>
      <w:color w:val="365F91" w:themeColor="accent1" w:themeShade="BF"/>
      <w:sz w:val="32"/>
      <w:szCs w:val="28"/>
      <w:lang w:eastAsia="en-AU"/>
    </w:rPr>
  </w:style>
  <w:style w:type="character" w:customStyle="1" w:styleId="Heading3Char">
    <w:name w:val="Heading 3 Char"/>
    <w:basedOn w:val="DefaultParagraphFont"/>
    <w:link w:val="Heading3"/>
    <w:uiPriority w:val="2"/>
    <w:rsid w:val="00DF0FA6"/>
    <w:rPr>
      <w:rFonts w:eastAsiaTheme="majorEastAsia" w:cs="Arial"/>
      <w:b/>
      <w:bCs/>
      <w:iCs/>
      <w:color w:val="00A2A1"/>
      <w:sz w:val="24"/>
      <w:szCs w:val="26"/>
      <w:lang w:eastAsia="en-AU"/>
    </w:rPr>
  </w:style>
  <w:style w:type="character" w:customStyle="1" w:styleId="Heading4Char">
    <w:name w:val="Heading 4 Char"/>
    <w:basedOn w:val="DefaultParagraphFont"/>
    <w:link w:val="Heading4"/>
    <w:uiPriority w:val="2"/>
    <w:rsid w:val="00DF0FA6"/>
    <w:rPr>
      <w:rFonts w:eastAsiaTheme="majorEastAsia" w:cstheme="majorBidi"/>
      <w:bCs/>
      <w:i/>
      <w:sz w:val="22"/>
      <w:szCs w:val="26"/>
      <w:lang w:eastAsia="en-AU"/>
    </w:rPr>
  </w:style>
  <w:style w:type="paragraph" w:customStyle="1" w:styleId="BulletLevel1">
    <w:name w:val="Bullet Level 1"/>
    <w:basedOn w:val="ListParagraph"/>
    <w:uiPriority w:val="3"/>
    <w:qFormat/>
    <w:rsid w:val="00887AF3"/>
    <w:pPr>
      <w:numPr>
        <w:numId w:val="17"/>
      </w:numPr>
      <w:autoSpaceDE/>
      <w:autoSpaceDN/>
      <w:adjustRightInd/>
      <w:spacing w:after="60"/>
      <w:ind w:left="714" w:hanging="357"/>
      <w:contextualSpacing w:val="0"/>
    </w:pPr>
    <w:rPr>
      <w:rFonts w:eastAsia="Times New Roman" w:cs="Times New Roman"/>
      <w:szCs w:val="24"/>
      <w:lang w:eastAsia="en-AU"/>
    </w:rPr>
  </w:style>
  <w:style w:type="paragraph" w:customStyle="1" w:styleId="BulletLevel2">
    <w:name w:val="Bullet Level 2"/>
    <w:basedOn w:val="BulletLevel1"/>
    <w:uiPriority w:val="3"/>
    <w:qFormat/>
    <w:rsid w:val="00887AF3"/>
    <w:pPr>
      <w:numPr>
        <w:ilvl w:val="1"/>
      </w:numPr>
    </w:pPr>
  </w:style>
  <w:style w:type="paragraph" w:customStyle="1" w:styleId="Tabletext">
    <w:name w:val="Table text"/>
    <w:basedOn w:val="Normal"/>
    <w:qFormat/>
    <w:rsid w:val="00950B4D"/>
    <w:pPr>
      <w:autoSpaceDE/>
      <w:autoSpaceDN/>
      <w:adjustRightInd/>
      <w:spacing w:after="0"/>
    </w:pPr>
    <w:rPr>
      <w:rFonts w:eastAsia="Times New Roman" w:cs="Times New Roman"/>
      <w:sz w:val="20"/>
      <w:szCs w:val="20"/>
      <w:lang w:eastAsia="en-AU"/>
    </w:rPr>
  </w:style>
  <w:style w:type="paragraph" w:customStyle="1" w:styleId="TableBulletLevel1">
    <w:name w:val="Table Bullet Level 1"/>
    <w:basedOn w:val="ListParagraph"/>
    <w:qFormat/>
    <w:rsid w:val="00950B4D"/>
    <w:pPr>
      <w:numPr>
        <w:numId w:val="19"/>
      </w:numPr>
      <w:tabs>
        <w:tab w:val="num" w:pos="360"/>
      </w:tabs>
      <w:autoSpaceDE/>
      <w:autoSpaceDN/>
      <w:adjustRightInd/>
      <w:spacing w:after="0"/>
      <w:ind w:left="284" w:hanging="284"/>
      <w:contextualSpacing w:val="0"/>
    </w:pPr>
    <w:rPr>
      <w:rFonts w:eastAsia="Times New Roman" w:cs="Times New Roman"/>
      <w:sz w:val="20"/>
      <w:szCs w:val="20"/>
      <w:lang w:eastAsia="en-AU"/>
    </w:rPr>
  </w:style>
  <w:style w:type="paragraph" w:customStyle="1" w:styleId="NormalBeforeList">
    <w:name w:val="Normal Before List"/>
    <w:basedOn w:val="Normal"/>
    <w:next w:val="Normal"/>
    <w:uiPriority w:val="1"/>
    <w:qFormat/>
    <w:rsid w:val="00887AF3"/>
    <w:pPr>
      <w:keepNext/>
      <w:autoSpaceDE/>
      <w:autoSpaceDN/>
      <w:adjustRightInd/>
      <w:spacing w:after="60"/>
    </w:pPr>
    <w:rPr>
      <w:rFonts w:eastAsia="Times New Roman" w:cs="Times New Roman"/>
      <w:szCs w:val="24"/>
      <w:lang w:eastAsia="en-AU"/>
    </w:rPr>
  </w:style>
  <w:style w:type="paragraph" w:customStyle="1" w:styleId="NumberBulletLevel1">
    <w:name w:val="Number Bullet Level 1"/>
    <w:basedOn w:val="ListParagraph"/>
    <w:uiPriority w:val="3"/>
    <w:qFormat/>
    <w:rsid w:val="00887AF3"/>
    <w:pPr>
      <w:numPr>
        <w:numId w:val="18"/>
      </w:numPr>
      <w:autoSpaceDE/>
      <w:autoSpaceDN/>
      <w:adjustRightInd/>
      <w:spacing w:after="60"/>
      <w:contextualSpacing w:val="0"/>
    </w:pPr>
    <w:rPr>
      <w:rFonts w:eastAsia="Times New Roman" w:cs="Times New Roman"/>
      <w:szCs w:val="24"/>
      <w:lang w:eastAsia="en-AU"/>
    </w:rPr>
  </w:style>
  <w:style w:type="paragraph" w:customStyle="1" w:styleId="TableBulletLevel2">
    <w:name w:val="Table Bullet Level 2"/>
    <w:basedOn w:val="ListParagraph"/>
    <w:uiPriority w:val="6"/>
    <w:qFormat/>
    <w:rsid w:val="00950B4D"/>
    <w:pPr>
      <w:numPr>
        <w:ilvl w:val="1"/>
        <w:numId w:val="19"/>
      </w:numPr>
      <w:tabs>
        <w:tab w:val="num" w:pos="360"/>
      </w:tabs>
      <w:autoSpaceDE/>
      <w:autoSpaceDN/>
      <w:adjustRightInd/>
      <w:spacing w:after="0"/>
      <w:ind w:left="851" w:hanging="284"/>
      <w:contextualSpacing w:val="0"/>
    </w:pPr>
    <w:rPr>
      <w:rFonts w:eastAsia="Times New Roman" w:cs="Times New Roman"/>
      <w:sz w:val="20"/>
      <w:szCs w:val="20"/>
      <w:lang w:eastAsia="en-AU"/>
    </w:rPr>
  </w:style>
  <w:style w:type="paragraph" w:customStyle="1" w:styleId="NumberBulletLevel2">
    <w:name w:val="Number Bullet Level 2"/>
    <w:basedOn w:val="NumberBulletLevel1"/>
    <w:uiPriority w:val="3"/>
    <w:qFormat/>
    <w:rsid w:val="00887AF3"/>
    <w:pPr>
      <w:numPr>
        <w:ilvl w:val="1"/>
      </w:numPr>
    </w:pPr>
  </w:style>
  <w:style w:type="paragraph" w:customStyle="1" w:styleId="NumberedHeading1">
    <w:name w:val="Numbered Heading 1"/>
    <w:basedOn w:val="Heading1"/>
    <w:next w:val="Normal"/>
    <w:link w:val="NumberedHeading1Char"/>
    <w:uiPriority w:val="9"/>
    <w:qFormat/>
    <w:rsid w:val="00887AF3"/>
    <w:pPr>
      <w:numPr>
        <w:numId w:val="20"/>
      </w:numPr>
    </w:pPr>
  </w:style>
  <w:style w:type="paragraph" w:styleId="Caption">
    <w:name w:val="caption"/>
    <w:basedOn w:val="Normal"/>
    <w:next w:val="Normal"/>
    <w:uiPriority w:val="5"/>
    <w:qFormat/>
    <w:rsid w:val="00887AF3"/>
    <w:pPr>
      <w:keepNext/>
      <w:keepLines/>
      <w:autoSpaceDE/>
      <w:autoSpaceDN/>
      <w:adjustRightInd/>
      <w:spacing w:after="120"/>
    </w:pPr>
    <w:rPr>
      <w:rFonts w:asciiTheme="minorHAnsi" w:eastAsia="Times New Roman" w:hAnsiTheme="minorHAnsi" w:cs="Times New Roman"/>
      <w:iCs/>
      <w:caps/>
      <w:sz w:val="16"/>
      <w:lang w:eastAsia="en-AU"/>
    </w:rPr>
  </w:style>
  <w:style w:type="paragraph" w:customStyle="1" w:styleId="Heading1Nospacebefore">
    <w:name w:val="Heading 1 No space before"/>
    <w:basedOn w:val="Heading1"/>
    <w:next w:val="Normal"/>
    <w:link w:val="Heading1NospacebeforeChar"/>
    <w:uiPriority w:val="2"/>
    <w:qFormat/>
    <w:rsid w:val="00887AF3"/>
    <w:pPr>
      <w:spacing w:before="0"/>
    </w:pPr>
  </w:style>
  <w:style w:type="paragraph" w:customStyle="1" w:styleId="NormalAfterList">
    <w:name w:val="Normal After List"/>
    <w:basedOn w:val="Normal"/>
    <w:next w:val="Normal"/>
    <w:uiPriority w:val="2"/>
    <w:qFormat/>
    <w:rsid w:val="00887AF3"/>
    <w:pPr>
      <w:autoSpaceDE/>
      <w:autoSpaceDN/>
      <w:adjustRightInd/>
      <w:spacing w:before="200"/>
    </w:pPr>
    <w:rPr>
      <w:rFonts w:eastAsia="Times New Roman" w:cs="Times New Roman"/>
      <w:szCs w:val="24"/>
      <w:lang w:eastAsia="en-AU"/>
    </w:rPr>
  </w:style>
  <w:style w:type="paragraph" w:customStyle="1" w:styleId="NumberedHeading2">
    <w:name w:val="Numbered Heading 2"/>
    <w:basedOn w:val="Heading2"/>
    <w:next w:val="Normal"/>
    <w:link w:val="NumberedHeading2Char"/>
    <w:uiPriority w:val="9"/>
    <w:qFormat/>
    <w:rsid w:val="00887AF3"/>
    <w:pPr>
      <w:numPr>
        <w:ilvl w:val="1"/>
        <w:numId w:val="20"/>
      </w:numPr>
    </w:pPr>
  </w:style>
  <w:style w:type="paragraph" w:customStyle="1" w:styleId="NumberedHeading3">
    <w:name w:val="Numbered Heading 3"/>
    <w:basedOn w:val="Heading3"/>
    <w:next w:val="Normal"/>
    <w:link w:val="NumberedHeading3Char"/>
    <w:uiPriority w:val="9"/>
    <w:qFormat/>
    <w:rsid w:val="00887AF3"/>
    <w:pPr>
      <w:numPr>
        <w:ilvl w:val="2"/>
        <w:numId w:val="20"/>
      </w:numPr>
    </w:pPr>
  </w:style>
  <w:style w:type="character" w:customStyle="1" w:styleId="Heading1NospacebeforeChar">
    <w:name w:val="Heading 1 No space before Char"/>
    <w:basedOn w:val="Heading1Char"/>
    <w:link w:val="Heading1Nospacebefore"/>
    <w:uiPriority w:val="2"/>
    <w:rsid w:val="00DF0FA6"/>
    <w:rPr>
      <w:rFonts w:eastAsiaTheme="majorEastAsia" w:cstheme="majorBidi"/>
      <w:bCs/>
      <w:caps/>
      <w:color w:val="00A2A1"/>
      <w:sz w:val="40"/>
      <w:szCs w:val="28"/>
      <w:lang w:eastAsia="en-AU"/>
    </w:rPr>
  </w:style>
  <w:style w:type="character" w:customStyle="1" w:styleId="NumberedHeading1Char">
    <w:name w:val="Numbered Heading 1 Char"/>
    <w:basedOn w:val="Heading1Char"/>
    <w:link w:val="NumberedHeading1"/>
    <w:uiPriority w:val="2"/>
    <w:rsid w:val="00DF0FA6"/>
    <w:rPr>
      <w:rFonts w:eastAsiaTheme="majorEastAsia" w:cstheme="majorBidi"/>
      <w:bCs/>
      <w:caps/>
      <w:color w:val="00A2A1"/>
      <w:sz w:val="40"/>
      <w:szCs w:val="28"/>
      <w:lang w:eastAsia="en-AU"/>
    </w:rPr>
  </w:style>
  <w:style w:type="character" w:customStyle="1" w:styleId="NumberedHeading2Char">
    <w:name w:val="Numbered Heading 2 Char"/>
    <w:basedOn w:val="Heading2Char"/>
    <w:link w:val="NumberedHeading2"/>
    <w:uiPriority w:val="9"/>
    <w:rsid w:val="00DF0FA6"/>
    <w:rPr>
      <w:rFonts w:eastAsiaTheme="majorEastAsia" w:cs="Arial"/>
      <w:iCs/>
      <w:color w:val="00A2A1"/>
      <w:sz w:val="32"/>
      <w:szCs w:val="28"/>
      <w:lang w:eastAsia="en-AU"/>
    </w:rPr>
  </w:style>
  <w:style w:type="character" w:customStyle="1" w:styleId="NumberedHeading3Char">
    <w:name w:val="Numbered Heading 3 Char"/>
    <w:basedOn w:val="Heading3Char"/>
    <w:link w:val="NumberedHeading3"/>
    <w:uiPriority w:val="2"/>
    <w:rsid w:val="00DF0FA6"/>
    <w:rPr>
      <w:rFonts w:eastAsiaTheme="majorEastAsia" w:cs="Arial"/>
      <w:b/>
      <w:bCs/>
      <w:iCs/>
      <w:color w:val="00A2A1"/>
      <w:sz w:val="24"/>
      <w:szCs w:val="26"/>
      <w:lang w:eastAsia="en-AU"/>
    </w:rPr>
  </w:style>
  <w:style w:type="table" w:customStyle="1" w:styleId="LirataTable1">
    <w:name w:val="Lirata Table 1"/>
    <w:basedOn w:val="TableNormal"/>
    <w:uiPriority w:val="99"/>
    <w:rsid w:val="00097DE2"/>
    <w:rPr>
      <w:rFonts w:ascii="Calibri" w:eastAsiaTheme="minorHAnsi" w:hAnsi="Calibri" w:cstheme="minorBidi"/>
      <w:szCs w:val="22"/>
    </w:rPr>
    <w:tblPr>
      <w:tblStyleRowBandSize w:val="1"/>
      <w:tblBorders>
        <w:top w:val="single" w:sz="4" w:space="0" w:color="00A2A1"/>
        <w:bottom w:val="single" w:sz="4" w:space="0" w:color="00A2A1"/>
      </w:tblBorders>
      <w:tblCellMar>
        <w:top w:w="57" w:type="dxa"/>
        <w:bottom w:w="57" w:type="dxa"/>
      </w:tblCellMar>
    </w:tblPr>
    <w:tblStylePr w:type="firstRow">
      <w:pPr>
        <w:keepNext/>
        <w:wordWrap/>
      </w:pPr>
      <w:rPr>
        <w:b/>
      </w:rPr>
      <w:tblPr/>
      <w:trPr>
        <w:tblHeader/>
      </w:trPr>
      <w:tcPr>
        <w:tcBorders>
          <w:bottom w:val="single" w:sz="4" w:space="0" w:color="00A2A1"/>
        </w:tcBorders>
      </w:tcPr>
    </w:tblStylePr>
    <w:tblStylePr w:type="lastRow">
      <w:rPr>
        <w:b/>
      </w:rPr>
      <w:tblPr/>
      <w:tcPr>
        <w:tcBorders>
          <w:top w:val="single" w:sz="4" w:space="0" w:color="00A2A1"/>
        </w:tcBorders>
      </w:tcPr>
    </w:tblStylePr>
    <w:tblStylePr w:type="band1Horz">
      <w:tblPr/>
      <w:tcPr>
        <w:shd w:val="clear" w:color="auto" w:fill="C8E2F6"/>
      </w:tcPr>
    </w:tblStylePr>
  </w:style>
  <w:style w:type="table" w:customStyle="1" w:styleId="LirataVerticalTable1">
    <w:name w:val="Lirata Vertical Table 1"/>
    <w:basedOn w:val="TableNormal"/>
    <w:uiPriority w:val="99"/>
    <w:rsid w:val="00950B4D"/>
    <w:rPr>
      <w:rFonts w:ascii="Calibri" w:eastAsiaTheme="minorHAnsi" w:hAnsi="Calibri" w:cstheme="minorBidi"/>
      <w:szCs w:val="22"/>
    </w:rPr>
    <w:tblPr>
      <w:tblBorders>
        <w:top w:val="single" w:sz="4" w:space="0" w:color="00A2A1"/>
        <w:bottom w:val="single" w:sz="4" w:space="0" w:color="00A2A1"/>
        <w:insideH w:val="single" w:sz="4" w:space="0" w:color="00A2A1"/>
      </w:tblBorders>
      <w:tblCellMar>
        <w:top w:w="57" w:type="dxa"/>
        <w:bottom w:w="57" w:type="dxa"/>
      </w:tblCellMar>
    </w:tblPr>
    <w:tcPr>
      <w:shd w:val="clear" w:color="auto" w:fill="auto"/>
    </w:tcPr>
    <w:tblStylePr w:type="firstCol">
      <w:rPr>
        <w:b/>
      </w:rPr>
      <w:tblPr/>
      <w:tcPr>
        <w:shd w:val="clear" w:color="auto" w:fill="C8E2F6"/>
      </w:tcPr>
    </w:tblStylePr>
  </w:style>
  <w:style w:type="paragraph" w:styleId="FootnoteText">
    <w:name w:val="footnote text"/>
    <w:basedOn w:val="Normal"/>
    <w:link w:val="FootnoteTextChar"/>
    <w:uiPriority w:val="99"/>
    <w:rsid w:val="00887AF3"/>
    <w:pPr>
      <w:autoSpaceDE/>
      <w:autoSpaceDN/>
      <w:adjustRightInd/>
    </w:pPr>
    <w:rPr>
      <w:rFonts w:eastAsia="Times New Roman" w:cs="Times New Roman"/>
      <w:sz w:val="20"/>
      <w:szCs w:val="20"/>
      <w:lang w:eastAsia="en-AU"/>
    </w:rPr>
  </w:style>
  <w:style w:type="character" w:customStyle="1" w:styleId="FootnoteTextChar">
    <w:name w:val="Footnote Text Char"/>
    <w:basedOn w:val="DefaultParagraphFont"/>
    <w:link w:val="FootnoteText"/>
    <w:uiPriority w:val="99"/>
    <w:rsid w:val="00887AF3"/>
    <w:rPr>
      <w:rFonts w:ascii="Calibri" w:eastAsia="Times New Roman" w:hAnsi="Calibri"/>
      <w:lang w:eastAsia="en-AU"/>
    </w:rPr>
  </w:style>
  <w:style w:type="character" w:styleId="FootnoteReference">
    <w:name w:val="footnote reference"/>
    <w:basedOn w:val="DefaultParagraphFont"/>
    <w:uiPriority w:val="99"/>
    <w:semiHidden/>
    <w:unhideWhenUsed/>
    <w:rsid w:val="00887AF3"/>
    <w:rPr>
      <w:vertAlign w:val="superscript"/>
    </w:rPr>
  </w:style>
  <w:style w:type="paragraph" w:customStyle="1" w:styleId="NormalBetweenLists">
    <w:name w:val="Normal Between Lists"/>
    <w:basedOn w:val="NormalBeforeList"/>
    <w:next w:val="Normal"/>
    <w:uiPriority w:val="1"/>
    <w:qFormat/>
    <w:rsid w:val="00887AF3"/>
    <w:pPr>
      <w:spacing w:before="200"/>
    </w:pPr>
  </w:style>
  <w:style w:type="paragraph" w:styleId="ListParagraph">
    <w:name w:val="List Paragraph"/>
    <w:basedOn w:val="Normal"/>
    <w:uiPriority w:val="34"/>
    <w:semiHidden/>
    <w:qFormat/>
    <w:rsid w:val="00887AF3"/>
    <w:pPr>
      <w:ind w:left="720"/>
      <w:contextualSpacing/>
    </w:pPr>
  </w:style>
  <w:style w:type="paragraph" w:styleId="TOC1">
    <w:name w:val="toc 1"/>
    <w:basedOn w:val="Normal"/>
    <w:next w:val="Normal"/>
    <w:autoRedefine/>
    <w:uiPriority w:val="39"/>
    <w:unhideWhenUsed/>
    <w:rsid w:val="00410229"/>
    <w:pPr>
      <w:tabs>
        <w:tab w:val="right" w:leader="dot" w:pos="9628"/>
      </w:tabs>
      <w:spacing w:before="120" w:after="0"/>
      <w:ind w:left="567" w:hanging="567"/>
    </w:pPr>
    <w:rPr>
      <w:b/>
    </w:rPr>
  </w:style>
  <w:style w:type="paragraph" w:styleId="TOC2">
    <w:name w:val="toc 2"/>
    <w:basedOn w:val="Normal"/>
    <w:next w:val="Normal"/>
    <w:autoRedefine/>
    <w:uiPriority w:val="39"/>
    <w:unhideWhenUsed/>
    <w:rsid w:val="00410229"/>
    <w:pPr>
      <w:tabs>
        <w:tab w:val="right" w:leader="dot" w:pos="9628"/>
      </w:tabs>
      <w:spacing w:before="60" w:after="0"/>
      <w:ind w:left="1134" w:hanging="567"/>
    </w:pPr>
  </w:style>
  <w:style w:type="paragraph" w:styleId="TOC3">
    <w:name w:val="toc 3"/>
    <w:basedOn w:val="Normal"/>
    <w:next w:val="Normal"/>
    <w:autoRedefine/>
    <w:uiPriority w:val="39"/>
    <w:unhideWhenUsed/>
    <w:rsid w:val="00580081"/>
    <w:pPr>
      <w:tabs>
        <w:tab w:val="right" w:leader="dot" w:pos="9628"/>
      </w:tabs>
      <w:spacing w:before="60" w:after="0"/>
      <w:ind w:left="1701" w:hanging="567"/>
    </w:pPr>
  </w:style>
  <w:style w:type="character" w:styleId="Hyperlink">
    <w:name w:val="Hyperlink"/>
    <w:basedOn w:val="DefaultParagraphFont"/>
    <w:uiPriority w:val="99"/>
    <w:unhideWhenUsed/>
    <w:qFormat/>
    <w:rsid w:val="00CA49F3"/>
    <w:rPr>
      <w:color w:val="0000FF" w:themeColor="hyperlink"/>
      <w:u w:val="single"/>
    </w:rPr>
  </w:style>
  <w:style w:type="paragraph" w:styleId="Title">
    <w:name w:val="Title"/>
    <w:basedOn w:val="Normal"/>
    <w:next w:val="Normal"/>
    <w:link w:val="TitleChar"/>
    <w:uiPriority w:val="10"/>
    <w:qFormat/>
    <w:rsid w:val="006025CB"/>
    <w:pPr>
      <w:spacing w:after="0" w:line="560" w:lineRule="exact"/>
    </w:pPr>
    <w:rPr>
      <w:rFonts w:ascii="Arial" w:hAnsi="Arial" w:cs="Arial"/>
      <w:color w:val="FFFFFF" w:themeColor="background1"/>
      <w:sz w:val="48"/>
      <w:szCs w:val="48"/>
    </w:rPr>
  </w:style>
  <w:style w:type="character" w:customStyle="1" w:styleId="TitleChar">
    <w:name w:val="Title Char"/>
    <w:basedOn w:val="DefaultParagraphFont"/>
    <w:link w:val="Title"/>
    <w:uiPriority w:val="10"/>
    <w:rsid w:val="006025CB"/>
    <w:rPr>
      <w:rFonts w:cs="Arial"/>
      <w:color w:val="FFFFFF" w:themeColor="background1"/>
      <w:sz w:val="48"/>
      <w:szCs w:val="48"/>
    </w:rPr>
  </w:style>
  <w:style w:type="paragraph" w:styleId="Subtitle">
    <w:name w:val="Subtitle"/>
    <w:basedOn w:val="Normal"/>
    <w:next w:val="Normal"/>
    <w:link w:val="SubtitleChar"/>
    <w:uiPriority w:val="11"/>
    <w:qFormat/>
    <w:rsid w:val="006025CB"/>
    <w:pPr>
      <w:spacing w:before="360" w:after="0" w:line="240" w:lineRule="auto"/>
    </w:pPr>
    <w:rPr>
      <w:rFonts w:ascii="Arial" w:hAnsi="Arial" w:cs="Arial"/>
      <w:color w:val="FFFFFF" w:themeColor="background1"/>
      <w:sz w:val="24"/>
      <w:szCs w:val="24"/>
    </w:rPr>
  </w:style>
  <w:style w:type="character" w:customStyle="1" w:styleId="SubtitleChar">
    <w:name w:val="Subtitle Char"/>
    <w:basedOn w:val="DefaultParagraphFont"/>
    <w:link w:val="Subtitle"/>
    <w:uiPriority w:val="11"/>
    <w:rsid w:val="006025CB"/>
    <w:rPr>
      <w:rFonts w:cs="Arial"/>
      <w:color w:val="FFFFFF" w:themeColor="background1"/>
      <w:sz w:val="24"/>
      <w:szCs w:val="24"/>
    </w:rPr>
  </w:style>
  <w:style w:type="paragraph" w:customStyle="1" w:styleId="Titlebold">
    <w:name w:val="Title bold"/>
    <w:basedOn w:val="Title"/>
    <w:next w:val="Subtitle"/>
    <w:uiPriority w:val="10"/>
    <w:qFormat/>
    <w:rsid w:val="006025CB"/>
    <w:rPr>
      <w:b/>
    </w:rPr>
  </w:style>
  <w:style w:type="paragraph" w:customStyle="1" w:styleId="NumberedHeading1Nospacebefore">
    <w:name w:val="Numbered Heading 1 No space before"/>
    <w:basedOn w:val="NumberedHeading1"/>
    <w:next w:val="Normal"/>
    <w:uiPriority w:val="2"/>
    <w:qFormat/>
    <w:rsid w:val="00CF5FF5"/>
    <w:pPr>
      <w:spacing w:before="0"/>
    </w:pPr>
  </w:style>
  <w:style w:type="character" w:styleId="CommentReference">
    <w:name w:val="annotation reference"/>
    <w:basedOn w:val="DefaultParagraphFont"/>
    <w:uiPriority w:val="99"/>
    <w:semiHidden/>
    <w:unhideWhenUsed/>
    <w:rsid w:val="00D141B9"/>
    <w:rPr>
      <w:sz w:val="16"/>
      <w:szCs w:val="16"/>
    </w:rPr>
  </w:style>
  <w:style w:type="paragraph" w:styleId="CommentText">
    <w:name w:val="annotation text"/>
    <w:basedOn w:val="Normal"/>
    <w:link w:val="CommentTextChar"/>
    <w:uiPriority w:val="99"/>
    <w:unhideWhenUsed/>
    <w:rsid w:val="00D141B9"/>
    <w:pPr>
      <w:spacing w:line="240" w:lineRule="auto"/>
    </w:pPr>
    <w:rPr>
      <w:sz w:val="20"/>
      <w:szCs w:val="20"/>
    </w:rPr>
  </w:style>
  <w:style w:type="character" w:customStyle="1" w:styleId="CommentTextChar">
    <w:name w:val="Comment Text Char"/>
    <w:basedOn w:val="DefaultParagraphFont"/>
    <w:link w:val="CommentText"/>
    <w:uiPriority w:val="99"/>
    <w:rsid w:val="00D141B9"/>
    <w:rPr>
      <w:rFonts w:ascii="Calibri" w:hAnsi="Calibri" w:cs="ArialMT"/>
    </w:rPr>
  </w:style>
  <w:style w:type="paragraph" w:styleId="CommentSubject">
    <w:name w:val="annotation subject"/>
    <w:basedOn w:val="CommentText"/>
    <w:next w:val="CommentText"/>
    <w:link w:val="CommentSubjectChar"/>
    <w:uiPriority w:val="99"/>
    <w:semiHidden/>
    <w:unhideWhenUsed/>
    <w:rsid w:val="00D141B9"/>
    <w:rPr>
      <w:b/>
      <w:bCs/>
    </w:rPr>
  </w:style>
  <w:style w:type="character" w:customStyle="1" w:styleId="CommentSubjectChar">
    <w:name w:val="Comment Subject Char"/>
    <w:basedOn w:val="CommentTextChar"/>
    <w:link w:val="CommentSubject"/>
    <w:uiPriority w:val="99"/>
    <w:semiHidden/>
    <w:rsid w:val="00D141B9"/>
    <w:rPr>
      <w:rFonts w:ascii="Calibri" w:hAnsi="Calibri" w:cs="ArialMT"/>
      <w:b/>
      <w:bCs/>
    </w:rPr>
  </w:style>
  <w:style w:type="paragraph" w:customStyle="1" w:styleId="Spacer">
    <w:name w:val="Spacer"/>
    <w:basedOn w:val="Normal"/>
    <w:next w:val="Normal"/>
    <w:uiPriority w:val="7"/>
    <w:qFormat/>
    <w:rsid w:val="009C52B8"/>
    <w:pPr>
      <w:spacing w:after="0"/>
    </w:pPr>
    <w:rPr>
      <w:lang w:eastAsia="en-AU"/>
    </w:rPr>
  </w:style>
  <w:style w:type="table" w:customStyle="1" w:styleId="LirataTable2">
    <w:name w:val="Lirata Table 2"/>
    <w:basedOn w:val="TableNormal"/>
    <w:uiPriority w:val="99"/>
    <w:rsid w:val="00921448"/>
    <w:rPr>
      <w:rFonts w:ascii="Calibri" w:eastAsia="Times New Roman" w:hAnsi="Calibri" w:cstheme="minorBidi"/>
      <w:szCs w:val="22"/>
      <w:lang w:val="en-US" w:bidi="en-US"/>
    </w:rPr>
    <w:tblPr>
      <w:tblStyleRowBandSize w:val="1"/>
      <w:tblStyleColBandSize w:val="1"/>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CellMar>
        <w:top w:w="57" w:type="dxa"/>
        <w:bottom w:w="57" w:type="dxa"/>
      </w:tblCellMar>
    </w:tblPr>
    <w:tblStylePr w:type="firstRow">
      <w:rPr>
        <w:b/>
        <w:caps/>
        <w:smallCaps w:val="0"/>
        <w:color w:val="FFFFFF" w:themeColor="background1"/>
      </w:rPr>
      <w:tblPr/>
      <w:tcPr>
        <w:tcBorders>
          <w:bottom w:val="single" w:sz="4" w:space="0" w:color="365F91" w:themeColor="accent1" w:themeShade="BF"/>
          <w:insideV w:val="single" w:sz="4" w:space="0" w:color="FFFFFF" w:themeColor="background1"/>
        </w:tcBorders>
        <w:shd w:val="clear" w:color="auto" w:fill="365F91" w:themeFill="accent1" w:themeFillShade="BF"/>
      </w:tcPr>
    </w:tblStylePr>
    <w:tblStylePr w:type="lastRow">
      <w:rPr>
        <w:b/>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l2br w:val="nil"/>
          <w:tr2bl w:val="nil"/>
        </w:tcBorders>
      </w:tcPr>
    </w:tblStylePr>
    <w:tblStylePr w:type="firstCo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lastCo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1Vert">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2Vert">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2Horz">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l2br w:val="nil"/>
          <w:tr2bl w:val="nil"/>
        </w:tcBorders>
      </w:tcPr>
    </w:tblStylePr>
  </w:style>
  <w:style w:type="table" w:customStyle="1" w:styleId="LirataVerticalTable2">
    <w:name w:val="Lirata Vertical Table 2"/>
    <w:basedOn w:val="TableNormal"/>
    <w:uiPriority w:val="99"/>
    <w:rsid w:val="007C0F2F"/>
    <w:rPr>
      <w:rFonts w:ascii="Calibri" w:eastAsia="Times New Roman" w:hAnsi="Calibri" w:cstheme="minorBidi"/>
      <w:szCs w:val="22"/>
      <w:lang w:val="en-US" w:bidi="en-US"/>
    </w:rPr>
    <w:tblPr>
      <w:tblStyleRowBandSize w:val="1"/>
      <w:tblStyleColBandSize w:val="1"/>
      <w:tblCellMar>
        <w:top w:w="57" w:type="dxa"/>
        <w:bottom w:w="57" w:type="dxa"/>
      </w:tblCellMar>
    </w:tblPr>
    <w:tblStylePr w:type="firstRow">
      <w:tblPr/>
      <w:tcPr>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l2br w:val="nil"/>
          <w:tr2bl w:val="nil"/>
        </w:tcBorders>
      </w:tcPr>
    </w:tblStylePr>
    <w:tblStylePr w:type="lastRow">
      <w:tblPr/>
      <w:tcPr>
        <w:tcBorders>
          <w:top w:val="nil"/>
          <w:left w:val="nil"/>
          <w:bottom w:val="single" w:sz="4" w:space="0" w:color="4F81BD" w:themeColor="accent1"/>
          <w:right w:val="single" w:sz="4" w:space="0" w:color="4F81BD" w:themeColor="accent1"/>
          <w:insideH w:val="single" w:sz="4" w:space="0" w:color="4F81BD" w:themeColor="accent1"/>
          <w:insideV w:val="single" w:sz="4" w:space="0" w:color="4F81BD" w:themeColor="accent1"/>
          <w:tl2br w:val="nil"/>
          <w:tr2bl w:val="nil"/>
        </w:tcBorders>
      </w:tcPr>
    </w:tblStylePr>
    <w:tblStylePr w:type="firstCol">
      <w:rPr>
        <w:b/>
        <w:caps/>
        <w:smallCaps w:val="0"/>
        <w:color w:val="FFFFFF" w:themeColor="background1"/>
      </w:rPr>
      <w:tblPr/>
      <w:tcPr>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FFFFFF" w:themeColor="background1"/>
          <w:insideV w:val="single" w:sz="4" w:space="0" w:color="365F91" w:themeColor="accent1" w:themeShade="BF"/>
          <w:tl2br w:val="nil"/>
          <w:tr2bl w:val="nil"/>
        </w:tcBorders>
        <w:shd w:val="clear" w:color="auto" w:fill="365F91" w:themeFill="accent1" w:themeFillShade="BF"/>
      </w:tcPr>
    </w:tblStylePr>
    <w:tblStylePr w:type="lastCo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l2br w:val="nil"/>
          <w:tr2bl w:val="nil"/>
        </w:tcBorders>
      </w:tcPr>
    </w:tblStylePr>
    <w:tblStylePr w:type="band1Vert">
      <w:tblPr/>
      <w:tcPr>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l2br w:val="nil"/>
          <w:tr2bl w:val="nil"/>
        </w:tcBorders>
      </w:tcPr>
    </w:tblStylePr>
    <w:tblStylePr w:type="band2Vert">
      <w:tblPr/>
      <w:tcPr>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l2br w:val="nil"/>
          <w:tr2bl w:val="nil"/>
        </w:tcBorders>
      </w:tcPr>
    </w:tblStylePr>
    <w:tblStylePr w:type="band1Horz">
      <w:tblPr/>
      <w:tcPr>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l2br w:val="nil"/>
          <w:tr2bl w:val="nil"/>
        </w:tcBorders>
      </w:tcPr>
    </w:tblStylePr>
    <w:tblStylePr w:type="band2Horz">
      <w:tblPr/>
      <w:tcPr>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l2br w:val="nil"/>
          <w:tr2bl w:val="nil"/>
        </w:tcBorders>
      </w:tcPr>
    </w:tblStylePr>
    <w:tblStylePr w:type="nwCell">
      <w:tblPr/>
      <w:tcPr>
        <w:tcBorders>
          <w:top w:val="single" w:sz="4" w:space="0" w:color="365F91" w:themeColor="accent1" w:themeShade="BF"/>
          <w:left w:val="single" w:sz="4" w:space="0" w:color="365F91" w:themeColor="accent1" w:themeShade="BF"/>
          <w:bottom w:val="nil"/>
          <w:right w:val="single" w:sz="4" w:space="0" w:color="365F91" w:themeColor="accent1" w:themeShade="BF"/>
          <w:insideH w:val="single" w:sz="4" w:space="0" w:color="365F91" w:themeColor="accent1" w:themeShade="BF"/>
          <w:insideV w:val="single" w:sz="4" w:space="0" w:color="365F91" w:themeColor="accent1" w:themeShade="BF"/>
          <w:tl2br w:val="nil"/>
          <w:tr2bl w:val="nil"/>
        </w:tcBorders>
      </w:tcPr>
    </w:tblStylePr>
  </w:style>
  <w:style w:type="paragraph" w:customStyle="1" w:styleId="Recommendationtext">
    <w:name w:val="Recommendation text"/>
    <w:basedOn w:val="Normal"/>
    <w:uiPriority w:val="8"/>
    <w:qFormat/>
    <w:rsid w:val="00BC44F8"/>
    <w:pPr>
      <w:numPr>
        <w:numId w:val="22"/>
      </w:numPr>
      <w:pBdr>
        <w:left w:val="single" w:sz="48" w:space="6" w:color="31849B" w:themeColor="accent5" w:themeShade="BF"/>
      </w:pBdr>
      <w:spacing w:before="120" w:after="120"/>
    </w:pPr>
    <w:rPr>
      <w:b/>
      <w:i/>
      <w:lang w:eastAsia="en-AU"/>
    </w:rPr>
  </w:style>
  <w:style w:type="paragraph" w:customStyle="1" w:styleId="RecommendationHeader">
    <w:name w:val="Recommendation Header"/>
    <w:basedOn w:val="Recommendationtext"/>
    <w:next w:val="Recommendationtext"/>
    <w:uiPriority w:val="8"/>
    <w:qFormat/>
    <w:rsid w:val="00BC44F8"/>
    <w:pPr>
      <w:keepNext/>
      <w:numPr>
        <w:numId w:val="0"/>
      </w:numPr>
      <w:spacing w:after="0"/>
      <w:ind w:left="284"/>
    </w:pPr>
    <w:rPr>
      <w:color w:val="31849B" w:themeColor="accent5" w:themeShade="BF"/>
    </w:rPr>
  </w:style>
  <w:style w:type="paragraph" w:styleId="Quote">
    <w:name w:val="Quote"/>
    <w:basedOn w:val="Normal"/>
    <w:next w:val="Normal"/>
    <w:link w:val="QuoteChar"/>
    <w:uiPriority w:val="8"/>
    <w:qFormat/>
    <w:rsid w:val="00B41A1F"/>
    <w:pPr>
      <w:ind w:left="567" w:right="567"/>
    </w:pPr>
    <w:rPr>
      <w:i/>
      <w:iCs/>
      <w:color w:val="365F91" w:themeColor="accent1" w:themeShade="BF"/>
    </w:rPr>
  </w:style>
  <w:style w:type="character" w:customStyle="1" w:styleId="QuoteChar">
    <w:name w:val="Quote Char"/>
    <w:basedOn w:val="DefaultParagraphFont"/>
    <w:link w:val="Quote"/>
    <w:uiPriority w:val="8"/>
    <w:rsid w:val="00B41A1F"/>
    <w:rPr>
      <w:rFonts w:ascii="Calibri" w:hAnsi="Calibri" w:cs="ArialMT"/>
      <w:i/>
      <w:iCs/>
      <w:color w:val="365F91" w:themeColor="accent1" w:themeShade="BF"/>
      <w:sz w:val="22"/>
      <w:szCs w:val="18"/>
    </w:rPr>
  </w:style>
  <w:style w:type="paragraph" w:customStyle="1" w:styleId="Exampleheader">
    <w:name w:val="Example header"/>
    <w:basedOn w:val="Normal"/>
    <w:uiPriority w:val="8"/>
    <w:qFormat/>
    <w:rsid w:val="00BC44F8"/>
    <w:pPr>
      <w:framePr w:hSpace="180" w:wrap="around" w:vAnchor="text" w:hAnchor="text" w:x="5755" w:y="1"/>
      <w:spacing w:before="120" w:after="120"/>
      <w:suppressOverlap/>
    </w:pPr>
    <w:rPr>
      <w:b/>
      <w:i/>
      <w:color w:val="5F497A" w:themeColor="accent4" w:themeShade="BF"/>
      <w:lang w:eastAsia="en-AU"/>
    </w:rPr>
  </w:style>
  <w:style w:type="paragraph" w:customStyle="1" w:styleId="Exampletext">
    <w:name w:val="Example text"/>
    <w:basedOn w:val="Exampleheader"/>
    <w:uiPriority w:val="8"/>
    <w:qFormat/>
    <w:rsid w:val="00BC44F8"/>
    <w:pPr>
      <w:framePr w:wrap="around"/>
    </w:pPr>
    <w:rPr>
      <w:b w:val="0"/>
      <w:color w:val="auto"/>
    </w:rPr>
  </w:style>
  <w:style w:type="paragraph" w:customStyle="1" w:styleId="References">
    <w:name w:val="References"/>
    <w:basedOn w:val="Normal"/>
    <w:link w:val="ReferencesChar"/>
    <w:qFormat/>
    <w:rsid w:val="00AA3CAE"/>
    <w:pPr>
      <w:spacing w:after="120"/>
      <w:ind w:left="720" w:hanging="720"/>
    </w:pPr>
    <w:rPr>
      <w:sz w:val="20"/>
      <w:lang w:eastAsia="en-AU"/>
    </w:rPr>
  </w:style>
  <w:style w:type="character" w:customStyle="1" w:styleId="ReferencesChar">
    <w:name w:val="References Char"/>
    <w:basedOn w:val="DefaultParagraphFont"/>
    <w:link w:val="References"/>
    <w:rsid w:val="00AA3CAE"/>
    <w:rPr>
      <w:rFonts w:ascii="Calibri" w:hAnsi="Calibri" w:cs="ArialMT"/>
      <w:szCs w:val="18"/>
      <w:lang w:eastAsia="en-AU"/>
    </w:rPr>
  </w:style>
  <w:style w:type="character" w:customStyle="1" w:styleId="UnresolvedMention">
    <w:name w:val="Unresolved Mention"/>
    <w:basedOn w:val="DefaultParagraphFont"/>
    <w:uiPriority w:val="99"/>
    <w:semiHidden/>
    <w:unhideWhenUsed/>
    <w:rsid w:val="00E04983"/>
    <w:rPr>
      <w:color w:val="605E5C"/>
      <w:shd w:val="clear" w:color="auto" w:fill="E1DFDD"/>
    </w:rPr>
  </w:style>
  <w:style w:type="paragraph" w:styleId="Revision">
    <w:name w:val="Revision"/>
    <w:hidden/>
    <w:uiPriority w:val="99"/>
    <w:semiHidden/>
    <w:rsid w:val="001704A0"/>
    <w:rPr>
      <w:rFonts w:ascii="Calibri" w:hAnsi="Calibri" w:cs="ArialMT"/>
      <w:sz w:val="22"/>
      <w:szCs w:val="18"/>
    </w:rPr>
  </w:style>
  <w:style w:type="paragraph" w:customStyle="1" w:styleId="Heading1noTOC">
    <w:name w:val="Heading 1 no TOC"/>
    <w:basedOn w:val="Heading1Nospacebefore"/>
    <w:qFormat/>
    <w:rsid w:val="007E236F"/>
  </w:style>
  <w:style w:type="paragraph" w:customStyle="1" w:styleId="NormalAfterListTable">
    <w:name w:val="Normal After List/Table"/>
    <w:basedOn w:val="Normal"/>
    <w:next w:val="Normal"/>
    <w:uiPriority w:val="2"/>
    <w:qFormat/>
    <w:rsid w:val="00606D84"/>
    <w:pPr>
      <w:autoSpaceDE/>
      <w:autoSpaceDN/>
      <w:adjustRightInd/>
      <w:spacing w:before="200"/>
    </w:pPr>
    <w:rPr>
      <w:rFonts w:eastAsia="Times New Roman" w:cs="Times New Roman"/>
      <w:szCs w:val="24"/>
      <w:lang w:eastAsia="en-AU"/>
    </w:rPr>
  </w:style>
  <w:style w:type="table" w:customStyle="1" w:styleId="TableGrid1">
    <w:name w:val="Table Grid1"/>
    <w:basedOn w:val="TableNormal"/>
    <w:next w:val="TableGrid"/>
    <w:uiPriority w:val="39"/>
    <w:rsid w:val="004253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ExecSummary">
    <w:name w:val="Heading 2 Exec Summary"/>
    <w:basedOn w:val="Heading2"/>
    <w:qFormat/>
    <w:rsid w:val="00E24E47"/>
    <w:pPr>
      <w:pBdr>
        <w:bottom w:val="none" w:sz="0" w:space="0" w:color="auto"/>
      </w:pBdr>
    </w:pPr>
    <w:rPr>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contactus@lirata.com" TargetMode="External"/><Relationship Id="rId26"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4.gif"/><Relationship Id="rId25"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lirata.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footer" Target="footer6.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5.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9B58D7D72C3ED54C851955501673F8AC" ma:contentTypeVersion="12" ma:contentTypeDescription="ShareHub Document" ma:contentTypeScope="" ma:versionID="97f9b7b7c78848d4214b9782eb89bc56">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76f1aafd45aee4e06fde14cce240cffd"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hc4a8f51d7584793bcee84017ea96c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57;#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c4a8f51d7584793bcee84017ea96cb3" ma:index="18" nillable="true" ma:taxonomy="true" ma:internalName="hc4a8f51d7584793bcee84017ea96cb3" ma:taxonomyFieldName="ESearchTags" ma:displayName="Tags" ma:fieldId="{1c4a8f51-d758-4793-bcee-84017ea96cb3}"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jd1c641577414dfdab1686c9d5d0dbd0 xmlns="166541c0-0594-4e6a-9105-c24d4b6de6f7">
      <Terms xmlns="http://schemas.microsoft.com/office/infopath/2007/PartnerControls"/>
    </jd1c641577414dfdab1686c9d5d0dbd0>
    <hc4a8f51d7584793bcee84017ea96cb3 xmlns="166541c0-0594-4e6a-9105-c24d4b6de6f7">
      <Terms xmlns="http://schemas.microsoft.com/office/infopath/2007/PartnerControls">
        <TermInfo xmlns="http://schemas.microsoft.com/office/infopath/2007/PartnerControls">
          <TermName xmlns="http://schemas.microsoft.com/office/infopath/2007/PartnerControls">Training</TermName>
          <TermId xmlns="http://schemas.microsoft.com/office/infopath/2007/PartnerControls">2f396fb6-baad-479d-8254-1550153bbe31</TermId>
        </TermInfo>
        <TermInfo xmlns="http://schemas.microsoft.com/office/infopath/2007/PartnerControls">
          <TermName xmlns="http://schemas.microsoft.com/office/infopath/2007/PartnerControls">Cabinet</TermName>
          <TermId xmlns="http://schemas.microsoft.com/office/infopath/2007/PartnerControls">84cba657-17c1-4642-9e59-a0df180c2be5</TermId>
        </TermInfo>
      </Terms>
    </hc4a8f51d7584793bcee84017ea96cb3>
    <ShareHubID xmlns="166541c0-0594-4e6a-9105-c24d4b6de6f7">DOC22-528</ShareHubID>
    <TaxCatchAll xmlns="166541c0-0594-4e6a-9105-c24d4b6de6f7">
      <Value>18</Value>
      <Value>29</Value>
      <Value>57</Value>
    </TaxCatchAll>
    <PMCNotes xmlns="166541c0-0594-4e6a-9105-c24d4b6de6f7" xsi:nil="true"/>
    <NonRecordJustification xmlns="685f9fda-bd71-4433-b331-92feb9553089">None</NonRecordJustification>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CD4A5C-D15B-4E9A-8D1E-7F49E5E506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6541c0-0594-4e6a-9105-c24d4b6de6f7"/>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416464-7E29-4A53-881A-D6016EFA0538}">
  <ds:schemaRefs>
    <ds:schemaRef ds:uri="http://schemas.microsoft.com/sharepoint/v3/contenttype/forms"/>
  </ds:schemaRefs>
</ds:datastoreItem>
</file>

<file path=customXml/itemProps3.xml><?xml version="1.0" encoding="utf-8"?>
<ds:datastoreItem xmlns:ds="http://schemas.openxmlformats.org/officeDocument/2006/customXml" ds:itemID="{99C9FC4C-3AF1-4F34-8091-4E1903ACF588}">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685f9fda-bd71-4433-b331-92feb9553089"/>
    <ds:schemaRef ds:uri="166541c0-0594-4e6a-9105-c24d4b6de6f7"/>
    <ds:schemaRef ds:uri="http://www.w3.org/XML/1998/namespace"/>
    <ds:schemaRef ds:uri="http://purl.org/dc/dcmitype/"/>
  </ds:schemaRefs>
</ds:datastoreItem>
</file>

<file path=customXml/itemProps4.xml><?xml version="1.0" encoding="utf-8"?>
<ds:datastoreItem xmlns:ds="http://schemas.openxmlformats.org/officeDocument/2006/customXml" ds:itemID="{1EB4D20A-D461-4951-9E68-76DE53F90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31154</Words>
  <Characters>177578</Characters>
  <Application>Microsoft Office Word</Application>
  <DocSecurity>4</DocSecurity>
  <Lines>1479</Lines>
  <Paragraphs>416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2022-01-04T02:56:00Z</dcterms:created>
  <dcterms:modified xsi:type="dcterms:W3CDTF">2022-01-04T02:56:00Z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0x0101002825A64A6E1845A99A9D8EE8A5686ECB009B58D7D72C3ED54C851955501673F8AC</vt:lpwstr>
  </property>
  <property fmtid="{D5CDD505-2E9C-101B-9397-08002B2CF9AE}" pid="3" name="HPRMSecurityCaveat">
    <vt:lpwstr/>
  </property>
  <property fmtid="{D5CDD505-2E9C-101B-9397-08002B2CF9AE}" pid="4" name="ESearchTags">
    <vt:lpwstr>29;#Training|2f396fb6-baad-479d-8254-1550153bbe31;#18;#Cabinet|84cba657-17c1-4642-9e59-a0df180c2be5</vt:lpwstr>
  </property>
  <property fmtid="{D5CDD505-2E9C-101B-9397-08002B2CF9AE}" pid="5" name="HPRMSecurityLevel">
    <vt:lpwstr>57;#OFFICIAL|11463c70-78df-4e3b-b0ff-f66cd3cb26ec</vt:lpwstr>
  </property>
  <property fmtid="{D5CDD505-2E9C-101B-9397-08002B2CF9AE}" pid="6" name="PMC.ESearch.TagGeneratedTime">
    <vt:lpwstr>2022-01-04T14:11:46</vt:lpwstr>
  </property>
</Properties>
</file>